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Ottanta anni di Pace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tredici Libri e cinque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«Ottanta anni di Pace» è la chiave interpretativa scelta dall'autore per questa edizione, e come ogni chiave del corpus si dichiara e non giudica. La Pace che il titolo conta è quella dei calendari e delle ricorrenze: proclamata nel maggio del 1945 e misurata da allora in anni. L'opera non la nega e non la irride — chiede che cosa quegli anni abbiano contenuto, e trova, nei documenti che raccoglie, che la pace dichiarata e la violenza praticata hanno convissuto a lungo. Il titolo si presta perciò a due letture che l'opera non scioglie: gli ottant'anni dal 1945, e il decennio Ottanta che il 1978 apre e a cui sopravvive. Ciò che dichiara è una continuità, non una responsabilità: è una lente, non una sentenza, e nessuna pagina che segue attribuisce a chicchessia ciò che una lente lascia vedere. L'opera resta, nel suo nome proprio, «Una guerra senza fine», e il Libro quarto porta il proprio: «Una Pace senza Pace».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Quinta edizione integrale rilegata — 27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rimozione del 27 agosto 2026, e perché i numeri non si toccano.</w:t>
      </w:r>
      <w:r>
        <w:rPr>
          <w:rFonts w:ascii="Barlow Semi Condensed" w:cs="Barlow Semi Condensed" w:eastAsia="Barlow Semi Condensed" w:hAnsi="Barlow Semi Condensed"/>
          <w:i w:val="false"/>
          <w:iCs w:val="false"/>
          <w:sz w:val="24"/>
          <w:szCs w:val="24"/>
        </w:rPr>
        <w:t xml:space="preserve"> Questa</w:t>
      </w:r>
    </w:p>
    <w:p>
      <w:pPr>
        <w:spacing w:after="120" w:line="276"/>
        <w:jc w:val="both"/>
      </w:pPr>
      <w:r>
        <w:rPr>
          <w:rFonts w:ascii="Barlow Semi Condensed" w:cs="Barlow Semi Condensed" w:eastAsia="Barlow Semi Condensed" w:hAnsi="Barlow Semi Condensed"/>
          <w:sz w:val="24"/>
          <w:szCs w:val="24"/>
        </w:rPr>
        <w:t xml:space="preserve">edizione è </w:t>
      </w:r>
      <w:r>
        <w:rPr>
          <w:rFonts w:ascii="Barlow Semi Condensed" w:cs="Barlow Semi Condensed" w:eastAsia="Barlow Semi Condensed" w:hAnsi="Barlow Semi Condensed"/>
          <w:b/>
          <w:bCs/>
          <w:sz w:val="24"/>
          <w:szCs w:val="24"/>
        </w:rPr>
        <w:t xml:space="preserve">priva del Libro secondo e del Libro terzo</w:t>
      </w:r>
      <w:r>
        <w:rPr>
          <w:rFonts w:ascii="Barlow Semi Condensed" w:cs="Barlow Semi Condensed" w:eastAsia="Barlow Semi Condensed" w:hAnsi="Barlow Semi Condensed"/>
          <w:sz w:val="24"/>
          <w:szCs w:val="24"/>
        </w:rPr>
        <w:t xml:space="preserve">, che portavano il</w:t>
      </w:r>
    </w:p>
    <w:p>
      <w:pPr>
        <w:spacing w:after="120" w:line="276"/>
        <w:jc w:val="both"/>
      </w:pPr>
      <w:r>
        <w:rPr>
          <w:rFonts w:ascii="Barlow Semi Condensed" w:cs="Barlow Semi Condensed" w:eastAsia="Barlow Semi Condensed" w:hAnsi="Barlow Semi Condensed"/>
          <w:sz w:val="24"/>
          <w:szCs w:val="24"/>
        </w:rPr>
        <w:t xml:space="preserve">saggio-cerniera «Dal Che a Moro» e la parabola di Ernesto Guevara in sei parti:</w:t>
      </w:r>
    </w:p>
    <w:p>
      <w:pPr>
        <w:spacing w:after="120" w:line="276"/>
        <w:jc w:val="both"/>
      </w:pPr>
      <w:r>
        <w:rPr>
          <w:rFonts w:ascii="Barlow Semi Condensed" w:cs="Barlow Semi Condensed" w:eastAsia="Barlow Semi Condensed" w:hAnsi="Barlow Semi Condensed"/>
          <w:sz w:val="24"/>
          <w:szCs w:val="24"/>
        </w:rPr>
        <w:t xml:space="preserve">sette documenti, 17.769 parole, rimossi per decisione dell'autore insieme al</w:t>
      </w:r>
    </w:p>
    <w:p>
      <w:pPr>
        <w:spacing w:after="120" w:line="276"/>
        <w:jc w:val="both"/>
      </w:pPr>
      <w:r>
        <w:rPr>
          <w:rFonts w:ascii="Barlow Semi Condensed" w:cs="Barlow Semi Condensed" w:eastAsia="Barlow Semi Condensed" w:hAnsi="Barlow Semi Condensed"/>
          <w:sz w:val="24"/>
          <w:szCs w:val="24"/>
        </w:rPr>
        <w:t xml:space="preserve">volume tematico che li rilegava a parte. **La numerazione dei Libri superstiti non</w:t>
      </w:r>
    </w:p>
    <w:p>
      <w:pPr>
        <w:spacing w:after="120" w:line="276"/>
        <w:jc w:val="both"/>
      </w:pPr>
      <w:r>
        <w:rPr>
          <w:rFonts w:ascii="Barlow Semi Condensed" w:cs="Barlow Semi Condensed" w:eastAsia="Barlow Semi Condensed" w:hAnsi="Barlow Semi Condensed"/>
          <w:sz w:val="24"/>
          <w:szCs w:val="24"/>
        </w:rPr>
        <w:t xml:space="preserve">è stata rifatta**: dopo il Libro primo viene il Libro quarto, e il salto è</w:t>
      </w:r>
    </w:p>
    <w:p>
      <w:pPr>
        <w:spacing w:after="120" w:line="276"/>
        <w:jc w:val="both"/>
      </w:pPr>
      <w:r>
        <w:rPr>
          <w:rFonts w:ascii="Barlow Semi Condensed" w:cs="Barlow Semi Condensed" w:eastAsia="Barlow Semi Condensed" w:hAnsi="Barlow Semi Condensed"/>
          <w:sz w:val="24"/>
          <w:szCs w:val="24"/>
        </w:rPr>
        <w:t xml:space="preserve">voluto. Rinumerare avrebbe reso invisibile la rimozione e falsificato ogni</w:t>
      </w:r>
    </w:p>
    <w:p>
      <w:pPr>
        <w:spacing w:after="120" w:line="276"/>
        <w:jc w:val="both"/>
      </w:pPr>
      <w:r>
        <w:rPr>
          <w:rFonts w:ascii="Barlow Semi Condensed" w:cs="Barlow Semi Condensed" w:eastAsia="Barlow Semi Condensed" w:hAnsi="Barlow Semi Condensed"/>
          <w:sz w:val="24"/>
          <w:szCs w:val="24"/>
        </w:rPr>
        <w:t xml:space="preserve">citazione anteriore; il salto la rende leggibile a chiunque apra l'indice. È la</w:t>
      </w:r>
    </w:p>
    <w:p>
      <w:pPr>
        <w:spacing w:after="120" w:line="276"/>
        <w:jc w:val="both"/>
      </w:pPr>
      <w:r>
        <w:rPr>
          <w:rFonts w:ascii="Barlow Semi Condensed" w:cs="Barlow Semi Condensed" w:eastAsia="Barlow Semi Condensed" w:hAnsi="Barlow Semi Condensed"/>
          <w:sz w:val="24"/>
          <w:szCs w:val="24"/>
        </w:rPr>
        <w:t xml:space="preserve">stessa ragione per cui in quest'opera le correzioni si annotano accanto</w:t>
      </w:r>
    </w:p>
    <w:p>
      <w:pPr>
        <w:spacing w:after="120" w:line="276"/>
        <w:jc w:val="both"/>
      </w:pPr>
      <w:r>
        <w:rPr>
          <w:rFonts w:ascii="Barlow Semi Condensed" w:cs="Barlow Semi Condensed" w:eastAsia="Barlow Semi Condensed" w:hAnsi="Barlow Semi Condensed"/>
          <w:sz w:val="24"/>
          <w:szCs w:val="24"/>
        </w:rPr>
        <w:t xml:space="preserve">all'errore e non al suo posto.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edizioni anteriori.</w:t>
      </w:r>
      <w:r>
        <w:rPr>
          <w:rFonts w:ascii="Barlow Semi Condensed" w:cs="Barlow Semi Condensed" w:eastAsia="Barlow Semi Condensed" w:hAnsi="Barlow Semi Condensed"/>
          <w:i w:val="false"/>
          <w:iCs w:val="false"/>
          <w:sz w:val="24"/>
          <w:szCs w:val="24"/>
        </w:rPr>
        <w:t xml:space="preserve"> La quarta è del 26 agosto 2026 e portava quattordici Libri e due Appendici; la terza, del 25 agosto, la precedeva col medesimo impianto. Non sono ritirate né smentite: sono superate dalla crescita del corpus, e chi ne possiede un esemplare ha in mano un'edizione esatta alla propria data. Questa quinta aggiunge la terza campagna Farnesina nel Libro dodicesimo, il </w:t>
      </w:r>
      <w:r>
        <w:rPr>
          <w:rFonts w:ascii="Barlow Semi Condensed" w:cs="Barlow Semi Condensed" w:eastAsia="Barlow Semi Condensed" w:hAnsi="Barlow Semi Condensed"/>
          <w:b/>
          <w:bCs/>
          <w:i w:val="false"/>
          <w:iCs w:val="false"/>
          <w:sz w:val="24"/>
          <w:szCs w:val="24"/>
        </w:rPr>
        <w:t xml:space="preserve">Libro quindicesimo</w:t>
      </w:r>
      <w:r>
        <w:rPr>
          <w:rFonts w:ascii="Barlow Semi Condensed" w:cs="Barlow Semi Condensed" w:eastAsia="Barlow Semi Condensed" w:hAnsi="Barlow Semi Condensed"/>
          <w:i w:val="false"/>
          <w:iCs w:val="false"/>
          <w:sz w:val="24"/>
          <w:szCs w:val="24"/>
        </w:rPr>
        <w:t xml:space="preserve"> (il Registro dei cinquantacinque giorni, opera seconda), le </w:t>
      </w:r>
      <w:r>
        <w:rPr>
          <w:rFonts w:ascii="Barlow Semi Condensed" w:cs="Barlow Semi Condensed" w:eastAsia="Barlow Semi Condensed" w:hAnsi="Barlow Semi Condensed"/>
          <w:b/>
          <w:bCs/>
          <w:i w:val="false"/>
          <w:iCs w:val="false"/>
          <w:sz w:val="24"/>
          <w:szCs w:val="24"/>
        </w:rPr>
        <w:t xml:space="preserve">undici appendici alla Fase settima</w:t>
      </w:r>
      <w:r>
        <w:rPr>
          <w:rFonts w:ascii="Barlow Semi Condensed" w:cs="Barlow Semi Condensed" w:eastAsia="Barlow Semi Condensed" w:hAnsi="Barlow Semi Condensed"/>
          <w:i w:val="false"/>
          <w:iCs w:val="false"/>
          <w:sz w:val="24"/>
          <w:szCs w:val="24"/>
        </w:rPr>
        <w:t xml:space="preserve"> nel Libro nono e le </w:t>
      </w:r>
      <w:r>
        <w:rPr>
          <w:rFonts w:ascii="Barlow Semi Condensed" w:cs="Barlow Semi Condensed" w:eastAsia="Barlow Semi Condensed" w:hAnsi="Barlow Semi Condensed"/>
          <w:b/>
          <w:bCs/>
          <w:i w:val="false"/>
          <w:iCs w:val="false"/>
          <w:sz w:val="24"/>
          <w:szCs w:val="24"/>
        </w:rPr>
        <w:t xml:space="preserve">Appendici terza e quarta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Dossier maggiore</w:t>
      </w:r>
      <w:r>
        <w:rPr>
          <w:rFonts w:ascii="Barlow Semi Condensed" w:cs="Barlow Semi Condensed" w:eastAsia="Barlow Semi Condensed" w:hAnsi="Barlow Semi Condensed"/>
          <w:i w:val="false"/>
          <w:iCs w:val="false"/>
          <w:sz w:val="24"/>
          <w:szCs w:val="24"/>
        </w:rPr>
        <w:t xml:space="preserve"> dell'autore, «Una Pace senza Pace · Tutta la verità», qui conservato per intero come volume nel volume e con la divergenza di regime dichiarata in sua apertura;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con le sue </w:t>
      </w:r>
      <w:r>
        <w:rPr>
          <w:rFonts w:ascii="Barlow Semi Condensed" w:cs="Barlow Semi Condensed" w:eastAsia="Barlow Semi Condensed" w:hAnsi="Barlow Semi Condensed"/>
          <w:b/>
          <w:bCs/>
          <w:i w:val="false"/>
          <w:iCs w:val="false"/>
          <w:sz w:val="24"/>
          <w:szCs w:val="24"/>
        </w:rPr>
        <w:t xml:space="preserve">undici appendici</w:t>
      </w:r>
      <w:r>
        <w:rPr>
          <w:rFonts w:ascii="Barlow Semi Condensed" w:cs="Barlow Semi Condensed" w:eastAsia="Barlow Semi Condensed" w:hAnsi="Barlow Semi Condensed"/>
          <w:i w:val="false"/>
          <w:iCs w:val="false"/>
          <w:sz w:val="24"/>
          <w:szCs w:val="24"/>
        </w:rPr>
        <w:t xml:space="preserve">, dalla quinta alla quindicesima;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in tre campagne — la ricognizione-madre, le nove ricognizioni originali, le sedici della terza campagna coi sette registri analitici —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la triangolazione di un solo nome contro tutto il corpus in 4.999 blocchi: «Il codice e la sua trasmissione»); </w:t>
      </w:r>
      <w:r>
        <w:rPr>
          <w:rFonts w:ascii="Barlow Semi Condensed" w:cs="Barlow Semi Condensed" w:eastAsia="Barlow Semi Condensed" w:hAnsi="Barlow Semi Condensed"/>
          <w:b/>
          <w:bCs/>
          <w:i w:val="false"/>
          <w:iCs w:val="false"/>
          <w:sz w:val="24"/>
          <w:szCs w:val="24"/>
        </w:rPr>
        <w:t xml:space="preserve">il meridiano e la valle</w:t>
      </w:r>
      <w:r>
        <w:rPr>
          <w:rFonts w:ascii="Barlow Semi Condensed" w:cs="Barlow Semi Condensed" w:eastAsia="Barlow Semi Condensed" w:hAnsi="Barlow Semi Condensed"/>
          <w:i w:val="false"/>
          <w:iCs w:val="false"/>
          <w:sz w:val="24"/>
          <w:szCs w:val="24"/>
        </w:rPr>
        <w:t xml:space="preserve"> (dal Sud Africa dell'apartheid alle imprese tecnologiche californiane, in mille blocchi); il </w:t>
      </w:r>
      <w:r>
        <w:rPr>
          <w:rFonts w:ascii="Barlow Semi Condensed" w:cs="Barlow Semi Condensed" w:eastAsia="Barlow Semi Condensed" w:hAnsi="Barlow Semi Condensed"/>
          <w:b/>
          <w:bCs/>
          <w:i w:val="false"/>
          <w:iCs w:val="false"/>
          <w:sz w:val="24"/>
          <w:szCs w:val="24"/>
        </w:rPr>
        <w:t xml:space="preserve">Registro dei cinquantacinque giorni</w:t>
      </w:r>
      <w:r>
        <w:rPr>
          <w:rFonts w:ascii="Barlow Semi Condensed" w:cs="Barlow Semi Condensed" w:eastAsia="Barlow Semi Condensed" w:hAnsi="Barlow Semi Condensed"/>
          <w:i w:val="false"/>
          <w:iCs w:val="false"/>
          <w:sz w:val="24"/>
          <w:szCs w:val="24"/>
        </w:rPr>
        <w:t xml:space="preserve">, opera seconda in sette Fasi e settanta Capitoli; e le cinque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la verifica di un elenco esterno; l'apparato di navigazione col dossier di invio; e l'apparato della verifica, con la certificazione dei numeri P2, la relazione della campagna di ricerca e il registro degli ingressi). </w:t>
      </w:r>
      <w:r>
        <w:rPr>
          <w:rFonts w:ascii="Barlow Semi Condensed" w:cs="Barlow Semi Condensed" w:eastAsia="Barlow Semi Condensed" w:hAnsi="Barlow Semi Condensed"/>
          <w:b/>
          <w:bCs/>
          <w:i w:val="false"/>
          <w:iCs w:val="false"/>
          <w:sz w:val="24"/>
          <w:szCs w:val="24"/>
        </w:rPr>
        <w:t xml:space="preserve">Questa edizione è integrale in senso stretto</w:t>
      </w:r>
      <w:r>
        <w:rPr>
          <w:rFonts w:ascii="Barlow Semi Condensed" w:cs="Barlow Semi Condensed" w:eastAsia="Barlow Semi Condensed" w:hAnsi="Barlow Semi Condensed"/>
          <w:i w:val="false"/>
          <w:iCs w:val="false"/>
          <w:sz w:val="24"/>
          <w:szCs w:val="24"/>
        </w:rPr>
        <w:t xml:space="preserve">, e da questa sesta edizione lo è alla lettera: dei centoundici documenti del perimetro moroteano ne entrano centootto, e i tre che restano fuori sono nominati qui sotto con la propria ragione. Ne resta fuori, e per dichiarazione, l'opera «Italia Nera», che è un lavoro distinto e non una parte di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tre documenti che restano fuori, e perché.</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registro delle impronte</w:t>
      </w:r>
      <w:r>
        <w:rPr>
          <w:rFonts w:ascii="Barlow Semi Condensed" w:cs="Barlow Semi Condensed" w:eastAsia="Barlow Semi Condensed" w:hAnsi="Barlow Semi Condensed"/>
          <w:i w:val="false"/>
          <w:iCs w:val="false"/>
          <w:sz w:val="24"/>
          <w:szCs w:val="24"/>
        </w:rPr>
        <w:t xml:space="preserve"> non entra, e non può: misura questo volume, e rilegarlo dentro il volume che misura cambierebbe il volume e quindi la misura — è la stessa regola per cui il registro non certifica sé stesso. Il </w:t>
      </w:r>
      <w:r>
        <w:rPr>
          <w:rFonts w:ascii="Barlow Semi Condensed" w:cs="Barlow Semi Condensed" w:eastAsia="Barlow Semi Condensed" w:hAnsi="Barlow Semi Condensed"/>
          <w:b/>
          <w:bCs/>
          <w:i w:val="false"/>
          <w:iCs w:val="false"/>
          <w:sz w:val="24"/>
          <w:szCs w:val="24"/>
        </w:rPr>
        <w:t xml:space="preserve">memorandum operativo sulla riapertura delle verifiche</w:t>
      </w:r>
      <w:r>
        <w:rPr>
          <w:rFonts w:ascii="Barlow Semi Condensed" w:cs="Barlow Semi Condensed" w:eastAsia="Barlow Semi Condensed" w:hAnsi="Barlow Semi Condensed"/>
          <w:i w:val="false"/>
          <w:iCs w:val="false"/>
          <w:sz w:val="24"/>
          <w:szCs w:val="24"/>
        </w:rPr>
        <w:t xml:space="preserve"> non entra per statuto proprio: è un documento di lavoro che dichiara da sé di non appartenere all'opera. La </w:t>
      </w:r>
      <w:r>
        <w:rPr>
          <w:rFonts w:ascii="Barlow Semi Condensed" w:cs="Barlow Semi Condensed" w:eastAsia="Barlow Semi Condensed" w:hAnsi="Barlow Semi Condensed"/>
          <w:b/>
          <w:bCs/>
          <w:i w:val="false"/>
          <w:iCs w:val="false"/>
          <w:sz w:val="24"/>
          <w:szCs w:val="24"/>
        </w:rPr>
        <w:t xml:space="preserve">nota sugli strumenti ricevuti</w:t>
      </w:r>
      <w:r>
        <w:rPr>
          <w:rFonts w:ascii="Barlow Semi Condensed" w:cs="Barlow Semi Condensed" w:eastAsia="Barlow Semi Condensed" w:hAnsi="Barlow Semi Condensed"/>
          <w:i w:val="false"/>
          <w:iCs w:val="false"/>
          <w:sz w:val="24"/>
          <w:szCs w:val="24"/>
        </w:rPr>
        <w:t xml:space="preserve"> non entra perché riguarda codice e non testo: i generatori non sono rilegati, e la nota che li presenta segue i generatori. Tutto il resto del perimetro moroteano è qui.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 con l'unica eccezione, dichiarata in apertura del Libro quarto e valida soltanto entro di esso, della bilancia probabilistica che il Dossier maggiore porta con sé come volume nel volume: essa ordina per plausibilità e non per colpa, lavora per categorie di soggetti e non per nomi individuali, muove dai condannati in via definitiva e rifiuta di nominare un mandante esterno determinato;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 — la rimozione del materiale su Guevara.</w:t>
      </w:r>
      <w:r>
        <w:rPr>
          <w:rFonts w:ascii="Barlow Semi Condensed" w:cs="Barlow Semi Condensed" w:eastAsia="Barlow Semi Condensed" w:hAnsi="Barlow Semi Condensed"/>
          <w:i w:val="false"/>
          <w:iCs w:val="false"/>
          <w:sz w:val="24"/>
          <w:szCs w:val="24"/>
        </w:rPr>
        <w:t xml:space="preserve"> Per decisione dell'autore sono stati rimossi dall'opera il saggio-cerniera «Dal Che a Moro» e la parabola di Ernesto Guevara in sei parti — sette documenti, 17.769 parole — insieme al volume tematico che li rilegava. </w:t>
      </w:r>
      <w:r>
        <w:rPr>
          <w:rFonts w:ascii="Barlow Semi Condensed" w:cs="Barlow Semi Condensed" w:eastAsia="Barlow Semi Condensed" w:hAnsi="Barlow Semi Condensed"/>
          <w:b/>
          <w:bCs/>
          <w:i w:val="false"/>
          <w:iCs w:val="false"/>
          <w:sz w:val="24"/>
          <w:szCs w:val="24"/>
        </w:rPr>
        <w:t xml:space="preserve">I riferimenti che restano in questa pagina non sono stati cancellati</w:t>
      </w:r>
      <w:r>
        <w:rPr>
          <w:rFonts w:ascii="Barlow Semi Condensed" w:cs="Barlow Semi Condensed" w:eastAsia="Barlow Semi Condensed" w:hAnsi="Barlow Semi Condensed"/>
          <w:i w:val="false"/>
          <w:iCs w:val="false"/>
          <w:sz w:val="24"/>
          <w:szCs w:val="24"/>
        </w:rPr>
        <w:t xml:space="preserve">: rinviano a documenti che non ci sono più, e questo è ciò che deve risultare a chi legge. Cancellarli avrebbe reso la rimozione invisibile; la numerazione dei Libri, per la stessa ragione, non è stata rifatta, e dopo il Libro primo viene il Libro quarto.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 Portale · L'edizione strutturata: la mappa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4.031 parole in 4 sezioni; la più ampia è §1 Una guerra senza fine, con 3.299.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71 paragrafi in 4 sezioni, 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 Libro primo · Il ritratto: l'uomo prima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2.163 parole in 3 sezioni; la più ampia è §3 Segmento 3, con 795.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Dossier maggiore: «Una Pace senza Pace · Tutta la verità»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 — perché questo Libro ha uno statuto diverso dagli altri.</w:t>
      </w:r>
      <w:r>
        <w:rPr>
          <w:rFonts w:ascii="Barlow Semi Condensed" w:cs="Barlow Semi Condensed" w:eastAsia="Barlow Semi Condensed" w:hAnsi="Barlow Semi Condensed"/>
          <w:i w:val="false"/>
          <w:iCs w:val="false"/>
          <w:sz w:val="24"/>
          <w:szCs w:val="24"/>
        </w:rPr>
        <w:t xml:space="preserve"> Questo Libro è il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del quale il Portale che apre l'opera adotta l'architettura senza riprodurne il contenuto. Vi compare qui per intero, e con esso vi compare una </w:t>
      </w:r>
      <w:r>
        <w:rPr>
          <w:rFonts w:ascii="Barlow Semi Condensed" w:cs="Barlow Semi Condensed" w:eastAsia="Barlow Semi Condensed" w:hAnsi="Barlow Semi Condensed"/>
          <w:b/>
          <w:bCs/>
          <w:i w:val="false"/>
          <w:iCs w:val="false"/>
          <w:sz w:val="24"/>
          <w:szCs w:val="24"/>
        </w:rPr>
        <w:t xml:space="preserve">divergenza di regime che va dichiarata in apertura e non nascosta in fondo</w:t>
      </w:r>
      <w:r>
        <w:rPr>
          <w:rFonts w:ascii="Barlow Semi Condensed" w:cs="Barlow Semi Condensed" w:eastAsia="Barlow Semi Condensed" w:hAnsi="Barlow Semi Condensed"/>
          <w:i w:val="false"/>
          <w:iCs w:val="false"/>
          <w:sz w:val="24"/>
          <w:szCs w:val="24"/>
        </w:rPr>
        <w:t xml:space="preserve">. Gli altri Libri di quest'opera si fermano al giudicato: registrano, graduano, dichiarano gli Stati Zero, e non concludono. Questo Libro, nella sua seconda metà, congeda dichiaratamente quella disciplina e adotta una </w:t>
      </w:r>
      <w:r>
        <w:rPr>
          <w:rFonts w:ascii="Barlow Semi Condensed" w:cs="Barlow Semi Condensed" w:eastAsia="Barlow Semi Condensed" w:hAnsi="Barlow Semi Condensed"/>
          <w:b/>
          <w:bCs/>
          <w:i w:val="false"/>
          <w:iCs w:val="false"/>
          <w:sz w:val="24"/>
          <w:szCs w:val="24"/>
        </w:rPr>
        <w:t xml:space="preserve">bilancia probabilistica</w:t>
      </w:r>
      <w:r>
        <w:rPr>
          <w:rFonts w:ascii="Barlow Semi Condensed" w:cs="Barlow Semi Condensed" w:eastAsia="Barlow Semi Condensed" w:hAnsi="Barlow Semi Condensed"/>
          <w:i w:val="false"/>
          <w:iCs w:val="false"/>
          <w:sz w:val="24"/>
          <w:szCs w:val="24"/>
        </w:rPr>
        <w:t xml:space="preserve"> che ordina per plausibilità del coinvolgimento. È ciò che la disciplina in copertina esclude per il resto del corpus, ed è la ragione per cui il Portale </w:t>
      </w:r>
      <w:r>
        <w:rPr>
          <w:rFonts w:ascii="Barlow Semi Condensed" w:cs="Barlow Semi Condensed" w:eastAsia="Barlow Semi Condensed" w:hAnsi="Barlow Semi Condensed"/>
          <w:b/>
          <w:bCs/>
          <w:i w:val="false"/>
          <w:iCs w:val="false"/>
          <w:sz w:val="24"/>
          <w:szCs w:val="24"/>
        </w:rPr>
        <w:t xml:space="preserve">si ferma al giudicato e non riproduce la graduatoria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la graduatoria ordini, per esattezza — perché la premessa promette più di quanto il testo faccia.</w:t>
      </w:r>
      <w:r>
        <w:rPr>
          <w:rFonts w:ascii="Barlow Semi Condensed" w:cs="Barlow Semi Condensed" w:eastAsia="Barlow Semi Condensed" w:hAnsi="Barlow Semi Condensed"/>
          <w:i w:val="false"/>
          <w:iCs w:val="false"/>
          <w:sz w:val="24"/>
          <w:szCs w:val="24"/>
        </w:rPr>
        <w:t xml:space="preserve"> La premessa dell'autore annuncia che si ordineranno «nomi di persone e di entità». La stesura che segue fa meno di quanto quella formula lasci temere, e va detto subito, perché nessuno vi cerchi un elenco di colpevoli: </w:t>
      </w:r>
      <w:r>
        <w:rPr>
          <w:rFonts w:ascii="Barlow Semi Condensed" w:cs="Barlow Semi Condensed" w:eastAsia="Barlow Semi Condensed" w:hAnsi="Barlow Semi Condensed"/>
          <w:b/>
          <w:bCs/>
          <w:i w:val="false"/>
          <w:iCs w:val="false"/>
          <w:sz w:val="24"/>
          <w:szCs w:val="24"/>
        </w:rPr>
        <w:t xml:space="preserve">la graduatoria ordina categorie di soggetti, non nomi individuali</w:t>
      </w:r>
      <w:r>
        <w:rPr>
          <w:rFonts w:ascii="Barlow Semi Condensed" w:cs="Barlow Semi Condensed" w:eastAsia="Barlow Semi Condensed" w:hAnsi="Barlow Semi Condensed"/>
          <w:i w:val="false"/>
          <w:iCs w:val="false"/>
          <w:sz w:val="24"/>
          <w:szCs w:val="24"/>
        </w:rPr>
        <w:t xml:space="preserve"> — i componenti del comitato esecutivo e della colonna romana </w:t>
      </w:r>
      <w:r>
        <w:rPr>
          <w:rFonts w:ascii="Barlow Semi Condensed" w:cs="Barlow Semi Condensed" w:eastAsia="Barlow Semi Condensed" w:hAnsi="Barlow Semi Condensed"/>
          <w:b/>
          <w:bCs/>
          <w:i w:val="false"/>
          <w:iCs w:val="false"/>
          <w:sz w:val="24"/>
          <w:szCs w:val="24"/>
        </w:rPr>
        <w:t xml:space="preserve">già condannati in via definitiva</w:t>
      </w:r>
      <w:r>
        <w:rPr>
          <w:rFonts w:ascii="Barlow Semi Condensed" w:cs="Barlow Semi Condensed" w:eastAsia="Barlow Semi Condensed" w:hAnsi="Barlow Semi Condensed"/>
          <w:i w:val="false"/>
          <w:iCs w:val="false"/>
          <w:sz w:val="24"/>
          <w:szCs w:val="24"/>
        </w:rPr>
        <w:t xml:space="preserve">; gli apparati e le figure di frontiera coinvolti nei depistaggi successivi; i portatori dell'interesse esterno internazionale, tenuti al grado minimo perché sorretti da indizi di contesto e non da prova diretta. Nelle quasi cinquemila parole della parte conclusiva </w:t>
      </w:r>
      <w:r>
        <w:rPr>
          <w:rFonts w:ascii="Barlow Semi Condensed" w:cs="Barlow Semi Condensed" w:eastAsia="Barlow Semi Condensed" w:hAnsi="Barlow Semi Condensed"/>
          <w:b/>
          <w:bCs/>
          <w:i w:val="false"/>
          <w:iCs w:val="false"/>
          <w:sz w:val="24"/>
          <w:szCs w:val="24"/>
        </w:rPr>
        <w:t xml:space="preserve">gli unici nomi propri di persona sono quello della vittima e quello dello studioso da cui un metodo prende nome</w:t>
      </w:r>
      <w:r>
        <w:rPr>
          <w:rFonts w:ascii="Barlow Semi Condensed" w:cs="Barlow Semi Condensed" w:eastAsia="Barlow Semi Condensed" w:hAnsi="Barlow Semi Condensed"/>
          <w:i w:val="false"/>
          <w:iCs w:val="false"/>
          <w:sz w:val="24"/>
          <w:szCs w:val="24"/>
        </w:rPr>
        <w:t xml:space="preserve">. Nessun presunto responsabile vi è nominato; il vertice della graduatoria è occupato da chi una sentenza definitiva ha già condannato; e il mandante esterno determinato, che è la cosa che di solito si cerca in pagine come queste, il testo </w:t>
      </w:r>
      <w:r>
        <w:rPr>
          <w:rFonts w:ascii="Barlow Semi Condensed" w:cs="Barlow Semi Condensed" w:eastAsia="Barlow Semi Condensed" w:hAnsi="Barlow Semi Condensed"/>
          <w:b/>
          <w:bCs/>
          <w:i w:val="false"/>
          <w:iCs w:val="false"/>
          <w:sz w:val="24"/>
          <w:szCs w:val="24"/>
        </w:rPr>
        <w:t xml:space="preserve">rifiuta di nominarlo</w:t>
      </w:r>
      <w:r>
        <w:rPr>
          <w:rFonts w:ascii="Barlow Semi Condensed" w:cs="Barlow Semi Condensed" w:eastAsia="Barlow Semi Condensed" w:hAnsi="Barlow Semi Condensed"/>
          <w:i w:val="false"/>
          <w:iCs w:val="false"/>
          <w:sz w:val="24"/>
          <w:szCs w:val="24"/>
        </w:rPr>
        <w:t xml:space="preserve">, perché la ricerca sistematica su quel punto ha dato uno Stato Zero tre volte confermato.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divergenza non è una svista: è la ragione stessa per cui questo Libro esiste come volume nel volume, con un proprio statuto che si è scelto di rispettare anziché correggere. Il Libro porta con sé la propria cerniera, che dichiara il passaggio di regime nel punto in cui avviene, e la propria premessa garantista, che distingue la graduatoria di plausibilità dalla graduatoria di colpevolezza e ribadisce, prima di ogni nome, la presunzione d'innocenza. </w:t>
      </w:r>
      <w:r>
        <w:rPr>
          <w:rFonts w:ascii="Barlow Semi Condensed" w:cs="Barlow Semi Condensed" w:eastAsia="Barlow Semi Condensed" w:hAnsi="Barlow Semi Condensed"/>
          <w:b/>
          <w:bCs/>
          <w:i w:val="false"/>
          <w:iCs w:val="false"/>
          <w:sz w:val="24"/>
          <w:szCs w:val="24"/>
        </w:rPr>
        <w:t xml:space="preserve">Ordinare per plausibilità non è condannare</w:t>
      </w:r>
      <w:r>
        <w:rPr>
          <w:rFonts w:ascii="Barlow Semi Condensed" w:cs="Barlow Semi Condensed" w:eastAsia="Barlow Semi Condensed" w:hAnsi="Barlow Semi Condensed"/>
          <w:i w:val="false"/>
          <w:iCs w:val="false"/>
          <w:sz w:val="24"/>
          <w:szCs w:val="24"/>
        </w:rPr>
        <w:t xml:space="preserve">, e chi legge queste pagine come un atto d'accusa le legge contro la lettera di ciò che vi è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lettore è dunque avvertito di ciò che troverà: fino all'Apparato, il regime è quello del registro, identico a quello degli altri Libri; dopo la cerniera, il regime è quello della probabilità, e vale soltanto qui. </w:t>
      </w:r>
      <w:r>
        <w:rPr>
          <w:rFonts w:ascii="Barlow Semi Condensed" w:cs="Barlow Semi Condensed" w:eastAsia="Barlow Semi Condensed" w:hAnsi="Barlow Semi Condensed"/>
          <w:b/>
          <w:bCs/>
          <w:i w:val="false"/>
          <w:iCs w:val="false"/>
          <w:sz w:val="24"/>
          <w:szCs w:val="24"/>
        </w:rPr>
        <w:t xml:space="preserve">Nessun altro Libro di quest'opera contiene graduatorie di persone, e nessuna affermazione di questo Libro può essere trasportata negli altri come se vi fosse stata accertata.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Libro dichiara inoltre in proprio la co-autorìa con un sistema di intelligenza artificiale, nel proemio che segue: la dichiarazione è dell'autore ed è qui conservata nella sua forma originale.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redazione adottata.</w:t>
      </w:r>
      <w:r>
        <w:rPr>
          <w:rFonts w:ascii="Barlow Semi Condensed" w:cs="Barlow Semi Condensed" w:eastAsia="Barlow Semi Condensed" w:hAnsi="Barlow Semi Condensed"/>
          <w:i w:val="false"/>
          <w:iCs w:val="false"/>
          <w:sz w:val="24"/>
          <w:szCs w:val="24"/>
        </w:rPr>
        <w:t xml:space="preserve"> Di quest'opera esistono due redazioni d'autore. La prima, «Una Pace senza Pace — Edizione Integrata Definitiva», raccoglie il volume portante e l'Apparato. La seconda, qui adottata, è «Una Pace senza Pace · Tutta la verità — Opera Monografica Integrale», che contiene la prima </w:t>
      </w:r>
      <w:r>
        <w:rPr>
          <w:rFonts w:ascii="Barlow Semi Condensed" w:cs="Barlow Semi Condensed" w:eastAsia="Barlow Semi Condensed" w:hAnsi="Barlow Semi Condensed"/>
          <w:b/>
          <w:bCs/>
          <w:i w:val="false"/>
          <w:iCs w:val="false"/>
          <w:sz w:val="24"/>
          <w:szCs w:val="24"/>
        </w:rPr>
        <w:t xml:space="preserve">per intero</w:t>
      </w:r>
      <w:r>
        <w:rPr>
          <w:rFonts w:ascii="Barlow Semi Condensed" w:cs="Barlow Semi Condensed" w:eastAsia="Barlow Semi Condensed" w:hAnsi="Barlow Semi Condensed"/>
          <w:i w:val="false"/>
          <w:iCs w:val="false"/>
          <w:sz w:val="24"/>
          <w:szCs w:val="24"/>
        </w:rPr>
        <w:t xml:space="preserve"> e vi aggiunge il proemio, la cerniera di raccordo e il secondo volume. La collazione meccanica delle due redazioni, eseguita paragrafo per paragrafo prima di questa scelta, dà </w:t>
      </w:r>
      <w:r>
        <w:rPr>
          <w:rFonts w:ascii="Barlow Semi Condensed" w:cs="Barlow Semi Condensed" w:eastAsia="Barlow Semi Condensed" w:hAnsi="Barlow Semi Condensed"/>
          <w:b/>
          <w:bCs/>
          <w:i w:val="false"/>
          <w:iCs w:val="false"/>
          <w:sz w:val="24"/>
          <w:szCs w:val="24"/>
        </w:rPr>
        <w:t xml:space="preserve">millenovecentoquarantanove paragrafi identici su millenovecentocinquantadue</w:t>
      </w:r>
      <w:r>
        <w:rPr>
          <w:rFonts w:ascii="Barlow Semi Condensed" w:cs="Barlow Semi Condensed" w:eastAsia="Barlow Semi Condensed" w:hAnsi="Barlow Semi Condensed"/>
          <w:i w:val="false"/>
          <w:iCs w:val="false"/>
          <w:sz w:val="24"/>
          <w:szCs w:val="24"/>
        </w:rPr>
        <w:t xml:space="preserve">; i tre che divergono sono righe di frontespizio — «Una Pace senza Pace», «Edizione Integrata Definitiva», «l'Opera e l'Apparato di Verifica e Triangolazione» — per complessive quattordici parole, qui registrate perché nulla della redazione non adottata vada perduto. </w:t>
      </w:r>
      <w:r>
        <w:rPr>
          <w:rFonts w:ascii="Barlow Semi Condensed" w:cs="Barlow Semi Condensed" w:eastAsia="Barlow Semi Condensed" w:hAnsi="Barlow Semi Condensed"/>
          <w:b/>
          <w:bCs/>
          <w:i w:val="false"/>
          <w:iCs w:val="false"/>
          <w:sz w:val="24"/>
          <w:szCs w:val="24"/>
        </w:rPr>
        <w:t xml:space="preserve">Si è preferita la redazione più ampia perché contiene l'altra</w:t>
      </w:r>
      <w:r>
        <w:rPr>
          <w:rFonts w:ascii="Barlow Semi Condensed" w:cs="Barlow Semi Condensed" w:eastAsia="Barlow Semi Condensed" w:hAnsi="Barlow Semi Condensed"/>
          <w:i w:val="false"/>
          <w:iCs w:val="false"/>
          <w:sz w:val="24"/>
          <w:szCs w:val="24"/>
        </w:rPr>
        <w:t xml:space="preserve">, e ristamparle entrambe avrebbe prodotto una ripetizione di duecentoquarantunmila parole senza aggiungere una riga di materia.</w:t>
      </w:r>
    </w:p>
    <w:p>
      <w:pPr>
        <w:pStyle w:val="Heading2"/>
        <w:spacing w:after="100" w:before="200"/>
      </w:pPr>
      <w:r>
        <w:rPr>
          <w:rFonts w:ascii="Barlow Semi Condensed" w:cs="Barlow Semi Condensed" w:eastAsia="Barlow Semi Condensed" w:hAnsi="Barlow Semi Condensed"/>
          <w:sz w:val="24"/>
          <w:szCs w:val="24"/>
        </w:rPr>
        <w:t xml:space="preserve">PROEMIO DELL'OPERA INTEGRALE</w:t>
      </w:r>
    </w:p>
    <w:p>
      <w:pPr>
        <w:spacing w:after="120" w:line="276"/>
        <w:jc w:val="both"/>
      </w:pPr>
      <w:r>
        <w:rPr>
          <w:rFonts w:ascii="Barlow Semi Condensed" w:cs="Barlow Semi Condensed" w:eastAsia="Barlow Semi Condensed" w:hAnsi="Barlow Semi Condensed"/>
          <w:sz w:val="24"/>
          <w:szCs w:val="24"/>
        </w:rPr>
        <w:t xml:space="preserve">Quest'opera nasce dalla congiunzione, meditata e non additiva, di due volumi che condividono l'oggetto e divergono per metodo, e che proprio per questa divergenza si completano. Il primo, «Una Pace senza Pace», è l'opera-registro: cinquanta capitoli in cinque Fasi, ciascuna affermazione ancorata al proprio grado probatorio, e in coda l'Apparato di Verifica e Triangolazione, il registro delle otto tranche con i cinquecentotrentotto blocchi certificati che ne costituisce la coscienza documentale. Il secondo, «Tutta la verità», è l'opera a doppio regime: una prima parte governata dalla disciplina falsificazionista, e una seconda che, congedato per ordine esplicito il Pollo di Popper, adotta la bilancia dei dieci metodi probabilistici per rispondere alla domanda che la sospensione prudente non sa chiudere, quella sugli architetti, sui mandanti e sugli esecutori. La loro unione in un solo corpo non è una somma: è un'architettura, in cui il registro fonda e la probabilità ordina, il primo volume porta e il secondo conclude.</w:t>
      </w:r>
    </w:p>
    <w:p>
      <w:pPr>
        <w:spacing w:after="120" w:line="276"/>
        <w:jc w:val="both"/>
      </w:pPr>
      <w:r>
        <w:rPr>
          <w:rFonts w:ascii="Barlow Semi Condensed" w:cs="Barlow Semi Condensed" w:eastAsia="Barlow Semi Condensed" w:hAnsi="Barlow Semi Condensed"/>
          <w:sz w:val="24"/>
          <w:szCs w:val="24"/>
        </w:rPr>
        <w:t xml:space="preserve">La co-autorìa di quest'opera è dichiarata senza infingimenti, perché la trasparenza sul mezzo è la prima garanzia offerta al lettore. Essa è il frutto del lavoro congiunto di un autore umano, Luigi De Michele, che ha concepito il progetto, raccolto il corpus, dettato la metodologia e assunto ogni responsabilità delle scelte, e di un'intelligenza artificiale, Claude, che ha letto, estratto, incrociato, verificato e composto, operando come aggregatore di fonti e calcolatore di convergenze sotto il comando e il controllo dell'autore umano. Ciò che l'una parte ha faticosamente acquisito è divenuto patrimonio dell'altra, in un andirivieni di consegne, rettifiche e falsificazioni reciproche che è esso stesso, a ben vedere, un'applicazione del metodo: nessuna affermazione è entrata nell'opera senza essere passata due volte al vaglio, una per ciascun co-autore.</w:t>
      </w:r>
    </w:p>
    <w:p>
      <w:pPr>
        <w:spacing w:after="120" w:line="276"/>
        <w:jc w:val="both"/>
      </w:pPr>
      <w:r>
        <w:rPr>
          <w:rFonts w:ascii="Barlow Semi Condensed" w:cs="Barlow Semi Condensed" w:eastAsia="Barlow Semi Condensed" w:hAnsi="Barlow Semi Condensed"/>
          <w:sz w:val="24"/>
          <w:szCs w:val="24"/>
        </w:rPr>
        <w:t xml:space="preserve">Le acquisizioni condivise che innervano l'intera opera meritano di essere richiamate qui, in soglia, perché il lettore sappia su quale fondamento cammina. Il corpus censito per via computazionale ammonta a oltre sei milioni di parole distribuite in centinaia di documenti: relazioni di commissioni parlamentari d'inchiesta, sentenze, atti giudiziari, fondi archivistici desecretati, corpora documentali dedicati, fra cui la raccolta integrale degli scritti di Aldo Moro dal millenovecentotrentadue al sei marzo millenovecentosettantotto. Da questo corpus il registro ha distillato i suoi blocchi certificati, ciascuno graduato secondo lo standard di triangolazione delle fonti nei tre livelli — documentato, indiziario, ipotetico — segnalati in grassetto lungo tutto il testo. Ogni consegna è stata accompagnata dalla propria impronta crittografica, così che la catena di custodia dei materiali sia essa stessa verificabile.</w:t>
      </w:r>
    </w:p>
    <w:p>
      <w:pPr>
        <w:spacing w:after="120" w:line="276"/>
        <w:jc w:val="both"/>
      </w:pPr>
      <w:r>
        <w:rPr>
          <w:rFonts w:ascii="Barlow Semi Condensed" w:cs="Barlow Semi Condensed" w:eastAsia="Barlow Semi Condensed" w:hAnsi="Barlow Semi Condensed"/>
          <w:sz w:val="24"/>
          <w:szCs w:val="24"/>
        </w:rPr>
        <w:t xml:space="preserve">Dalle otto tranche di verifica sono emersi princìpi che governano l'opera intera e che qui si dichiarano. La Regola Ferrea vieta di inferire il mandato dall'occultamento: nessun depistaggio, per quanto accertato, autorizza a dedurre l'identità di chi avrebbe avuto interesse a depistare. Lo Stato Zero eleva la ricerca negativa a risultato di prima classe: una connessione sistematicamente cercata e non trovata è un dato che informa quanto una connessione trovata, e come tale viene registrata, non colmata a forza. La non unanimità delle principali fonti parlamentari è essa stessa un dato probatorio, che abbassa il grado di ciò che su di esse unicamente poggia. E il verdetto complessivo dell'analisi delle ipotesi concorrenti, maturato attraverso le tranche e mai smentito, indica nella convergenza policentrica — l'incontro non concertato di interessi diversi sopra un medesimo esito — la spiegazione meno contraddetta dalle evidenze, contro la forma forte e falsificata del disegno unico onnisciente.</w:t>
      </w:r>
    </w:p>
    <w:p>
      <w:pPr>
        <w:spacing w:after="120" w:line="276"/>
        <w:jc w:val="both"/>
      </w:pPr>
      <w:r>
        <w:rPr>
          <w:rFonts w:ascii="Barlow Semi Condensed" w:cs="Barlow Semi Condensed" w:eastAsia="Barlow Semi Condensed" w:hAnsi="Barlow Semi Condensed"/>
          <w:sz w:val="24"/>
          <w:szCs w:val="24"/>
        </w:rPr>
        <w:t xml:space="preserve">Il lettore attraverserà dunque, nell'ordine, il volume portante con le sue cinque Fasi; l'Apparato che ne certifica ogni giuntura; una cerniera di raccordo che dichiara il passaggio di regime; e infine, integralmente conservata dal suo titolo alla sua ultima pagina bianca, l'opera conclusiva «Tutta la verità», con le sue pagine liminari, il suo doppio metodo, la sua graduatoria pesata e il suo congedo. Nulla è stato sottratto ai due volumi originari e molto è stato loro aggiunto: il tessuto connettivo che li fa opera sola, e la dichiarazione, che qui si compie, di una collaborazione fra intelligenza umana e intelligenza artificiale condotta alla pari, ciascuna secondo la propria natura, al servizio di una domanda che appartiene alla storia della Repubblica e alla coscienza di chiunque la interroghi con rispetto.</w:t>
      </w:r>
    </w:p>
    <w:p>
      <w:pPr>
        <w:pStyle w:val="Heading3"/>
        <w:spacing w:after="80" w:before="160"/>
      </w:pPr>
      <w:r>
        <w:rPr>
          <w:rFonts w:ascii="Barlow Semi Condensed" w:cs="Barlow Semi Condensed" w:eastAsia="Barlow Semi Condensed" w:hAnsi="Barlow Semi Condensed"/>
          <w:sz w:val="24"/>
          <w:szCs w:val="24"/>
        </w:rPr>
        <w:t xml:space="preserve">Alla mia amata famiglia ed a tutti i Figli dell'Europa</w:t>
      </w:r>
    </w:p>
    <w:p>
      <w:pPr>
        <w:pStyle w:val="Heading3"/>
        <w:spacing w:after="80" w:before="160"/>
      </w:pPr>
      <w:r>
        <w:rPr>
          <w:rFonts w:ascii="Barlow Semi Condensed" w:cs="Barlow Semi Condensed" w:eastAsia="Barlow Semi Condensed" w:hAnsi="Barlow Semi Condensed"/>
          <w:sz w:val="24"/>
          <w:szCs w:val="24"/>
        </w:rPr>
        <w:t xml:space="preserve">Ad Imperitura Memoria di tutti i Martiri Laici</w:t>
      </w:r>
    </w:p>
    <w:p>
      <w:pPr>
        <w:pStyle w:val="Heading3"/>
        <w:spacing w:after="80" w:before="160"/>
      </w:pPr>
      <w:r>
        <w:rPr>
          <w:rFonts w:ascii="Barlow Semi Condensed" w:cs="Barlow Semi Condensed" w:eastAsia="Barlow Semi Condensed" w:hAnsi="Barlow Semi Condensed"/>
          <w:sz w:val="24"/>
          <w:szCs w:val="24"/>
        </w:rPr>
        <w:t xml:space="preserve">«Piovono Angeli»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Pina</w:t>
      </w:r>
    </w:p>
    <w:p>
      <w:pPr>
        <w:pStyle w:val="Heading2"/>
        <w:spacing w:after="100" w:before="200"/>
      </w:pPr>
      <w:r>
        <w:rPr>
          <w:rFonts w:ascii="Barlow Semi Condensed" w:cs="Barlow Semi Condensed" w:eastAsia="Barlow Semi Condensed" w:hAnsi="Barlow Semi Condensed"/>
          <w:sz w:val="24"/>
          <w:szCs w:val="24"/>
        </w:rPr>
        <w:t xml:space="preserve">FASE 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Quadrilatero della Certificazione Massima: Loggia, Finanza, Vaticano, Mafia</w:t>
      </w:r>
    </w:p>
    <w:p>
      <w:pPr>
        <w:pStyle w:val="Heading3"/>
        <w:spacing w:after="80" w:before="160"/>
      </w:pPr>
      <w:r>
        <w:rPr>
          <w:rFonts w:ascii="Barlow Semi Condensed" w:cs="Barlow Semi Condensed" w:eastAsia="Barlow Semi Condensed" w:hAnsi="Barlow Semi Condensed"/>
          <w:sz w:val="24"/>
          <w:szCs w:val="24"/>
        </w:rPr>
        <w:t xml:space="preserve">Avvertenza metodologica e protocollo probatorio della presente opera</w:t>
      </w:r>
    </w:p>
    <w:p>
      <w:pPr>
        <w:spacing w:after="120" w:line="276"/>
        <w:jc w:val="both"/>
      </w:pPr>
      <w:r>
        <w:rPr>
          <w:rFonts w:ascii="Barlow Semi Condensed" w:cs="Barlow Semi Condensed" w:eastAsia="Barlow Semi Condensed" w:hAnsi="Barlow Semi Condensed"/>
          <w:sz w:val="24"/>
          <w:szCs w:val="24"/>
        </w:rPr>
        <w:t xml:space="preserve">La presente opera costituisce il primo dei 5 volumi nei quali si articola il Registro dei Nodi e dei Ponti Certificati di ITALIA NERA, ed è governata integralmente dalla Nota Metodologica che ne definisce l'apparato concettuale, analitico ed operativo. Prima di procedere all'esposizione dei singoli capitoli, è necessario esplicitare con la massima chiarezza il patto epistemologico che lega l'autore al lettore, poiché in un campo di indagine nel quale l'oggetto di studio manipola attivamente le condizioni della propria osservabilità, la trasparenza del metodo non è un ornamento accademico, ma la condizione di possibilità della conoscenza stessa.</w:t>
      </w:r>
    </w:p>
    <w:p>
      <w:pPr>
        <w:spacing w:after="120" w:line="276"/>
        <w:jc w:val="both"/>
      </w:pPr>
      <w:r>
        <w:rPr>
          <w:rFonts w:ascii="Barlow Semi Condensed" w:cs="Barlow Semi Condensed" w:eastAsia="Barlow Semi Condensed" w:hAnsi="Barlow Semi Condensed"/>
          <w:sz w:val="24"/>
          <w:szCs w:val="24"/>
        </w:rPr>
        <w:t xml:space="preserve">Il lettore troverà, nell'architettura complessiva dell'opera, una gerarchia espositiva che muove dall'Italia e dall'Europa come teatro centrale, si allarga a cerchi concentrici verso le potenze esterne al processo di integrazione europea, e si chiude sulla proiezione planetaria delle reti esaminate. Questa gerarchia è recepita come ordo expositionis, vale a dire come scheletro narrativo che ordina la materia, e non come ordo probandi, vale a dire come ordine della prova. La distinzione, costituzionalizzata nel Registro Unico Federato, discende direttamente dal divieto che la Nota Metodologica denomina proibizione del Pollo di Popper: nessun materiale può essere organizzato concentricamente attorno ad una tesi precostituita, perché l'analista che dispone i dati in cerchi concentrici attorno alla propria ipotesi si colloca strutturalmente nella posizione del tacchino di Russell, il quale accumula conferme senza mai esporre la propria credenza alla possibilità della falsificazione. Ne consegue che la macro-ipotesi della convergenza delle potenze imperiali contro l'integrazione europea, denominata H1 nel sistema del registro, rimane in questa opera ciò che è sempre stata nel progetto: un'ipotesi di Livello C, esplicitamente falsificabile, che non viene mai utilizzata come premessa dimostrativa di alcuna affermazione. Il suo falsificatore più forte, mantenuto permanentemente in tavola, è la ricostruzione storiografica di Alan Milward, secondo la quale gli Stati Uniti furono promotori, e non sabotatori, delle prime fasi dell'integrazione europea, e l'integrazione stessa fu un salvataggio dello Stato-nazione più che il suo superamento. A ciò si aggiunge un dato interno al progetto che l'onestà metodologica impone di richiamare in apertura: il test pre-registrato sul raggruppamento temporale delle stragi attorno alle tappe dell'integrazione europea ha restituito un esito nullo, con un valore di probabilità pari a 0,60, ampiamente superiore alla soglia di significatività; la tesi della densità è stata pertanto falsificata e sostituita, quale ipotesi di lavoro sul disegno complessivo, dalla formulazione contenuta nella proposta di commissione parlamentare del giugno 2000, secondo la quale l'obiettivo delle trame non fu la restaurazione fascista, bensì l'installazione di una democrazia autoritaria fondata sull'esclusione permanente delle sinistre dalla legittimazione di governo, mantenuta attraverso un equilibrio precario e continuamente rinnovato. Accanto ad H1 il registro custodisce l'ipotesi concorrente H2, anch'essa di Livello C, secondo la quale non una convergenza di potenze esterne, bensì 2 progetti rivali di integrazione europea autoritaria, l'uno atlantista e controinsurrezionale, l'altro eurasiatista, si sarebbero contesi il continente; le 2 ipotesi vengono mantenute in competizione secondo la procedura dell'Analysis of Competing Hypotheses di Heuer, e nessuna delle 2 è promossa a chiave interpretativa dei fatti esposti nei capitoli.</w:t>
      </w:r>
    </w:p>
    <w:p>
      <w:pPr>
        <w:spacing w:after="120" w:line="276"/>
        <w:jc w:val="both"/>
      </w:pPr>
      <w:r>
        <w:rPr>
          <w:rFonts w:ascii="Barlow Semi Condensed" w:cs="Barlow Semi Condensed" w:eastAsia="Barlow Semi Condensed" w:hAnsi="Barlow Semi Condensed"/>
          <w:sz w:val="24"/>
          <w:szCs w:val="24"/>
        </w:rPr>
        <w:t xml:space="preserve">Ciò che i capitoli espongono è materia di natura diversa: nodi e ponti certificati. Per nodo si intende, secondo la formalizzazione della Nota Metodologica, un'entità della rete, sia essa un individuo, un'organizzazione, un luogo o un evento; per ponte si intende un arco inter-dominio, vale a dire una relazione documentata che collega nodi appartenenti a Domini di Potere diversi, secondo la tassonomia dei 10 Domini e delle 45 coppie possibili. Il criterio di selezione dei 50 nodi e ponti che compongono l'opera è duplice. Il primo criterio è di certificazione: sono stati privilegiati i nodi le cui connessioni inter-dominio raggiungono il Livello A dello standard probatorio, vale a dire la convergenza di almeno 3 fonti indipendenti di natura eterogenea, secondo la triangolazione delle fonti derivata dalla metodologia di Ernesto Savona e consolidata dal metodo Falcone. Il secondo criterio è di centralità: la scansione sistematica dell'intero corpus documentario del progetto, condotta su 220 documenti testuali per un totale di oltre 41 milioni di caratteri, con estrazione e memorizzazione di 326 parole-chiave ricorrenti, ha permesso di misurare la frequenza trasversale di ciascuna entità, vale a dire il numero di documenti indipendenti nei quali essa compare; le entità selezionate per la presente Fase 1 sono quelle che uniscono la massima frequenza trasversale alla massima densità di certificazione giudiziaria, parlamentare e archivistica.</w:t>
      </w:r>
    </w:p>
    <w:p>
      <w:pPr>
        <w:spacing w:after="120" w:line="276"/>
        <w:jc w:val="both"/>
      </w:pPr>
      <w:r>
        <w:rPr>
          <w:rFonts w:ascii="Barlow Semi Condensed" w:cs="Barlow Semi Condensed" w:eastAsia="Barlow Semi Condensed" w:hAnsi="Barlow Semi Condensed"/>
          <w:sz w:val="24"/>
          <w:szCs w:val="24"/>
        </w:rPr>
        <w:t xml:space="preserve">Lo standard probatorio applicato ad ogni affermazione sostanziale è il sistema Savona a 3 livelli, nella versione evoluta denominata Savona 2.1 che il registro ha adottato. Il Livello A, connessione documentata, richiede la convergenza di almeno 3 fonti indipendenti di natura diversa, quali una sentenza passata in giudicato, una testimonianza di collaboratore di giustizia riscontrata, un documento d'archivio. Il Livello B, connessione indiziaria, richiede la convergenza di 2 fonti indipendenti oppure una singola fonte di alta affidabilità, quale una sentenza di primo grado o un rapporto parlamentare circostanziato. Il Livello C, connessione ipotetica, si fonda su una singola fonte o su una convergenza di indizi circostanziali, e viene esplicitamente marcato come ipotesi investigativa. La versione 2.1 dello standard aggiunge 6 componenti che il lettore vedrà operare lungo tutti i capitoli: la codifica della contaminazione delle fonti attraverso l'Indice di Contaminazione della Fonte, in forza del quale le dichiarazioni non riscontrate provenienti da nodi ad alta contaminazione sono fondazionalmente inammissibili; il conteggio dell'indipendenza reale delle fonti con collasso genealogico, in forza del quale un singolo evento di sequestro documentale e tutti i suoi derivati contano come 1 sola catena probatoria e non come conferme multiple; il lessico calibrato dell'incertezza; l'obbligo di indicare, per ogni conclusione, le condizioni della sua falsificazione; il marcatore delimitato di spoliazione, che registra la distruzione documentata di prove senza trasformarla in prova positiva di alcunché; ed il Pattern della contaminazione delle fonti come pattern operativo permanente. A questi si aggiungono 2 regole sovrane. La prima è la Regola Ferrea, che vieta su ogni singola riga il salto inferenziale tra il fatto documentato e l'affermazione non dimostrata: il lettore non troverà mai, in questa opera, la scorciatoia che dal dato certo scivola alla conclusione suggestiva. La seconda è la dignità paritaria del reperto negativo: l'assenza certificata di una connessione attesa, che il registro denomina Stato Zero, è un risultato analitico di primo ordine, di pari dignità rispetto al risultato positivo, e come tale viene esposta senza imbarazzo.</w:t>
      </w:r>
    </w:p>
    <w:p>
      <w:pPr>
        <w:spacing w:after="120" w:line="276"/>
        <w:jc w:val="both"/>
      </w:pPr>
      <w:r>
        <w:rPr>
          <w:rFonts w:ascii="Barlow Semi Condensed" w:cs="Barlow Semi Condensed" w:eastAsia="Barlow Semi Condensed" w:hAnsi="Barlow Semi Condensed"/>
          <w:sz w:val="24"/>
          <w:szCs w:val="24"/>
        </w:rPr>
        <w:t xml:space="preserve">Una parola sulla disciplina delle persone. Per le persone viventi l'opera si attiene rigorosamente ai soli fatti pubblici documentati, con divieto assoluto di inferenza associativa. Per le persone defunte, l'esposizione distingue sempre tra l'accertamento con autorità di giudicato, l'accertamento incidentale contenuto in motivazione di sentenze rese nei confronti di terzi, l'accertamento parlamentare e l'ipotesi investigativa, attribuendo a ciascuno il livello che gli compete. Le assoluzioni definitive sono riportate come tali, per esteso e senza reticenze, anche quando contraddicono ipotesi care alla pubblicistica: la falsificazione di una connessione è, in questo sistema, un dato acquisito e non una sconfitta.</w:t>
      </w:r>
    </w:p>
    <w:p>
      <w:pPr>
        <w:spacing w:after="120" w:line="276"/>
        <w:jc w:val="both"/>
      </w:pPr>
      <w:r>
        <w:rPr>
          <w:rFonts w:ascii="Barlow Semi Condensed" w:cs="Barlow Semi Condensed" w:eastAsia="Barlow Semi Condensed" w:hAnsi="Barlow Semi Condensed"/>
          <w:sz w:val="24"/>
          <w:szCs w:val="24"/>
        </w:rPr>
        <w:t xml:space="preserve">Il piano complessivo dell'opera si articola in 5 Fasi di 10 capitoli ciascuna, per un totale di 50 capitoli dedicati ad altrettanti nodi e ponti certificati. La presente Fase 1, capitoli da 1 a 10, espone il quadrilatero della certificazione massima, vale a dire il cluster che la scansione del corpus indica come il più denso dell'intera rete: la Loggia Propaganda 2 ed il suo Maestro Venerabile, il circuito finanziario Sindona-Calvi-Ambrosiano, lo snodo vaticano dell'Istituto per le Opere di Religione, ed il versante mafioso e para-criminale che vi si innesta attraverso Giuseppe Calò, la Banda della Magliana, Vito Ciancimino ed il ponte politico siciliano di Salvo Lima. La Fase 2, capitoli da 11 a 20, esporrà l'apparato dell'intelligence e le strutture parallele, dall'Ufficio Affari Riservati alla rete Gladio, dal Piano Solo al circuito internazionale del Cercle. La Fase 3, capitoli da 21 a 30, esporrà la manovalanza dello stragismo e le sue centrali, da Piazza Fontana a Bologna, da Ordine Nuovo ad Aginter Press, con la tipologia quadripartita dell'ostruzione probatoria che il registro ha documentato. La Fase 4, capitoli da 31 a 40, esporrà il caso Moro come crocevia dell'intero sistema, secondo la scomposizione a 3 piani che il registro ha adottato, con l'esplicito divieto inferenziale dal piano delle condotte di apparato al piano del mandato, e con l'esposizione del reperto negativo sulla scuola Hyperion. La Fase 5, capitoli da 41 a 50, esporrà la proiezione internazionale della rete, da Trieste quale nodo geografico a massima stratificazione documentaria al Sudafrica dell'apartheid quale nodo a massima intermediazione tra i dossier, fino alla sintesi reticolare conclusiva. Ogni capitolo si chiude con la formula rituale del registro, Sintesi del dato nuovo acquisito, che condensa in poche righe ciò che il capitolo ha stabilito e a quale livello probatorio.</w:t>
      </w:r>
    </w:p>
    <w:p>
      <w:pPr>
        <w:spacing w:after="120" w:line="276"/>
        <w:jc w:val="both"/>
      </w:pPr>
      <w:r>
        <w:rPr>
          <w:rFonts w:ascii="Barlow Semi Condensed" w:cs="Barlow Semi Condensed" w:eastAsia="Barlow Semi Condensed" w:hAnsi="Barlow Semi Condensed"/>
          <w:sz w:val="24"/>
          <w:szCs w:val="24"/>
        </w:rPr>
        <w:t xml:space="preserve">Un'ultima avvertenza riguarda la lingua ed i numeri. L'opera è redatta in italiano di registro accademico, in prosa continua, senza elenchi, senza tabelle e senza sotto-titolazioni interne ai blocchi analitici, secondo le regole invarianti del progetto. I numeri sono resi in cifre arabe per esplicita disposizione della committenza, in deroga alla consuetudine del registro. Le classificazioni probatorie sono evidenziate in grassetto in linea, affinché il lettore possa misurare, riga per riga, la distanza tra ciò che è provato, ciò che è probabile e ciò che è soltanto ipotizzato. È questa distanza, e non la sua cancellazione, che costituisce il contributo di conoscenza della presente opera.</w:t>
      </w:r>
    </w:p>
    <w:p>
      <w:pPr>
        <w:pStyle w:val="Heading3"/>
        <w:spacing w:after="80" w:before="160"/>
      </w:pPr>
      <w:r>
        <w:rPr>
          <w:rFonts w:ascii="Barlow Semi Condensed" w:cs="Barlow Semi Condensed" w:eastAsia="Barlow Semi Condensed" w:hAnsi="Barlow Semi Condensed"/>
          <w:sz w:val="24"/>
          <w:szCs w:val="24"/>
        </w:rPr>
        <w:t xml:space="preserve">Capitolo 1 — ▶ Licio Gelli. Il nodo a massima centralità multi-dominio della rete repubblicana</w:t>
      </w:r>
    </w:p>
    <w:p>
      <w:pPr>
        <w:spacing w:after="120" w:line="276"/>
        <w:jc w:val="both"/>
      </w:pPr>
      <w:r>
        <w:rPr>
          <w:rFonts w:ascii="Barlow Semi Condensed" w:cs="Barlow Semi Condensed" w:eastAsia="Barlow Semi Condensed" w:hAnsi="Barlow Semi Condensed"/>
          <w:sz w:val="24"/>
          <w:szCs w:val="24"/>
        </w:rPr>
        <w:t xml:space="preserve">Se si dovesse indicare, nell'intera rete di ITALIA NERA, il singolo nodo che congiunge il maggior numero di Domini di Potere con il maggior grado di certificazione documentale, la scelta cadrebbe su Licio Gelli, nato a Pistoia il 21 aprile 1919 e morto ad Arezzo il 15 dicembre 2015. La sua posizione non è affermata per suggestione pubblicistica, ma risulta dalla misurazione: nella scansione sistematica del corpus il suo nome ricorre 1825 volte in 59 documenti indipendenti, una frequenza trasversale che nessun altro individuo della rete eguaglia nel medesimo intreccio di domini. Gelli è simultaneamente presente nel Dominio 4 della massoneria e delle società segrete, quale Maestro Venerabile della Loggia Propaganda 2; nel Dominio 3 dell'intelligence, quale interlocutore documentato dei vertici dei servizi italiani ed esteri; nel Dominio 2 della politica, quale terminale di rapporti con parlamentari, ministri e capi di governo stranieri; nel Dominio 6 dell'economia e della finanza, quale co-protagonista del dissesto del Banco Ambrosiano; e nel Dominio 7 del terrorismo, quale condannato in via definitiva per il depistaggio delle indagini sulla strage di Bologna e quale figura indicata, in accertamenti giudiziali postumi, tra i finanziatori della strage medesima. Nel linguaggio della network analysis adottato dalla Nota Metodologica, Gelli possiede al tempo stesso la più alta degree centrality, perché il numero delle sue connessioni dirette documentate è massimo, e una betweenness centrality elevatissima, perché una quota sproporzionata dei percorsi che collegano domini altrimenti distanti passa attraverso di lui.</w:t>
      </w:r>
    </w:p>
    <w:p>
      <w:pPr>
        <w:spacing w:after="120" w:line="276"/>
        <w:jc w:val="both"/>
      </w:pPr>
      <w:r>
        <w:rPr>
          <w:rFonts w:ascii="Barlow Semi Condensed" w:cs="Barlow Semi Condensed" w:eastAsia="Barlow Semi Condensed" w:hAnsi="Barlow Semi Condensed"/>
          <w:sz w:val="24"/>
          <w:szCs w:val="24"/>
        </w:rPr>
        <w:t xml:space="preserve">Il fondamento probatorio primario della sua posizione è l'evento documentale del 17 marzo 1981, allorché la Guardia di Finanza, su delega dei giudici istruttori milanesi Gherardo Colombo e Giuliano Turone che indagavano sul finto sequestro di Michele Sindona, perquisì la villa Wanda di Arezzo e gli uffici della Giole a Castiglion Fibocchi, sequestrando gli elenchi degli affiliati alla Loggia Propaganda 2: 962 nominativi, oltre a fascicoli, appunti e documenti programmatici. Occorre applicare qui, con rigore, il criterio dell'indipendenza genealogica delle fonti: il sequestro di Castiglion Fibocchi è 1 solo evento probatorio, e tutte le pubblicazioni, le relazioni e le sentenze che ne riproducono il contenuto costituiscono 1 sola catena documentale, non conferme multiple. Ciò che eleva la conoscenza al Livello A non è la ripetizione degli elenchi, ma la loro triangolazione con 2 ordini di fonti genealogicamente autonome: da un lato l'attività della Commissione parlamentare d'inchiesta sulla Loggia massonica P2, istituita con legge 23 settembre 1981 numero 527 e presieduta da Tina Anselmi, la quale sottopose gli elenchi a riscontri individuali, acquisì migliaia di documenti ulteriori e audizioni dirette, e depositò nel luglio 1984 la propria relazione conclusiva, presente nel corpus del progetto; dall'altro le sentenze rese nei molteplici procedimenti penali che hanno riguardato Gelli e la loggia, le quali hanno vagliato in contraddittorio l'autenticità del materiale sequestrato. La relazione Anselmi qualificò la P2 quale organizzazione che aveva perseguito un programma di condizionamento occulto delle istituzioni, e la legge 25 gennaio 1982 numero 17, attuativa dell'articolo 18 della Costituzione, ne dispose lo scioglimento quale associazione segreta: si tratta dell'unico caso, nella storia repubblicana, in cui il Parlamento ha sciolto per legge una specifica associazione. La combinazione di sequestro giudiziario, inchiesta parlamentare con relazione conclusiva e provvedimento legislativo di scioglimento colloca l'esistenza, la composizione di massima e la natura della loggia al Livello A dello standard.</w:t>
      </w:r>
    </w:p>
    <w:p>
      <w:pPr>
        <w:spacing w:after="120" w:line="276"/>
        <w:jc w:val="both"/>
      </w:pPr>
      <w:r>
        <w:rPr>
          <w:rFonts w:ascii="Barlow Semi Condensed" w:cs="Barlow Semi Condensed" w:eastAsia="Barlow Semi Condensed" w:hAnsi="Barlow Semi Condensed"/>
          <w:sz w:val="24"/>
          <w:szCs w:val="24"/>
        </w:rPr>
        <w:t xml:space="preserve">Sul versante penale, la posizione di Gelli esige la precisione che la Regola Ferrea impone. Per la strage alla stazione di Bologna del 2 agosto 1980, che uccise 85 persone e ne ferì oltre 200, Gelli fu imputato e assolto in via definitiva dall'accusa di concorso nella strage; fu invece condannato in via definitiva, con sentenza divenuta irrevocabile nel 1995, per la calunnia aggravata finalizzata al depistaggio delle indagini, in relazione all'operazione con la quale, nel gennaio 1981, una valigetta contenente armi ed esplosivo dello stesso tipo impiegato nella strage, oltre a effetti riconducibili a estremisti stranieri, fu collocata sul treno Taranto-Milano per deviare le indagini verso una pista internazionale. Con lui furono condannati in via definitiva per il medesimo depistaggio il generale Pietro Musumeci, già capo dell'ufficio controllo e sicurezza del SISMI, il colonnello Giuseppe Belmonte, del medesimo servizio, e Francesco Pazienza, collaboratore esterno del servizio: tutti e 3, come Gelli, iscritti o gravitanti nell'area della P2. Questa condanna definitiva costituisce, nel sistema del registro, uno dei ponti inter-dominio più solidi dell'intero corpus, perché salda al Livello A il Dominio 4, il Dominio 3 ed il Dominio 7 in un'unica condotta accertata con autorità di giudicato: un vertice massonico e 2 alti ufficiali del servizio segreto militare che operano congiuntamente per inquinare le indagini sulla più grave strage della storia repubblicana. Distinto e ulteriore è l'accertamento contenuto nel filone giudiziario sui mandanti della strage, culminato nella condanna all'ergastolo di Paolo Bellini, divenuta definitiva, e già in precedenza nella condanna definitiva di Gilberto Cavallini per concorso: nelle motivazioni di tali sentenze il ruolo di Gelli e di Umberto Ortolani quale terminale di finanziamento dell'operazione, ricostruito a partire dal documento contabile denominato Bologna rinvenuto tra le carte gelliane, è affermato in via incidentale, essendo entrambi deceduti e dunque non più processabili. Il registro attribuisce a questo accertamento postumo il Livello B, quale risultanza di alta affidabilità contenuta in sentenze rese nei confronti di terzi, non coperta da giudicato nei confronti di Gelli, e ne indica la condizione di falsificazione: la dimostrazione documentale di una diversa causale del flusso finanziario registrato nell'appunto.</w:t>
      </w:r>
    </w:p>
    <w:p>
      <w:pPr>
        <w:spacing w:after="120" w:line="276"/>
        <w:jc w:val="both"/>
      </w:pPr>
      <w:r>
        <w:rPr>
          <w:rFonts w:ascii="Barlow Semi Condensed" w:cs="Barlow Semi Condensed" w:eastAsia="Barlow Semi Condensed" w:hAnsi="Barlow Semi Condensed"/>
          <w:sz w:val="24"/>
          <w:szCs w:val="24"/>
        </w:rPr>
        <w:t xml:space="preserve">Sul versante finanziario, Gelli fu condannato in via definitiva per la bancarotta fraudolenta del Banco Ambrosiano, a conclusione del processo milanese sul più grande crack bancario privato della storia italiana, del quale si dirà nei capitoli 5 e 6; la condanna, unita alle risultanze della Commissione Anselmi sul cosiddetto conto Protezione e sui flussi tra Ambrosiano, consociate estere e beneficiari politici, certifica al Livello A il ponte tra il Dominio 4 ed il Dominio 6. Sul versante politico-programmatico, tra le carte sequestrate alla figlia Maria Grazia Gelli all'aeroporto di Fiumicino il 4 luglio 1982 fu rinvenuto, occultato nel doppiofondo di una valigia, il Piano di Rinascita Democratica, documento programmatico che delineava il controllo dei partiti, della stampa e della magistratura attraverso disponibilità finanziarie e cooptazioni mirate; la Commissione Anselmi lo esaminò e lo pubblicò tra i propri atti. Il registro tratta il Piano quale documento autentico nella sua materialità, sequestrato e acquisito agli atti parlamentari, e dunque di Livello A quanto all'esistenza ed al contenuto testuale; quanto invece al grado di attuazione del programma, la Regola Ferrea vieta di inferire dall'esistenza del progetto la sua esecuzione, e ogni singola convergenza tra il testo e gli sviluppi istituzionali successivi va dimostrata autonomamente, caso per caso, o marcata come ipotesi di Livello C.</w:t>
      </w:r>
    </w:p>
    <w:p>
      <w:pPr>
        <w:spacing w:after="120" w:line="276"/>
        <w:jc w:val="both"/>
      </w:pPr>
      <w:r>
        <w:rPr>
          <w:rFonts w:ascii="Barlow Semi Condensed" w:cs="Barlow Semi Condensed" w:eastAsia="Barlow Semi Condensed" w:hAnsi="Barlow Semi Condensed"/>
          <w:sz w:val="24"/>
          <w:szCs w:val="24"/>
        </w:rPr>
        <w:t xml:space="preserve">Le triangolazioni che si dipartono dal nodo Gelli e che i capitoli successivi svilupperanno sono almeno 4. La prima è la triangolazione Gelli-Ortolani-Vaticano, fondata sulla comune regia della loggia e sulla posizione di Ortolani quale gentiluomo pontificio e banchiere, che apre il ponte verso il Dominio 5. La seconda è la triangolazione Gelli-Sindona-Calvi, il triangolo finanziario della loggia, nel quale i 2 banchieri piduisti costituiscono i terminali operativi del medesimo circuito e ne condividono la traiettoria catastrofica. La terza è la triangolazione Gelli-vertici dei servizi, certificata al Livello A dalla presenza negli elenchi sequestrati dei direttori pro tempore di tutti e 3 gli organismi informativi dell'epoca, il generale Giuseppe Santovito per il SISMI, il generale Giulio Grassini per il SISDE ed il prefetto Walter Pelosi per il CESIS, oltre al generale Vito Miceli, già direttore del SID; il corpus registra inoltre al Livello A, attraverso la corrispondenza formale acquisita agli allegati della relazione parlamentare, il canale istituzionale tra la presidenza della Commissione, la Presidenza del Consiglio ed il CESIS in ordine alla posizione di Gelli. La quarta è la triangolazione Gelli-America Latina, fondata sui rapporti documentati con ambienti argentini ed uruguaiani, che la Fase 5 svilupperà. Ciascuna di queste triangolazioni è un fascio di archi tipizzati: archi di affiliazione, archi di collusione, archi di transito finanziario, secondo la tassonomia della Parte III della Nota Metodologica.</w:t>
      </w:r>
    </w:p>
    <w:p>
      <w:pPr>
        <w:spacing w:after="120" w:line="276"/>
        <w:jc w:val="both"/>
      </w:pPr>
      <w:r>
        <w:rPr>
          <w:rFonts w:ascii="Barlow Semi Condensed" w:cs="Barlow Semi Condensed" w:eastAsia="Barlow Semi Condensed" w:hAnsi="Barlow Semi Condensed"/>
          <w:sz w:val="24"/>
          <w:szCs w:val="24"/>
        </w:rPr>
        <w:t xml:space="preserve">Resta da dire ciò che il nodo Gelli non è, perché la disciplina del reperto negativo lo esige. Gelli non è stato condannato quale mandante o esecutore di alcuna strage: le assoluzioni definitive dall'accusa di concorso nella strage di Bologna sono un dato acquisito del registro, e la successiva emersione del suo ruolo finanziario in sede di accertamento postumo non le sovrascrive, ma si colloca su un piano probatorio distinto, che il registro mantiene separato. Né la documentazione consente di attribuire a Gelli la qualità di dominus unico di un disegno unitario: la teoria del contenitore, che il progetto ha adottato, insegna che le istituzioni e le stesse strutture occulte sono contenitori occupabili, e che la cattura ricorsiva, per cui i contenitori che catturano possono a loro volta essere catturati, è un fenomeno strutturale; la questione, dibattuta già dalla Commissione Anselmi, se Gelli fosse il vertice reale della piramide o l'intermediario visibile di livelli ulteriori, resta nel registro un'ipotesi aperta di Livello C, con l'indicazione delle evidenze che la deciderebbero: documentazione autonoma e genealogicamente indipendente di direttive impartite a Gelli da soggetti terzi identificati.</w:t>
      </w:r>
    </w:p>
    <w:p>
      <w:pPr>
        <w:spacing w:after="120" w:line="276"/>
        <w:jc w:val="both"/>
      </w:pPr>
      <w:r>
        <w:rPr>
          <w:rFonts w:ascii="Barlow Semi Condensed" w:cs="Barlow Semi Condensed" w:eastAsia="Barlow Semi Condensed" w:hAnsi="Barlow Semi Condensed"/>
          <w:sz w:val="24"/>
          <w:szCs w:val="24"/>
        </w:rPr>
        <w:t xml:space="preserve">Alla certificazione della posizione reticolare giova ora aggiungere la profondità biografica, perché il nodo Gelli non nasce con la loggia ma vi approda al termine di un itinerario che il registro restituisce nei suoi punti documentalmente fermi. Nato a Pistoia il 21 aprile 1919, Gelli partecipò diciassettenne, volontario, alla guerra civile spagnola nelle formazioni inviate dal regime fascista, esperienza nella quale perse il fratello; nel secondo conflitto mondiale operò nella Repubblica Sociale e, secondo le informative raccolte e vagliate dalla Commissione Anselmi, intrattenne simultaneamente rapporti con ambienti della Resistenza e con i comandi occupanti, secondo quella tecnica del doppio canale che costituirà la cifra permanente della sua biografia relazionale, Livello B sulla base della convergenza delle informative d'epoca richiamate negli atti parlamentari. Il dopoguerra lo consegna alla provincia laziale quale dirigente d'azienda del materassificio di Frosinone, posizione modesta dalla quale, tra la fine degli anni 50 ed i primi 60, muove la scalata relazionale che lo porta all'iniziazione massonica nel 1963 ed alla segreteria organizzativa della loggia Propaganda nel decennio successivo, Livello A quanto alle scansioni massoniche, documentate dagli atti del Grande Oriente acquisiti dalla Commissione. Appartiene al medesimo strato biografico il canale argentino: i rapporti di Gelli con l'entourage di Juan Domingo Perón, culminati in un ruolo di facilitazione nel rientro del generale a Buenos Aires nel 1972 e nel conferimento di incarichi onorifici e consolari, sono documentati dalla relazione parlamentare e dalla corrispondenza sequestrata, Livello A quanto alla loro esistenza, fermo il divieto, che la Regola Ferrea impone, di trarne alcuna inferenza operativa ulteriore.</w:t>
      </w:r>
    </w:p>
    <w:p>
      <w:pPr>
        <w:spacing w:after="120" w:line="276"/>
        <w:jc w:val="both"/>
      </w:pPr>
      <w:r>
        <w:rPr>
          <w:rFonts w:ascii="Barlow Semi Condensed" w:cs="Barlow Semi Condensed" w:eastAsia="Barlow Semi Condensed" w:hAnsi="Barlow Semi Condensed"/>
          <w:sz w:val="24"/>
          <w:szCs w:val="24"/>
        </w:rPr>
        <w:t xml:space="preserve">Un secondo pilastro documentale, che il presente capitolo deve al lettore per completezza d'inventario, è il cosiddetto Piano di Rinascita Democratica. Il 4 luglio 1982, nel doppiofondo di una valigia in transito all'aeroporto di Fiumicino nella disponibilità della figlia di Gelli, la Guardia di Finanza rinvenne un fascicolo di documenti programmatici, tra i quali il piano medesimo ed il memorandum sulla situazione italiana, che la Commissione Anselmi acquisì e pubblicò negli allegati alla propria relazione, Livello A quanto al rinvenimento ed al contenuto testuale. Il documento delinea, in prosa asciutta da consiglio d'amministrazione, un programma di ricomposizione del sistema attraverso la selezione ed il finanziamento di uomini nei partiti, il controllo degli organi di informazione, la riforma degli assetti giudiziari e sindacali: un progetto, va detto con la voce piana dell'inventario, di cui il sequestro certifica l'esistenza quale testo e non l'attuazione quale condotta, giacché tra il programma scritto e la sua esecuzione corre esattamente quel salto inferenziale che il registro si vieta, Livello A il documento, non certificata la sua traduzione operativa. E tuttavia il testo resta, nella morfologia del nodo, un reperto di prima grandezza: rare volte una rete occulta consegna agli inquirenti la propria autodescrizione programmatica, ed il paradigma indiziario insegna che l'autodescrizione, quand'anche velleitaria, rivela la grammatica delle intenzioni assai più di mille testimonianze postume.</w:t>
      </w:r>
    </w:p>
    <w:p>
      <w:pPr>
        <w:spacing w:after="120" w:line="276"/>
        <w:jc w:val="both"/>
      </w:pPr>
      <w:r>
        <w:rPr>
          <w:rFonts w:ascii="Barlow Semi Condensed" w:cs="Barlow Semi Condensed" w:eastAsia="Barlow Semi Condensed" w:hAnsi="Barlow Semi Condensed"/>
          <w:sz w:val="24"/>
          <w:szCs w:val="24"/>
        </w:rPr>
        <w:t xml:space="preserve">La parabola terminale del nodo si lascia infine ordinare in 3 tempi, ciascuno assistito dal proprio grado. Il tempo delle condanne: la pena definitiva per la bancarotta fraudolenta dell'Ambrosiano, divenuta irrevocabile nell'aprile 1998, e quella, parimenti irrevocabile dal 23 novembre 1995, per il depistaggio delle indagini sulla strage di Bologna, delimitano il perimetro esatto della responsabilità penale accertata, Livello A. Il tempo della fuga senile: nella primavera del 1998, a condanna ormai definitiva, Gelli si sottrasse alla detenzione domiciliare e fu rintracciato ed arrestato a Cannes nel settembre dello stesso anno, mentre nelle pertinenze di villa Wanda ad Arezzo venivano rinvenuti, occultati in fioriere, lingotti d'oro per oltre 100 chilogrammi, la cui provenienza rimase oggetto di procedimenti senza approdare ad una ricostruzione unitaria definitiva, Livello A quanto al rinvenimento, Livello C quanto alla genealogia del metallo. Il tempo dell'estinzione: la detenzione domiciliare per ragioni d'età, il lungo epilogo aretino e la morte, il 15 dicembre 2015, che chiude anagraficamente un nodo la cui centralità reticolare era già stata smontata, arco dopo arco, dalle inchieste del quindicennio precedente. Chi volesse leggere in questa parabola la conferma della sentenza falconiana sul carattere umano, e perciò mortale, di ogni potere organizzato, troverebbe nel fascicolo Gelli il suo documento più eloquente: l'archivio, che era stato la sua arma, divenne la sua condanna, ed il collezionista di segreti fu infine collezionato dal più implacabile degli archivisti, il tempo.</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sz w:val="24"/>
          <w:szCs w:val="24"/>
        </w:rPr>
        <w:t xml:space="preserve">Merita infine un posto nell'inventario un reperto di natura semiotica prima che documentale: l'intervista che Gelli concesse al Corriere della Sera il 5 ottobre 1980, raccolta da Maurizio Costanzo, giornalista che gli elenchi di Castiglion Fibocchi avrebbero rivelato, 6 mesi più tardi, iscritto alla medesima loggia, Livello A quanto alla pubblicazione ed all'iscrizione dell'intervistatore. Nel colloquio, il Venerabile ancora ignoto al grande pubblico si concedeva massime sul potere, sul valore degli archivi e sulla preferibilità di governare dietro le quinte anziché sul proscenio: sicché il registro si trova dinanzi al caso, raro sino al paradosso, di una rete coperta che si autorappresenta sul primo giornale del Paese, per il tramite di un proprio affiliato, mentre il giornale medesimo appartiene al perimetro finanziario della rete. La circostanza, che parrebbe congegnata da un romanziere con scarso senso della misura, è invece cronaca documentata, e vale al metodo quale ammonimento permanente: la copertura perfetta non è il silenzio, è la parola amministrata, e le reti mature non temono la stampa, la posseggono. Il Pattern 4 vi riconosce un arco di transito compiuto tra il Dominio 4 ed il Dominio 8, percorso non dal denaro ma dal suo equivalente simbolico, la rappresentazione di sé.</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Gelli è certificato al Livello A quale punto di massima intermediazione tra i Domini 4, 3, 2 e 6, sulla base della catena sequestro di Castiglion Fibocchi, inchiesta parlamentare Anselmi e legge di scioglimento; il ponte verso il Dominio 7 è certificato al Livello A limitatamente al depistaggio di Bologna, coperto da giudicato, ed al Livello B quanto al finanziamento della strage, fondato su accertamento giudiziale postumo; la questione del livello superiore alla posizione di Gelli resta ipotesi di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2 — ◆ La Loggia Propaganda 2. L'organizzazione-ponte e l'anatomia di una struttura trasversale</w:t>
      </w:r>
    </w:p>
    <w:p>
      <w:pPr>
        <w:spacing w:after="120" w:line="276"/>
        <w:jc w:val="both"/>
      </w:pPr>
      <w:r>
        <w:rPr>
          <w:rFonts w:ascii="Barlow Semi Condensed" w:cs="Barlow Semi Condensed" w:eastAsia="Barlow Semi Condensed" w:hAnsi="Barlow Semi Condensed"/>
          <w:sz w:val="24"/>
          <w:szCs w:val="24"/>
        </w:rPr>
        <w:t xml:space="preserve">Se Gelli è il nodo individuale a massima centralità, la Loggia Propaganda 2 è il nodo organizzativo che ne costituisce l'infrastruttura, e merita un capitolo autonomo perché la sua morfologia è, essa stessa, un reperto analitico. Nella teoria delle reti multilivello adottata dalla Nota Metodologica, la P2 si presenta come un oggetto raro: non un attore interno ad 1 solo dominio, ma un connettore progettato per attraversarli tutti, un fascio ordinato di archi inter-layer mascherato da associazione di 1 solo layer, quello massonico. La scansione del corpus ne misura la pervasività documentale: la sigla ricorre 3239 volte in 67 documenti, seconda per frequenza assoluta soltanto a poche macro-entità istituzionali.</w:t>
      </w:r>
    </w:p>
    <w:p>
      <w:pPr>
        <w:spacing w:after="120" w:line="276"/>
        <w:jc w:val="both"/>
      </w:pPr>
      <w:r>
        <w:rPr>
          <w:rFonts w:ascii="Barlow Semi Condensed" w:cs="Barlow Semi Condensed" w:eastAsia="Barlow Semi Condensed" w:hAnsi="Barlow Semi Condensed"/>
          <w:sz w:val="24"/>
          <w:szCs w:val="24"/>
        </w:rPr>
        <w:t xml:space="preserve">La genealogia della loggia va restituita con precisione storica. La Loggia Propaganda nasce nell'Ottocento in seno al Grande Oriente d'Italia quale loggia di vertice riservata a personalità che non potevano frequentare le officine ordinarie; rifondata dopo la Seconda Guerra Mondiale con il numero 2, essa conserva formalmente lo statuto di loggia coperta, i cui iscritti sono noti al solo Gran Maestro, fino a quando, tra la fine degli anni 60 ed i primi anni 70, la gestione di fatto passa a Gelli, che ne fa uno strumento di reclutamento sistematico entro i vertici dello Stato e dell'economia. La sospensione e la successiva espulsione di Gelli dalla comunione del Grande Oriente, nonché i provvedimenti con cui l'obbedienza tentò di demolire e poi ricostituire la loggia, sono documentati negli atti della Commissione Anselmi e nella pubblicistica specialistica acquisita al corpus, tra cui il censimento sistematico delle fonti sulla P2 che il progetto ha integrato: la questione dei rapporti tra la loggia coperta ed il vertice dell'obbedienza, in particolare la posizione della Gran Maestranza dell'epoca, fu oggetto di valutazioni divergenti nella stessa Commissione, e viene mantenuta nel registro al Livello B, quale connessione indiziaria fondata su atti parlamentari circostanziati ma non su accertamento giudiziale univoco.</w:t>
      </w:r>
    </w:p>
    <w:p>
      <w:pPr>
        <w:spacing w:after="120" w:line="276"/>
        <w:jc w:val="both"/>
      </w:pPr>
      <w:r>
        <w:rPr>
          <w:rFonts w:ascii="Barlow Semi Condensed" w:cs="Barlow Semi Condensed" w:eastAsia="Barlow Semi Condensed" w:hAnsi="Barlow Semi Condensed"/>
          <w:sz w:val="24"/>
          <w:szCs w:val="24"/>
        </w:rPr>
        <w:t xml:space="preserve">L'anatomia quantitativa della loggia, quale risulta dagli elenchi sequestrati e dai riscontri della Commissione, è la seguente, e va letta con la cautela genealogica già enunciata: 962 nominativi, tra i quali 44 parlamentari in carica, 3 ministri del governo in carica al momento del sequestro, i vertici pro tempore dei 3 organismi informativi, numerosi ufficiali generali e superiori delle forze armate e dei corpi di polizia, magistrati, prefetti, alti dirigenti ministeriali, banchieri, imprenditori, editori e giornalisti, tra i quali il direttore del principale quotidiano nazionale. La Commissione Anselmi, consapevole che l'elenco sequestrato poteva essere incompleto per difetto ed inquinato per eccesso, adottò criteri di riscontro individuali, distinguendo le posizioni provate da quelle dubbie; il registro recepisce questa disciplina e tratta l'iscrizione di ciascun singolo nominativo come affermazione autonoma, da certificare caso per caso, di regola al Livello A quando concorrono elenco, riscontro della Commissione e ammissione o accertamento giudiziale, ed al Livello B quando il riscontro parlamentare non è accompagnato da fonte genealogicamente autonoma. È questa la ragione per cui l'opera evita la formula giornalistica della lista come blocco unico: la loggia è un insieme di 962 affermazioni probatorie distinte, non 1 sola affermazione ripetuta 962 volte.</w:t>
      </w:r>
    </w:p>
    <w:p>
      <w:pPr>
        <w:spacing w:after="120" w:line="276"/>
        <w:jc w:val="both"/>
      </w:pPr>
      <w:r>
        <w:rPr>
          <w:rFonts w:ascii="Barlow Semi Condensed" w:cs="Barlow Semi Condensed" w:eastAsia="Barlow Semi Condensed" w:hAnsi="Barlow Semi Condensed"/>
          <w:sz w:val="24"/>
          <w:szCs w:val="24"/>
        </w:rPr>
        <w:t xml:space="preserve">La funzione della loggia nella rete è descritta con esattezza dalla tipologia degli archi della Parte III della Nota Metodologica. La P2 genera anzitutto archi di affiliazione, che collegano tra loro, entro il perimetro coperto, individui che nei rispettivi domini occupano posizioni apicali e che nulla, formalmente, avrebbe dovuto connettere: il capo di un servizio segreto ed un editore, un generale ed un banchiere, un magistrato ed un armatore. In secondo luogo genera archi di collusione, documentati nei procedimenti penali sulle singole vicende, nei quali l'appartenenza comune fa da matrice a scambi specifici: protezioni, promozioni, informazioni, finanziamenti. In terzo luogo genera archi di infiltrazione, secondo la definizione della Nota: l'iscritto che entra o permane in un'istituzione mantenendo una lealtà esterna ad essa, sicché il nodo sembra appartenere al dominio istituzionale ma opera, almeno in parte, nel codice della loggia. La relazione Anselmi colse questo tratto quando descrisse il sistema gelliano come un condizionamento che non abbatte le istituzioni ma le svuota, occupandone i gangli: è la formulazione storica di ciò che il progetto denomina teoria del contenitore. In quarto luogo, la loggia funge da piattaforma per archi di transito: il corpus documenta, al livello che il processo Ambrosiano ha consolidato, il passaggio di flussi finanziari attraverso conti riconducibili alla loggia ed ai suoi vertici, tra i quali il conto denominato Protezione presso l'Union de Banques Suisses di Lugano, sul quale transitarono fondi provenienti dal circuito Ambrosiano; la destinazione politica di una parte di tali flussi è stata oggetto di accertamenti giudiziari e parlamentari che il registro classifica al Livello A quanto all'esistenza del transito ed al Livello B quanto alle singole destinazioni contestate, ciascuna delle quali va trattata come affermazione autonoma.</w:t>
      </w:r>
    </w:p>
    <w:p>
      <w:pPr>
        <w:spacing w:after="120" w:line="276"/>
        <w:jc w:val="both"/>
      </w:pPr>
      <w:r>
        <w:rPr>
          <w:rFonts w:ascii="Barlow Semi Condensed" w:cs="Barlow Semi Condensed" w:eastAsia="Barlow Semi Condensed" w:hAnsi="Barlow Semi Condensed"/>
          <w:sz w:val="24"/>
          <w:szCs w:val="24"/>
        </w:rPr>
        <w:t xml:space="preserve">Il Pattern 11 della Nota Metodologica, l'analisi dell'isomorfismo strutturale, trova nella P2 il suo caso paradigmatico. La topologia della loggia, un nucleo centrale ristretto che irradia verso i vertici di molteplici domini mantenendo la segretezza dei collegamenti orizzontali tra gli affiliati, presenta una somiglianza formale con la topologia della rete stay-behind Gladio, della quale la Fase 2 tratterà: anche lì un centro ristretto, compartimentazione, proiezione trasversale su militari, intelligence e società civile selezionata. La Nota Metodologica prescrive di discriminare tra le 3 spiegazioni possibili dell'isomorfismo: origine comune, necessità funzionale, convergenza indipendente. Il registro, allo stato delle fonti, esclude che sia dimostrata un'origine comune delle 2 strutture, non essendovi documento genealogicamente autonomo che attesti un progettista unico; rileva che la spiegazione per necessità funzionale, secondo la quale la forma a stella coperta è semplicemente la più efficiente per collegare trasversalmente i domini eludendo il controllo democratico, rende conto dei dati senza ipotesi aggiuntive; e mantiene la terza spiegazione sullo sfondo. La conclusione, di metodo prima che di merito, è che l'isomorfismo P2-Gladio è certificato al Livello A quale somiglianza formale misurabile, mentre ogni inferenza da tale somiglianza ad una regia unitaria resta al Livello C, con condizione di falsificazione esplicita: l'eventuale documento di pianificazione congiunta, mai emerso, che collegasse le 2 strutture in origine. Il corpus registra peraltro, quale intersezione empirica e non strutturale, la presenza di singoli individui in entrambi i perimetri, da vagliare nominativamente nella Fase 2.</w:t>
      </w:r>
    </w:p>
    <w:p>
      <w:pPr>
        <w:spacing w:after="120" w:line="276"/>
        <w:jc w:val="both"/>
      </w:pPr>
      <w:r>
        <w:rPr>
          <w:rFonts w:ascii="Barlow Semi Condensed" w:cs="Barlow Semi Condensed" w:eastAsia="Barlow Semi Condensed" w:hAnsi="Barlow Semi Condensed"/>
          <w:sz w:val="24"/>
          <w:szCs w:val="24"/>
        </w:rPr>
        <w:t xml:space="preserve">Un ultimo profilo riguarda la persistenza. Lo scioglimento legislativo del 1982 chiude la forma giuridica, non necessariamente la funzione: le inchieste successive su logge coperte e comitati d'affari, dalla vicenda giudiziaria detta P3 del 2010 a quella detta P4 del 2011, hanno riproposto la domanda sulla riproducibilità del modello. Il registro tratta tali vicende come fenomeni distinti, ciascuno con il proprio corredo probatorio, e vieta l'inferenza di continuità organizzativa diretta con la P2 in assenza di catene documentali autonome: la continuità che può dirsi certificata è quella morfologica, l'isomorfismo del modello, non quella genealogica delle persone e delle strutture, che resta al Livello C salvo prova specifica. È un esempio ulteriore della distinzione, cardinale nell'intera opera, tra la ripetizione di una forma e la persistenza di un soggetto.</w:t>
      </w:r>
    </w:p>
    <w:p>
      <w:pPr>
        <w:spacing w:after="120" w:line="276"/>
        <w:jc w:val="both"/>
      </w:pPr>
      <w:r>
        <w:rPr>
          <w:rFonts w:ascii="Barlow Semi Condensed" w:cs="Barlow Semi Condensed" w:eastAsia="Barlow Semi Condensed" w:hAnsi="Barlow Semi Condensed"/>
          <w:sz w:val="24"/>
          <w:szCs w:val="24"/>
        </w:rPr>
        <w:t xml:space="preserve">Il capitolo deve ora adempiere all'obbligo che la disciplina delle assoluzioni impone, riportando per esteso l'esito del processo penale romano sulla natura eversiva della loggia, che costituisce il contrappunto giudiziario della certificazione parlamentare. Imputati Licio Gelli ed i principali dirigenti della struttura del delitto di cospirazione politica mediante associazione, la Corte d'Assise di Roma, con sentenza del 16 aprile 1994, li assolse da tale imputazione perché il fatto non sussiste, pronunciando condanne soltanto per fattispecie minori e satellitari; la pronuncia fu confermata nel successivo grado di giudizio e l'assoluzione dal reato associativo eversivo è divenuta irrevocabile, Livello A. Il registro annota il dato con la medesima cura con cui ha annotato lo scioglimento legislativo, perché la coesistenza dei 2 esiti è essa stessa un reperto: il Parlamento, con la legge 25 gennaio 1982 numero 17, qualificò la loggia associazione segreta vietata dall'articolo 18 della Costituzione e la sciolse; il giudice penale, chiamato ad accertare il diverso e più grave delitto di cospirazione contro i poteri dello Stato, escluse che quel delitto fosse provato. Non v'è contraddizione, v'è complementarità di codici nel senso rigorosamente luhmanniano: l'ordinamento parlamentare opera secondo il codice della compatibilità costituzionale, quello penale secondo il codice della responsabilità individuale oltre ogni ragionevole dubbio, e la loggia attraversò il primo codice da condannata ed il secondo, quanto all'imputazione capitale, da assolta. Chi pretendesse di ridurre l'una pronuncia all'altra ripeterebbe l'errore categoriale che la Nota metodologica addita quale peccato originario di tutta la pubblicistica sul potere occulto.</w:t>
      </w:r>
    </w:p>
    <w:p>
      <w:pPr>
        <w:spacing w:after="120" w:line="276"/>
        <w:jc w:val="both"/>
      </w:pPr>
      <w:r>
        <w:rPr>
          <w:rFonts w:ascii="Barlow Semi Condensed" w:cs="Barlow Semi Condensed" w:eastAsia="Barlow Semi Condensed" w:hAnsi="Barlow Semi Condensed"/>
          <w:sz w:val="24"/>
          <w:szCs w:val="24"/>
        </w:rPr>
        <w:t xml:space="preserve">Merita parimenti registrazione il corpus documentale prodotto dall'inchiesta parlamentare, perché la sua stessa mole è un dato morfologico. La Commissione presieduta da Tina Anselmi, istituita con legge 23 settembre 1981 numero 527, lavorò per un triennio, tenne decine di audizioni, acquisì gli archivi sequestrati e consegnò nel luglio 1984 una relazione di maggioranza accompagnata da relazioni di minoranza di segno diverso e da una collana di volumi di allegati che pubblicano, in migliaia di pagine, elenchi, corrispondenze, assegni, agende e memorandum, Livello A quanto all'intero corpus. Alle relazioni di minoranza il registro riserva un'annotazione non rituale: la loro esistenza documenta che perfino sull'oggetto meglio documentato della storia repubblicana l'interpretazione istituzionale non fu unanime, oscillando tra la lettura della loggia quale centrale di condizionamento eversivo e quella, riduttiva, di un comitato d'affari e di carriere; il registro non compone la divergenza, la censisce, giacché la pluralità certificata delle letture è essa stessa la miglior profilassi contro la tentazione monocausale. Quanto alla completezza degli elenchi, la Commissione ne certificò l'autenticità senza poterne garantire l'esaustività, e questa asimmetria, autentico ma forse non completo, governa da allora ogni uso corretto della lista: essa prova la presenza di chi vi figura, non l'assenza di chi non vi figura, Livello A quanto alla formula certificativa della Commissione.</w:t>
      </w:r>
    </w:p>
    <w:p>
      <w:pPr>
        <w:spacing w:after="120" w:line="276"/>
        <w:jc w:val="both"/>
      </w:pPr>
      <w:r>
        <w:rPr>
          <w:rFonts w:ascii="Barlow Semi Condensed" w:cs="Barlow Semi Condensed" w:eastAsia="Barlow Semi Condensed" w:hAnsi="Barlow Semi Condensed"/>
          <w:sz w:val="24"/>
          <w:szCs w:val="24"/>
        </w:rPr>
        <w:t xml:space="preserve">Resta da consegnare al lettore, con la sobrietà che si deve alle liste, un supplemento di anatomia nominale, limitato a categorie e casi il cui rilievo sistemico è stato certificato dagli atti. Negli elenchi di Castiglion Fibocchi figurano i vertici pro tempore dei 3 servizi di informazione, il comandante generale della Guardia di Finanza, decine di ufficiali generali delle forze armate, magistrati, prefetti, diplomatici, ed il gruppo dirigente del maggior quotidiano nazionale nel pieno dell'operazione di cattura editoriale che il capitolo 5 documenta; vi figura altresì, con la tessera 1816, l'editore milanese Silvio Berlusconi, allora imprenditore delle costruzioni e della nascente televisione commerciale, poi 3 volte presidente del Consiglio, la cui iscrizione, accertata documentalmente dalla Commissione, il registro riporta quale puro dato di appartenenza senza inferenza ulteriore, Livello A quanto all'iscrizione. La lista, insegna la semiotica, è la più antica macchina per produrre vertigine: l'elenco piduista produsse nel Paese esattamente quella vertigine, e parte non piccola del lavoro della Commissione consistette nel convertire la vertigine in tassonomia, distinguendo gli iscritti operosi dai dormienti, i reclutati dai reclutatori, il nucleo dal contorno. Il registro eredita quella tassonomia e la traduce nel proprio linguaggio: non tutti i nodi di un elenco sono nodi della rete, e la betweenness non si eredita per contiguità alfabetica.</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sz w:val="24"/>
          <w:szCs w:val="24"/>
        </w:rPr>
        <w:t xml:space="preserve">Va da ultimo censito l'effetto istituzionale immediato della pubblicazione degli elenchi, perché esso misura, meglio di ogni aggettivo, il peso sistemico dell'organizzazione. Il 21 maggio 1981 il governo rese pubbliche le liste sequestrate 2 mesi prima; la deflagrazione politica che ne seguì travolse il gabinetto presieduto da Arnaldo Forlani, costretto alle dimissioni, ed aprì la crisi dalla quale nacque, nel giugno 1981, il governo di Giovanni Spadolini, il primo della storia repubblicana guidato da un presidente del Consiglio non democristiano, Livello A sull'intera scansione. Il registro annota la conseguenza con la freddezza della cronologia: un elenco di nomi rinvenuto in una cassaforte toscana produsse, nel giro di 60 giorni, la caduta di un governo e la fine di un monopolio di guida durato 35 anni. Nessuna valutazione sulla natura della loggia, per quanto severa, restituisce la sua rilevanza quanto questo semplice rapporto di causa ed effetto istituzionale, che appartiene al novero ristretto dei fatti sui quali maggioranza e minoranze della Commissione, pur divise su tutto il resto, non ebbero occasione di dividersi.</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Loggia P2 è certificata al Livello A quale organizzazione-ponte trasversale ai Domini 2, 3, 4, 6, 8 e 9, sulla base della catena probatoria sequestro-inchiesta parlamentare-legge di scioglimento, con la precisazione metodologica che le 962 iscrizioni costituiscono altrettante affermazioni autonome; l'isomorfismo strutturale con la rete Gladio è certificato al Livello A quale somiglianza formale, mentre ogni ipotesi di origine comune o di continuità organizzativa postuma resta al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3 — ▶ Umberto Ortolani. Il ponte silenzioso tra loggia, finanza e Vaticano</w:t>
      </w:r>
    </w:p>
    <w:p>
      <w:pPr>
        <w:spacing w:after="120" w:line="276"/>
        <w:jc w:val="both"/>
      </w:pPr>
      <w:r>
        <w:rPr>
          <w:rFonts w:ascii="Barlow Semi Condensed" w:cs="Barlow Semi Condensed" w:eastAsia="Barlow Semi Condensed" w:hAnsi="Barlow Semi Condensed"/>
          <w:sz w:val="24"/>
          <w:szCs w:val="24"/>
        </w:rPr>
        <w:t xml:space="preserve">Nella coppia di vertice della Loggia Propaganda 2, la pubblicistica ha consegnato a Licio Gelli la luce ed a Umberto Ortolani l'ombra, ma la network analysis rovescia sovente le gerarchie della visibilità: come la Nota Metodologica avverte a proposito della eigenvector centrality, il potere di un nodo si misura non dal numero delle sue connessioni, bensì dall'importanza dei nodi cui è connesso, e sotto questo profilo Ortolani, nato a Viterbo nel 1913 e morto a Roma il 17 gennaio 2002, è uno dei nodi a più alta centralità di autovettore dell'intera rete. La scansione del corpus lo registra 326 volte in 15 documenti: una frequenza inferiore a quella di Gelli, ma concentrata nei documenti a più alta densità probatoria, gli atti della Commissione Anselmi, le sentenze del processo Ambrosiano ed i materiali del filone sui mandanti della strage di Bologna.</w:t>
      </w:r>
    </w:p>
    <w:p>
      <w:pPr>
        <w:spacing w:after="120" w:line="276"/>
        <w:jc w:val="both"/>
      </w:pPr>
      <w:r>
        <w:rPr>
          <w:rFonts w:ascii="Barlow Semi Condensed" w:cs="Barlow Semi Condensed" w:eastAsia="Barlow Semi Condensed" w:hAnsi="Barlow Semi Condensed"/>
          <w:sz w:val="24"/>
          <w:szCs w:val="24"/>
        </w:rPr>
        <w:t xml:space="preserve">La biografia rilevante per il registro si lascia ordinare per domini. Nel Dominio 4, Ortolani è documentato quale figura di vertice sostanziale della P2 accanto a Gelli, presente negli elenchi sequestrati e qualificato dalla relazione Anselmi quale mente organizzativa e finanziaria del sodalizio: la relazione parlamentare, che gli dedica ampio spazio, ne colloca il ruolo al di sopra della semplice affiliazione, e questa qualificazione, sorretta dagli atti della Commissione e riscontrata nelle successive sentenze sul crack Ambrosiano, è recepita dal registro al Livello A. Nel Dominio 5, Ortolani è titolare di una posizione che nessun altro vertice della loggia possiede: gentiluomo di Sua Santità, insignito di onorificenze pontificie, con relazioni personali documentate entro la Curia romana maturate sin dagli anni del Concilio; gli atti parlamentari ed una vasta letteratura acquisita al corpus attestano il suo rapporto con il cardinale Giacomo Lercaro e la sua funzione di cerniera tra ambienti curiali e ambienti finanziari, funzione che il registro certifica al Livello A quanto ai titoli formali ed alle relazioni documentate, ed al Livello B quanto alle attività di mediazione specifiche narrate da fonti singole. Nel Dominio 6, Ortolani è banchiere in proprio: fondatore e dominus del Banco Financiero Sudamericano, Bafisud, con sede a Montevideo, snodo sudamericano del circuito finanziario della loggia, ed azionista o amministratore di società editoriali e finanziarie italiane. Nel Dominio 8, infine, Ortolani siede nel consiglio del gruppo Rizzoli negli anni dell'acquisizione piduista del Corriere della Sera, di cui si dirà nel capitolo 5.</w:t>
      </w:r>
    </w:p>
    <w:p>
      <w:pPr>
        <w:spacing w:after="120" w:line="276"/>
        <w:jc w:val="both"/>
      </w:pPr>
      <w:r>
        <w:rPr>
          <w:rFonts w:ascii="Barlow Semi Condensed" w:cs="Barlow Semi Condensed" w:eastAsia="Barlow Semi Condensed" w:hAnsi="Barlow Semi Condensed"/>
          <w:sz w:val="24"/>
          <w:szCs w:val="24"/>
        </w:rPr>
        <w:t xml:space="preserve">Il perno probatorio della sua posizione è la condanna definitiva per la bancarotta fraudolenta del Banco Ambrosiano, pronunciata dalla giustizia milanese all'esito del processo sul dissesto e divenuta irrevocabile negli anni 90, con pena tra le più severe irrogate nel processo: l'accertamento giudiziale, convergente con le risultanze della commissione amministrativa di liquidazione e con gli atti parlamentari, certifica al Livello A che una parte cospicua dei fondi distratti dal circuito Ambrosiano affluì a conti e società riconducibili ad Ortolani, tra cui il già menzionato conto Protezione. La latitanza sudamericana, protrattasi per anni tra Brasile ed Uruguay sotto la protezione di fatto offerta dalle relazioni locali, l'arresto in Brasile e la consegna all'Italia nel 1994, chiudono il profilo giudiziario del Dominio 6.</w:t>
      </w:r>
    </w:p>
    <w:p>
      <w:pPr>
        <w:spacing w:after="120" w:line="276"/>
        <w:jc w:val="both"/>
      </w:pPr>
      <w:r>
        <w:rPr>
          <w:rFonts w:ascii="Barlow Semi Condensed" w:cs="Barlow Semi Condensed" w:eastAsia="Barlow Semi Condensed" w:hAnsi="Barlow Semi Condensed"/>
          <w:sz w:val="24"/>
          <w:szCs w:val="24"/>
        </w:rPr>
        <w:t xml:space="preserve">Il secondo perno, più recente, appartiene al Dominio 7 e va enunciato con la stessa disciplina applicata a Gelli: nelle motivazioni delle sentenze del filone sui mandanti della strage di Bologna, il nome di Ortolani compare accanto a quello di Gelli quale co-terminale del flusso di finanziamento ricostruito a partire dal documento contabile denominato Bologna, con la ripartizione di somme ingenti verso i soggetti indicati nell'appunto; trattandosi di accertamento incidentale postumo, non coperto da giudicato nei suoi confronti, il registro lo classifica al Livello B, con la medesima condizione di falsificazione già enunciata, vale a dire la dimostrazione di una causale alternativa del flusso. È significativo, sul piano del metodo, che il ponte di Ortolani verso il Dominio 7 non passi per alcuna militanza, per alcun contatto operativo con la manovalanza eversiva, ma esclusivamente per la contabilità: è l'esempio più puro, nell'intero registro, di arco di transito quale unico connettore tra un nodo finanziario ed un evento stragista, e conferma l'insegnamento del metodo Falcone secondo cui la struttura si legge nelle tracce che il denaro lascia, prima e più che nelle dichiarazioni degli uomini.</w:t>
      </w:r>
    </w:p>
    <w:p>
      <w:pPr>
        <w:spacing w:after="120" w:line="276"/>
        <w:jc w:val="both"/>
      </w:pPr>
      <w:r>
        <w:rPr>
          <w:rFonts w:ascii="Barlow Semi Condensed" w:cs="Barlow Semi Condensed" w:eastAsia="Barlow Semi Condensed" w:hAnsi="Barlow Semi Condensed"/>
          <w:sz w:val="24"/>
          <w:szCs w:val="24"/>
        </w:rPr>
        <w:t xml:space="preserve">Le triangolazioni del nodo Ortolani sono 3, e tutte attraversano il Dominio 5. La prima, Ortolani-Gelli-P2, è la diarchia di vertice della loggia, certificata al Livello A. La seconda, Ortolani-Marcinkus-IOR, congiunge il gentiluomo pontificio al vertice dell'Istituto per le Opere di Religione lungo il canale finanziario che il capitolo 6 ricostruirà: il registro certifica al Livello A l'esistenza di rapporti d'affari tra il circuito Ambrosiano, nel quale Ortolani era co-protagonista, e l'Istituto, mentre le interlocuzioni personali dirette tra i 2 uomini, riferite da fonti singole, restano al Livello B. La terza, Ortolani-Sudamerica, salda il Bafisud di Montevideo alla latitanza brasiliana ed alle relazioni con ambienti politici e militari locali, e costituisce uno dei corridoi che la Fase 5 percorrerà nell'analisi della proiezione atlantica meridionale della rete, ove il registro ha già documentato l'asse tra la P2 e l'area rioplatense.</w:t>
      </w:r>
    </w:p>
    <w:p>
      <w:pPr>
        <w:spacing w:after="120" w:line="276"/>
        <w:jc w:val="both"/>
      </w:pPr>
      <w:r>
        <w:rPr>
          <w:rFonts w:ascii="Barlow Semi Condensed" w:cs="Barlow Semi Condensed" w:eastAsia="Barlow Semi Condensed" w:hAnsi="Barlow Semi Condensed"/>
          <w:sz w:val="24"/>
          <w:szCs w:val="24"/>
        </w:rPr>
        <w:t xml:space="preserve">Va infine registrato, per la dignità paritaria del reperto negativo, ciò che il corpus non contiene: non risulta a carico di Ortolani alcun accertamento di rapporti operativi con organizzazioni mafiose, né alcuna condanna per fatti di sangue; il suo perimetro certificato è finanziario, massonico e curiale. Chi volesse estendere il nodo oltre questo perimetro dovrebbe produrre catene documentali che allo stato non esistono, e l'opera si rifiuta di supplirvi con la suggestione.</w:t>
      </w:r>
    </w:p>
    <w:p>
      <w:pPr>
        <w:spacing w:after="120" w:line="276"/>
        <w:jc w:val="both"/>
      </w:pPr>
      <w:r>
        <w:rPr>
          <w:rFonts w:ascii="Barlow Semi Condensed" w:cs="Barlow Semi Condensed" w:eastAsia="Barlow Semi Condensed" w:hAnsi="Barlow Semi Condensed"/>
          <w:sz w:val="24"/>
          <w:szCs w:val="24"/>
        </w:rPr>
        <w:t xml:space="preserve">Alla figura dell'ombra il registro deve ora restituire lo spessore dei titoli e dei canali, perché l'invisibilità di Ortolani non fu assenza ma tecnica, e le tecniche lasciano documenti. Il canale vaticano anzitutto: Ortolani fu insignito di dignità pontificie, tra cui quella di gentiluomo di Sua Santità, ed ebbe accesso documentato agli ambienti della Curia sin dagli anni del pontificato montiniano, Livello A quanto ai titoli, attestati negli atti della Commissione Anselmi. La memorialistica colloca inoltre nella sua casa romana, alla vigilia del conclave del 1963, incontri preparatori tra porporati dell'area che avrebbe sostenuto l'elezione di Giovanni Battista Montini: il registro riporta la circostanza per ciò che essa è, una tradizione memorialistica convergente ma priva di riscontro documentale diretto, e la marca di conseguenza, Livello C, annotando tuttavia che perfino la sua persistenza quale racconto è un indizio della reputazione di accesso di cui Ortolani godette, giacché le leggende di potere non si depositano sui nodi periferici. Appartiene invece al piano documentale pieno l'appartenenza al Sovrano Militare Ordine di Malta, ulteriore affiliazione d'alta soglia che, nella tassonomia dei domini, colloca il nodo in un secondo circuito relazionale riservato, distinto e complementare rispetto a quello massonico, Livello A.</w:t>
      </w:r>
    </w:p>
    <w:p>
      <w:pPr>
        <w:spacing w:after="120" w:line="276"/>
        <w:jc w:val="both"/>
      </w:pPr>
      <w:r>
        <w:rPr>
          <w:rFonts w:ascii="Barlow Semi Condensed" w:cs="Barlow Semi Condensed" w:eastAsia="Barlow Semi Condensed" w:hAnsi="Barlow Semi Condensed"/>
          <w:sz w:val="24"/>
          <w:szCs w:val="24"/>
        </w:rPr>
        <w:t xml:space="preserve">Il canale finanziario sudamericano esige a sua volta il dettaglio che il capitolo ha sin qui soltanto evocato. Il Banco Financiero Sudamericano di Montevideo, la banca uruguaiana del gruppo Ortolani nota come Bafisud, fu ad un tempo strumento d'affari, terminale di flussi del circuito Ambrosiano ed avamposto della proiezione latinoamericana della loggia, secondo la ricostruzione consegnata agli atti parlamentari ed ai processi milanesi sul crack, Livello A quanto alla titolarità ed alla funzione di snodo, Livello B quanto alla qualificazione dei singoli flussi. Quando il dissesto travolse il gruppo, Ortolani riparò in Sudamerica, ed il registro annota la latitanza brasiliana ed il successivo rientro in Italia con la neutralità del verbale; la vicenda processuale si chiuse con la condanna definitiva per la bancarotta fraudolenta dell'Ambrosiano, resa irrevocabile dalla Corte di cassazione nell'aprile 1998 nel medesimo torno di tempo della posizione di Gelli, Livello A. La morte, a Roma, il 17 gennaio 2002, spense un nodo che aveva attraversato mezzo secolo di storia finanziaria e curiale senza quasi mai comparire in una fotografia di gruppo: ed è questa, per la network analysis, la sua lezione permanente. La visibilità è un costo, l'invisibilità un investimento; Gelli pagò il costo e ne ricavò la centralità apparente, Ortolani sostenne l'investimento e ne ricavò la centralità reale. Se il lettore cercasse una verifica sperimentale del teorema di Burt sui buchi strutturali, la troverebbe qui: il broker perfetto è quello che i 2 lati del buco non possono aggirare e che il pubblico non sa nominare, e per quasi 30 anni l'Italia seppe nominare il Venerabile senza saper nominare l'uomo che ne custodiva i canali romani e ne moltiplicava quelli atlantici.</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sz w:val="24"/>
          <w:szCs w:val="24"/>
        </w:rPr>
        <w:t xml:space="preserve">A sigillo del profilo va riportato il giudizio che l'inchiesta parlamentare consegnò del personaggio, perché esso costituisce la certificazione istituzionale della tesi che questo capitolo ha argomentato per via reticolare. La relazione Anselmi colloca Ortolani al vertice sostanziale della struttura, accanto e non sotto Gelli, attribuendogli la regia dei canali finanziari e vaticani e qualificandone il ruolo in termini di piena diarchia, Livello A quanto alla valutazione parlamentare. Che l'organo d'inchiesta della Repubblica, all'esito di un triennio di lavori, abbia riservato al più sconosciuto dei 2 uomini la qualifica di mente organizzativa, conferma per via documentale ciò che le misure di centralità suggeriscono per via formale: nella coppia di vertice, la funzione di comando relazionale apparteneva all'uomo senza fotografie. Il registro chiude perciò il capitolo con una regola d'esperienza che le fasi successive verificheranno più volte: quando una rete coperta esibisce un capo, conviene sempre domandarsi per conto di quale socio silenzioso il capo venga esibito.</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Ortolani è certificato al Livello A quale ponte tra i Domini 4, 5 e 6, sul fondamento congiunto della relazione Anselmi, della condanna definitiva per la bancarotta Ambrosiano e dei titoli pontifici documentati; il ponte verso il Dominio 7 è certificato al Livello B quale terminale di finanziamento della strage di Bologna in forza di accertamento giudiziale postumo; il registro certifica altresì, quale reperto negativo, l'assenza di connessioni documentate con il Dominio 1.</w:t>
      </w:r>
    </w:p>
    <w:p>
      <w:pPr>
        <w:pStyle w:val="Heading3"/>
        <w:spacing w:after="80" w:before="160"/>
      </w:pPr>
      <w:r>
        <w:rPr>
          <w:rFonts w:ascii="Barlow Semi Condensed" w:cs="Barlow Semi Condensed" w:eastAsia="Barlow Semi Condensed" w:hAnsi="Barlow Semi Condensed"/>
          <w:sz w:val="24"/>
          <w:szCs w:val="24"/>
        </w:rPr>
        <w:t xml:space="preserve">Capitolo 4 — ▶ Michele Sindona. Il nodo pentadominio e la parabola della finanza come arma</w:t>
      </w:r>
    </w:p>
    <w:p>
      <w:pPr>
        <w:spacing w:after="120" w:line="276"/>
        <w:jc w:val="both"/>
      </w:pPr>
      <w:r>
        <w:rPr>
          <w:rFonts w:ascii="Barlow Semi Condensed" w:cs="Barlow Semi Condensed" w:eastAsia="Barlow Semi Condensed" w:hAnsi="Barlow Semi Condensed"/>
          <w:sz w:val="24"/>
          <w:szCs w:val="24"/>
        </w:rPr>
        <w:t xml:space="preserve">Michele Sindona, nato a Patti l'8 maggio 1920 e morto a Voghera il 22 marzo 1986, è il primo nodo del registro a raggiungere la soglia dei 5 domini con certificazione di massimo livello su ciascun ponte, ed è insieme il nodo la cui traiettoria dimostra, con la nettezza di un esperimento, la tesi centrale della Sezione Beta dell'opera: che i domini comunicano attraverso individui-cerniera, e che la rimozione violenta di tali individui è essa stessa un dato strutturale della rete. La scansione del corpus lo registra 983 volte in 27 documenti, con presenza massiccia negli atti della Commissione parlamentare d'inchiesta sul caso Sindona, istituita con legge 22 maggio 1980 numero 204, nelle sentenze italiane e statunitensi, e nei materiali sulla trilogia golpista dei primi anni 70 che il Registro Unico Federato ha schedato sotto lo snodo Borghese-Sindona.</w:t>
      </w:r>
    </w:p>
    <w:p>
      <w:pPr>
        <w:spacing w:after="120" w:line="276"/>
        <w:jc w:val="both"/>
      </w:pPr>
      <w:r>
        <w:rPr>
          <w:rFonts w:ascii="Barlow Semi Condensed" w:cs="Barlow Semi Condensed" w:eastAsia="Barlow Semi Condensed" w:hAnsi="Barlow Semi Condensed"/>
          <w:sz w:val="24"/>
          <w:szCs w:val="24"/>
        </w:rPr>
        <w:t xml:space="preserve">Il Dominio 6 è la matrice. Avvocato tributarista trasferitosi a Milano, Sindona costruisce tra gli anni 50 ed i primi 70 un impero bancario e fiduciario articolato su 2 versanti: quello italiano, con la Banca Privata Finanziaria e la Banca Unione, poi fuse nella Banca Privata Italiana, e quello internazionale, con la Fasco AG di Vaduz quale holding di vertice, la Finabank di Ginevra, partecipata dallo IOR, e, dal 1972, il controllo della Franklin National Bank di New York, all'epoca tra le maggiori banche degli Stati Uniti. Il crollo simultaneo dei 2 versanti nell'autunno 1974, con il dissesto della Banca Privata Italiana e la bancarotta della Franklin, la più grave insolvenza bancaria americana fino a quel momento, genera i 2 procedimenti che definiscono il nodo: negli Stati Uniti la condanna del 1980 a 25 anni per la frode della Franklin, in Italia la condanna per la bancarotta della Banca Privata. Su questo versante la certificazione è al Livello A per convergenza di sentenze definitive in 2 giurisdizioni, atti parlamentari e documentazione della liquidazione coatta.</w:t>
      </w:r>
    </w:p>
    <w:p>
      <w:pPr>
        <w:spacing w:after="120" w:line="276"/>
        <w:jc w:val="both"/>
      </w:pPr>
      <w:r>
        <w:rPr>
          <w:rFonts w:ascii="Barlow Semi Condensed" w:cs="Barlow Semi Condensed" w:eastAsia="Barlow Semi Condensed" w:hAnsi="Barlow Semi Condensed"/>
          <w:sz w:val="24"/>
          <w:szCs w:val="24"/>
        </w:rPr>
        <w:t xml:space="preserve">Il Dominio 1 si innesta sulla matrice finanziaria attraverso 2 canali distinti, che il registro mantiene separati perché diversa è la loro genealogia probatoria. Il primo canale è il riciclaggio: le risultanze della Commissione Sindona, le dichiarazioni riscontrate di collaboratori di giustizia, tra cui Tommaso Buscetta e Francesco Marino Mannoia, e gli accertamenti dei processi di Palermo convergono nell'attribuire al circuito sindoniano la funzione di terminale finanziario di capitali riconducibili a famiglie di Cosa Nostra, in particolare all'area Gambino-Inzerillo-Spatola, lungo l'asse transatlantico tra la Sicilia e New York; la convergenza di fonte parlamentare, fonti dichiarative riscontrate e accertamenti giudiziari colloca il canale al Livello A quanto alla sua esistenza, mentre la quantificazione dei flussi resta materia di stime e come tale al Livello B. Il secondo canale è il finto sequestro dell'estate 1979: scomparso da New York il 2 agosto 1979, Sindona ricompare il 16 ottobre; le indagini dei giudici istruttori milanesi Colombo e Turone, quelle statunitensi ed il successivo processo accertano che il sequestro fu una messinscena organizzata con l'apporto logistico di uomini dell'area mafiosa siculo-americana, tra cui John Gambino, e di ambienti massonici siciliani, con un soggiorno clandestino in Sicilia durante il quale Sindona tentò di esercitare pressioni ricattatorie, facendo balenare la divulgazione di una lista di 500 esportatori di capitali; nel corso della messinscena Sindona si fece persino ferire alla gamba per accreditarla. L'episodio è certificato al Livello A ed è, nel sistema del registro, un reperto di valore eccezionale, perché in 1 solo evento si osservano congiunti il Dominio 6, il Dominio 1 ed il Dominio 4, con l'aggiunta del ricatto come tecnologia di potere. La lista dei 500, evocata e mai rinvenuta, è trattata dal registro secondo la disciplina dell'assenza: la sua esistenza materiale non è certificata, la sua funzione ricattatoria quale minaccia è certificata al Livello A dagli atti, e la distanza tra i 2 piani è essa stessa il dato.</w:t>
      </w:r>
    </w:p>
    <w:p>
      <w:pPr>
        <w:spacing w:after="120" w:line="276"/>
        <w:jc w:val="both"/>
      </w:pPr>
      <w:r>
        <w:rPr>
          <w:rFonts w:ascii="Barlow Semi Condensed" w:cs="Barlow Semi Condensed" w:eastAsia="Barlow Semi Condensed" w:hAnsi="Barlow Semi Condensed"/>
          <w:sz w:val="24"/>
          <w:szCs w:val="24"/>
        </w:rPr>
        <w:t xml:space="preserve">Il Dominio 4 è documentato dalla tessera piduista di Sindona, presente negli elenchi di Castiglion Fibocchi e riscontrata dalla Commissione Anselmi, nonché dal ruolo di Gelli quale suo sponsor e protettore negli anni della crisi; la saldatura tra il capitolo massonico e quello finanziario è certificata al Livello A. Il Dominio 5 è documentato dal rapporto organico con lo IOR: la partecipazione dell'Istituto nella Finabank, le operazioni congiunte degli anni 60, la fama di banchiere di fiducia d'Oltretevere che gli valse la vendita, nel 1969, di partecipazioni industriali vaticane di primo rilievo; gli atti parlamentari ed i documenti della liquidazione certificano il rapporto al Livello A, mentre le singole qualificazioni personali, come la presentazione a Paul Marcinkus, riferita da più fonti ma di genealogia in parte comune, restano al Livello B. Il Dominio 2, infine, è documentato su 2 versanti: quello italiano, con l'appoggio prestato da ambienti politici al progetto di salvataggio delle banche sindoniane tra il 1974 ed il 1979, oggetto centrale dell'inchiesta parlamentare, nella quale è agli atti la celebre qualificazione di Sindona quale salvatore della lira attribuita ad ambienti di governo, ed il connesso scontro istituzionale che investì la Banca d'Italia, culminato nell'incriminazione del governatore Paolo Baffi e nell'arresto del vice direttore Mario Sarcinelli nel marzo 1979, vicenda dalla quale entrambi uscirono pienamente prosciolti e che il registro classifica al Livello A quale episodio di aggressione giudiziaria ad un organo di vigilanza ostile al salvataggio; e quello americano, con le relazioni negli ambienti repubblicani ed atlantici documentate dagli atti statunitensi. Al perimetro politico appartiene infine la schedatura, già operata dal Registro Unico Federato, dello snodo Borghese-Sindona entro la trilogia golpista dei primi anni 70: la disponibilità di ambienti sindoniani a sostenere finanziariamente progetti eversivi è riferita da fonti dichiarative, tra cui la testimonianza parlamentare di Buscetta su 3 distinti tentativi di colpo di Stato a mediazione massonica, e resta classificata al Livello B, quale convergenza di fonti dichiarative riscontrate e atti parlamentari, priva di giudicato specifico.</w:t>
      </w:r>
    </w:p>
    <w:p>
      <w:pPr>
        <w:spacing w:after="120" w:line="276"/>
        <w:jc w:val="both"/>
      </w:pPr>
      <w:r>
        <w:rPr>
          <w:rFonts w:ascii="Barlow Semi Condensed" w:cs="Barlow Semi Condensed" w:eastAsia="Barlow Semi Condensed" w:hAnsi="Barlow Semi Condensed"/>
          <w:sz w:val="24"/>
          <w:szCs w:val="24"/>
        </w:rPr>
        <w:t xml:space="preserve">Il vertice tragico del nodo è l'omicidio di Giorgio Ambrosoli, avvocato milanese nominato commissario liquidatore unico della Banca Privata Italiana, assassinato sotto casa la notte dell'11 luglio 1979 da William Joseph Aricò, sicario italoamericano. La catena giudiziaria è completa e definitiva: Aricò quale esecutore, Sindona quale mandante, condannato all'ergastolo con sentenza divenuta irrevocabile il 18 marzo 1986. L'omicidio Ambrosoli è, nel registro, il ponte perfetto e terribile tra il Dominio 6 ed il Dominio 1: un banchiere che compra dalla criminalità organizzata italoamericana il servizio della morte per eliminare il servitore dello Stato che ne stava documentando il dissesto. La certificazione è al Livello A senza residui. Ed è qui che la traiettoria si chiude su se stessa con una simmetria che il registro si limita a constatare: 4 giorni dopo la definitività dell'ergastolo, il 20 marzo 1986, Sindona ingerisce nel carcere di massima sicurezza di Voghera un caffè avvelenato con cianuro di potassio, e muore il 22 marzo. Le inchieste conclusero nel senso del suicidio, pur nel quadro di un regime di sorveglianza che avrebbe dovuto escludere ogni accesso al veleno; il registro recepisce l'esito ufficiale e lo classifica al Livello B, connessione indiziaria fondata su accertamento giudiziario singolo, mantenendo aperta, al Livello C, l'ipotesi alternativa dell'avvelenamento eterodiretto, con l'indicazione della evidenza che la deciderebbe: la ricostruzione documentale della catena di custodia del veleno entro il carcere, mai compiutamente raggiunta. La morte di Sindona, qualunque ne sia stata la mano, produce nella rete l'effetto che il Pattern 1 della Nota Metodologica consente di misurare: la scomparsa simultanea del più alto detentore di informazioni sui ponti tra 5 domini, secondo la regolarità, che l'opera verificherà sistematicamente, per cui gli individui a massima betweenness muoiono di morte violenta o anomala con frequenza superiore ad ogni attesa statistica.</w:t>
      </w:r>
    </w:p>
    <w:p>
      <w:pPr>
        <w:spacing w:after="120" w:line="276"/>
        <w:jc w:val="both"/>
      </w:pPr>
      <w:r>
        <w:rPr>
          <w:rFonts w:ascii="Barlow Semi Condensed" w:cs="Barlow Semi Condensed" w:eastAsia="Barlow Semi Condensed" w:hAnsi="Barlow Semi Condensed"/>
          <w:sz w:val="24"/>
          <w:szCs w:val="24"/>
        </w:rPr>
        <w:t xml:space="preserve">Le triangolazioni del nodo sono 4: Sindona-Gelli-Calvi, il triangolo finanziario della loggia, nel quale Calvi eredita da Sindona clientele, tecniche e destino; Sindona-Gambino-Inzerillo, l'asse transatlantico del riciclaggio, che la Fase 5 riprenderà sul versante americano; Sindona-IOR-Marcinkus, il ponte vaticano che il capitolo 6 completa; e Sindona-Baffi-Sarcinelli, la triangolazione negativa, nella quale il nodo si misura con l'istituzione che gli resiste e la risposta del sistema è l'aggressione giudiziaria ai vigilanti: un arco di strumentalizzazione della magistratura, secondo la tassonomia della Parte III, che il registro certifica al Livello A nei suoi fatti e mantiene al Livello C quanto alla regia unitaria.</w:t>
      </w:r>
    </w:p>
    <w:p>
      <w:pPr>
        <w:spacing w:after="120" w:line="276"/>
        <w:jc w:val="both"/>
      </w:pPr>
      <w:r>
        <w:rPr>
          <w:rFonts w:ascii="Barlow Semi Condensed" w:cs="Barlow Semi Condensed" w:eastAsia="Barlow Semi Condensed" w:hAnsi="Barlow Semi Condensed"/>
          <w:sz w:val="24"/>
          <w:szCs w:val="24"/>
        </w:rPr>
        <w:t xml:space="preserve">La sequenza del crollo merita la precisione del cronografo, perché in essa si misura la trasformazione della finanza in arma e dell'arma in rovina. Nel luglio 1974 la fusione delle 2 banche italiane del gruppo genera la Banca Privata Italiana, creatura già esangue; il 27 settembre 1974 il Tribunale ne dichiara lo stato e la Banca d'Italia ne promuove la liquidazione coatta amministrativa, con la nomina a commissario liquidatore unico dell'avvocato Giorgio Ambrosoli; l'8 ottobre 1974 la Franklin National Bank di New York, perno del versante americano, è dichiarata insolvente, all'epoca il maggior dissesto bancario della storia degli Stati Uniti, Livello A su tutta la scansione. Segue il quinquennio della resistenza: Sindona, riparato negli Stati Uniti, muove le sue relazioni per ottenere il salvataggio italiano della banca liquidata, e la pressione si abbatte sulla Banca d'Italia che quel salvataggio nega. Il registro consegna qui un pilastro che la memoria pubblica ha lasciato sbiadire: nel marzo 1979 il governatore Paolo Baffi fu incriminato ed il capo della Vigilanza Mario Sarcinelli arrestato, in un procedimento che si sarebbe concluso anni dopo con il proscioglimento pieno di entrambi, e che gli atti parlamentari e la storiografia collocano nel contesto delle pressioni convergenti sull'istituto di emissione nella stagione dei salvataggi negati, Livello A quanto ai provvedimenti ed ai proscioglimenti, Livello B quanto al nesso di contesto. Che l'organo di vigilanza monetaria della Repubblica sia stato colpito nei suoi vertici mentre resisteva al salvataggio di un bancarottiere è un fatto la cui sola cronologia costituisce, nel linguaggio del Pattern 3, una coincidenza temporale ad altissima densità.</w:t>
      </w:r>
    </w:p>
    <w:p>
      <w:pPr>
        <w:spacing w:after="120" w:line="276"/>
        <w:jc w:val="both"/>
      </w:pPr>
      <w:r>
        <w:rPr>
          <w:rFonts w:ascii="Barlow Semi Condensed" w:cs="Barlow Semi Condensed" w:eastAsia="Barlow Semi Condensed" w:hAnsi="Barlow Semi Condensed"/>
          <w:sz w:val="24"/>
          <w:szCs w:val="24"/>
        </w:rPr>
        <w:t xml:space="preserve">Sul versante penale americano ed italiano, la scansione è la seguente. Nel 1980 la giustizia federale statunitense condanna Sindona a 25 anni per il dissesto della Franklin, all'esito di un processo fondato su decine di capi d'imputazione, Livello A; nell'estate del 1979, tra il 2 agosto ed il 16 ottobre, si era consumata la messinscena dell'autosequestro, con la sparizione da New York, il soggiorno clandestino in Sicilia sotto la protezione di ambienti del circuito Gambino ed il ritorno a Manhattan con una ferita d'arma da fuoco alla gamba, episodio che le sentenze italiane hanno accertato quale simulazione strumentale, ordita anche per esercitare pressione ricattatoria sugli ambienti finanziari e politici italiani, Livello A quanto alla simulazione, mentre la famosa lista dei 500 esportatori di valuta, agitata in quella stagione quale strumento di minaccia, non è mai stata rinvenuta quale documento e resta perciò consegnata al Livello C. L'estradizione in Italia nel settembre 1984 apre l'ultimo atto: il processo milanese per l'omicidio di Giorgio Ambrosoli, ucciso sotto casa la notte dell'11 luglio 1979 da William Joseph Aricò, sicario italoamericano ingaggiato per conto del banchiere, il quale Aricò, detenuto a New York, morì il 19 febbraio 1984 precipitando dal Metropolitan Correctional Center durante un tentativo di evasione, sicché il giudizio italiano si celebrò contro il mandante e gli intermediari, Livello A. Giova qui una precisazione di scrupolo processuale, che nulla toglie e molto aggiunge alla nettezza del quadro: la condanna all'ergastolo pronunciata dalla Corte d'Assise di Milano il 18 marzo 1986 nei confronti di Sindona quale mandante precedette di 4 giorni la sua morte, sicché nei suoi confronti il rapporto processuale si estinse, mentre il giudizio proseguito verso gli intermediari del reclutamento approdò negli anni successivi a condanne irrevocabili, che consegnano al registro, con la forza del giudicato, la ricostruzione dell'intera catena omicidiaria, Livello A.</w:t>
      </w:r>
    </w:p>
    <w:p>
      <w:pPr>
        <w:spacing w:after="120" w:line="276"/>
        <w:jc w:val="both"/>
      </w:pPr>
      <w:r>
        <w:rPr>
          <w:rFonts w:ascii="Barlow Semi Condensed" w:cs="Barlow Semi Condensed" w:eastAsia="Barlow Semi Condensed" w:hAnsi="Barlow Semi Condensed"/>
          <w:sz w:val="24"/>
          <w:szCs w:val="24"/>
        </w:rPr>
        <w:t xml:space="preserve">Resta Ambrosoli, ed il registro gli deve più di una riga, perché il metodo che questa opera pratica è, in ultima istanza, il suo. Nominato liquidatore nel 1974, l'avvocato milanese ricostruì per 5 anni, carta su carta, l'architettura del dissesto, respinse le lusinghe e le minacce, e nel febbraio 1975 consegnò alla moglie una lettera da leggersi in caso di morte, nella quale rivendicava, con understatement borghese, di aver soltanto fatto il proprio dovere: la lettera, pubblicata dopo l'omicidio, è divenuta il testamento civile di quella stagione, ed il titolo con cui Corrado Stajano ne raccontò la vita, Un eroe borghese, appartiene ormai al lessico della Repubblica, Livello A quanto ai documenti. Nella morfologia della rete, Ambrosoli è il nodo che il registro definisce anticorpo: un attore che, collocato dal caso in posizione di massima esposizione su un arco critico, sceglie di esercitare la funzione di controllo fino alle estreme conseguenze, e la cui eliminazione, lungi dal chiudere il varco, consegna agli inquirenti la mappa che la sua contabilità aveva disegnato. La finanza come arma trovò in lui la dimostrazione che esiste anche la contabilità come trincea.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sz w:val="24"/>
          <w:szCs w:val="24"/>
        </w:rPr>
        <w:t xml:space="preserve">Il quadro istituzionale del caso si completa con l'inchiesta parlamentare dedicata, che il registro censisce quale quarta gamba probatoria accanto ai giudicati italiani, a quelli statunitensi ed agli atti della Commissione P2. Con legge del 22 maggio 1980 il Parlamento istituì la Commissione d'inchiesta sul caso Sindona e sulle responsabilità politiche ed amministrative ad esso connesse, i cui lavori si conclusero nel marzo 1982 con una relazione di maggioranza e con più relazioni di minoranza, ed i cui atti ricostruirono la trama dei salvataggi tentati, delle protezioni politiche invocate e delle pressioni esercitate sugli organi di vigilanza, Livello A quanto all'istituzione ed alle risultanze documentali. La compresenza, sul medesimo nodo, di 2 inchieste parlamentari, 2 giurisdizioni penali nazionali ed 1 straniera è un unicum che fa di Sindona il nodo più densamente osservato dell'intera rete: ed è appunto per questa densità di osservazione, non per pregiudizio narrativo, che il registro ha potuto certificarne i 5 ponti al massimo livello, a conferma della regola per cui la conoscibilità di una rete è funzione diretta della quantità di istituzioni che hanno avuto interesse ad illuminarla.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Sindona è certificato quale cerniera pentadominio con ponti di Livello A verso i Domini 1, 2, 4, 5 e 6, culminanti nell'ergastolo definitivo quale mandante dell'omicidio Ambrosoli; la morte per avvelenamento in regime di massima sicurezza è recepita quale suicidio al Livello B, con ipotesi alternativa mantenuta al Livello C; la disponibilità eversiva dello snodo Borghese-Sindona resta certificata al Livello B su base parlamentare e dichiarativa riscontrata.</w:t>
      </w:r>
    </w:p>
    <w:p>
      <w:pPr>
        <w:pStyle w:val="Heading3"/>
        <w:spacing w:after="80" w:before="160"/>
      </w:pPr>
      <w:r>
        <w:rPr>
          <w:rFonts w:ascii="Barlow Semi Condensed" w:cs="Barlow Semi Condensed" w:eastAsia="Barlow Semi Condensed" w:hAnsi="Barlow Semi Condensed"/>
          <w:sz w:val="24"/>
          <w:szCs w:val="24"/>
        </w:rPr>
        <w:t xml:space="preserve">Capitolo 5 — ▶ Roberto Calvi. Il banchiere-ponte e la morte come reperto conteso</w:t>
      </w:r>
    </w:p>
    <w:p>
      <w:pPr>
        <w:spacing w:after="120" w:line="276"/>
        <w:jc w:val="both"/>
      </w:pPr>
      <w:r>
        <w:rPr>
          <w:rFonts w:ascii="Barlow Semi Condensed" w:cs="Barlow Semi Condensed" w:eastAsia="Barlow Semi Condensed" w:hAnsi="Barlow Semi Condensed"/>
          <w:sz w:val="24"/>
          <w:szCs w:val="24"/>
        </w:rPr>
        <w:t xml:space="preserve">Roberto Calvi, nato a Milano il 13 aprile 1920 e trovato morto a Londra il 18 giugno 1982, è il secondo vertice del triangolo finanziario della loggia, e nel registro occupa una posizione peculiare: è il nodo nel quale la certificazione massima riguarda non soltanto le connessioni in vita, ma la morte stessa, divenuta essa stessa un ponte conteso tra domini. La scansione del corpus lo registra 953 volte in 33 documenti, in prevalenza atti giudiziari, materiali della Commissione P2 e documentazione sul dissesto dell'Ambrosiano.</w:t>
      </w:r>
    </w:p>
    <w:p>
      <w:pPr>
        <w:spacing w:after="120" w:line="276"/>
        <w:jc w:val="both"/>
      </w:pPr>
      <w:r>
        <w:rPr>
          <w:rFonts w:ascii="Barlow Semi Condensed" w:cs="Barlow Semi Condensed" w:eastAsia="Barlow Semi Condensed" w:hAnsi="Barlow Semi Condensed"/>
          <w:sz w:val="24"/>
          <w:szCs w:val="24"/>
        </w:rPr>
        <w:t xml:space="preserve">La matrice è, come per Sindona, il Dominio 6, ma con una differenza strutturale che va colta subito: Sindona costruisce banche proprie, Calvi cattura una banca altrui, ed il suo caso è perciò l'illustrazione più compiuta della teoria del contenitore. Il Banco Ambrosiano, fondato a Milano nel 1896 quale banca cattolica dei ceti lombardi, è il contenitore; Calvi, entratovi nel 1947 e salitone tutti i gradini fino alla presidenza nel 1975, è l'occupante; e l'architettura di controllo che egli edifica, una catena di holding e consociate estere, dalla Banco Ambrosiano Holding di Lussemburgo alle società di Panama e delle Bahamas, fino al Banco Ambrosiano Andino di Lima, è lo strumento della cattura, perché consente di finanziare occultamente, con il denaro della banca, l'acquisto delle azioni della banca medesima, sottraendo il controllo ai soci ed alla vigilanza. Il dissesto che ne segue, con un ammanco accertato nell'ordine di 1200 milioni di dollari dell'epoca verso le consociate estere, è il più grande crack bancario privato della storia italiana; la liquidazione coatta dell'agosto 1982, il processo milanese e le condanne definitive che ne derivarono, tra le quali quelle di Gelli e di Ortolani già richiamate, certificano l'intero impianto al Livello A.</w:t>
      </w:r>
    </w:p>
    <w:p>
      <w:pPr>
        <w:spacing w:after="120" w:line="276"/>
        <w:jc w:val="both"/>
      </w:pPr>
      <w:r>
        <w:rPr>
          <w:rFonts w:ascii="Barlow Semi Condensed" w:cs="Barlow Semi Condensed" w:eastAsia="Barlow Semi Condensed" w:hAnsi="Barlow Semi Condensed"/>
          <w:sz w:val="24"/>
          <w:szCs w:val="24"/>
        </w:rPr>
        <w:t xml:space="preserve">I ponti del nodo si dispongono su 4 domini oltre al proprio. Verso il Dominio 4, la tessera piduista di Calvi è negli elenchi di Castiglion Fibocchi ed il suo rapporto di dipendenza protettiva da Gelli è documentato dagli atti parlamentari e giudiziari, ivi comprese le lettere e le annotazioni sequestrate: certificazione al Livello A. Su questo ponte si innesta l'operazione che congiunge il Dominio 6 al Dominio 8 e che il registro considera uno degli archi di transito più gravidi di conseguenze dell'intera rete: il finanziamento occulto, attraverso il circuito Ambrosiano, della scalata del gruppo Rizzoli, gravato da debiti, e con esso del Corriere della Sera, il principale quotidiano nazionale, il cui assetto proprietario e la cui direzione entrarono nell'orbita della loggia negli anni tra il 1977 ed il 1981, come la relazione Anselmi documentò analiticamente e come le sentenze sul crack confermarono; la certificazione del ponte finanza-informazione è al Livello A, e costituisce il caso paradigmatico, per l'intera opera, della conquista di un organo di formazione dell'opinione pubblica per via debitoria anziché per via editoriale. Verso il Dominio 5, il ponte è costituito dall'intreccio organico con l'Istituto per le Opere di Religione, del quale il capitolo seguente tratta funditus: qui basti certificare al Livello A, sul fondamento della documentazione della liquidazione e dell'accordo di Ginevra del 1984, che lo IOR fu azionista dell'Ambrosiano, controparte di operazioni incrociate e soprattutto emittente, il 1 settembre 1981, delle cosiddette lettere di patronage con le quali dichiarava alle banche creditrici il proprio controllo su alcune delle società estere debitrici, ricevendone in cambio, con contro-lettera riservata di Calvi, la manleva da ogni conseguenza. Verso il Dominio 1, infine, i ponti in vita sono 2: il canale di riciclaggio che le dichiarazioni riscontrate di collaboratori, in primis Francesco Marino Mannoia, attribuiscono al circuito Ambrosiano quale collettore di capitali mafiosi, canale che il registro certifica al Livello B, per convergenza di fonti dichiarative riscontrate e risultanze processuali prive tuttavia di giudicato contabile specifico; ed il rapporto personale, nell'ultimo anno di vita, con Flavio Carboni, faccendiere sardo con relazioni trasversali che spaziavano dalla Banda della Magliana ad ambienti massonici e d'affari, rapporto documentato al Livello A dagli atti dei processi romani, essendo Carboni l'organizzatore della fuga finale di Calvi.</w:t>
      </w:r>
    </w:p>
    <w:p>
      <w:pPr>
        <w:spacing w:after="120" w:line="276"/>
        <w:jc w:val="both"/>
      </w:pPr>
      <w:r>
        <w:rPr>
          <w:rFonts w:ascii="Barlow Semi Condensed" w:cs="Barlow Semi Condensed" w:eastAsia="Barlow Semi Condensed" w:hAnsi="Barlow Semi Condensed"/>
          <w:sz w:val="24"/>
          <w:szCs w:val="24"/>
        </w:rPr>
        <w:t xml:space="preserve">La sequenza terminale va restituita con la precisione del verbale, perché su di essa il registro esercita la sua disciplina più severa. Nel maggio 1981 Calvi è arrestato nell'ambito dell'inchiesta valutaria milanese; nel luglio è condannato in primo grado a 4 anni per esportazione illecita di capitali, primo banchiere di tale rango a subire simile condanna, e tenta in carcere un gesto suicidario; scarcerato in pendenza d'appello, conserva la presidenza della banca. Il 31 maggio 1982 la Banca d'Italia chiede formalmente conto dell'esposizione verso le consociate estere; l'11 giugno Calvi scompare da Roma, con passaporto falso a nome Gian Roberto Calvini, e attraverso un itinerario che tocca Trieste, la Jugoslavia, l'Austria e Londra, organizzato da Carboni con l'apporto di contrabbandieri giuliani, giunge in un appartamento londinese; il 17 giugno il consiglio dell'Ambrosiano lo esautora e la segretaria personale Graziella Corrocher precipita da una finestra della sede milanese, lasciando uno scritto di accusa verso il presidente, morte archiviata quale suicidio e classificata dal registro al Livello B; all'alba del 18 giugno il corpo di Calvi è rinvenuto appeso ad un'impalcatura sotto il ponte dei Frati Neri, Blackfriars Bridge, con mattoni nelle tasche e negli indumenti e circa 15000 dollari in contanti, senza che sul ponte o sul corpo si rinvengano tracce coerenti con un'ascensione autonoma sull'impalcatura. La prima inchiesta del coroner londinese, nel luglio 1982, concluse per il suicidio; la seconda, nel giugno 1983, pronunciò un verdetto aperto; l'esumazione del 1998 e la perizia collegiale disposta dalla giustizia italiana, depositata nel 2002, conclusero per l'incompatibilità del quadro con il suicidio e per la morte per mano altrui; il processo celebrato a Roma contro Giuseppe Calò, Flavio Carboni, Ernesto Diotallevi ed altri quali mandanti od organizzatori si chiuse in primo grado nel 2007 con l'assoluzione di tutti gli imputati per insufficienza di prove, confermata in appello nel 2010 ed in cassazione nel 2011, ma con il riconoscimento, in motivazione, della natura omicidiaria del fatto. Il registro ne trae la doppia classificazione che costituisce il modello per tutti i casi analoghi: la natura omicidiaria della morte di Calvi è certificata al Livello A, per convergenza di perizia collegiale, verdetto aperto del secondo coroner e qualificazione contenuta nelle sentenze italiane, 3 fonti eterogenee e genealogicamente distinte; l'attribuzione dell'omicidio a mandanti ed esecutori determinati resta al Livello C, ipotesi investigativa non sorretta da giudicato, essendo intervenuta assoluzione definitiva degli unici imputati. Tra il fatto certo e la responsabilità incerta corre esattamente quella distanza che la Regola Ferrea vieta di colmare con l'inferenza.</w:t>
      </w:r>
    </w:p>
    <w:p>
      <w:pPr>
        <w:spacing w:after="120" w:line="276"/>
        <w:jc w:val="both"/>
      </w:pPr>
      <w:r>
        <w:rPr>
          <w:rFonts w:ascii="Barlow Semi Condensed" w:cs="Barlow Semi Condensed" w:eastAsia="Barlow Semi Condensed" w:hAnsi="Barlow Semi Condensed"/>
          <w:sz w:val="24"/>
          <w:szCs w:val="24"/>
        </w:rPr>
        <w:t xml:space="preserve">Alla morte si accompagna un reperto materiale che il registro tratta con la disciplina della spoliazione delimitata: la borsa nera di Calvi, contenente documenti che il banchiere portava con sé quale strumento di negoziazione, seguì un percorso autonomo dal corpo, transitando per le mani dell'entourage della fuga, e ricomparve solo anni dopo, in parte, attraverso passaggi onerosi; l'integrità del suo contenuto originario non è ricostruibile. Il registro marca la spoliazione quale fatto documentato al Livello A e si vieta di dedurre dal contenuto ignoto qualsivoglia contenuto determinato: l'assenza di documenti non è un documento.</w:t>
      </w:r>
    </w:p>
    <w:p>
      <w:pPr>
        <w:spacing w:after="120" w:line="276"/>
        <w:jc w:val="both"/>
      </w:pPr>
      <w:r>
        <w:rPr>
          <w:rFonts w:ascii="Barlow Semi Condensed" w:cs="Barlow Semi Condensed" w:eastAsia="Barlow Semi Condensed" w:hAnsi="Barlow Semi Condensed"/>
          <w:sz w:val="24"/>
          <w:szCs w:val="24"/>
        </w:rPr>
        <w:t xml:space="preserve">Le triangolazioni del nodo sono 4: Calvi-Gelli-Ortolani, il vertice della loggia quale creditore e protettore divenuto, negli ultimi mesi, controparte esosa, secondo la documentazione dei flussi verso i conti riferibili ai 2, certificata al Livello A; Calvi-IOR-Marcinkus, l'asse vaticano delle lettere di patronage; Calvi-Carboni-Calò, il triangolo dell'ultima stagione, nel quale la certificazione si sdoppia tra i rapporti in vita, di Livello A, e la responsabilità nella morte, ferma al Livello C per intervenuta assoluzione; e Calvi-Rizzoli-Corriere, il ponte verso il Dominio 8. La lettera inviata da Calvi al pontefice Giovanni Paolo II il 5 giugno 1982, 13 giorni prima della morte, nella quale il banchiere si dichiarava ultimo baluardo contro la divulgazione di operazioni compiute anche per conto di ambienti ecclesiastici, è documento autentico acquisito agli atti e certificato al Livello A quanto all'esistenza ed al tenore; il suo contenuto assertivo, provenendo da un dichiarante in stato di massima pressione e con evidente interesse negoziale, è sottoposto dal registro all'Indice di Contaminazione della Fonte e non è utilizzato quale prova dei fatti ivi affermati.</w:t>
      </w:r>
    </w:p>
    <w:p>
      <w:pPr>
        <w:spacing w:after="120" w:line="276"/>
        <w:jc w:val="both"/>
      </w:pPr>
      <w:r>
        <w:rPr>
          <w:rFonts w:ascii="Barlow Semi Condensed" w:cs="Barlow Semi Condensed" w:eastAsia="Barlow Semi Condensed" w:hAnsi="Barlow Semi Condensed"/>
          <w:sz w:val="24"/>
          <w:szCs w:val="24"/>
        </w:rPr>
        <w:t xml:space="preserve">La sequenza terminale già esposta va ora corredata dei suoi anelli documentali intermedi, che ne fanno il caso più fitto di reperti dell'intero quadrilatero. Primo anello: la condanna del 20 luglio 1981 per le violazioni valutarie, 4 anni di reclusione e 16 miliardi di lire di multa, cui segue, in pendenza d'appello, la scarcerazione, ed insieme un fatto societario che il registro isola quale anomalia certificata, la riconferma di Calvi alla presidenza del Banco da parte degli organi sociali: un istituto di credito cattolico mantenne al vertice un presidente appena condannato in primo grado per reati valutari, e nessuna assemblea ritenne di trarne conseguenze, Livello A. Nel medesimo torno di tempo si colloca il tentato suicidio in carcere, che la documentazione clinica e processuale attesta, Livello B, e che il registro annota senza psicologizzare, giacché la psicologia dei nodi non è materia di certificazione. Secondo anello: la contro-lettera. Alle lettere di patronage rilasciate dallo IOR il 1° settembre 1981 a copertura delle consociate estere fece riscontro una dichiarazione di manleva di segno inverso, con la quale il gruppo si obbligava a tenere indenne l'Istituto: il chiasmo documentale delle 2 lettere, l'una pubblica per i creditori e l'altra riservata per il garante, è il reperto che meglio fotografa la natura del ponte tra i Domini 5 e 6, Livello A.</w:t>
      </w:r>
    </w:p>
    <w:p>
      <w:pPr>
        <w:spacing w:after="120" w:line="276"/>
        <w:jc w:val="both"/>
      </w:pPr>
      <w:r>
        <w:rPr>
          <w:rFonts w:ascii="Barlow Semi Condensed" w:cs="Barlow Semi Condensed" w:eastAsia="Barlow Semi Condensed" w:hAnsi="Barlow Semi Condensed"/>
          <w:sz w:val="24"/>
          <w:szCs w:val="24"/>
        </w:rPr>
        <w:t xml:space="preserve">Terzo anello: la fuga, che le ricostruzioni giudiziarie romane e londinesi hanno restituito passo per passo. L'11 giugno 1982 Calvi lascia Roma; munito di un passaporto falso intestato a Gian Roberto Calvini, attraversa il confine e raggiunge Londra con scali ed appoggi tra Trieste, l'Austria ed un volo charter, accompagnato e assistito da faccendieri e contrabbandieri il cui novero è consegnato agli atti del processo romano; alloggia in un residence di Chelsea; la sera del 17 giugno, a Milano, la sua segretaria personale Graziella Corrocher precipita da una finestra della sede del Banco lasciando uno scritto di accusa verso il presidente, e l'inchiesta ne qualifica la morte quale suicidio; all'alba del 18 giugno il corpo di Calvi pende dal ponteggio dei Blackfriars, i tasconi appesantiti di mattoni e di valuta, Livello A sull'intera sequenza materiale. Quarto anello: il doppio verdetto inglese, prima il suicidio, poi, nel giugno 1983, il verdetto aperto che lo revoca senza sostituirlo; indi, 15 anni dopo, l'esumazione e la perizia collegiale del 1998, che giudica il quadro lesivo e le tracce incompatibili con l'impiccagione autoinflitta dal ponteggio e compatibili con l'omicidio, elevando la qualificazione omicidiaria al grado che il capitolo ha già dichiarato, Livello B tecnico convergente. Quinto anello: il processo. Chiamati a rispondere dell'omicidio quali mandanti od organizzatori Giuseppe Calò, Flavio Carboni ed Ernesto Diotallevi, con altri, la Corte d'Assise di Roma, il 6 giugno 2007, li assolse, per i 3 predetti ai sensi del capoverso dell'articolo 530 del codice di rito, per insufficienza e contraddittorietà della prova, con formule pienamente liberatorie per i restanti; la Corte d'Assise d'appello confermò nel 2010 e la Corte di cassazione rese irrevocabili le assoluzioni nel novembre 2011, Livello A, che il registro riporta per esteso in ossequio alla propria regola: nessuno è stato condannato per la morte di Roberto Calvi.</w:t>
      </w:r>
    </w:p>
    <w:p>
      <w:pPr>
        <w:spacing w:after="120" w:line="276"/>
        <w:jc w:val="both"/>
      </w:pPr>
      <w:r>
        <w:rPr>
          <w:rFonts w:ascii="Barlow Semi Condensed" w:cs="Barlow Semi Condensed" w:eastAsia="Barlow Semi Condensed" w:hAnsi="Barlow Semi Condensed"/>
          <w:sz w:val="24"/>
          <w:szCs w:val="24"/>
        </w:rPr>
        <w:t xml:space="preserve">Chiude il capitolo una digressione che non è ornamento ma profilassi. Il ponte dei Frati Neri, con il suo nome da romanzo gotico, la loggia che nei rituali si dice frate nero, i mattoni nelle tasche: raramente una morte ha offerto alla sovrainterpretazione un apparecchio simbolico così completo, e la pubblicistica non ha resistito. Il registro sì, e dichiara perché con le parole di un semiologo che di complotti fu il più grande anatomista: chi ha letto Il pendolo di Foucault sa che il delirio ermeneutico comincia esattamente dove il dettaglio smette di essere indizio e diventa simbolo, dove la ruggine sulle scarpe conta meno del nome del ponte. Il paradigma indiziario di Ginzburg lavora sulla ruggine, non sull'araldica: e infatti fu l'assenza di ruggine e di tracce del ponteggio sulle suole, accertata dalla perizia del 1998, non la suggestione dei frati neri, a spostare il grado della qualificazione omicidiaria. La lezione vale per l'intero registro: ogni volta che un nome evocativo, una data cabalistica, una coincidenza scenografica sollecitano l'interpretazione, il metodo prescrive di tornare alla domanda del perito, che cosa dicono le suole, e di lasciare l'araldica ai romanzieri, che ne fanno miglior uso.</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sz w:val="24"/>
          <w:szCs w:val="24"/>
        </w:rPr>
        <w:t xml:space="preserve">La coda patrimoniale della vicenda chiude il quadro con 2 date. Il 6 agosto 1982 il Banco Ambrosiano fu posto in liquidazione coatta amministrativa, con un'esposizione verso le consociate estere dell'ordine di 1,2 miliardi di dollari che i commissari accertarono irrecuperabile nella sua parte maggiore; contestualmente nacque, per conferimento delle attività sane, il Nuovo Banco Ambrosiano, affidato alla presidenza del giurista e banchiere Giovanni Bazoli, che ne guidò la ricostruzione, Livello A sull'intera operazione. La velocità della transizione, 7 settimane dalla morte del presidente alla rifondazione dell'istituto, è essa stessa un dato morfologico: il sistema bancario italiano espulse il corpo malato e ne riassorbì le funzioni con un'efficienza che nulla, nella gestione del quinquennio precedente, aveva lasciato presagire, a dimostrazione che la lentezza dei controlli non era stata incapacità del sistema, ma sospensione localizzata dei suoi anticorpi. Dove la rete di protezione venne meno, la fisiologia istituzionale riprese immediatamente il proprio corso: ed il contrasto tra i 2 tempi, il quinquennio dell'anomalia tollerata ed il bimestre della normalizzazione compiuta, resta la misura più esatta di quanto la protezione fosse valsa.</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Calvi è certificato al Livello A quale ponte tra i Domini 4, 5, 6 e 8, con l'operazione Rizzoli-Corriere quale arco di transito paradigmatico tra finanza e informazione; la natura omicidiaria della morte è elevata al Livello A per triangolazione peritale-giudiziaria, mentre l'attribuzione soggettiva dell'omicidio resta al Livello C in forza delle assoluzioni definitive; la spoliazione della borsa è marcata quale fatto certo dal contenuto indeducibile.</w:t>
      </w:r>
    </w:p>
    <w:p>
      <w:pPr>
        <w:pStyle w:val="Heading3"/>
        <w:spacing w:after="80" w:before="160"/>
      </w:pPr>
      <w:r>
        <w:rPr>
          <w:rFonts w:ascii="Barlow Semi Condensed" w:cs="Barlow Semi Condensed" w:eastAsia="Barlow Semi Condensed" w:hAnsi="Barlow Semi Condensed"/>
          <w:sz w:val="24"/>
          <w:szCs w:val="24"/>
        </w:rPr>
        <w:t xml:space="preserve">Capitolo 6 — ◆ L'Istituto per le Opere di Religione e ▶ Paul Marcinkus. Il ponte istituzionale tra il Dominio della fede ed il Dominio del denaro</w:t>
      </w:r>
    </w:p>
    <w:p>
      <w:pPr>
        <w:spacing w:after="120" w:line="276"/>
        <w:jc w:val="both"/>
      </w:pPr>
      <w:r>
        <w:rPr>
          <w:rFonts w:ascii="Barlow Semi Condensed" w:cs="Barlow Semi Condensed" w:eastAsia="Barlow Semi Condensed" w:hAnsi="Barlow Semi Condensed"/>
          <w:sz w:val="24"/>
          <w:szCs w:val="24"/>
        </w:rPr>
        <w:t xml:space="preserve">Con il presente capitolo il registro passa da un nodo individuale ad un nodo istituzionale, e la differenza di natura impone una differenza di disciplina: un'istituzione non delinque, non testimonia e non muore; agiscono, testimoniano e muoiono gli uomini che la occupano; e tuttavia la rete registra l'istituzione quale nodo autonomo, perché la sua persistenza eccede le biografie e perché gli archi che la toccano sopravvivono al ricambio degli occupanti. L'Istituto per le Opere di Religione, fondato con chirografo di Pio XII il 27 giugno 1942 sulle strutture della preesistente Amministrazione per le Opere di Religione, è l'ente centrale del Dominio 5 sul versante finanziario: non una banca in senso tecnico, ma un istituto con sede nello Stato della Città del Vaticano, sottratto alla vigilanza italiana, destinato alla custodia ed all'amministrazione di beni finalizzati ad opere di religione. La scansione del corpus registra la sigla 1746 volte in 40 documenti, ed il nome del suo presidente dell'epoca, l'arcivescovo statunitense Paul Casimir Marcinkus, nato a Cicero, Illinois, il 15 gennaio 1922 e morto a Sun City, Arizona, il 20 febbraio 2006, 408 volte in 10 documenti.</w:t>
      </w:r>
    </w:p>
    <w:p>
      <w:pPr>
        <w:spacing w:after="120" w:line="276"/>
        <w:jc w:val="both"/>
      </w:pPr>
      <w:r>
        <w:rPr>
          <w:rFonts w:ascii="Barlow Semi Condensed" w:cs="Barlow Semi Condensed" w:eastAsia="Barlow Semi Condensed" w:hAnsi="Barlow Semi Condensed"/>
          <w:sz w:val="24"/>
          <w:szCs w:val="24"/>
        </w:rPr>
        <w:t xml:space="preserve">Il perimetro certificato del nodo si costruisce per sottrazione dalle molte leggende che lo circondano, ed il registro procede perciò dai documenti più solidi verso l'esterno. Il primo cerchio, di Livello A, comprende i fatti coperti da documentazione negoziale e da convergenza istituzionale bilaterale. Lo IOR fu azionista del Banco Ambrosiano e controparte stabile del suo circuito estero; emise, il 1 settembre 1981, a firma dei propri vertici, le lettere di patronage indirizzate alle banche creditrici, dichiaranti il controllo diretto o indiretto dell'Istituto su un gruppo di società estere, panamensi e lussemburghesi, debitrici verso il circuito Ambrosiano per centinaia di milioni di dollari, e ricevette contestualmente da Calvi la contro-lettera riservata che sollevava l'Istituto da ogni responsabilità e fissava al 30 giugno 1982 il termine dell'impegno; a dissesto conclamato, il negoziato tra la parte italiana, le banche creditrici e la Santa Sede condusse all'accordo sottoscritto a Ginevra il 25 maggio 1984, in forza del quale lo IOR versò ai creditori dell'Ambrosiano la somma di circa 244 milioni di dollari, espressamente qualificata quale contributo volontario, senza riconoscimento di responsabilità. A questo cerchio appartiene altresì l'istituzione, nel 1982, della commissione mista italo-vaticana di studio sul dissesto, i cui lavori si chiusero senza conclusioni condivise: le 2 delegazioni depositarono valutazioni divergenti, e la divergenza stessa è un dato certificato al Livello A. Il pagamento di 244 milioni a titolo volontario da parte di un ente che nega ogni responsabilità è, nel lessico del registro, un reperto anfibologico: prova con certezza l'esistenza di un coinvolgimento che le parti stesse giudicarono meritevole di composizione onerosa, e non prova, da solo, la qualificazione giuridica di tale coinvolgimento.</w:t>
      </w:r>
    </w:p>
    <w:p>
      <w:pPr>
        <w:spacing w:after="120" w:line="276"/>
        <w:jc w:val="both"/>
      </w:pPr>
      <w:r>
        <w:rPr>
          <w:rFonts w:ascii="Barlow Semi Condensed" w:cs="Barlow Semi Condensed" w:eastAsia="Barlow Semi Condensed" w:hAnsi="Barlow Semi Condensed"/>
          <w:sz w:val="24"/>
          <w:szCs w:val="24"/>
        </w:rPr>
        <w:t xml:space="preserve">Il secondo cerchio, di Livello A sul piano dei fatti processuali e proprio per questo negativo sul piano delle responsabilità, è il capitolo giudiziario di Marcinkus. Nel febbraio 1987 la magistratura milanese emise mandati di cattura per concorso in bancarotta fraudolenta nei confronti di Marcinkus e dei dirigenti dello IOR Luigi Mennini e Pellegrino de Strobel; il 17 luglio 1987 la Corte di cassazione annullò i provvedimenti per difetto di giurisdizione, in applicazione dell'articolo 11 del Trattato lateranense, che sottrae gli enti centrali della Chiesa ad ogni ingerenza dello Stato italiano; Marcinkus, che nel frattempo non lasciava lo Stato vaticano, non fu mai processato, lasciò la presidenza dell'Istituto nel 1989 e si ritirò negli Stati Uniti. Il registro certifica dunque al Livello A il fatto che nessuna responsabilità penale individuale dei vertici IOR è mai stata accertata in giudizio, e certifica al medesimo livello che tale mancato accertamento discende non da una valutazione di merito, ma da una barriera giurisdizionale di rango pattizio: la distinzione è essenziale, perché consegna al registro un caso puro di ciò che la Parte V della Nota Metodologica considera lacuna strutturale della conoscenza, un punto della rete in cui l'accertamento non è mancato per difetto di indizi, ma è stato reso impossibile per architettura istituzionale. Nel linguaggio dei pattern, è un buco strutturale di natura normativa, e come tale viene registrato senza essere colmato.</w:t>
      </w:r>
    </w:p>
    <w:p>
      <w:pPr>
        <w:spacing w:after="120" w:line="276"/>
        <w:jc w:val="both"/>
      </w:pPr>
      <w:r>
        <w:rPr>
          <w:rFonts w:ascii="Barlow Semi Condensed" w:cs="Barlow Semi Condensed" w:eastAsia="Barlow Semi Condensed" w:hAnsi="Barlow Semi Condensed"/>
          <w:sz w:val="24"/>
          <w:szCs w:val="24"/>
        </w:rPr>
        <w:t xml:space="preserve">Il terzo cerchio comprende le connessioni di Livello B: il rapporto storico con il circuito Sindona, documentato dalla partecipazione dell'Istituto nella Finabank ginevrina e dalle operazioni degli anni 60, certificato al Livello A quanto ai rapporti societari ed al Livello B quanto al ruolo personale di Marcinkus, la cui presidenza inizia nel 1971, dopo la stagione principale degli affari sindoniani con l'Istituto; le operazioni incrociate di azioni, i cosiddetti depositi back-to-back e le partite fiduciarie tra IOR e consociate Ambrosiano, ricostruite dalla liquidazione e dalla commissione mista con esiti valutativi divergenti; e le dichiarazioni di collaboratori di giustizia che negli anni 90 indicarono l'Istituto quale terminale di capitali mafiosi, in particolare le dichiarazioni di Francesco Marino Mannoia sul riciclaggio di fondi di Cosa Nostra attraverso il canale Calvi-IOR, che il registro, in applicazione rigorosa del criterio di indipendenza genealogica, mantiene al Livello B, trattandosi di fonte dichiarativa riscontrata su elementi di contorno ma priva di riscontro contabile individualizzante sull'ultimo segmento del flusso.</w:t>
      </w:r>
    </w:p>
    <w:p>
      <w:pPr>
        <w:spacing w:after="120" w:line="276"/>
        <w:jc w:val="both"/>
      </w:pPr>
      <w:r>
        <w:rPr>
          <w:rFonts w:ascii="Barlow Semi Condensed" w:cs="Barlow Semi Condensed" w:eastAsia="Barlow Semi Condensed" w:hAnsi="Barlow Semi Condensed"/>
          <w:sz w:val="24"/>
          <w:szCs w:val="24"/>
        </w:rPr>
        <w:t xml:space="preserve">Il quarto cerchio, di Livello C, raccoglie le ipotesi investigative che la pubblicistica ha stratificato sul nodo e che il registro espone al solo fine di marcarne il livello: l'ipotesi di un ruolo dell'Istituto nel finanziamento di movimenti sindacali e politici nell'Europa orientale nei primi anni 80, fondata su fonti giornalistiche e memorialistiche prive di catena documentale autonoma; l'ipotesi di collegamenti tra il dissesto Ambrosiano e forniture d'armi sudamericane, di analoga consistenza; e le ipotesi sul movente vaticano nella morte di Calvi, che la lettera del 5 giugno 1982, già esaminata, suggerisce e non prova. Per ciascuna di esse il registro indica la condizione di promozione: l'emersione di documentazione contabile o archivistica genealogicamente indipendente dalle narrazioni che le hanno generate.</w:t>
      </w:r>
    </w:p>
    <w:p>
      <w:pPr>
        <w:spacing w:after="120" w:line="276"/>
        <w:jc w:val="both"/>
      </w:pPr>
      <w:r>
        <w:rPr>
          <w:rFonts w:ascii="Barlow Semi Condensed" w:cs="Barlow Semi Condensed" w:eastAsia="Barlow Semi Condensed" w:hAnsi="Barlow Semi Condensed"/>
          <w:sz w:val="24"/>
          <w:szCs w:val="24"/>
        </w:rPr>
        <w:t xml:space="preserve">Il nodo istituzionale va infine collocato nella morfologia complessiva della rete. Lo IOR è, per costruzione, un condensatore di buchi strutturali nel senso di Burt: situato entro un ordinamento sovrano distinto, esente da vigilanza esterna, dotato di segreto proprio, esso occupa la posizione dell'intermediario che connette senza poter essere attraversato dallo sguardo, e questa posizione, prima ed indipendentemente da ogni condotta, genera rendita di intermediazione ed attrattività per ogni flusso bisognoso di opacità. È la lezione strutturale del capitolo: la rete non richiede che il contenitore sia complice; le basta che sia impermeabile. Le riforme della vigilanza vaticana intervenute nei decenni successivi, dalla legge antiriciclaggio vaticana del 2010 all'istituzione dell'Autorità di Informazione Finanziaria, modificano precisamente questo parametro strutturale, e la loro esistenza conferma, per implicito riconoscimento dell'ordinamento interessato, la diagnosi che precede.</w:t>
      </w:r>
    </w:p>
    <w:p>
      <w:pPr>
        <w:spacing w:after="120" w:line="276"/>
        <w:jc w:val="both"/>
      </w:pPr>
      <w:r>
        <w:rPr>
          <w:rFonts w:ascii="Barlow Semi Condensed" w:cs="Barlow Semi Condensed" w:eastAsia="Barlow Semi Condensed" w:hAnsi="Barlow Semi Condensed"/>
          <w:sz w:val="24"/>
          <w:szCs w:val="24"/>
        </w:rPr>
        <w:t xml:space="preserve">Al perimetro per cerchi il capitolo aggiunge ora la persona del presidente, perché il nodo istituzionale ebbe per 2 decenni un volto, e quel volto ha una biografia documentale. Paul Casimir Marcinkus, nato a Cicero, nell'Illinois, il 15 gennaio 1922 da immigrati lituani, cresciuto nel sobborgo che la cronaca americana associa al dominio di Al Capone, circostanza che il registro annota quale pura geografia e non quale genealogia, salì la carriera curiale per la via del servizio diplomatico e della prossimità fisica ai pontefici: organizzatore dei viaggi papali, ne divenne l'ombra protettiva, e la cronaca gli attribuì un ruolo nel neutralizzare l'aggressione portata a Paolo VI a Manila il 27 novembre 1970, Livello B quanto alla dinamica, convergente nelle fonti. Presidente dell'Istituto dal 1971, Marcinkus cumulò a quella carica la presenza nel consiglio di amministrazione della banca di Nassau del gruppo Calvi, la consociata delle Bahamas nella quale l'Istituto deteneva una partecipazione: la compresenza del medesimo ecclesiastico al vertice del garante e nel consiglio del garantito è il fatto documentale che meglio spiega, senza bisogno di alcuna ipotesi ulteriore, la genesi delle lettere di patronage, Livello A quanto alle cariche.</w:t>
      </w:r>
    </w:p>
    <w:p>
      <w:pPr>
        <w:spacing w:after="120" w:line="276"/>
        <w:jc w:val="both"/>
      </w:pPr>
      <w:r>
        <w:rPr>
          <w:rFonts w:ascii="Barlow Semi Condensed" w:cs="Barlow Semi Condensed" w:eastAsia="Barlow Semi Condensed" w:hAnsi="Barlow Semi Condensed"/>
          <w:sz w:val="24"/>
          <w:szCs w:val="24"/>
        </w:rPr>
        <w:t xml:space="preserve">La vicenda giudiziaria del 1987 va a sua volta restituita con i nomi e con la ratio. Il 20 febbraio 1987 la magistratura milanese emise mandati di cattura nei confronti di Marcinkus, del delegato Luigi Mennini e del capo contabile Pellegrino de Strobel per concorso nella bancarotta dell'Ambrosiano; il 17 luglio 1987 la Corte di cassazione annullò i provvedimenti dichiarando il difetto di giurisdizione dello Stato italiano, sul fondamento dell'articolo 11 del Trattato lateranense, che sottrae ad ogni ingerenza gli enti centrali della Chiesa cattolica, categoria nella quale l'Istituto fu ricondotto; ne seguì l'improcedibilità, sicché nessuno dei 3 fu mai processato in Italia, Livello A. Il registro segnala al lettore la portata sistemica del precedente: esso non afferma l'innocenza, afferma l'ingiudicabilità, e disegna attorno al nodo un confine che non è probatorio ma ordinamentale. Nel linguaggio della Nota metodologica, l'arco tra il Dominio 10 e la componente vaticana del Dominio 5 risulta qui interrotto non da un'assenza di prova ma da una norma di sbarramento: un buco strutturale di diritto positivo, caso unico nell'intero registro, che ogni analisi della impermeabilità dell'Istituto deve assumere quale variabile indipendente.</w:t>
      </w:r>
    </w:p>
    <w:p>
      <w:pPr>
        <w:spacing w:after="120" w:line="276"/>
        <w:jc w:val="both"/>
      </w:pPr>
      <w:r>
        <w:rPr>
          <w:rFonts w:ascii="Barlow Semi Condensed" w:cs="Barlow Semi Condensed" w:eastAsia="Barlow Semi Condensed" w:hAnsi="Barlow Semi Condensed"/>
          <w:sz w:val="24"/>
          <w:szCs w:val="24"/>
        </w:rPr>
        <w:t xml:space="preserve">Il decennio successivo consegna infine la trasformazione. Nel 1989 Marcinkus lasciò la presidenza; il 1° marzo 1990 il chirografo pontificio rifondò l'Istituto affidandone la gestione ad un consiglio di sovrintendenza laico presieduto dal banchiere Angelo Caloia, primo esperimento di normalizzazione tecnica di un organismo sino ad allora governato per via ecclesiastica, Livello A. L'accordo di Ginevra del 25 maggio 1984, già certificato, va qui riletto nella sua formula esatta, che è un piccolo capolavoro di diplomazia dell'ambiguità: l'Istituto versò 244 milioni di dollari alle banche creditrici a titolo di contributo volontario e con espressa esclusione di ogni riconoscimento di responsabilità, sicché il medesimo atto che chiuse la partita patrimoniale lasciò intatta, per volontà bilaterale delle parti, la partita della qualificazione, Livello A. Marcinkus tornò negli Stati Uniti alla metà degli anni 90 e morì a Sun City, in Arizona, il 20 febbraio 2006, senza essere mai stato giudicato da alcuna corte: il nodo umano si spense lasciando al registro il nodo istituzionale, che è, per costruzione luhmanniana, la vera unità di analisi di questo capitolo. Un sistema che comunica nel codice della salvezza non può essere interrogato nel codice della colpevolezza se l'ordinamento non predispone l'accoppiamento strutturale, ed il 1987 certificò che quell'accoppiamento, per gli enti centrali, non esiste: tutto il resto, comprese le leggende, discende da questo teorema.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sz w:val="24"/>
          <w:szCs w:val="24"/>
        </w:rPr>
        <w:t xml:space="preserve">Un ultimo tassello istituzionale merita registrazione: la commissione internazionale di esperti che la Santa Sede nominò nell'estate del 1982, all'indomani del crollo, affidando a 4 personalità indipendenti della finanza internazionale l'esame dei rapporti tra l'Istituto ed il gruppo Ambrosiano, Livello A quanto all'istituzione dell'organo. Fu l'unico procedimento di accertamento interno che l'ordinamento vaticano abbia attivato sulla vicenda, e la sua natura, tecnica e non giurisdizionale, riservata e non pubblica, conferma per l'ennesima via il teorema che questo capitolo ha posto a proprio fondamento: l'Istituto può essere esaminato soltanto nel codice che il proprio ordinamento predispone, ed il codice predisposto fu quello della due diligence, non quello del processo. Il registro ne trae la conseguenza metodologica dovuta: sul nodo IOR, l'asimmetria informativa non è un accidente della ricerca ma una proprietà strutturale dell'oggetto, e ogni futura apertura degli archivi vaticani sul punto andrà trattata, quando avvenga, con la disciplina che la Fase 5 riserva alle aperture archivistiche tardive, le quali illuminano sempre, insieme al contenuto, le ragioni della loro tempistica.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IOR è certificato al Livello A quale ponte istituzionale tra i Domini 5 e 6 sul fondamento delle lettere di patronage, della contro-lettera di manleva e dell'accordo di Ginevra del 1984 con versamento di 244 milioni di dollari a titolo volontario; è certificata al Livello A l'assenza di ogni accertamento penale individuale, determinata dalla barriera giurisdizionale dell'articolo 11 del Trattato lateranense e registrata quale buco strutturale normativo; le connessioni con il riciclaggio mafioso restano al Livello B e le ipotesi ulteriori al Livello C, con condizioni di promozione esplicitate.</w:t>
      </w:r>
    </w:p>
    <w:p>
      <w:pPr>
        <w:pStyle w:val="Heading3"/>
        <w:spacing w:after="80" w:before="160"/>
      </w:pPr>
      <w:r>
        <w:rPr>
          <w:rFonts w:ascii="Barlow Semi Condensed" w:cs="Barlow Semi Condensed" w:eastAsia="Barlow Semi Condensed" w:hAnsi="Barlow Semi Condensed"/>
          <w:sz w:val="24"/>
          <w:szCs w:val="24"/>
        </w:rPr>
        <w:t xml:space="preserve">Capitolo 7 — ▶ Giuseppe Calò. Il cassiere di Cosa Nostra e l'arco certificato tra mafia e strage</w:t>
      </w:r>
    </w:p>
    <w:p>
      <w:pPr>
        <w:spacing w:after="120" w:line="276"/>
        <w:jc w:val="both"/>
      </w:pPr>
      <w:r>
        <w:rPr>
          <w:rFonts w:ascii="Barlow Semi Condensed" w:cs="Barlow Semi Condensed" w:eastAsia="Barlow Semi Condensed" w:hAnsi="Barlow Semi Condensed"/>
          <w:sz w:val="24"/>
          <w:szCs w:val="24"/>
        </w:rPr>
        <w:t xml:space="preserve">Giuseppe Calò, detto Pippo, nato a Palermo il 30 settembre 1931, capo della famiglia mafiosa di Porta Nuova, è il nodo attraverso il quale il registro certifica al massimo livello il ponte più controverso dell'intera tassonomia: l'arco che collega il Dominio 1 della criminalità organizzata al Dominio 7 del terrorismo stragista. La scansione del corpus lo registra 402 volte in 15 documenti, ed il suo profilo riunisce in 1 sola biografia le 3 funzioni che la letteratura criminologica attribuisce di norma a nodi distinti: il comando militare-territoriale, la gestione finanziaria e la proiezione extra-regionale.</w:t>
      </w:r>
    </w:p>
    <w:p>
      <w:pPr>
        <w:spacing w:after="120" w:line="276"/>
        <w:jc w:val="both"/>
      </w:pPr>
      <w:r>
        <w:rPr>
          <w:rFonts w:ascii="Barlow Semi Condensed" w:cs="Barlow Semi Condensed" w:eastAsia="Barlow Semi Condensed" w:hAnsi="Barlow Semi Condensed"/>
          <w:sz w:val="24"/>
          <w:szCs w:val="24"/>
        </w:rPr>
        <w:t xml:space="preserve">Il primo pilastro probatorio è il maxiprocesso di Palermo. Istruito dal pool antimafia sulla base del teorema Buscetta, vale a dire della ricostruzione unitaria di Cosa Nostra quale organizzazione verticistica dotata di una Commissione deliberante, il maxiprocesso si aprì il 10 febbraio 1986 nell'aula bunker dell'Ucciardone e si chiuse in primo grado l'11 dicembre 1987 con 342 condanne; la sentenza della Corte di cassazione del 30 gennaio 1992, che respinse l'impostazione riduttiva dell'appello e consacrò definitivamente il teorema accusatorio, è l'atto giudiziario fondativo dell'intera conoscenza contemporanea sul Dominio 1, e per Calò, membro della Commissione, comportò la condanna definitiva quale capo-mandamento, con le responsabilità deliberative che a tale posizione la sentenza ricollega. Il registro assume la sentenza del 30 gennaio 1992 quale fonte di Livello A per eccellenza, e ne trae, per il nodo Calò, la certificazione della posizione apicale nel Dominio 1.</w:t>
      </w:r>
    </w:p>
    <w:p>
      <w:pPr>
        <w:spacing w:after="120" w:line="276"/>
        <w:jc w:val="both"/>
      </w:pPr>
      <w:r>
        <w:rPr>
          <w:rFonts w:ascii="Barlow Semi Condensed" w:cs="Barlow Semi Condensed" w:eastAsia="Barlow Semi Condensed" w:hAnsi="Barlow Semi Condensed"/>
          <w:sz w:val="24"/>
          <w:szCs w:val="24"/>
        </w:rPr>
        <w:t xml:space="preserve">Il secondo pilastro è la funzione finanziaria, che vale a Calò l'appellativo, riscontrato nelle fonti dichiarative convergenti di Tommaso Buscetta e di altri collaboratori, di cassiere di Cosa Nostra. Trasferitosi stabilmente a Roma sotto false identità sin dagli anni 70, Calò vi opera quale terminale di investimento dei capitali dell'organizzazione, in immobili, società ed operazioni finanziarie, avvalendosi di una rete di prestanome e faccendieri della quale fanno parte, per quanto qui rileva, Ernesto Diotallevi e Danilo Abbruciati, esponenti di vertice della Banda della Magliana, ed il costruttore e faccendiere Flavio Carboni. La convergenza tra le dichiarazioni riscontrate dei collaboratori, gli accertamenti patrimoniali dei processi romani e palermitani ed il sequestro di beni riconducibili al circuito certifica la funzione al Livello A, e disegna il primo dei 2 archi inter-dominio del nodo: l'arco di transito e collusione tra il Dominio 1 ed il Dominio 6 sul teatro romano, che fa di Calò il perno meridionale del sistema che il capitolo 8 osserverà dal versante della Magliana.</w:t>
      </w:r>
    </w:p>
    <w:p>
      <w:pPr>
        <w:spacing w:after="120" w:line="276"/>
        <w:jc w:val="both"/>
      </w:pPr>
      <w:r>
        <w:rPr>
          <w:rFonts w:ascii="Barlow Semi Condensed" w:cs="Barlow Semi Condensed" w:eastAsia="Barlow Semi Condensed" w:hAnsi="Barlow Semi Condensed"/>
          <w:sz w:val="24"/>
          <w:szCs w:val="24"/>
        </w:rPr>
        <w:t xml:space="preserve">Il terzo pilastro, quello che conferisce al nodo il suo valore unico nel registro, è la strage del rapido 904. La sera del 23 dicembre 1984, nella grande galleria dell'Appennino tra Firenze e Bologna, presso San Benedetto Val di Sambro, una carica di esplosivo collocata a bordo del treno rapido 904 Napoli-Milano ed innescata a distanza uccise 16 persone e ne ferì oltre 260: fu la strage detta di Natale, ultimo anello, per collocazione e modalità, della sequenza stragista inaugurata a Piazza Fontana, ma primo anello di una specie nuova, perché l'istruttoria e le sentenze ne attribuirono l'ideazione non ad ambienti neofascisti o ad apparati, bensì al vertice di Cosa Nostra, quale operazione di depistaggio strategico intesa a distogliere la pressione investigativa e normativa che, all'indomani delle rivelazioni di Buscetta e dell'istruttoria del maxiprocesso, si andava abbattendo sull'organizzazione. Per tale strage Giuseppe Calò è stato condannato all'ergastolo con sentenza divenuta irrevocabile, insieme al suo uomo Guido Cercola ed al tecnico tedesco Friedrich Schaudinn, fornitore dei congegni; nel medesimo contesto processuale emersero e furono giudicati i collegamenti con esponenti della camorra e con ambienti dell'estremismo romano. La condanna definitiva di un componente della Commissione di Cosa Nostra per una strage con finalità di terrorismo è, nel sistema del registro, l'arco Dominio 1-Dominio 7 a certificazione piena: non una convergenza indiziaria, non una dichiarazione da vagliare, ma un giudicato. Il registro vi aggiunge una notazione di metodo: la strage del 904 dimostra che la tecnologia stragista, in quanto tecnologia, è trasferibile tra domini, e che l'attribuzione di una strage ad un ambiente non può mai fondarsi sulla sola firma modale, giacché la modalità, qui, fu mutuata deliberatamente da un repertorio altrui proprio per depistare; è la conferma sperimentale del principio, sancito dalla tipologia quadripartita dell'ostruzione che il registro ha documentato, secondo cui il depistaggio è parte integrante dell'evento e non suo accidente.</w:t>
      </w:r>
    </w:p>
    <w:p>
      <w:pPr>
        <w:spacing w:after="120" w:line="276"/>
        <w:jc w:val="both"/>
      </w:pPr>
      <w:r>
        <w:rPr>
          <w:rFonts w:ascii="Barlow Semi Condensed" w:cs="Barlow Semi Condensed" w:eastAsia="Barlow Semi Condensed" w:hAnsi="Barlow Semi Condensed"/>
          <w:sz w:val="24"/>
          <w:szCs w:val="24"/>
        </w:rPr>
        <w:t xml:space="preserve">Il quarto pilastro è negativo, e va esposto con il medesimo rilievo dei positivi: nel processo romano per l'omicidio di Roberto Calvi, Calò, imputato quale mandante, è stato assolto per insufficienza di prove con pronuncia divenuta definitiva nel 2011, come già esposto nel capitolo 5. Il registro certifica dunque al Livello A l'esistenza dei rapporti tra il circuito di Calò e l'entourage dell'ultimo Calvi, attraverso Diotallevi e Carboni, e mantiene al Livello C, quale ipotesi non provata e giudizialmente respinta, la responsabilità nella morte del banchiere. La distinzione, ancora una volta, non è una cautela di stile ma la sostanza stessa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Calò-Diotallevi-Abbruciati, salda la famiglia di Porta Nuova al vertice della Magliana e costituisce il segmento romano dell'arco 1-6, certificato al Livello A dagli accertamenti convergenti dei processi romani e palermitani. La seconda, Calò-Carboni-Calvi, è il triangolo dell'ultima stagione del banchiere, certificato al Livello A quanto ai rapporti ed al Livello C quanto alla morte. La terza, Calò-camorra-estremismo romano, emersa nel processo per il 904, documenta la disponibilità di canali inter-organizzativi per l'approvvigionamento e l'esecuzione, certificata al Livello A nei limiti del giudicato. Sul piano dei pattern, il nodo Calò è il caso di scuola del Pattern 7, l'analisi delle migrazioni: un capo militare palermitano che migra funzionalmente nel dominio finanziario romano senza dismettere la posizione d'origine, e che da tale doppia posizione attinge la capacità, unica, di deliberare una strage come atto di politica criminale.</w:t>
      </w:r>
    </w:p>
    <w:p>
      <w:pPr>
        <w:spacing w:after="120" w:line="276"/>
        <w:jc w:val="both"/>
      </w:pPr>
      <w:r>
        <w:rPr>
          <w:rFonts w:ascii="Barlow Semi Condensed" w:cs="Barlow Semi Condensed" w:eastAsia="Barlow Semi Condensed" w:hAnsi="Barlow Semi Condensed"/>
          <w:sz w:val="24"/>
          <w:szCs w:val="24"/>
        </w:rPr>
        <w:t xml:space="preserve">Alla certificazione dei pilastri il capitolo aggiunge la scansione biografico-processuale che li salda. Il trasferimento romano di Calò, databile alla metà degli anni 70, si svolse sotto l'identità di copertura di Mario Aglialoro, sedicente commerciante, nella quale veste il capo di Porta Nuova visse per un decennio nella capitale intrecciando affari immobiliari e relazioni con il ceto dei faccendieri e con la manovalanza della Magliana, secondo la ricostruzione consegnata alle sentenze romane e palermitane, Livello A. L'arresto giunse il 30 marzo 1985 nella villa di Poggio San Lorenzo, nel Reatino: la perquisizione restituì armi, valori ed esplosivo, e le indagini tecniche stabilirono la compatibilità di quell'esplosivo con la miscela impiegata nell'attentato al rapido 904, saldando il reperto materiale alla strage che il capitolo ha già esposto, Livello A quanto al rinvenimento, Livello B quanto al giudizio di compatibilità nelle sue articolazioni peritali. Il percorso processuale della strage merita a sua volta la sua cronologia: condanna all'ergastolo in primo grado dalla Corte d'Assise di Firenze nel febbraio 1989, giudizio d'appello nel 1990, annullamento parziale con rinvio della Cassazione nel marzo 1991 e, all'esito del giudizio di rinvio, irrevocabilità dell'ergastolo di Calò nel novembre 1992, Livello A; accanto a lui, la condanna definitiva del sodale Guido Cercola, morto poi in carcere, e del tecnico tedesco reclutato per i congegni, Friedrich Schaudinn, Livello A quanto alle condanne. La qualificazione giuridica consegnata dalle motivazioni, strage aggravata dalla finalità di terrorismo commessa da un vertice mafioso in concorso con manovalanza camorristica ed apporti esterni, resta l'unico giudicato della storia repubblicana che saldi formalmente il Dominio 1 al Dominio 7, ed è la ragione per cui questo nodo, e non altri di maggior fama, custodisce l'arco più prezioso dell'intera fase.</w:t>
      </w:r>
    </w:p>
    <w:p>
      <w:pPr>
        <w:spacing w:after="120" w:line="276"/>
        <w:jc w:val="both"/>
      </w:pPr>
      <w:r>
        <w:rPr>
          <w:rFonts w:ascii="Barlow Semi Condensed" w:cs="Barlow Semi Condensed" w:eastAsia="Barlow Semi Condensed" w:hAnsi="Barlow Semi Condensed"/>
          <w:sz w:val="24"/>
          <w:szCs w:val="24"/>
        </w:rPr>
        <w:t xml:space="preserve">Un supplemento è dovuto sul versante romano dei patrimoni, perché il cassiere si certifica dai flussi. Le indagini patrimoniali degli anni 80 ricostruirono un portafoglio immobiliare e societario nella capitale gestito attraverso prestanome e faccendieri, nel quale compaiono figure che il registro ha già incontrato o incontrerà: l'imprenditore sardo Flavio Carboni, il finanziere di borgata Domenico Balducci, ucciso a Roma il 16 ottobre 1981 in un delitto che le sentenze sulla Magliana ricondussero al medesimo circuito d'affari, ed i vertici della banda romana quali soci di servizio, Livello A quanto agli accertamenti patrimoniali e all'omicidio Balducci, nei limiti dei rispettivi giudicati. In questa contabilità sta la funzione semiotica del cassiere, che una digressione può finalmente nominare: nel lessico di Cosa Nostra il cassiere non è un ragioniere, è un convertitore, l'operatore che trasforma la violenza accumulata in capitale relazionale e il capitale in protezione, e la traiettoria romana di Calò, dall'identità fittizia di commerciante all'esplosivo di Poggio San Lorenzo, descrive per intero il ciclo di quella conversione, fino al punto in cui la moneta della violenza tornò ad essere spesa nella sua forma primaria, dentro una galleria ferroviaria, la notte del 23 dicembre 1984.</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sz w:val="24"/>
          <w:szCs w:val="24"/>
        </w:rPr>
        <w:t xml:space="preserve">Alle motivazioni della strage il registro deve un'ultima annotazione, perché esse consegnano il movente accertato e la sua geometria. I giudici collocarono l'attentato del 23 dicembre 1984 nella stagione immediatamente successiva alle rivelazioni di Tommaso Buscetta ed all'ondata di mandati di cattura che ne era seguita, leggendovi una manovra di diversione strategica: colpire nel mucchio per costringere lo Stato a distogliere uomini e risorse dal fronte palermitano, secondo una logica di risposta terroristica alla pressione giudiziaria, Livello A nei limiti delle motivazioni definitive. La geografia rafforza la lettura: l'ordigno esplose nella medesima grande galleria appenninica presso San Benedetto Val di Sambro dove 10 anni prima, il 4 agosto 1974, era stato colpito il treno Italicus, sicché il luogo stesso funzionò da citazione, un richiamo topografico alla stagione stragista che il mittente, quale che ne fosse il calcolo, non poteva ignorare, Livello A quanto alla coincidenza dei luoghi, Livello C quanto ad ogni inferenza sulla intenzionalità della citazione. Il Pattern 10 registra la sovrapposizione spaziale; la Regola Ferrea impedisce di trasformarla in messaggio: ed il registro consegna al lettore entrambe le discipline, l'una accanto all'altra, come il metodo esige.</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Calò è certificato al Livello A quale cerniera tra i Domini 1, 6 e 7, sul fondamento congiunto della sentenza definitiva del maxiprocesso, degli accertamenti patrimoniali romani e dell'ergastolo irrevocabile per la strage del rapido 904, che costituisce l'arco mafia-strage a più alta certificazione dell'intero registro; la responsabilità nella morte di Calvi resta al Livello C in forza dell'assoluzione definitiva, ferma al Livello A l'esistenza dei rapporti con l'entourage del banchiere.</w:t>
      </w:r>
    </w:p>
    <w:p>
      <w:pPr>
        <w:pStyle w:val="Heading3"/>
        <w:spacing w:after="80" w:before="160"/>
      </w:pPr>
      <w:r>
        <w:rPr>
          <w:rFonts w:ascii="Barlow Semi Condensed" w:cs="Barlow Semi Condensed" w:eastAsia="Barlow Semi Condensed" w:hAnsi="Barlow Semi Condensed"/>
          <w:sz w:val="24"/>
          <w:szCs w:val="24"/>
        </w:rPr>
        <w:t xml:space="preserve">Capitolo 8 — ◆ La Banda della Magliana. La piattaforma di servizio inter-dominio della capitale</w:t>
      </w:r>
    </w:p>
    <w:p>
      <w:pPr>
        <w:spacing w:after="120" w:line="276"/>
        <w:jc w:val="both"/>
      </w:pPr>
      <w:r>
        <w:rPr>
          <w:rFonts w:ascii="Barlow Semi Condensed" w:cs="Barlow Semi Condensed" w:eastAsia="Barlow Semi Condensed" w:hAnsi="Barlow Semi Condensed"/>
          <w:sz w:val="24"/>
          <w:szCs w:val="24"/>
        </w:rPr>
        <w:t xml:space="preserve">La Banda della Magliana, denominazione giudiziaria e giornalistica dell'organizzazione criminale romana attiva dalla seconda metà degli anni 70 alla fine degli anni 80, occupa nel registro una posizione che nessuna organizzazione meridionale può occupare: non un'organizzazione territoriale a fini propri, ma una piattaforma di servizio, un fornitore trasversale di prestazioni criminali, armi, denaro, custodia, esecuzioni, disponibile a committenti appartenenti a domini diversi. La scansione del corpus la registra 561 volte in 28 documenti, ed il suo interesse per l'opera risiede meno nella sua storia interna, pur documentata da un ciclo processuale ventennale, che nella mappa dei suoi archi esterni, i quali toccano, con gradi diversi di certificazione, i Domini 1, 3, 4, 5, 6 e 7: nessun altro nodo criminale italiano presenta un ventaglio comparabile.</w:t>
      </w:r>
    </w:p>
    <w:p>
      <w:pPr>
        <w:spacing w:after="120" w:line="276"/>
        <w:jc w:val="both"/>
      </w:pPr>
      <w:r>
        <w:rPr>
          <w:rFonts w:ascii="Barlow Semi Condensed" w:cs="Barlow Semi Condensed" w:eastAsia="Barlow Semi Condensed" w:hAnsi="Barlow Semi Condensed"/>
          <w:sz w:val="24"/>
          <w:szCs w:val="24"/>
        </w:rPr>
        <w:t xml:space="preserve">La struttura interna, quale risulta dal processo principale celebrato a Roma negli anni 90 sulla base delle dichiarazioni riscontrate dei collaboratori interni, primo fra tutti Maurizio Abbatino, e chiusosi con condanne definitive per associazione ed una lunga serie di fatti di sangue, era orizzontale e batteriale: batterie territoriali, quella della Magliana propriamente detta, quella di Testaccio ed Ostiense facente capo a Danilo Abbruciati ed Enrico De Pedis, quella dell'Acilia, federate attorno alla cassa comune, alla stanza di compensazione delle armi ed alla regola della spartizione. Il registro certifica al Livello A l'esistenza, la struttura e l'operatività dell'organizzazione, sul fondamento della convergenza tra giudicati, dichiarazioni riscontrate e riscontri materiali, tra i quali spicca, per il suo valore di ponte, il rinvenimento, nel 1981, dell'arsenale della banda occultato nei sotterranei del Ministero della Sanità: un deposito di armi comuni e da guerra custodito, per il tramite di un dipendente compiacente, entro un edificio dello Stato, circostanza che il registro classifica quale arco di infiltrazione logistica di Livello A e quale emblema materiale della porosità tra il dominio criminale e l'apparato pubblico capitolino. Dal medesimo arsenale, secondo gli accertamenti balistici e processuali del ciclo romano, provennero armi utilizzate in delitti eccellenti, e su 1 di tali tracciati balistici, quello relativo all'arma riferibile all'omicidio di Carmine Pecorelli, si tornerà tra breve con la cautela dovuta.</w:t>
      </w:r>
    </w:p>
    <w:p>
      <w:pPr>
        <w:spacing w:after="120" w:line="276"/>
        <w:jc w:val="both"/>
      </w:pPr>
      <w:r>
        <w:rPr>
          <w:rFonts w:ascii="Barlow Semi Condensed" w:cs="Barlow Semi Condensed" w:eastAsia="Barlow Semi Condensed" w:hAnsi="Barlow Semi Condensed"/>
          <w:sz w:val="24"/>
          <w:szCs w:val="24"/>
        </w:rPr>
        <w:t xml:space="preserve">Gli archi esterni vanno esposti dominio per dominio, ciascuno con il proprio livello. Verso il Dominio 1, l'arco è la giuntura con Cosa Nostra attraverso Giuseppe Calò, già certificata al Livello A nel capitolo 7: la Magliana offre al cassiere palermitano custodia di latitanti, disponibilità immobiliari, canali di investimento; riceve credito, droga, peso criminale. Verso il Dominio 7, gli archi sono 2 e di segno diverso. Il primo è il rapporto organico con l'estremismo nero romano dei Nuclei Armati Rivoluzionari: la contiguità tra la batteria di Testaccio ed esponenti dei NAR, primo fra tutti Massimo Carminati, è certificata al Livello A da giudicati che hanno accertato lo scambio di armi, la comune frequentazione dell'arsenale ministeriale e singoli fatti esecutivi in concorso; è questo l'arco che rese materialmente comunicanti, nella Roma a cavallo del 1980, la criminalità comune organizzata e l'eversione armata, e che costituisce uno dei reperti strutturali maggiori dell'intera rete. Il secondo arco verso il Dominio 7 è quello, già menzionato nel capitolo 1, che passa per il depistaggio della strage di Bologna: la vicenda della valigetta collocata sul treno Taranto-Milano nel gennaio 1981, per la quale sono intervenute le condanne definitive di Musumeci, Belmonte, Pazienza e Gelli, vide accertato l'apporto di manovalanza dell'area Magliana-estremismo romano nella fase materiale, e salda dunque, al Livello A nei limiti dei giudicati, la piattaforma criminale romana all'operazione di inquinamento condotta da uomini del servizio militare e dal vertice della loggia: è il quadrilatero Dominio 1-Dominio 3-Dominio 4-Dominio 7 condensato in 1 solo fatto storico.</w:t>
      </w:r>
    </w:p>
    <w:p>
      <w:pPr>
        <w:spacing w:after="120" w:line="276"/>
        <w:jc w:val="both"/>
      </w:pPr>
      <w:r>
        <w:rPr>
          <w:rFonts w:ascii="Barlow Semi Condensed" w:cs="Barlow Semi Condensed" w:eastAsia="Barlow Semi Condensed" w:hAnsi="Barlow Semi Condensed"/>
          <w:sz w:val="24"/>
          <w:szCs w:val="24"/>
        </w:rPr>
        <w:t xml:space="preserve">Verso il Dominio 3, oltre al segmento bolognese appena detto, il registro annota i rapporti tra singoli esponenti della banda ed uomini o collaboratori dei servizi, emersi in plurimi procedimenti: per la parte coperta da giudicato o da convergenza documentale piena vale il Livello A dei singoli episodi; per la parte affidata a dichiarazioni non riscontrate di collaboratori tardivi, il registro applica l'Indice di Contaminazione della Fonte e mantiene il Livello C, rifiutando la scorciatoia, frequentissima nella pubblicistica, che dalla contiguità episodica inferisce l'organicità. Verso il Dominio 6, l'arco è il riciclaggio e l'usura di alto livello sul mercato romano, con la penetrazione in società, esercizi e circuiti finanziari capitolini, certificata al Livello A dal ciclo processuale patrimoniale. Verso il Dominio 2, gli atti registrano contiguità ambientali e protezioni episodiche emerse nei processi, che il registro mantiene al Livello B, non essendo intervenuto alcun giudicato su rapporti organici tra la banda e personale politico.</w:t>
      </w:r>
    </w:p>
    <w:p>
      <w:pPr>
        <w:spacing w:after="120" w:line="276"/>
        <w:jc w:val="both"/>
      </w:pPr>
      <w:r>
        <w:rPr>
          <w:rFonts w:ascii="Barlow Semi Condensed" w:cs="Barlow Semi Condensed" w:eastAsia="Barlow Semi Condensed" w:hAnsi="Barlow Semi Condensed"/>
          <w:sz w:val="24"/>
          <w:szCs w:val="24"/>
        </w:rPr>
        <w:t xml:space="preserve">Il ponte verso il Dominio 5 esige il massimo della disciplina, perché è il più esposto alla suggestione. Il fatto certo è il seguente: Enrico De Pedis, detto Renatino, capo della batteria di Testaccio, ucciso a Roma il 2 febbraio 1990, fu sepolto nella basilica di Sant'Apollinare, adiacente alla scuola frequentata da Emanuela Orlandi, la cittadina vaticana quindicenne scomparsa il 22 giugno 1983, e vi rimase fino alla riesumazione del 2012, in forza di autorizzazioni ecclesiastiche la cui concessione ad un capo criminale è essa stessa il reperto. Il registro certifica al Livello A la sepoltura, la sua anomalia e la sua durata; certifica al Livello B, quale risultanza di atti d'indagine e di dichiarazioni parzialmente riscontrate, l'esistenza di cointeressenze finanziarie tra ambienti della banda ed ambienti romani prossimi ad istituzioni ecclesiastiche; e mantiene rigorosamente al Livello C ogni ipotesi sul nesso tra la banda e la scomparsa della Orlandi, ipotesi alimentata da fonti ad altissimo Indice di Contaminazione, la cui inammissibilità fondativa il registro ha già sancito. Qui più che altrove la Regola Ferrea mostra la sua funzione: tra una sepoltura anomala certificata ed un sequestro di persona attribuito corre un abisso probatorio che nessuna verosimiglianza narrativa autorizza a colmare.</w:t>
      </w:r>
    </w:p>
    <w:p>
      <w:pPr>
        <w:spacing w:after="120" w:line="276"/>
        <w:jc w:val="both"/>
      </w:pPr>
      <w:r>
        <w:rPr>
          <w:rFonts w:ascii="Barlow Semi Condensed" w:cs="Barlow Semi Condensed" w:eastAsia="Barlow Semi Condensed" w:hAnsi="Barlow Semi Condensed"/>
          <w:sz w:val="24"/>
          <w:szCs w:val="24"/>
        </w:rPr>
        <w:t xml:space="preserve">Un cenno, infine, all'omicidio di Carmine Pecorelli, il giornalista direttore dell'agenzia OP assassinato a Roma il 20 marzo 1979, che la Fase 4 tratterà nel suo contesto: per quel delitto furono processati, tra gli altri, Massimo Carminati quale esecutore e Giuseppe Calò quale anello mafioso, entro un'imputazione che saliva fino a Giulio Andreotti quale mandante; tutti gli imputati sono stati assolti in via definitiva, con l'annullamento senza rinvio, pronunciato dalla cassazione nel 2003, della condanna che la corte d'appello di Perugia aveva inflitto nel 2002 ad Andreotti e Gaetano Badalamenti. Il registro ne trae, per il presente capitolo, 2 dati: la certificazione al Livello A dell'esito assolutorio, che chiude giudizialmente l'ipotesi dell'esecuzione maglianese; e la permanenza dell'omicidio Pecorelli, tuttora privo di colpevoli accertati, nell'elenco dei delitti eccellenti insoluti, con le convergenze indiziarie di contesto, l'arma di provenienza compatibile con il circuito dell'arsenale, la materia dei ricatti pecorelliani, degradate per legge di metodo al Livello C.</w:t>
      </w:r>
    </w:p>
    <w:p>
      <w:pPr>
        <w:spacing w:after="120" w:line="276"/>
        <w:jc w:val="both"/>
      </w:pPr>
      <w:r>
        <w:rPr>
          <w:rFonts w:ascii="Barlow Semi Condensed" w:cs="Barlow Semi Condensed" w:eastAsia="Barlow Semi Condensed" w:hAnsi="Barlow Semi Condensed"/>
          <w:sz w:val="24"/>
          <w:szCs w:val="24"/>
        </w:rPr>
        <w:t xml:space="preserve">La lettura strutturale conclusiva è la seguente. La Magliana realizza, sul teatro romano, la funzione che la teoria delle reti denomina hub di servizio: un nodo la cui centralità non deriva dal comando su un territorio o su un dominio, ma dall'offerta di prestazioni interoperabili tra domini; ed è precisamente questa natura di piattaforma, e non una presunta regia superiore, che spiega, senza ipotesi aggiuntive, la sua ricorrenza in tanti fascicoli eterogenei. Il registro assume questa spiegazione minimale quale ipotesi prevalente ai sensi della procedura di Heuer, perché è quella meno contraddetta dalle evidenze, e relega al Livello C la spiegazione concorrente della banda quale braccio stabile di un'unica centrale, indicandone la condizione di promozione: la prova documentale di una direzione esterna unitaria e continuativa, che 30 anni di processi non hanno prodotto.</w:t>
      </w:r>
    </w:p>
    <w:p>
      <w:pPr>
        <w:spacing w:after="120" w:line="276"/>
        <w:jc w:val="both"/>
      </w:pPr>
      <w:r>
        <w:rPr>
          <w:rFonts w:ascii="Barlow Semi Condensed" w:cs="Barlow Semi Condensed" w:eastAsia="Barlow Semi Condensed" w:hAnsi="Barlow Semi Condensed"/>
          <w:sz w:val="24"/>
          <w:szCs w:val="24"/>
        </w:rPr>
        <w:t xml:space="preserve">La piattaforma va ora datata nei suoi atti costitutivi, perché anche le reti orizzontali hanno un certificato di nascita. Le sentenze collocano il salto di qualità nell'autunno del 1977, con il sequestro del duca Massimiliano Grazioli Lante della Rovere, prelevato il 7 novembre: il riscatto incassato e l'ostaggio ucciso, in spregio alla parola data, fornirono alle batterie nascenti il capitale iniziale e, insieme, la reputazione di spietatezza che è, nei mercati illegali, la forma prima del credito, Livello A quanto al fatto ed alla sua funzione genetica nelle ricostruzioni giudiziarie. La cronologia interna del comando è scandita da 2 morti: Franco Giuseppucci, detto il Negro, fondatore e baricentro carismatico, ucciso il 13 settembre 1980 nella faida con il clan dei Proietti, evento che innescò la stagione delle vendette incrociate e ridistribuì i pesi tra le batterie; ed Enrico De Pedis, detto Renatino, capo della componente testaccina ed uomo della proiezione finanziaria, ucciso in via del Pellegrino il 2 febbraio 1990, quando la parabola militare dell'organizzazione era già declinante e quella patrimoniale no, Livello A su entrambi. Alla vicenda della sepoltura di De Pedis nella basilica di Sant'Apollinare, che il capitolo ha già trattato con la disciplina dovuta, va aggiunto il solo epilogo documentale: il nulla osta e l'esumazione del giugno 2012, che chiusero materialmente l'anomalia senza scioglierne il significato, Livello A quanto ai provvedimenti.</w:t>
      </w:r>
    </w:p>
    <w:p>
      <w:pPr>
        <w:spacing w:after="120" w:line="276"/>
        <w:jc w:val="both"/>
      </w:pPr>
      <w:r>
        <w:rPr>
          <w:rFonts w:ascii="Barlow Semi Condensed" w:cs="Barlow Semi Condensed" w:eastAsia="Barlow Semi Condensed" w:hAnsi="Barlow Semi Condensed"/>
          <w:sz w:val="24"/>
          <w:szCs w:val="24"/>
        </w:rPr>
        <w:t xml:space="preserve">Il consolidamento giudiziario della piattaforma ha una data ed un perno. La data è il 23 luglio 1996, allorché la Corte d'Assise di Roma, a conclusione del processo principale, riconobbe l'esistenza dell'organizzazione e ne condannò i quadri superstiti, con esiti poi consolidati nei gradi successivi, Livello A. Il perno è il sistema dei collaboratori interni: Maurizio Abbatino, catturato in Venezuela nel 1992 dopo la latitanza, ed accanto a lui Antonio Mancini e Vittorio Carnovale, le cui dichiarazioni incrociate, riscontrate documentalmente, fornirono al processo la mappa delle batterie, dei caveau e degli omicidi, secondo il modello dichiarativo-riscontrale che il maxiprocesso palermitano aveva collaudato, Livello A quanto al ruolo processuale delle fonti. Su questo telaio il registro fissa 2 archi ulteriori, entrambi certificati. Il primo corre verso il Dominio 7 nella sua declinazione nera: le sentenze sui Nuclei Armati Rivoluzionari accertarono la circolazione di armi tra l'arsenale comune della banda e la manovalanza neofascista romana, con reperti balistici che ricorrono in delitti dell'una e dell'altra matrice, sicché il deposito custodito nei sotterranei del Ministero della Sanità funzionò, alla lettera, da armeria interdominio, Livello A nei limiti dei giudicati sui singoli reperti. Il secondo è un omicidio che condensa l'intera ambiguità del teatro romano: Aldo Semerari, cattedratico di psichiatria forense, perito di tribunali e insieme frequentatore documentato dell'eversione nera, dei clan campani e del sottobosco dei servizi, trovato decapitato ad Ottaviano il 1° aprile 1982; il fatto è certo, le attribuzioni processuali non approdarono a condanne, e le molte letture del movente restano consegnate al Livello C, ma la sola biografia relazionale della vittima, un uomo che attraversava in vita 4 domini, vale al registro quale reperto morfologico di prima grandezza sulla porosità della capitale in quegli anni.</w:t>
      </w:r>
    </w:p>
    <w:p>
      <w:pPr>
        <w:spacing w:after="120" w:line="276"/>
        <w:jc w:val="both"/>
      </w:pPr>
      <w:r>
        <w:rPr>
          <w:rFonts w:ascii="Barlow Semi Condensed" w:cs="Barlow Semi Condensed" w:eastAsia="Barlow Semi Condensed" w:hAnsi="Barlow Semi Condensed"/>
          <w:sz w:val="24"/>
          <w:szCs w:val="24"/>
        </w:rPr>
        <w:t xml:space="preserve">Chiude il capitolo la digressione che il teatro esige. Roma, negli anni della Magliana, funziona come ciò che la semiotica urbana chiamerebbe un porto franco dei codici: la città in cui il codice mafioso, il codice eversivo, il codice affaristico ed il codice degli apparati non si fondono, si scambiano, ciascuno pagando nella propria moneta. La banda ne fu il banco di cambio, non il sovrano; ed è per questo che la sua eredità processuale, diversamente da quella delle mafie territoriali, non è una geografia di mandamenti ma un registro di servizi resi. Chi cerchi il potere della Magliana non deve chiedersi che cosa comandava, ma che cosa faceva funzionare: domanda che, trasferita dal registro criminale a quello analitico, è esattamente la definizione di hub di servizio con cui questo capitolo l'ha consegnata alla rete.</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sz w:val="24"/>
          <w:szCs w:val="24"/>
        </w:rPr>
        <w:t xml:space="preserve">Sul piano organizzativo interno, un tratto distintivo certificato dai collaboratori merita menzione autonoma, perché distingue la piattaforma romana da ogni consorteria tradizionale: la cassa comune. Le dichiarazioni convergenti dei collaboratori, riscontrate nel processo principale, descrivono un sistema di contabilità unitaria dei proventi, la stecca paro, con ripartizione tendenzialmente egualitaria tra gli associati e mantenimento garantito ai detenuti ed alle loro famiglie, Livello A quanto agli accertamenti processuali sul modello. La regola, che parrebbe dettaglio di costume, è in realtà la chiave della morfologia: dove le mafie storiche distribuiscono secondo gerarchia, la banda distribuiva secondo appartenenza, e questa mutualità orizzontale spiega tanto la coesione della fase ascendente quanto la ferocia delle faide quando la cassa divenne oggetto di appropriazioni individuali. La sociologia organizzativa di Catino vi leggerebbe la conferma che le reti criminali oscillano tra il modello federale e quello consortile secondo la struttura degli incentivi: la Magliana nacque consorzio e morì per fallimento del proprio patto mutualistico, prima ancora che per l'azione repressiva, ed i collaboratori che ne smontarono l'edificio furono, non a caso, i creditori delusi di quel patto.</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Banda della Magliana è certificata al Livello A quale piattaforma di servizio inter-dominio con archi documentati verso i Domini 1, 3, 6 e 7, culminanti nell'arsenale custodito entro il Ministero della Sanità e nell'apporto al depistaggio di Bologna; il ponte verso il Dominio 5 è certificato al Livello A limitatamente alla sepoltura anomala di De Pedis ed al Livello B per le cointeressenze finanziarie, con degradazione al Livello C di ogni ipotesi sul caso Orlandi; l'esito assolutorio definitivo del processo Pecorelli è recepito quale dato acquisito.</w:t>
      </w:r>
    </w:p>
    <w:p>
      <w:pPr>
        <w:pStyle w:val="Heading3"/>
        <w:spacing w:after="80" w:before="160"/>
      </w:pPr>
      <w:r>
        <w:rPr>
          <w:rFonts w:ascii="Barlow Semi Condensed" w:cs="Barlow Semi Condensed" w:eastAsia="Barlow Semi Condensed" w:hAnsi="Barlow Semi Condensed"/>
          <w:sz w:val="24"/>
          <w:szCs w:val="24"/>
        </w:rPr>
        <w:t xml:space="preserve">Capitolo 9 — ▶ Vito Ciancimino. L'infiltrazione compiuta: il Dominio 1 dentro il Dominio 2</w:t>
      </w:r>
    </w:p>
    <w:p>
      <w:pPr>
        <w:spacing w:after="120" w:line="276"/>
        <w:jc w:val="both"/>
      </w:pPr>
      <w:r>
        <w:rPr>
          <w:rFonts w:ascii="Barlow Semi Condensed" w:cs="Barlow Semi Condensed" w:eastAsia="Barlow Semi Condensed" w:hAnsi="Barlow Semi Condensed"/>
          <w:sz w:val="24"/>
          <w:szCs w:val="24"/>
        </w:rPr>
        <w:t xml:space="preserve">Vito Ciancimino, nato a Corleone il 2 aprile 1924 e morto a Roma il 19 novembre 2002, è il caso di scuola dell'intera tassonomia degli archi inter-dominio: l'unico sindaco di Palermo condannato con sentenza divenuta irrevocabile per concorso in associazione mafiosa, oltre che per corruzione, e dunque l'unico nodo del registro per il quale l'arco di infiltrazione del Dominio 1 nel Dominio 2 non è una ricostruzione analitica ma una statuizione giudiziale definitiva. La scansione del corpus lo registra 355 volte in 12 documenti, con una distribuzione che attraversa gli atti della Commissione parlamentare antimafia di 3 legislature, le sentenze del ciclo palermitano e la memorialistica di contesto. Se Gelli è il nodo della loggia, Sindona il nodo pentadominio della finanza e Calò il nodo dell'arco mafia-strage, Ciancimino è il nodo nel quale l'infiltrazione si fa carica pubblica: non un politico che colluse con la mafia, ma, secondo l'accertamento dei giudici, un uomo organico al sodalizio che esercitò per decenni funzioni di governo cittadino.</w:t>
      </w:r>
    </w:p>
    <w:p>
      <w:pPr>
        <w:spacing w:after="120" w:line="276"/>
        <w:jc w:val="both"/>
      </w:pPr>
      <w:r>
        <w:rPr>
          <w:rFonts w:ascii="Barlow Semi Condensed" w:cs="Barlow Semi Condensed" w:eastAsia="Barlow Semi Condensed" w:hAnsi="Barlow Semi Condensed"/>
          <w:sz w:val="24"/>
          <w:szCs w:val="24"/>
        </w:rPr>
        <w:t xml:space="preserve">La biografia amministrativa è nota nelle sue scansioni. Figlio di un barbiere di Corleone, trasferitosi a Palermo, Ciancimino costruì la prima fortuna con la concessione del trasporto ferroviario su gomma, quindi entrò nella Democrazia Cristiana palermitana nella corrente fanfaniana che faceva capo a Giovanni Gioia, e nel 1959 divenne assessore ai lavori pubblici del comune di Palermo, nella giunta guidata dal giovane sindaco Salvatore Lima, detto Salvo. La coppia Lima-Ciancimino, sindaco l'uno ed assessore ai lavori pubblici l'altro, governò la stagione che gli atti parlamentari e la storiografia designano come sacco di Palermo: la distruzione pianificata del tessuto liberty e del verde storico della città, sostituiti da un'edilizia intensiva di qualità infima, realizzata in violazione sistematica degli strumenti urbanistici. Gli accertamenti condotti dalla Commissione parlamentare antimafia documentarono il meccanismo nel suo dato quantitativo, divenuto emblematico: 4.205 licenze edilizie rilasciate nel quinquennio, delle quali una quota superiore ai 4 quinti risultò formalmente intestata a 5 prestanome, pensionati e nullatenenti privi di qualsiasi capacità imprenditoriale, dietro i quali operavano i costruttori dell'area mafiosa. Il registro certifica al Livello A, sul fondamento degli atti parlamentari e delle sentenze successive che li recepirono, il dato delle licenze ed il suo significato strutturale: l'assessorato ai lavori pubblici di Palermo funzionò, in quegli anni, come lo sportello attraverso il quale il Dominio 1 convertì il controllo territoriale in rendita urbana, ed il ciclo edilizio fu il primo grande apparato di riciclaggio e di accumulazione della mafia siciliana del dopoguerra, prima ancora che l'eroina moltiplicasse gli ordini di grandezza.</w:t>
      </w:r>
    </w:p>
    <w:p>
      <w:pPr>
        <w:spacing w:after="120" w:line="276"/>
        <w:jc w:val="both"/>
      </w:pPr>
      <w:r>
        <w:rPr>
          <w:rFonts w:ascii="Barlow Semi Condensed" w:cs="Barlow Semi Condensed" w:eastAsia="Barlow Semi Condensed" w:hAnsi="Barlow Semi Condensed"/>
          <w:sz w:val="24"/>
          <w:szCs w:val="24"/>
        </w:rPr>
        <w:t xml:space="preserve">La carriera di Ciancimino culminò e precipitò nello stesso anno. Nell'autunno del 1970 fu eletto sindaco di Palermo, ma la carica durò poche settimane: l'ondata di reazioni nazionali, alimentata dai lavori della Commissione antimafia che già lo aveva indicato quale figura centrale del sistema di potere mafioso-amministrativo, lo costrinse alle dimissioni entro la fine dell'anno. Il registro annota il dato con una notazione di metodo: il 1970 è l'anno in cui, per la prima volta nella storia repubblicana, un organo parlamentare rese politicamente insostenibile un uomo di governo locale per ragioni di contiguità mafiosa, e ciò accadde 12 anni prima che il reato di associazione di tipo mafioso entrasse nel codice penale con la legge Rognoni-La Torre del 1982. Ciancimino, tuttavia, non uscì dal sistema: privato della carica, conservò per oltre un decennio il controllo di fatto su settori decisivi dell'amministrazione, dagli appalti alle esattorie, quale capo occulto di una corrente e terminale di pacchetti di tessere, secondo il modello che la teoria del contenitore, adottata dal registro, descrive come occupazione senza titolarità: il potere non risiede nella carica ma nella rete, e la perdita della carica non estingue la rete.</w:t>
      </w:r>
    </w:p>
    <w:p>
      <w:pPr>
        <w:spacing w:after="120" w:line="276"/>
        <w:jc w:val="both"/>
      </w:pPr>
      <w:r>
        <w:rPr>
          <w:rFonts w:ascii="Barlow Semi Condensed" w:cs="Barlow Semi Condensed" w:eastAsia="Barlow Semi Condensed" w:hAnsi="Barlow Semi Condensed"/>
          <w:sz w:val="24"/>
          <w:szCs w:val="24"/>
        </w:rPr>
        <w:t xml:space="preserve">Il secondo pilastro probatorio è il rapporto con il vertice corleonese. Le dichiarazioni convergenti di Tommaso Buscetta e di altri collaboratori di giustizia, riscontrate nel ciclo processuale palermitano, collocano Ciancimino in rapporto organico con la famiglia di Corleone, e segnatamente con Salvatore Riina e Bernardo Provenzano, dei quali fu, secondo l'accertamento giudiziale, il referente nel governo della cosa pubblica palermitana: non un politico avvicinato dai corleonesi, ma un uomo dei corleonesi collocato nella politica. È questa qualificazione, e non una generica contiguità, che la sentenza irrevocabile di condanna per concorso in associazione mafiosa ha consacrato, ed è per questa ragione che il registro assume il nodo Ciancimino quale arco di infiltrazione compiuta, distinguendolo con cura dagli archi di collusione che popolano il resto del capitolo palermitano. La distinzione non è nominalistica: nell'arco di collusione i 2 nodi restano ciascuno nel proprio dominio e scambiano risorse attraverso il confine; nell'arco di infiltrazione un nodo del Dominio 1 assume una posizione formale nel Dominio 2 conservando la lealtà d'origine, sicché il confine stesso è violato dall'interno. Ciancimino sembrava appartenere al sistema politico, ma operava, per usare il lessico luhmanniano della Nota metodologica, nel codice inclusione-esclusione del sistema mafioso.</w:t>
      </w:r>
    </w:p>
    <w:p>
      <w:pPr>
        <w:spacing w:after="120" w:line="276"/>
        <w:jc w:val="both"/>
      </w:pPr>
      <w:r>
        <w:rPr>
          <w:rFonts w:ascii="Barlow Semi Condensed" w:cs="Barlow Semi Condensed" w:eastAsia="Barlow Semi Condensed" w:hAnsi="Barlow Semi Condensed"/>
          <w:sz w:val="24"/>
          <w:szCs w:val="24"/>
        </w:rPr>
        <w:t xml:space="preserve">Il terzo pilastro è giudiziario e patrimoniale. Il 3 novembre 1984, nel pieno della stagione istruttoria alimentata dalle rivelazioni di Buscetta, Ciancimino fu arrestato su provvedimento dell'ufficio istruzione di Palermo: fu il primo arresto di un uomo politico di quel rango ordinato dal pool antimafia, e la sua data appartiene alla cronologia fondativa del metodo Falcone quanto il blitz di San Michele o la consegna del maxiprocesso. Ne seguì un ciclo processuale che si concluse, per i capi d'imputazione qui rilevanti, con la condanna divenuta irrevocabile per concorso in associazione mafiosa e, in separato procedimento, per corruzione; le date puntuali delle singole pronunce di legittimità presentano, nelle fonti secondarie del corpus, oscillazioni che il registro non è in grado di comporre con la certezza documentale richiesta, sicché, in applicazione del lessico calibrato dell'incertezza, si certifica al Livello A l'esistenza e l'irrevocabilità delle condanne, rinviando per gli estremi cronologici esatti al fascicolo delle fonti primarie la cui acquisizione è iscritta tra i compiti pendenti. Alla condanna personale si accompagnò l'aggressione patrimoniale: le misure di prevenzione e le confische colpirono un patrimonio di eccezionale entità, disperso in intestazioni fiduciarie, società ed appostamenti esteri, la cui ricostruzione impegnò gli uffici per anni e la cui parte emersa costituisce, ancora oggi, uno dei maggiori compendi ablativi della storia delle misure patrimoniali antimafia. Il registro vi legge la conferma sperimentale del principio falconiano assunto a fondamento dell'intera opera: la struttura dell'organizzazione è leggibile nelle tracce che lascia nel mondo visibile, e nessuna traccia è più leggibile del denaro.</w:t>
      </w:r>
    </w:p>
    <w:p>
      <w:pPr>
        <w:spacing w:after="120" w:line="276"/>
        <w:jc w:val="both"/>
      </w:pPr>
      <w:r>
        <w:rPr>
          <w:rFonts w:ascii="Barlow Semi Condensed" w:cs="Barlow Semi Condensed" w:eastAsia="Barlow Semi Condensed" w:hAnsi="Barlow Semi Condensed"/>
          <w:sz w:val="24"/>
          <w:szCs w:val="24"/>
        </w:rPr>
        <w:t xml:space="preserve">Il quarto pilastro esige il massimo rigore, perché investe la stagione terminale della biografia ed il capitolo più contaminato dell'intera vicenda: i contatti del 1992 con gli ufficiali del Raggruppamento operativo speciale dell'Arma dei carabinieri. Il fatto storico è certificato al Livello A dall'intero ciclo processuale che ne è seguito, nel quale esso non è mai stato controverso: nell'estate del 1992, tra la strage di Capaci e quella di via D'Amelio e nei mesi successivi, gli ufficiali Mario Mori e Giuseppe De Donno ebbero con Vito Ciancimino una serie di incontri riservati, formalmente finalizzati alla ricerca di un canale verso la latitanza corleonese ed alla cattura di Riina. Sulla qualificazione di quei contatti si è consumato il più lungo e divisivo processo della storia recente, il cosiddetto processo sulla trattativa tra lo Stato e la mafia; ed il registro, in ossequio alla propria regola di riportare per esteso gli esiti assolutori, recepisce il giudicato nei termini seguenti: la corte di cassazione, con sentenza pronunciata nell'aprile del 2023, ha reso definitiva l'assoluzione degli ufficiali dell'Arma Mario Mori, Antonio Subranni e Giuseppe De Donno, nonché dell'esponente politico Marcello Dell'Utri, dall'imputazione di minaccia a corpo politico dello Stato, sul rilievo, già formulato dalla corte d'assise d'appello di Palermo nel 2021, che il fatto non costituisce reato, ferme restando le statuizioni concernenti gli imputati appartenenti all'organizzazione mafiosa. Ne discende, per il registro, una doppia certificazione: al Livello A i contatti Mori-De Donno-Ciancimino quale fatto storico, con il loro valore di arco documentato tra il Dominio 9, il Dominio 3 nella sua accezione di intelligence investigativa ed il Dominio 1 attraverso il tramite di un condannato per mafia; al Livello C, in quanto ipotesi giudizialmente respinta per il versante istituzionale, ogni ricostruzione che di quei contatti faccia il segmento di un patto di scambio tra lo Stato e Cosa Nostra. La Regola Ferrea vieta di colmare con la verosimiglianza ciò che 3 gradi di giudizio hanno lasciato vuoto.</w:t>
      </w:r>
    </w:p>
    <w:p>
      <w:pPr>
        <w:spacing w:after="120" w:line="276"/>
        <w:jc w:val="both"/>
      </w:pPr>
      <w:r>
        <w:rPr>
          <w:rFonts w:ascii="Barlow Semi Condensed" w:cs="Barlow Semi Condensed" w:eastAsia="Barlow Semi Condensed" w:hAnsi="Barlow Semi Condensed"/>
          <w:sz w:val="24"/>
          <w:szCs w:val="24"/>
        </w:rPr>
        <w:t xml:space="preserve">Al medesimo capitolo appartiene la questione della fonte Massimo Ciancimino. Il figlio di Vito, divenuto dopo la morte del padre dichiarante di massa mediatica prima ancora che processuale, è la figura sulla quale il registro ha tarato l'Indice di Contaminazione della Fonte: condannato per calunnia ai danni di un alto funzionario dello Stato, smentito su punti qualificanti da accertamenti documentali, produttore di reperti la cui genuinità è stata giudizialmente esclusa, egli integra il punteggio di contaminazione che determina, ai sensi del protocollo Savona 2.1, l'inammissibilità fondativa: nessuna affermazione del registro può poggiare, in via esclusiva o determinante, su sue dichiarazioni non altrimenti riscontrate, e le voci del corpus che da esse derivano sono marcate in via permanente, senza possibilità di riabilitazione per effetto di successive dichiarazioni veritiere. Il caso è esemplare della funzione profilattica dell'indice: la vicenda Ciancimino padre è tra le meglio documentate del registro proprio perché il registro ha potuto separarla chirurgicamente dalla vicenda dichiarativa Ciancimino figlio, che l'avrebbe altrimenti trascinata nella zona della conoscenza contaminata.</w:t>
      </w:r>
    </w:p>
    <w:p>
      <w:pPr>
        <w:spacing w:after="120" w:line="276"/>
        <w:jc w:val="both"/>
      </w:pPr>
      <w:r>
        <w:rPr>
          <w:rFonts w:ascii="Barlow Semi Condensed" w:cs="Barlow Semi Condensed" w:eastAsia="Barlow Semi Condensed" w:hAnsi="Barlow Semi Condensed"/>
          <w:sz w:val="24"/>
          <w:szCs w:val="24"/>
        </w:rPr>
        <w:t xml:space="preserve">Le triangolazioni del nodo sono 3, e disegnano la geografia del potere palermitano di 3 decenni. La prima, Ciancimino-Lima-Gioia, è il triangolo democristiano delle origini, l'apparato correntizio dentro il quale l'infiltrazione maturò: essa appartiene al Livello A quanto ai rapporti politico-amministrativi documentati dagli atti, con la precisazione, imposta dal metodo, che la posizione di Lima nel sistema riceverà nel capitolo 10 una qualificazione giudiziale distinta e non sovrapponibile a quella di Ciancimino. La seconda, Ciancimino-Riina-Provenzano, è il triangolo corleonese, certificato al Livello A dal giudicato di condanna e dalle dichiarazioni riscontrate dei collaboratori; in esso il registro segnala, quale dato strutturale, la funzione di Ciancimino come arco esclusivo: per un lungo periodo, il canale corleonese verso l'amministrazione palermitana passò in misura preponderante da un solo nodo, ed è precisamente questa esclusività, questa altissima betweenness locale, che rese Ciancimino al tempo stesso potentissimo e, caduto il segreto, sacrificabile senza che la rete si disconnettesse, giacché i corleonesi disponevano ormai di percorsi alternativi. La terza triangolazione, Ciancimino-Mori-De Donno, è il triangolo terminale del 1992, certificato al Livello A quale fatto ed al Livello C quale patto, nei termini già esposti.</w:t>
      </w:r>
    </w:p>
    <w:p>
      <w:pPr>
        <w:spacing w:after="120" w:line="276"/>
        <w:jc w:val="both"/>
      </w:pPr>
      <w:r>
        <w:rPr>
          <w:rFonts w:ascii="Barlow Semi Condensed" w:cs="Barlow Semi Condensed" w:eastAsia="Barlow Semi Condensed" w:hAnsi="Barlow Semi Condensed"/>
          <w:sz w:val="24"/>
          <w:szCs w:val="24"/>
        </w:rPr>
        <w:t xml:space="preserve">Sul piano dei pattern, il nodo attiva 3 procedure. Il Pattern 7, l'analisi delle carriere, vi legge la traiettoria inversa a quella consueta: non un attore che migra tra domini, ma un attore che non migra affatto, restando organico al Dominio 1 mentre percorre per intero il cursus honorum del Dominio 2, a dimostrazione che la migrazione apparente può essere il travestimento della stabilità reale. Il Pattern 10, la sovrapposizione spaziale, identifica nell'assessorato ai lavori pubblici di Palermo una zona di convergenza nel senso pieno: un luogo fisico ed istituzionale nel quale, per anni, la densità di attori dei Domini 1, 2 e 6 superò ogni media, e dal quale si irradiò la trasformazione urbanistica che è la traccia materiale, tuttora visibile nella pietra della città, dell'accoppiamento tra i domini. Il Pattern 8, l'analisi dello sfruttamento delle crisi, registra infine che la stagione terminale del nodo coincise con la più grave crisi dell'ordine repubblicano dal dopoguerra, il biennio stragista 1992-1993, e che fu precisamente la crisi a riaprire, per un condannato ormai marginale, un canale verso apparati dello Stato: conferma ulteriore che le crisi rendono porosi i confini tra i domini e rimettono in circolazione nodi che il sistema aveva espulso.</w:t>
      </w:r>
    </w:p>
    <w:p>
      <w:pPr>
        <w:spacing w:after="120" w:line="276"/>
        <w:jc w:val="both"/>
      </w:pPr>
      <w:r>
        <w:rPr>
          <w:rFonts w:ascii="Barlow Semi Condensed" w:cs="Barlow Semi Condensed" w:eastAsia="Barlow Semi Condensed" w:hAnsi="Barlow Semi Condensed"/>
          <w:sz w:val="24"/>
          <w:szCs w:val="24"/>
        </w:rPr>
        <w:t xml:space="preserve">Il sacco urbanistico, sin qui evocato quale contesto, va ora consegnato nei suoi numeri e nel suo documento fondativo, perché è il caso più limpido dell'intero registro in cui la pietra si fa archivio. Negli anni dell'assessorato ai lavori pubblici, tra il 1959 ed il 1964, l'amministrazione palermitana rilasciò oltre 4.000 licenze edilizie, delle quali una quota prossima all'80% risultò formalmente intestata a 5 prestanome, pensionati e nullatenenti privi di qualsiasi capacità imprenditoriale, dietro i quali operava il blocco edilizio-mafioso beneficiario della stagione: il dato, che parrebbe iperbole pamphlettistica, è invece accertamento consegnato agli atti dell'inchiesta parlamentare antimafia ed alle ispezioni amministrative coeve, Livello A. Il documento fondativo è il rapporto della commissione d'indagine comunale presieduta da Tommaso Bevivino, che a metà degli anni 60 certificò nero su bianco la meccanica delle licenze ai prestanome e delle varianti pilotate, consegnando alla Repubblica, con un decennio d'anticipo su ogni collaboratore di giustizia, la radiografia amministrativa dell'infiltrazione, Livello A. Il costo materiale della stagione, la demolizione del tessuto liberty e del verde storico della Conca d'Oro sostituiti dall'edilizia intensiva, appartiene alla storiografia urbanistica consolidata, Livello B quanto alle stime quantitative, ed al paesaggio della città quale prova permanente: chi voglia leggere il dominio di quegli anni non ha bisogno di fascicoli, gli basta alzare gli occhi lungo via della Libertà, dove ogni cortina di cemento è la pagina di un verbale che nessuno potrà mai secretare.</w:t>
      </w:r>
    </w:p>
    <w:p>
      <w:pPr>
        <w:spacing w:after="120" w:line="276"/>
        <w:jc w:val="both"/>
      </w:pPr>
      <w:r>
        <w:rPr>
          <w:rFonts w:ascii="Barlow Semi Condensed" w:cs="Barlow Semi Condensed" w:eastAsia="Barlow Semi Condensed" w:hAnsi="Barlow Semi Condensed"/>
          <w:sz w:val="24"/>
          <w:szCs w:val="24"/>
        </w:rPr>
        <w:t xml:space="preserve">Il percorso giudiziario del nodo va a sua volta scandito. Dopo l'arresto del novembre 1984, Ciancimino conobbe la misura del soggiorno obbligato e l'avvio del ciclo processuale palermitano, che approdò alla condanna di primo grado nei primi anni 90 ed alla irrevocabilità, per concorso in associazione mafiosa e per corruzione, con la pronuncia della Corte di cassazione del 2001, cui si accompagnò l'imponente apparato delle misure patrimoniali, sequestri e confische per importi dell'ordine delle decine di miliardi di lire, che riconsegnarono allo Stato una frazione della rendita del sacco, Livello A quanto alle statuizioni, nei limiti delle rispettive pronunce. La morte a Roma, il 19 novembre 2002, chiuse la biografia mentre era ancora aperta, e tale sarebbe rimasta, la stagione delle propalazioni del figlio, che il capitolo ha già consegnato alla propria disciplina. Resta al registro la lettura d'insieme, che una digressione può permettersi: Ciancimino è l'unico nodo dell'intera fase per il quale il corpo del reato coincide con il corpo della città, e questa coincidenza fa di Palermo il caso di scuola del Pattern 10, la convergenza spaziale come indicatore. Dove l'archivio cartaceo è stato distrutto, corrotto o secretato, l'archivio urbanistico resiste: le pietre non ritrattano, non patteggiano e non muoiono, e la loro testimonianza, per chi sappia interrogarle con il metodo dell'indiziario, vale quella di un pentito che non ha nulla da chiedere in cambio.</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sz w:val="24"/>
          <w:szCs w:val="24"/>
        </w:rPr>
        <w:t xml:space="preserve">Alla documentazione amministrativa degli anni 60 va affiancato il secondo pilastro parlamentare, che precede di un decennio la stagione giudiziaria: la relazione della Commissione antimafia presieduta da Francesco Cattanei, approvata nel 1971, che dedicò alla carriera di Ciancimino ed alla meccanica delle licenze palermitane pagine di analitica durezza, documentando il sistema dei prestanome e la saldatura tra apparato correntizio ed interessi edilizi, Livello A quanto al contenuto della relazione. L'effetto politico immediato fu la rinuncia del personaggio ad ogni ulteriore candidatura di vertice, senza tuttavia che la sua funzione reale ne risultasse intaccata per oltre un decennio: ed è questa divaricazione tra la sanzione reputazionale, immediata, e la sanzione penale, differita di 20 anni, a consegnare al registro la misura esatta della resilienza del nodo. Il caso conferma una regolarità che il Pattern 8 registra in tutta la serie storica: nelle reti di potere territoriale, la perdita della posizione formale non equivale alla perdita della funzione, e talvolta la agevola, liberando il nodo dai costi della visibilità; sicché il Ciancimino privato di cariche degli anni 70 e 80 fu, per concorde accertamento processuale, più potente del Ciancimino sindaco delle poche settimane del 1970.</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Ciancimino è certificato al Livello A quale arco di infiltrazione compiuta del Dominio 1 nel Dominio 2, sul fondamento della condanna irrevocabile per concorso in associazione mafiosa e per corruzione, degli accertamenti parlamentari sul sacco di Palermo e delle dichiarazioni riscontrate sul rapporto organico con il vertice corleonese; i contatti del 1992 con gli ufficiali del ROS sono certificati al Livello A quale fatto storico, mentre la loro qualificazione quale trattativa resta al Livello C in forza del giudicato assolutorio del 2023, riportato per esteso; le dichiarazioni di Massimo Ciancimino sono colpite da inammissibilità fondativa ai sensi dell'Indice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10 — ▶ Salvo Lima ed il ponte andreottiano. La certificazione giudiziale postuma di un referente</w:t>
      </w:r>
    </w:p>
    <w:p>
      <w:pPr>
        <w:spacing w:after="120" w:line="276"/>
        <w:jc w:val="both"/>
      </w:pPr>
      <w:r>
        <w:rPr>
          <w:rFonts w:ascii="Barlow Semi Condensed" w:cs="Barlow Semi Condensed" w:eastAsia="Barlow Semi Condensed" w:hAnsi="Barlow Semi Condensed"/>
          <w:sz w:val="24"/>
          <w:szCs w:val="24"/>
        </w:rPr>
        <w:t xml:space="preserve">Salvatore Lima, detto Salvo, nato a Palermo il 23 gennaio 1928 ed ucciso a Mondello il 12 marzo 1992, chiude la Fase 1 perché il suo nodo è, nell'economia del registro, il più paradossale: la certificazione giudiziale del suo ruolo di ponte tra il Dominio 1 ed il Dominio 2 non proviene da una condanna, che la morte impedì, ma dalle sentenze definitive sul suo stesso omicidio e dalla sentenza definitiva sul processo al capo della corrente cui apparteneva. Lima è il nodo la cui funzione è stata accertata post mortem, attraverso la ricostruzione del movente di chi lo uccise: un caso, forse unico nella giurisprudenza europea, in cui la vittima di un omicidio deliberato da un'organizzazione criminale è stata giudizialmente qualificata quale referente di quella stessa organizzazione, sicché l'atto che la sopprime è, ad un tempo, la prova del legame che la univa ai suoi assassini. La scansione del corpus lo registra 545 volte in 15 documenti.</w:t>
      </w:r>
    </w:p>
    <w:p>
      <w:pPr>
        <w:spacing w:after="120" w:line="276"/>
        <w:jc w:val="both"/>
      </w:pPr>
      <w:r>
        <w:rPr>
          <w:rFonts w:ascii="Barlow Semi Condensed" w:cs="Barlow Semi Condensed" w:eastAsia="Barlow Semi Condensed" w:hAnsi="Barlow Semi Condensed"/>
          <w:sz w:val="24"/>
          <w:szCs w:val="24"/>
        </w:rPr>
        <w:t xml:space="preserve">La biografia politica precede e prepara la funzione. Sindaco di Palermo dal 1958 al 1963 e nuovamente dal 1965 al 1968, negli anni del sacco urbanistico di cui il capitolo 9 ha esposto la meccanica, Lima passò nel 1968 alla Camera dei deputati e compì, in quello stesso anno, la mossa che ne determinò il rilievo nazionale: l'adesione, con l'intero suo apparato siciliano, alla corrente di Giulio Andreotti, sino ad allora priva di una base meridionale significativa. Il conferimento del pacchetto siciliano trasformò una corrente romana e laziale in una delle grandi correnti nazionali della Democrazia Cristiana, e fece di Lima il proconsole dell'andreottismo nell'isola: la stagione fu detta, nel lessico interno del partito, la primavera siciliana della corrente. Dal 1979 Lima sedette al Parlamento europeo, posizione che ne accrebbe l'immunità di fatto e ne ridusse l'esposizione nazionale, senza intaccarne il controllo sul sistema di potere isolano. Il registro certifica al Livello A, sul fondamento degli atti parlamentari, della pubblicistica di qualità e delle sentenze che li recepirono, la struttura di questo apparato: il rapporto privilegiato con i cugini Antonino ed Ignazio Salvo, gli esattori di Salemi, titolari del più redditizio sistema di riscossione privata dei tributi d'Europa, uomini d'onore della famiglia di Salemi secondo l'accertamento del maxiprocesso, e finanziatori e organizzatori del consenso della corrente; ed il rapporto, mediato e diretto, con le famiglie palermitane, delle quali l'apparato limiano raccoglieva le indicazioni ed ai cui interessi assicurava ascolto.</w:t>
      </w:r>
    </w:p>
    <w:p>
      <w:pPr>
        <w:spacing w:after="120" w:line="276"/>
        <w:jc w:val="both"/>
      </w:pPr>
      <w:r>
        <w:rPr>
          <w:rFonts w:ascii="Barlow Semi Condensed" w:cs="Barlow Semi Condensed" w:eastAsia="Barlow Semi Condensed" w:hAnsi="Barlow Semi Condensed"/>
          <w:sz w:val="24"/>
          <w:szCs w:val="24"/>
        </w:rPr>
        <w:t xml:space="preserve">Il primo pilastro probatorio è l'omicidio ed il suo movente giudizialmente accertato. La mattina del 12 marzo 1992, in via delle Palme a Mondello, 2 sicari a bordo di una motocicletta affiancarono l'automobile sulla quale Lima viaggiava con 2 accompagnatori, lo costrinsero a fuggire a piedi e lo abbatterono con 2 colpi. Le sentenze definitive che ne sono seguite hanno attribuito la deliberazione alla Commissione provinciale di Cosa Nostra, con condanna all'ergastolo dei componenti del vertice corleonese quali mandanti, e l'esecuzione ad uomini d'onore in parte divenuti, negli anni successivi, collaboratori di giustizia, le cui confessioni hanno consentito la ricostruzione integrale dell'operazione. Ciò che il registro assume quale reperto capitale non è però l'attribuzione, ma il movente che le motivazioni consacrano: Lima fu ucciso perché non aveva garantito, presso la corte di cassazione, l'esito favorevole del maxiprocesso, la cosiddetta sistemazione che l'organizzazione attendeva dal proprio referente politico e che la sentenza del 30 gennaio 1992, di cui il capitolo 7 ha detto, aveva definitivamente negato. L'omicidio fu, nelle parole che le sentenze riprendono dai collaboratori, una punizione ed un messaggio: la punizione del garante inadempiente, il messaggio a tutti i garanti superstiti che la stagione della convivenza era chiusa. Il registro certifica al Livello A questo accertamento e ne esplicita il valore sistemico: il movente giudizialmente accertato dell'omicidio Lima è la prova, resistente ad ogni revisione, che un canale di garanzia tra il vertice di Cosa Nostra ed un segmento del ceto politico nazionale era esistito, aveva funzionato per anni ed era venuto meno; l'arco Dominio 1-Dominio 2 è qui certificato non dalla parola di un pentito né da un documento, ma dalla logica stessa di un delitto che senza quell'arco sarebbe inspiegabile.</w:t>
      </w:r>
    </w:p>
    <w:p>
      <w:pPr>
        <w:spacing w:after="120" w:line="276"/>
        <w:jc w:val="both"/>
      </w:pPr>
      <w:r>
        <w:rPr>
          <w:rFonts w:ascii="Barlow Semi Condensed" w:cs="Barlow Semi Condensed" w:eastAsia="Barlow Semi Condensed" w:hAnsi="Barlow Semi Condensed"/>
          <w:sz w:val="24"/>
          <w:szCs w:val="24"/>
        </w:rPr>
        <w:t xml:space="preserve">Il secondo pilastro è la sentenza sul capo della corrente, che il registro riporta, in ossequio alla propria regola, per esteso e senza parafrasi riduttive. Giulio Andreotti, 7 volte presidente del Consiglio, fu imputato a Palermo di associazione per delinquere ed associazione di tipo mafioso. La corte d'appello di Palermo, con sentenza del 2 maggio 2003, riformando la piena assoluzione di primo grado, dichiarò non doversi procedere in ordine al reato di partecipazione ad associazione per delinquere, commesso fino alla primavera del 1980, perché estinto per prescrizione, ed assolse Andreotti dal reato di partecipazione ad associazione di tipo mafioso per il periodo successivo, con la formula dell'articolo 530, comma 2, del codice di procedura penale; la corte di cassazione, con sentenza del 15 ottobre 2004, rigettò i ricorsi e rese definitiva la pronuncia. Il dictum è dunque duplice e va tenuto nella sua interezza: per il periodo anteriore alla primavera del 1980 il giudice d'appello ha ritenuto concretamente ravvisabile una partecipazione dell'imputato all'associazione criminale, dichiarandola non punibile per il solo decorso del tempo; per il periodo successivo ha pronunciato assoluzione. Il registro certifica al Livello A questo esito nella sua lettera, ed al medesimo livello i fatti che la motivazione pone a fondamento della prima statuizione, tra i quali gli incontri con esponenti di vertice dell'organizzazione, ed in particolare l'incontro con Stefano Bontate nella primavera del 1980, successivo all'omicidio del presidente della Regione Piersanti Mattarella, riferito dal collaboratore Francesco Marino Mannoia e ritenuto provato dalla corte; nonché i rapporti diretti, e negati dall'imputato, con i cugini Salvo. Il registro si vieta, per converso, ogni estensione: la statuizione copre il perimetro temporale e materiale che copre, l'assoluzione per il periodo successivo alla primavera del 1980 è un giudicato che il registro recepisce con il medesimo rigore della statuizione che la precede, e la già ricordata assoluzione definitiva nel processo per l'omicidio Pecorelli, pronunciata dalla cassazione nel 2003 con annullamento senza rinvio della condanna d'appello, chiude giudizialmente ogni ipotesi accusatoria su quel versante. Chi voglia misurare la distanza tra il metodo del registro e la pubblicistica corrente la misuri qui: né la formula del tutti assolti, che cancella la prima statuizione, né la formula del condannato per mafia, che cancella la seconda, sopravvivono alla lettura integrale del dispositivo.</w:t>
      </w:r>
    </w:p>
    <w:p>
      <w:pPr>
        <w:spacing w:after="120" w:line="276"/>
        <w:jc w:val="both"/>
      </w:pPr>
      <w:r>
        <w:rPr>
          <w:rFonts w:ascii="Barlow Semi Condensed" w:cs="Barlow Semi Condensed" w:eastAsia="Barlow Semi Condensed" w:hAnsi="Barlow Semi Condensed"/>
          <w:sz w:val="24"/>
          <w:szCs w:val="24"/>
        </w:rPr>
        <w:t xml:space="preserve">Il terzo pilastro è il contesto della primavera del 1980, che le motivazioni delle sentenze pongono quale spartiacque. Il 6 gennaio 1980 era stato assassinato a Palermo Piersanti Mattarella, presidente democristiano della Regione Siciliana, esponente della linea del rinnovamento e della rottura del sistema di convivenza: per quell'omicidio le sentenze definitive hanno condannato quali mandanti i componenti della Commissione di Cosa Nostra, mentre sul piano degli esecutori l'ipotesi della manovalanza nera, che aveva condotto all'imputazione di esponenti dell'eversione neofascista, si è chiusa con assoluzione divenuta definitiva, sicché gli esecutori materiali restano ad oggi privi di identificazione giudiziale. Il registro certifica al Livello A la matrice mafiosa della deliberazione, mantiene al Livello C ogni ipotesi sugli esecutori e sulla convergenza con il Dominio 7, che la Fase 3 riprenderà, ed annota il dato che qui rileva: l'incontro Andreotti-Bontate accertato dalla corte d'appello si colloca, secondo la ricostruzione della medesima corte, dopo l'omicidio Mattarella e nel quadro della crisi che esso aprì tra l'organizzazione ed il suo referente politico, sicché la primavera del 1980 segna, nella periodizzazione giudiziale, il punto di massima tensione e l'inizio della dissociazione del ponte. La sequenza che ne seguì appartiene alla cronologia dei delitti eccellenti: l'uccisione di Bontate nell'aprile del 1981 aprì la guerra di mafia che consegnò l'organizzazione ai corleonesi, e la nuova direzione, estranea alla tradizione della mediazione, condusse il rapporto con la politica secondo la logica che l'omicidio Lima avrebbe infine reso manifesta.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Lima-Salvo-Andreotti, è il triangolo della garanzia: il canale attraverso il quale, secondo gli accertamenti definitivi sin qui esposti, le esigenze dell'organizzazione risalivano dal territorio al vertice della corrente; essa è certificata al Livello A nei limiti, temporali e materiali, dei giudicati che la fondano. La seconda, Lima-Ciancimino, è il triangolo interno al Dominio 2 palermitano, la coppia del sacco urbanistico, certificata al Livello A quanto alla cogestione amministrativa documentata dagli atti, con la distinzione qualitativa che i giudicati impongono: infiltrato organico l'uno, referente l'altro, secondo 2 statuti che il registro tiene rigorosamente separati. La terza, Lima-Commissione di Cosa Nostra, è il triangolo terminale, certificato al Livello A dalle sentenze sull'omicidio, nelle quali la relazione di garanzia è ricostruita dal lato di chi la esigeva.</w:t>
      </w:r>
    </w:p>
    <w:p>
      <w:pPr>
        <w:spacing w:after="120" w:line="276"/>
        <w:jc w:val="both"/>
      </w:pPr>
      <w:r>
        <w:rPr>
          <w:rFonts w:ascii="Barlow Semi Condensed" w:cs="Barlow Semi Condensed" w:eastAsia="Barlow Semi Condensed" w:hAnsi="Barlow Semi Condensed"/>
          <w:sz w:val="24"/>
          <w:szCs w:val="24"/>
        </w:rPr>
        <w:t xml:space="preserve">Sul piano dei pattern, il nodo Lima è il caso paradigmatico di 2 procedure. Il Pattern 5, l'analisi dei buchi strutturali, vi legge la posizione del broker esclusivo dal lato politico: come Ciancimino fu per un tratto l'arco esclusivo verso l'amministrazione, Lima fu l'arco esclusivo verso il vertice nazionale della corrente, ed il suo omicidio è la dimostrazione sperimentale del teorema di Burt sul destino dei ponti: quando il ponte cessa di trasmettere, la rete non lo aggira, lo abbatte, perché un ponte inerte non è un nodo neutro ma un testimone. Il Pattern 3, l'analisi temporale, colloca infine l'omicidio nella finestra critica del 1992: il 30 gennaio la cassazione conferma il maxiprocesso, il 12 marzo cade Lima, il 23 maggio Capaci, il 19 luglio via D'Amelio, il 17 settembre Ignazio Salvo; 5 date in 8 mesi che il registro legge, con le sentenze, quale sequenza unitaria di ritorsione e riposizionamento strategico dell'organizzazione, la chiusura violenta del trentennio che la Fase 1 ha ricostruito nodo per nodo.</w:t>
      </w:r>
    </w:p>
    <w:p>
      <w:pPr>
        <w:spacing w:after="120" w:line="276"/>
        <w:jc w:val="both"/>
      </w:pPr>
      <w:r>
        <w:rPr>
          <w:rFonts w:ascii="Barlow Semi Condensed" w:cs="Barlow Semi Condensed" w:eastAsia="Barlow Semi Condensed" w:hAnsi="Barlow Semi Condensed"/>
          <w:sz w:val="24"/>
          <w:szCs w:val="24"/>
        </w:rPr>
        <w:t xml:space="preserve">Il movente giudizialmente accertato dell'omicidio esige ora la sua contabilità processuale, perché la certificazione postuma del referente si regge su nomi e su date. Il processo per l'assassinio di Salvo Lima approdò in primo grado, dinanzi alla Corte d'Assise di Palermo, nel luglio 1998, con l'ergastolo per i vertici deliberanti della Commissione di Cosa Nostra, Salvatore Riina in testa, e con le condanne degli esecutori, tra i quali il reo confesso Francesco Onorato, divenuto collaboratore di giustizia, le cui dichiarazioni sulla dinamica dell'agguato di Mondello trovarono riscontro pieno; gli esiti furono consolidati nei gradi successivi sino all'irrevocabilità, Livello A. Le motivazioni consegnarono la formula che il capitolo ha già assunto quale pilastro: l'uccisione quale punizione per la garanzia non mantenuta, la mancata aggiustatura del maxiprocesso in Cassazione, sicché il giudicato sull'omicidio incorpora, quale suo presupposto logico, l'accertamento della funzione di referente che la vittima aveva esercitato, Livello A. Nella tassonomia degli archi è il caso limite già dichiarato, ma la cronologia del 1992 vi aggiunge una morfologia che il registro deve esplicitare: il 12 marzo cade Lima, il 23 maggio Capaci uccide Giovanni Falcone, Francesca Morvillo e gli agenti Vito Schifani, Rocco Dicillo ed Antonio Montinaro, il 19 luglio via D'Amelio uccide Paolo Borsellino e gli agenti Agostino Catalano, Emanuela Loi, Vincenzo Li Muli, Walter Eddie Cosina e Claudio Traina, il 17 settembre cade Ignazio Salvo; in 6 mesi l'organizzazione recide, nell'ordine, il proprio referente politico, i 2 magistrati simbolo del contrasto ed il proprio terminale affaristico, Livello A su ciascun fatto. Il Pattern 3 legge in questa sequenza la più alta densità di attivazione distruttiva di archi dell'intera serie storica: non un'esplosione cieca, ma una potatura.</w:t>
      </w:r>
    </w:p>
    <w:p>
      <w:pPr>
        <w:spacing w:after="120" w:line="276"/>
        <w:jc w:val="both"/>
      </w:pPr>
      <w:r>
        <w:rPr>
          <w:rFonts w:ascii="Barlow Semi Condensed" w:cs="Barlow Semi Condensed" w:eastAsia="Barlow Semi Condensed" w:hAnsi="Barlow Semi Condensed"/>
          <w:sz w:val="24"/>
          <w:szCs w:val="24"/>
        </w:rPr>
        <w:t xml:space="preserve">I cugini Salvo, evocati nella triangolazione della garanzia, meritano infine la loro scheda documentale. Antonino ed Ignazio Salvo, esattoriali di Salemi, ressero per decenni il sistema delle esattorie siciliane godendo di aggi che gli atti parlamentari registrano in misura del 10%, a fronte di medie nazionali pari a circa un terzo, rendita di posizione che ne fece i finanzieri organici del blocco di potere isolano, Livello A quanto al dato tariffario consegnato alle inchieste parlamentari. Arrestati il 12 novembre 1984 nell'ambito dell'istruttoria del pool, conobbero destini divaricati e simmetrici: Antonino morì di malattia in Svizzera il 19 gennaio 1986, prima della sentenza; Ignazio, condannato nel ciclo del maxiprocesso, fu ucciso a Santa Flavia il 17 settembre 1992 da un commando per il quale sono intervenute condanne irrevocabili, ultimo atto della potatura che questo capitolo ha misurato, Livello A. Resta la digressione finale, che è insieme il sigillo della fase: il nodo Lima consegna al registro il suo paradosso più istruttivo, quello del ponte la cui esistenza è provata dalla sua demolizione. Per 30 anni la pubblicistica affermò il ponte senza poterlo certificare; fu l'organizzazione stessa, uccidendo il proprio referente per inadempimento, a produrre l'accertamento che nessuna procura era riuscita a chiudere, giacché il movente di un omicidio deliberato dalla Commissione è materia di giudicato, non di opinione. Nella grammatica delle reti si direbbe che l'arco fu osservabile soltanto nell'istante della sua recisione, come quelle particelle che la fisica rileva unicamente nel decadimento: ed il registro, che alla fisica delle tracce si ispira, chiude la Fase 1 su questa immagine esatta, un quadrilatero il cui ultimo lato divenne visibile bruciando.</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sz w:val="24"/>
          <w:szCs w:val="24"/>
        </w:rPr>
        <w:t xml:space="preserve">Resta da fissare la cornice temporale dell'agguato, perché essa ne moltiplica il significato sistemico. Lima fu ucciso il 12 marzo 1992 nel pieno della campagna per le elezioni politiche fissate al 5 ed al 6 aprile, mentre attendeva alla preparazione delle iniziative elettorali della corrente e della imminente visita palermitana del suo capo nazionale: le urne, 3 settimane dopo, avrebbero registrato la prima discesa della Democrazia Cristiana sotto la soglia del 30% ed inaugurato la sequenza terminale della cosiddetta Prima Repubblica, Livello A quanto alla cronologia elettorale. Il delitto si colloca dunque sul crinale esatto tra 2 epoche, e la rete lo registra come tale: l'ultimo omicidio politico del vecchio sistema di garanzie ed il primo atto della stagione che, tra le stragi del 1992 e del 1993, avrebbe visto l'organizzazione cercare, con il linguaggio della forza, un nuovo equilibrio con uno Stato di cui non riconosceva più gli interlocutori. Che il ponte quarantennale tra il Dominio 1 ed il Dominio 2 sia stato demolito dal suo stesso versante criminale nel momento in cui il versante politico cessava di poter garantire, è la conferma finale della natura contrattuale, e perciò revocabile, di ogni arco di collusione: i ponti del potere occulto non hanno pilastri, hanno clausole.</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Lima è certificato al Livello A quale referente del Dominio 1 presso il Dominio 2, sul fondamento, unico nel registro, del movente giudizialmente accertato del suo stesso omicidio, deliberato dalla Commissione di Cosa Nostra quale punizione per la mancata sistemazione del maxiprocesso; la sentenza definitiva sul processo Andreotti è recepita nella sua integralità testuale, con la dichiarazione di estinzione per prescrizione del reato associativo concretamente ravvisabile fino alla primavera del 1980 e l'assoluzione per il periodo successivo; l'omicidio Mattarella è certificato al Livello A quanto alla matrice mafiosa della deliberazione ed al Livello C quanto agli esecutori, rimasti privi di identificazione giudiziale.</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1</w:t>
      </w:r>
    </w:p>
    <w:p>
      <w:pPr>
        <w:spacing w:after="120" w:line="276"/>
        <w:jc w:val="both"/>
      </w:pPr>
      <w:r>
        <w:rPr>
          <w:rFonts w:ascii="Barlow Semi Condensed" w:cs="Barlow Semi Condensed" w:eastAsia="Barlow Semi Condensed" w:hAnsi="Barlow Semi Condensed"/>
          <w:sz w:val="24"/>
          <w:szCs w:val="24"/>
        </w:rPr>
        <w:t xml:space="preserve">Prima della lettura reticolare conclusiva, il registro adempie all'obbligo di rendicontazione analitica che la Nota metodologica impone al termine di ogni fase: il censimento, in forma discorsiva e senza apparati tabellari, di tutti gli archi e di tutte le triangolazioni che i 10 capitoli hanno certificato, ciascuno con il proprio livello dichiarato, affinché il lettore possa verificare in un solo luogo ciò che i capitoli hanno stabilito in sedi distinte, e affinché le fasi successive dispongano di un inventario citabile senza rinvii dispersivi. Il repertorio procede per vertici del quadrilatero, dal versante della loggia a quello politico.</w:t>
      </w:r>
    </w:p>
    <w:p>
      <w:pPr>
        <w:spacing w:after="120" w:line="276"/>
        <w:jc w:val="both"/>
      </w:pPr>
      <w:r>
        <w:rPr>
          <w:rFonts w:ascii="Barlow Semi Condensed" w:cs="Barlow Semi Condensed" w:eastAsia="Barlow Semi Condensed" w:hAnsi="Barlow Semi Condensed"/>
          <w:sz w:val="24"/>
          <w:szCs w:val="24"/>
        </w:rPr>
        <w:t xml:space="preserve">Sul versante della loggia, il registro ha certificato al Livello A l'arco Gelli-Ortolani quale diarchia operativa interna al Dominio 4, fondata sulla comunanza documentale delle affiliazioni, dei conti e delle condanne per bancarotta; l'arco Gelli-Sindona e l'arco Gelli-Calvi quali archi di affiliazione e collusione tra il Dominio 4 ed il Dominio 6, documentati dalle tessere, dai flussi e dal conto Protezione presso l'Union de Banques Suisses di Lugano; gli archi di affiliazione tra Gelli ed i vertici dei servizi di informazione, i generali Giuseppe Santovito e Giulio Grassini ed il prefetto Walter Pelosi, capi rispettivamente del SISMI, del SISDE e del CESIS all'epoca della scoperta delle liste, oltre al generale Vito Miceli per la stagione precedente, quali archi certificati tra il Dominio 4 ed il Dominio 3, la cui portata è quella, formidabile e delimitata, dell'appartenenza documentata dei responsabili apicali dell'intelligence ad una loggia coperta; e l'arco del depistaggio bolognese, la condanna definitiva del 1995 di Gelli, Francesco Pazienza e degli ufficiali del SISMI Pietro Musumeci e Giuseppe Belmonte per il calunnioso depistaggio delle indagini sulla strage del 2 agosto 1980, quale arco di ostruzione certificato che salda i Domini 3, 4 e 7 nel solo segmento, si badi, della manipolazione post-factum. Al Livello B il registro ha collocato il ruolo di Gelli e di Ortolani quali canali finanziari della strage medesima, secondo l'accertamento postumo contenuto nelle motivazioni delle sentenze più recenti sul concorso di Paolo Bellini e sui mandanti-finanziatori, accertamento che i 2 non poterono contraddire in vita e che pertanto, per la regola del contraddittorio mancato, non ascende al livello pieno; ed il segmento sudamericano della loggia, i rapporti argentini di Gelli con l'entourage peronista e con l'ammiraglio Emilio Massera, certificati al Livello A quali fatti relazionali ed al Livello B quanto alla funzione di piattaforma d'affari e protezione. Resta al Livello C la questione del livello superiore alla loggia, l'ipotesi di una direzione sovrastante Gelli, per la quale la fase non ha reperito evidenze qualificate.</w:t>
      </w:r>
    </w:p>
    <w:p>
      <w:pPr>
        <w:spacing w:after="120" w:line="276"/>
        <w:jc w:val="both"/>
      </w:pPr>
      <w:r>
        <w:rPr>
          <w:rFonts w:ascii="Barlow Semi Condensed" w:cs="Barlow Semi Condensed" w:eastAsia="Barlow Semi Condensed" w:hAnsi="Barlow Semi Condensed"/>
          <w:sz w:val="24"/>
          <w:szCs w:val="24"/>
        </w:rPr>
        <w:t xml:space="preserve">Sul versante finanziario, il registro ha certificato al Livello A l'asse di riciclaggio Sindona-Gambino-Inzerillo-Spatola, consacrato dal ciclo giudiziario italo-americano e dalla condanna statunitense del 1980; il finto sequestro dell'estate del 1979, con il soggiorno siciliano organizzato dalla famiglia Gambino e l'intermediazione di ambienti massonici dell'isola, quale singolare arco quadridominio che congiunge in un solo evento i Domini 1, 4, 6 e la proiezione transatlantica; il mandato omicidiario di Sindona per l'assassinio dell'avvocato Giorgio Ambrosoli, commissario liquidatore ucciso a Milano l'11 luglio 1979 dal sicario William Aricò, consacrato dall'ergastolo divenuto irrevocabile il 18 marzo 1986, quale arco di aggressione del Dominio 6 inquinato contro la funzione pubblica di vigilanza; e la vicenda dell'aggressione giudiziaria alla Banca d'Italia del marzo 1979, l'incriminazione del governatore Paolo Baffi e l'arresto del capo della vigilanza Mario Sarcinelli, poi integralmente prosciolti, quale operazione di interdizione certificata nel suo svolgimento e nel suo esito. Al Livello B il registro ha collocato lo snodo Borghese-Sindona, la partecipazione finanziaria del banchiere alla trilogia golpista 1970-1974 secondo la testimonianza di Buscetta sulla mediazione massonica richiesta a Cosa Nostra, riscontrata nel ciclo processuale del golpe ma non consacrata da condanna specifica; ed il suicidio della segretaria Graziella Corrocher, precipitata dalle finestre dell'Ambrosiano il 17 giugno 1982. Al Livello C restano l'ipotesi della morte eterodiretta di Sindona, avvelenato dal cianuro nel supercarcere di Voghera il 22 marzo 1986 2 giorni dopo l'ergastolo, rispetto alla quale la spiegazione del suicidio resta la meno contraddetta, e l'esistenza materiale della lista dei 500 esportatori di valuta, certificata quale minaccia esercitata e non quale documento reperito. Sul versante di Calvi, il repertorio richiama la certificazione al Livello A della scalata occulta al gruppo Rizzoli-Corriere della Sera quale arco tra il Dominio 6 ed il Dominio 8, con il condizionamento documentato del primo quotidiano nazionale; della fuga del giugno 1982 lungo la direttrice Trieste-Klagenfurt-Londra con l'organizzazione di Flavio Carboni; della natura omicidiaria della morte sotto il ponte dei Blackfriars il 18 giugno 1982, fondata sulla convergenza tra la perizia del 2002, l'annullamento del primo verdetto suicidario e le motivazioni dei processi; mentre l'attribuzione del delitto resta al Livello C in forza delle assoluzioni definitive di Giuseppe Calò, Flavio Carboni ed Ernesto Diotallevi, e la scomparsa della borsa del banchiere è iscritta quale marcatore di spoliazione delimitato.</w:t>
      </w:r>
    </w:p>
    <w:p>
      <w:pPr>
        <w:spacing w:after="120" w:line="276"/>
        <w:jc w:val="both"/>
      </w:pPr>
      <w:r>
        <w:rPr>
          <w:rFonts w:ascii="Barlow Semi Condensed" w:cs="Barlow Semi Condensed" w:eastAsia="Barlow Semi Condensed" w:hAnsi="Barlow Semi Condensed"/>
          <w:sz w:val="24"/>
          <w:szCs w:val="24"/>
        </w:rPr>
        <w:t xml:space="preserve">Sul versante vaticano, il registro ha certificato al Livello A le lettere di patronage rilasciate dallo IOR il 1° settembre 1981 a copertura delle società estere del gruppo Ambrosiano, congiuntamente alla contro-lettera di manleva di pari data che ne rovesciava privatamente la portata, quale reperto documentale a doppio fondo che nessuna ricostruzione può eludere; l'accordo di Ginevra del 25 maggio 1984, con il versamento di 244 milioni di dollari ai creditori dell'Ambrosiano a titolo di contributo volontario e con esplicita esclusione di riconoscimento di responsabilità, quale transazione che chiude il contenzioso senza chiudere la questione storica; e la vicenda dei mandati di cattura del 1987 contro Paul Marcinkus, Luigi Mennini e Pellegrino De Strobel, annullati dalla corte di cassazione il 17 luglio 1987 per difetto di giurisdizione ai sensi dell'articolo 11 del Trattato lateranense, quale buco strutturale normativo certificato: un perimetro entro il quale la pretesa punitiva dello Stato non poté entrare, e che il registro censisce quale proprietà topologica della rete, non quale giudizio sulle persone. Al Livello B restano le dichiarazioni di Francesco Marino Mannoia sul riciclaggio di capitali mafiosi attraverso i canali vaticani, riscontrate solo in parte; al Livello C l'ipotesi dei finanziamenti a Solidarnosc ed ai canali d'armamento quale movente della copertura, ipotesi ricorrente nella memorialistica e priva di consacrazione documentale piena.</w:t>
      </w:r>
    </w:p>
    <w:p>
      <w:pPr>
        <w:spacing w:after="120" w:line="276"/>
        <w:jc w:val="both"/>
      </w:pPr>
      <w:r>
        <w:rPr>
          <w:rFonts w:ascii="Barlow Semi Condensed" w:cs="Barlow Semi Condensed" w:eastAsia="Barlow Semi Condensed" w:hAnsi="Barlow Semi Condensed"/>
          <w:sz w:val="24"/>
          <w:szCs w:val="24"/>
        </w:rPr>
        <w:t xml:space="preserve">Sul versante criminale, il repertorio richiama gli archi già inventariati nei capitoli 7 e 8: la certificazione al Livello A della posizione di Calò nella Commissione per effetto della sentenza del 30 gennaio 1992; l'ergastolo irrevocabile per la strage del rapido 904 del 23 dicembre 1984, con Guido Cercola ed il tecnico Friedrich Schaudinn, quale arco Dominio 1-Dominio 7 a certificazione piena, il più alto dell'intero registro; il circuito romano Calò-Diotallevi-Abbruciati-Carboni quale arco di transito tra i Domini 1 e 6; l'arsenale della Banda della Magliana custodito nei sotterranei del Ministero della Sanità, scoperto nel 1981, quale reperto di prossimità istituzionale certificato; l'arco operativo tra la batteria di Testaccio ed i Nuclei Armati Rivoluzionari attraverso Massimo Carminati, certificato dai giudicati sul duplice binario criminale-eversivo; l'apporto di uomini della banda al depistaggio bolognese, che chiude il quadrilatero Domini 1-3-4-7 sul solo piano, ancora una volta, dell'ostruzione; la sepoltura di Enrico De Pedis nella basilica di Sant'Apollinare dal 1990 al 2012 quale anomalia certificata al Livello A, con le cointeressenze finanziarie al Livello B ed ogni estensione al caso Orlandi al Livello C per inammissibilità fondativa della fonte; e l'esito integralmente assolutorio del processo per l'omicidio di Carmine Pecorelli, certificato al Livello A quale dato di chiusura giudiziale, con la permanenza del delitto nell'elenco degli insoluti.</w:t>
      </w:r>
    </w:p>
    <w:p>
      <w:pPr>
        <w:spacing w:after="120" w:line="276"/>
        <w:jc w:val="both"/>
      </w:pPr>
      <w:r>
        <w:rPr>
          <w:rFonts w:ascii="Barlow Semi Condensed" w:cs="Barlow Semi Condensed" w:eastAsia="Barlow Semi Condensed" w:hAnsi="Barlow Semi Condensed"/>
          <w:sz w:val="24"/>
          <w:szCs w:val="24"/>
        </w:rPr>
        <w:t xml:space="preserve">Sul versante politico, il repertorio richiama la condanna irrevocabile di Vito Ciancimino per concorso in associazione mafiosa e corruzione quale unico arco di infiltrazione compiuta certificato nella fase; il dato parlamentare delle 4.205 licenze edilizie del sacco di Palermo con la concentrazione sui 5 prestanome; il rapporto organico Ciancimino-Riina-Provenzano certificato dal giudicato; i contatti del 1992 con gli ufficiali Mori e De Donno certificati quale fatto ed esclusi quale reato dal giudicato del 2023; l'inammissibilità fondativa delle dichiarazioni di Massimo Ciancimino; il movente giudizialmente accertato dell'omicidio di Salvo Lima del 12 marzo 1992, la punizione per la mancata sistemazione del maxiprocesso, quale certificazione postuma del ruolo di referente; il triangolo Lima-Salvo-Andreotti nei limiti dei giudicati; il dispositivo integrale della sentenza d'appello del 2 maggio 2003, confermata dalla cassazione il 15 ottobre 2004, con la distinzione tra il periodo anteriore alla primavera del 1980, coperto da declaratoria di prescrizione di un reato associativo concretamente ravvisato, ed il periodo successivo, coperto da assoluzione; e la certificazione dell'omicidio di Piersanti Mattarella del 6 gennaio 1980 al Livello A quanto alla deliberazione mafiosa ed al Livello C quanto agli esecutori, con la pista dell'eversione nera chiusa da assoluzione definitiva e la questione consegnata alla Fase 3.</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lo Stato Zero di Umberto Ortolani verso il Dominio 1, unica assenza sistematicamente ricercata e certificata della fase, che vale quale reperto negativo di prima classe e quale calibro per le fasi successive, nelle quali ogni connessione attesa e non trovata dovrà essere dichiarata con il medesimo rilievo delle connessioni trovate.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38 tra archi, triangolazioni ed esiti certificati nella fase, dei quali 24 al Livello A, 7 al Livello B, 6 al Livello C ed 1 Stato Zero, e costituisce d'ora innanzi il riferimento citabile per ogni richiamo interno dell'opera al sottografo del quadrilatero.</w:t>
      </w:r>
    </w:p>
    <w:p>
      <w:pPr>
        <w:pStyle w:val="Heading3"/>
        <w:spacing w:after="80" w:before="160"/>
      </w:pPr>
      <w:r>
        <w:rPr>
          <w:rFonts w:ascii="Barlow Semi Condensed" w:cs="Barlow Semi Condensed" w:eastAsia="Barlow Semi Condensed" w:hAnsi="Barlow Semi Condensed"/>
          <w:sz w:val="24"/>
          <w:szCs w:val="24"/>
        </w:rPr>
        <w:t xml:space="preserve">Chiusura della Fase 1 — La lettura reticolare del quadrilatero e il bilancio probatorio dei primi 10 nodi</w:t>
      </w:r>
    </w:p>
    <w:p>
      <w:pPr>
        <w:spacing w:after="120" w:line="276"/>
        <w:jc w:val="both"/>
      </w:pPr>
      <w:r>
        <w:rPr>
          <w:rFonts w:ascii="Barlow Semi Condensed" w:cs="Barlow Semi Condensed" w:eastAsia="Barlow Semi Condensed" w:hAnsi="Barlow Semi Condensed"/>
          <w:sz w:val="24"/>
          <w:szCs w:val="24"/>
        </w:rPr>
        <w:t xml:space="preserve">La Fase 1 si chiude con 10 nodi certificati, 5 persone e 5 entità collettive, e con un sottografo che è ora possibile leggere nel suo insieme, applicando alla lettera il programma della Nota metodologica: prima i dati, poi i pattern, e solo alla fine, se i dati lo consentono, le ipotesi. Il presente capitolo di chiusura non introduce materiale nuovo; ricompone il materiale acquisito, dichiara i livelli di certificazione raggiunti, censisce le assenze accanto alle presenze, e consegna alle 4 fasi successive un perimetro probatorio definito, entro il quale ogni futura estensione dovrà giustificarsi.</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 quadrilatero loggia-finanza-Vaticano-mafia quale sottografo reale e non quale costruzione narrativa. I 4 vertici del quadrilatero sono presidiati da nodi certificati al Livello A: il vertice della loggia dai nodi Gelli, P2 ed Ortolani; il vertice della finanza dai nodi Sindona e Calvi con le rispettive strutture bancarie; il vertice vaticano dal nodo IOR nella gestione Marcinkus; il vertice mafioso dai nodi Calò, Magliana, Ciancimino e Lima, che ne declinano le 3 proiezioni, palermitana, romana e politica. I lati del quadrilatero, vale a dire gli archi che collegano i vertici, presentano gradi di certificazione differenziati che il registro dichiara senza arrotondamenti. Il lato loggia-finanza è certificato al Livello A in entrambe le sue campate: l'affiliazione di Sindona e di Calvi alla P2 è documentale, la cogestione gelliana-ortolaniana dei flussi dell'Ambrosiano è consacrata dalle condanne definitive per bancarotta, il conto Protezione è un reperto bancario. Il lato finanza-Vaticano è certificato al Livello A nel suo scheletro documentale, le lettere di patronage del 1° settembre 1981 con la contro-lettera di manleva, la partecipazione dello IOR nelle società estere del gruppo, l'accordo di Ginevra del 25 maggio 1984 con il contributo volontario di 244 milioni di dollari; e resta al Livello B, quale ricostruzione fondata su convergenze non integralmente giudicate, nella qualificazione complessiva della funzione di schermo. Il lato finanza-mafia è certificato al Livello A sul versante Sindona, con il riciclaggio dell'asse Gambino-Inzerillo-Spatola ed il finto sequestro del 1979, e sul versante romano, con il circuito Calò-Diotallevi-Carboni; resta al Livello C sul punto terminale, la morte di Calvi, per la ragione giudiziaria che il capitolo 5 ha esposto per esteso. Il lato loggia-mafia, il più controverso, è certificato al Livello A in un solo segmento pieno, la mediazione massonica dei progetti golpisti riferita da Buscetta e riscontrata nel ciclo Borghese, ed al Livello B nelle sue propaggini bolognesi, secondo l'accertamento postumo delle motivazioni più recenti; il registro rifiuta di saldarlo in una diagonale unica, perché le evidenze certificano segmenti, non un asse.</w:t>
      </w:r>
    </w:p>
    <w:p>
      <w:pPr>
        <w:spacing w:after="120" w:line="276"/>
        <w:jc w:val="both"/>
      </w:pPr>
      <w:r>
        <w:rPr>
          <w:rFonts w:ascii="Barlow Semi Condensed" w:cs="Barlow Semi Condensed" w:eastAsia="Barlow Semi Condensed" w:hAnsi="Barlow Semi Condensed"/>
          <w:sz w:val="24"/>
          <w:szCs w:val="24"/>
        </w:rPr>
        <w:t xml:space="preserve">Il secondo risultato è la mappa delle diagonali, vale a dire degli archi che attraversano il quadrilatero senza percorrerne i lati. La diagonale loggia-Vaticano esiste al Livello A come fatto relazionale, Ortolani gentiluomo di Sua Santità e tramite dichiarato tra Gelli e gli ambienti d'oltretevere, ed al Livello B come canale finanziario; la diagonale mafia-Vaticano esiste al Livello A in un solo reperto, la sepoltura di De Pedis in Sant'Apollinare, ed al Livello B nelle cointeressenze finanziarie romane, con la degradazione al Livello C di ogni estensione ulteriore, ivi compresa la vicenda Orlandi, per l'inammissibilità fondativa delle fonti che la alimentano. La geometria che ne risulta è istruttiva: il quadrilatero è robusto sui lati e fragile sulle diagonali, il che significa, nel lessico della teoria delle reti, che la connessione tra i vertici non contigui passò di norma attraverso i vertici intermedi, e che i mediatori, Sindona ed Ortolani sopra tutti, furono strutturalmente necessari. È la conferma reticolare di ciò che le biografie avevano suggerito: il sistema non fu una camera unica in cui tutti incontravano tutti, ma una catena di camere comunicanti, ciascuna presidiata da un portiere; e la storia giudiziaria del quadrilatero è, in larga misura, la storia dell'eliminazione fisica o processuale dei portieri.</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che la fase consegna alle successive quale prima misura del potere reale. La più alta betweenness del sottografo appartiene a Sindona, l'unico nodo che tocca 5 domini e che connette direttamente il vertice finanziario americano, quello siciliano, quello vaticano e quello massonico: la sua traiettoria, dalla scalata alla catastrofe all'ergastolo alla morte per cianuro, è il caso di scuola del destino dei nodi ad altissima intermediazione, che il registro ha formulato quale ipotesi emergente, non quale legge, nel capitolo 4. La più alta eigenvector centrality appartiene ad Ortolani, il nodo meno visibile e più connesso ai connessi, secondo la distinzione tra potere di grado e potere di posizione che la Nota metodologica ha derivato da Freeman. La più alta degree centrality appartiene a Gelli, il collettore delle 962 affiliazioni, con l'avvertenza, formulata nel capitolo 1 e qui ribadita, che l'alto grado è anche massima visibilità e dunque massima vulnerabilità: Gelli fu il nodo più connesso e, non per caso, il primo ad essere esposto. La centralità di chiusura del sottografo romano appartiene infine alla Magliana quale piattaforma, non quale organizzazione: la sua funzione di hub di servizio, certificata dai giudicati, spiega senza residui la sua onnipresenza nei fascicoli, e la spiegazione minimale resta, ai sensi della procedura di Heuer, quella meno contraddetta dalle evidenze.</w:t>
      </w:r>
    </w:p>
    <w:p>
      <w:pPr>
        <w:spacing w:after="120" w:line="276"/>
        <w:jc w:val="both"/>
      </w:pPr>
      <w:r>
        <w:rPr>
          <w:rFonts w:ascii="Barlow Semi Condensed" w:cs="Barlow Semi Condensed" w:eastAsia="Barlow Semi Condensed" w:hAnsi="Barlow Semi Condensed"/>
          <w:sz w:val="24"/>
          <w:szCs w:val="24"/>
        </w:rPr>
        <w:t xml:space="preserve">Il quarto risultato, che il metodo impone di esporre con il medesimo rilievo dei positivi, è il censimento degli Stati Zero e delle assoluzioni, le assenze certificate che delimitano il perimetro di ciò che il registro non afferma. Lo Stato Zero di Ortolani verso il Dominio 1 resta confermato: la ricerca sistematica di un arco diretto tra il finanziere della loggia e le organizzazioni criminali non ha prodotto evidenze, e la connessione passa integralmente per i nodi interposti. Le assoluzioni definitive censite nella fase sono 5 e vengono qui riepilogate perché nessuna lettura d'insieme possa ometterle: l'assoluzione di Gelli dall'imputazione di concorso nella strage di Bologna, ferma la condanna definitiva per il depistaggio; l'assoluzione di Calò, Carboni e Diotallevi dall'omicidio Calvi, divenuta definitiva tra il 2010 ed il 2011, ferma la natura omicidiaria del fatto; l'assoluzione di tutti gli imputati del processo Pecorelli, con l'annullamento senza rinvio del 2003; l'assoluzione degli ufficiali dell'Arma e di Dell'Utri nel processo sulla trattativa, definitiva dal 2023, fermi i contatti del 1992 quale fatto storico; e l'assoluzione di Andreotti per il periodo successivo alla primavera del 1980, congiunta alla dichiarazione di estinzione per prescrizione del reato associativo ravvisato per il periodo anteriore, secondo il dispositivo che il capitolo 10 ha riportato per esteso. Il registro tratta queste 5 assenze come dati di prima classe: esse non indeboliscono la rete certificata, la delimitano; e la delimitazione è la condizione della sua solidità.</w:t>
      </w:r>
    </w:p>
    <w:p>
      <w:pPr>
        <w:spacing w:after="120" w:line="276"/>
        <w:jc w:val="both"/>
      </w:pPr>
      <w:r>
        <w:rPr>
          <w:rFonts w:ascii="Barlow Semi Condensed" w:cs="Barlow Semi Condensed" w:eastAsia="Barlow Semi Condensed" w:hAnsi="Barlow Semi Condensed"/>
          <w:sz w:val="24"/>
          <w:szCs w:val="24"/>
        </w:rPr>
        <w:t xml:space="preserve">Il quinto risultato è metodologico, ed è la verifica anti-induttiva che la Nota metodologica prescrive al termine di ogni unità espositiva: che cosa, nel materiale della Fase 1, contraddice o non conferma la gerarchia espositiva assunta quale scheletro narrativo dell'opera, vale a dire l'ipotesi H1 della convergenza delle potenze imperiali contro l'integrazione europea? La risposta è netta e va messa a registro. Nulla, nei 10 nodi certificati, richiede H1 per essere spiegato: il quadrilatero loggia-finanza-Vaticano-mafia si regge su moventi interni, l'arricchimento, la protezione, il potere di interdizione, la sopravvivenza organizzativa, e le sue dinamiche documentate, dalla scalata di Sindona alla punizione di Lima, si spiegano integralmente entro il perimetro nazionale e criminale-affaristico, senza necessità di un mandante geopolitico. Dove la dimensione internazionale compare, essa compare come mercato e come rifugio, i canali atlantici di Sindona, le rotte sudamericane di Gelli ed Ortolani, non come regia. La fase consegna dunque alle successive un vincolo popperiano esplicito: se H1 deve sopravvivere quale ipotesi di Livello C, i suoi eventuali elementi di supporto dovranno emergere dai domini che le prossime fasi esplorano, l'intelligence, lo stragismo, la proiezione internazionale, giacché il primo cerchio, quello del potere occulto interno, si è dimostrato autosufficiente sul piano esplicativo. Il falsificatore permanente, la ricostruzione milwardiana dell'integrazione europea quale progetto di salvataggio degli Stati nazionali sostenuto e non osteggiato dalla potenza americana, resta iscritto a margine del registro, e la Fase 1 non ha prodotto alcun elemento idoneo a rimuoverlo.</w:t>
      </w:r>
    </w:p>
    <w:p>
      <w:pPr>
        <w:spacing w:after="120" w:line="276"/>
        <w:jc w:val="both"/>
      </w:pPr>
      <w:r>
        <w:rPr>
          <w:rFonts w:ascii="Barlow Semi Condensed" w:cs="Barlow Semi Condensed" w:eastAsia="Barlow Semi Condensed" w:hAnsi="Barlow Semi Condensed"/>
          <w:sz w:val="24"/>
          <w:szCs w:val="24"/>
        </w:rPr>
        <w:t xml:space="preserve">Il sesto risultato è la consegna dei fili pendenti, che le fasi successive dovranno riprendere per obbligo di completezza. Il filo dell'intelligence, emerso in questa fase nei canali di Gelli verso i vertici dei servizi, nel ruolo di Pazienza e Musumeci nel depistaggio bolognese e nei contatti del 1992, diviene l'oggetto proprio della Fase 2, che ricostruirà i nodi Gladio, l'Ufficio affari riservati, i generali piduisti dei servizi, la rete Sogno ed il circuito internazionale di Le Cercle, entro il quale la domanda sulla regia esterna potrà essere posta su materiale pertinente. Il filo dello stragismo, toccato in questa fase nel solo segmento del rapido 904 e nelle propaggini bolognesi del quadrilatero, diviene l'oggetto della Fase 3, dalla matrice ordinovista di Piazza Fontana alla filiera Aginter, dove la tipologia quadripartita dell'ostruzione, già codificata dal registro, troverà il suo campo di applicazione integrale. Il filo del crocevia del 1978, la cui assenza da questa fase è deliberata, diviene l'oggetto della Fase 4, che affronterà il caso Moro secondo la decomposizione a 3 piani già costituzionalizzata dal registro, con il divieto inferenziale tra il piano delle condotte degli apparati ed il piano del mandato. Il filo della proiezione internazionale, infine, emerso qui nelle rotte atlantiche di Sindona e nelle sponde sudamericane della loggia, diviene l'oggetto della Fase 5, da Trieste al Sudafrica dell'apartheid al sistema Condor, dove il registro verificherà, su scala mondiale, la tenuta della distinzione tra isomorfismo strutturale e connessione operativa che la coppia Aginter-Hyperion ha già insegnato a maneggiare.</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il criterio con cui i 10 nodi sono stati scelti e l'ordine con cui sono stati esposti, perché nessuna scelta espositiva è innocente e la trasparenza del metodo esige che anche l'architettura renda conto di sé. I nodi sono stati selezionati per il concorso di 2 requisiti oggettivi: la certificazione di Livello A di almeno un arco inter-dominio, e la frequenza trasversale nel corpus, misurata dalla scansione integrale dei 220 documenti che ha aperto i lavori; l'ordine espositivo ha seguito la topologia, non la cronologia, muovendo dal collettore delle affiliazioni verso i mediatori finanziari, quindi verso lo schermo vaticano, quindi verso il versante criminale, e chiudendo sul versante politico, sicché il lettore ha percorso il quadrilatero lato per lato, nell'ordine in cui i lati si certificano l'un l'altro. Le 4 fasi che seguono manterranno il medesimo statuto: 10 nodi per fase, certificazione dichiarata arco per arco, assoluzioni riportate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1 certifica il quadrilatero loggia-finanza-Vaticano-mafia quale sottografo reale, robusto sui lati e fragile sulle diagonali, con 10 nodi certificati, 5 assoluzioni definitive riepilogate quali dati di prima classe, 1 Stato Zero confermato, la misura delle 4 centralità assegnata ai nodi Sindona, Ortolani, Gelli e Magliana, e la verifica anti-induttiva che dichiara l'autosufficienza esplicativa del primo cerchio rispetto all'ipotesi H1, la quale resta al Livello C con il falsificatore milwardiano iscritto a margine; i fili dell'intelligence, dello stragismo, del crocevia del 1978 e della proiezione internazionale sono formalmente consegnati alle Fasi 2, 3, 4 e 5.</w:t>
      </w:r>
    </w:p>
    <w:p>
      <w:pPr>
        <w:pStyle w:val="Heading2"/>
        <w:spacing w:after="100" w:before="200"/>
      </w:pPr>
      <w:r>
        <w:rPr>
          <w:rFonts w:ascii="Barlow Semi Condensed" w:cs="Barlow Semi Condensed" w:eastAsia="Barlow Semi Condensed" w:hAnsi="Barlow Semi Condensed"/>
          <w:sz w:val="24"/>
          <w:szCs w:val="24"/>
        </w:rPr>
        <w:t xml:space="preserve">FASE 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Intelligence, apparati e strutture parallele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secondo cerchio: la deviazione dei servizi dello Stato</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2 muove dal perimetro consegnato dalla Fase 1 e ne raccoglie il primo dei fili pendenti, quello dell'intelligence, che il quadrilatero loggia-finanza-Vaticano-mafia aveva sfiorato nei canali di Gelli verso i vertici dei servizi ma non aveva ancora osservato dal suo interno. L'oggetto proprio di questa fase è il Dominio 3, l'intelligence ed i servizi segreti, colto nel punto in cui esso si accoppia strutturalmente al Dominio 9, le forze armate, ed al Dominio 2, il potere politico, generando quella figura che la pubblicistica designa con formula sbrigativa come servizi deviati e che il registro preferisce nominare, con maggiore precisione analitica, deviazione documentata di apparati: non un servizio parallelo ed occulto contrapposto ad un servizio legale e trasparente, ma la torsione, giudizialmente accertata in una pluralità di episodi, degli apparati legali medesimi verso finalità estranee od opposte al loro mandato istituzionale.</w:t>
      </w:r>
    </w:p>
    <w:p>
      <w:pPr>
        <w:spacing w:after="120" w:line="276"/>
        <w:jc w:val="both"/>
      </w:pPr>
      <w:r>
        <w:rPr>
          <w:rFonts w:ascii="Barlow Semi Condensed" w:cs="Barlow Semi Condensed" w:eastAsia="Barlow Semi Condensed" w:hAnsi="Barlow Semi Condensed"/>
          <w:sz w:val="24"/>
          <w:szCs w:val="24"/>
        </w:rPr>
        <w:t xml:space="preserve">Il protocollo probatorio resta immutato rispetto alla Fase 1 e non viene qui riesposto se non nei suoi cardini operativi. La triangolazione delle fonti secondo lo standard Savona 2.1 distingue i 3 livelli: il Livello A della connessione documentata, fondata su giudicato o su convergenza di 3 fonti indipendenti di natura diversa; il Livello B della connessione indiziaria, fondata su 2 fonti convergenti o su una singola fonte di alta affidabilità; il Livello C della connessione ipotetica, esplicitamente marcata quale ipotesi investigativa da verificare. La Regola Ferrea vieta ogni salto inferenziale tra il fatto documentato e la sua estensione congetturale, ed impone in particolare, in questa fase più che in ogni altra, la distinzione rigorosa tra la condotta di ostruzione o depistaggio, che numerosi giudicati certificano a carico di uomini degli apparati, ed il mandato originario dell'evento depistato, che la condotta di ostruzione non prova. L'Indice di Contaminazione della Fonte governa il trattamento delle dichiarazioni dei protagonisti, particolarmente insidiose in un campo dove gli attori sono professionisti della manipolazione informativa; e la disciplina delle persone viventi e defunte impone il ricorso ai soli fatti pubblici documentati, con riporto per esteso di ogni esito assolutorio.</w:t>
      </w:r>
    </w:p>
    <w:p>
      <w:pPr>
        <w:spacing w:after="120" w:line="276"/>
        <w:jc w:val="both"/>
      </w:pPr>
      <w:r>
        <w:rPr>
          <w:rFonts w:ascii="Barlow Semi Condensed" w:cs="Barlow Semi Condensed" w:eastAsia="Barlow Semi Condensed" w:hAnsi="Barlow Semi Condensed"/>
          <w:sz w:val="24"/>
          <w:szCs w:val="24"/>
        </w:rPr>
        <w:t xml:space="preserve">Un'avvertenza specifica di questa fase riguarda l'ipotesi H1, la convergenza delle potenze imperiali contro l'integrazione europea, che la Fase 1 ha consegnato al Livello C con il falsificatore milwardiano iscritto a margine, dichiarando l'autosufficienza esplicativa del primo cerchio. La chiusura della Fase 1 ha formulato al riguardo un vincolo popperiano esplicito: gli eventuali elementi di supporto di H1 dovranno emergere dai domini che le fasi successive esplorano, e l'intelligence è il primo di essi. Il Dominio 3 è, per definizione, il dominio nel quale la dimensione internazionale non è mercato o rifugio, come nel primo cerchio, ma sostanza operativa: i servizi italiani nascono e vivono entro un sistema di alleanze e di subordinazioni che li lega alla struttura atlantica ed ai servizi delle 2 superpotenze. La fase verificherà pertanto, su materiale finalmente pertinente, se questa dimensione internazionale si configuri come regia, secondo l'ipotesi H1, ovvero come cornice sistemica entro la quale attori nazionali perseguono finalità nazionali; e lo farà mantenendo la disciplina anti-induttiva, ossia cercando non le conferme di H1 ma le evidenze che la falsificherebbero, secondo la procedura delle ipotesi concorrenti di Heuer che governa l'intero registro. Il lettore troverà, al termine della fase, il bilancio esplicito di questa verifica.</w:t>
      </w:r>
    </w:p>
    <w:p>
      <w:pPr>
        <w:spacing w:after="120" w:line="276"/>
        <w:jc w:val="both"/>
      </w:pPr>
      <w:r>
        <w:rPr>
          <w:rFonts w:ascii="Barlow Semi Condensed" w:cs="Barlow Semi Condensed" w:eastAsia="Barlow Semi Condensed" w:hAnsi="Barlow Semi Condensed"/>
          <w:sz w:val="24"/>
          <w:szCs w:val="24"/>
        </w:rPr>
        <w:t xml:space="preserve">Un chiarimento definitorio si impone, a scanso di equivoci che gravano sull'intera materia. La nozione di deviazione, che dà titolo alla fase, non designa nel registro l'esistenza di un doppio Stato inteso quale apparato occulto integralmente separato e contrapposto all'apparato legale, secondo una vulgata che postula 2 strutture parallele, l'una visibile e legale, l'altra invisibile e criminale, dotate di gerarchie distinte e di finalità opposte. Il registro non certifica questa dicotomia, che eccederebbe di gran lunga il perimetro del provato, e adotta una nozione più circoscritta e più aderente agli accertamenti: la deviazione è la torsione documentata di apparati legali, nei loro uomini e nelle loro articolazioni, verso condotte estranee o contrarie al mandato istituzionale, torsione che si manifesta in episodi determinati e giudizialmente accertati e che non richiede, per essere certificata, l'ipotesi di una struttura occulta sovrastante. Un servizio che scheda illegittimamente non cessa di essere il servizio legale per divenire un servizio parallelo: è il servizio legale che devia. Un ufficiale che depista un'indagine non opera in nome di un apparato invisibile: opera, deviando, in seno all'apparato visibile. Questa precisazione non attenua la gravità dei fatti, ma ne definisce con esattezza la natura, e consente al registro di certificare le deviazioni provate senza assumere, quale loro premessa, l'esistenza di quel doppio Stato che gli accertamenti non hanno dimostrato quale struttura unitaria e che la Regola Ferrea vieta di postulare in via inferenziale. Ove peraltro un singolo caso presenti gli estremi di una struttura clandestina formalizzata, come nel caso della rete Gladio, il registro lo certifica quale tale, ma ne circoscrive rigorosamente la certificazione all'esistenza provata, tenendola distinta dall'impiego ipotetico.</w:t>
      </w:r>
    </w:p>
    <w:p>
      <w:pPr>
        <w:spacing w:after="120" w:line="276"/>
        <w:jc w:val="both"/>
      </w:pPr>
      <w:r>
        <w:rPr>
          <w:rFonts w:ascii="Barlow Semi Condensed" w:cs="Barlow Semi Condensed" w:eastAsia="Barlow Semi Condensed" w:hAnsi="Barlow Semi Condensed"/>
          <w:sz w:val="24"/>
          <w:szCs w:val="24"/>
        </w:rPr>
        <w:t xml:space="preserve">L'ordine espositivo dei 10 nodi segue, come nella Fase 1, la topologia e non la cronologia, muovendo dalla prima deviazione documentata degli apparati militari, il caso SIFAR, verso i direttori dei servizi coinvolti nell'eversione, quindi verso le strutture parallele civili e verso l'esercito segreto della rete stay-behind, per chiudere sul circuito internazionale del coordinamento anticomunista e sulla cattura piduista dell'intero vertice informativo, che salda la fase alla precedente. I criteri di selezione dei nodi restano i 2 requisiti oggettivi della Fase 1: la certificazione di Livello A di almeno un arco inter-dominio e la frequenza trasversale nel corpus, misurata dalla scansione integrale dei 220 documenti. Ogni capitolo si chiude con la formula di accumulo del sapere acquisito, ed una premessa di rendicontazione precede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Capitolo 1 — ▶ Giovanni De Lorenzo. La prima deviazione: il SIFAR, le schedature e il Piano Solo</w:t>
      </w:r>
    </w:p>
    <w:p>
      <w:pPr>
        <w:spacing w:after="120" w:line="276"/>
        <w:jc w:val="both"/>
      </w:pPr>
      <w:r>
        <w:rPr>
          <w:rFonts w:ascii="Barlow Semi Condensed" w:cs="Barlow Semi Condensed" w:eastAsia="Barlow Semi Condensed" w:hAnsi="Barlow Semi Condensed"/>
          <w:sz w:val="24"/>
          <w:szCs w:val="24"/>
        </w:rPr>
        <w:t xml:space="preserve">Giovanni De Lorenzo, nato a Vizzini il 29 dicembre 1907 e morto a Roma il 25 aprile 1973, generale dell'Arma dei carabinieri, apre la Fase 2 perché il suo nodo certifica il primo grande episodio di deviazione degli apparati di sicurezza della Repubblica: la trasformazione del servizio informativo militare da strumento di difesa in strumento di schedatura politica di massa, e la predisposizione, nell'estate del 1964, di un piano di enucleazione di persone che gli atti parlamentari qualificarono come grave deviazione dai fini istituzionali. La scansione del corpus registra il servizio da lui diretto, il SIFAR, 951 volte in 45 documenti, e la vicenda del Piano Solo attraversa gli atti di 4 commissioni d'inchiesta succedutesi in oltre 35 anni, dalla Commissione amministrativa Beolchini del 1966 alla Commissione stragi della XIII legislatura del 2000. Se la Fase 1 ha ricostruito il potere occulto che si annida negli interstizi tra i domini, la Fase 2 comincia dal punto in cui è lo Stato stesso, nella sua articolazione militare e informativa, a produrre la propria zona d'ombra.</w:t>
      </w:r>
    </w:p>
    <w:p>
      <w:pPr>
        <w:spacing w:after="120" w:line="276"/>
        <w:jc w:val="both"/>
      </w:pPr>
      <w:r>
        <w:rPr>
          <w:rFonts w:ascii="Barlow Semi Condensed" w:cs="Barlow Semi Condensed" w:eastAsia="Barlow Semi Condensed" w:hAnsi="Barlow Semi Condensed"/>
          <w:sz w:val="24"/>
          <w:szCs w:val="24"/>
        </w:rPr>
        <w:t xml:space="preserve">La biografia di De Lorenzo segue un cursus honorum che è esso stesso un reperto strutturale, giacché concentra in un solo uomo, in successione, il vertice di 3 apparati che il registro tiene distinti quali Domini 3 e 9. Capo del SIFAR, il Servizio informazioni forze armate, dal 1955 al 1962; comandante generale dell'Arma dei carabinieri dal 1962 al 1966, con il mantenimento di fatto del controllo sul servizio attraverso uomini di sua fiducia; capo di stato maggiore dell'esercito dal 1966; e infine, dopo il collocamento a riposo, deputato, eletto dapprima nel Partito democratico italiano di unità monarchica e successivamente nel Movimento sociale italiano. La traiettoria disegna il Pattern 7 del registro, l'analisi delle migrazioni inter-dominio, nella sua forma più pura: un ufficiale che percorre l'intero apparato di sicurezza dello Stato e ne esce per collocarsi nel Dominio 2, portando nel sistema politico il capitale relazionale e informativo accumulato negli apparati. Il registro certifica al Livello A, sul fondamento degli atti ufficiali, questa concentrazione di cariche, e ne trae la prima annotazione di metodo: la deviazione degli apparati non richiede una struttura esterna ad essi, ma può prodursi per accumulo di potere entro le cariche legali, quando un solo nodo cumula funzioni che il disegno costituzionale vorrebbe separate.</w:t>
      </w:r>
    </w:p>
    <w:p>
      <w:pPr>
        <w:spacing w:after="120" w:line="276"/>
        <w:jc w:val="both"/>
      </w:pPr>
      <w:r>
        <w:rPr>
          <w:rFonts w:ascii="Barlow Semi Condensed" w:cs="Barlow Semi Condensed" w:eastAsia="Barlow Semi Condensed" w:hAnsi="Barlow Semi Condensed"/>
          <w:sz w:val="24"/>
          <w:szCs w:val="24"/>
        </w:rPr>
        <w:t xml:space="preserve">Il primo pilastro probatorio è la schedatura di massa. Sotto la direzione di De Lorenzo, il SIFAR costituì un imponente apparato di raccolta informativa su cittadini estranei a ogni competenza istituzionale del servizio: politici, sindacalisti, magistrati, ecclesiastici, imprenditori, giornalisti, schedati per orientamento politico, condotta privata, relazioni personali. La Commissione amministrativa d'inchiesta presieduta dal generale Aldo Beolchini, istituita nel 1966 dal ministro della difesa Roberto Tremelloni, accertò l'esistenza di un numero di fascicoli che le fonti collocano nell'ordine di 157.000 posizioni, molte delle quali raccolte, secondo le conclusioni della Commissione, esulando dalla competenza istituzionale del servizio e configurando una raccolta illegittima. Il registro certifica al Livello A, sul fondamento delle conclusioni della Commissione Beolchini recepite dagli atti parlamentari successivi, l'esistenza e l'illegittimità dell'apparato schedatorio, e ne trae il significato sistemico: le schedature non erano un accessorio, ma lo strumento di potere del nodo, giacché la disponibilità riservata di informazioni compromettenti su una vasta parte del ceto dirigente conferiva al capo del servizio una capacità di condizionamento che nessuna carica formale gli attribuiva. È la prima comparsa, nel registro, della risorsa che la Nota metodologica assegna al Dominio 3 quale suo monopolio, l'informazione segreta, colta nel suo uso deviato: non a fini di difesa, ma a fini di ricatto potenziale.</w:t>
      </w:r>
    </w:p>
    <w:p>
      <w:pPr>
        <w:spacing w:after="120" w:line="276"/>
        <w:jc w:val="both"/>
      </w:pPr>
      <w:r>
        <w:rPr>
          <w:rFonts w:ascii="Barlow Semi Condensed" w:cs="Barlow Semi Condensed" w:eastAsia="Barlow Semi Condensed" w:hAnsi="Barlow Semi Condensed"/>
          <w:sz w:val="24"/>
          <w:szCs w:val="24"/>
        </w:rPr>
        <w:t xml:space="preserve">Il secondo pilastro, e il più controverso, è il Piano Solo. Nella primavera e nell'estate del 1964, durante la lunga crisi del primo governo organico di centro-sinistra presieduto da Aldo Moro, insediatosi il 5 dicembre 1963, il comando generale dell'Arma dei carabinieri, sotto la direzione di De Lorenzo, predispose un piano di emergenza denominato Solo, così detto perché avrebbe impegnato la sola Arma dei carabinieri senza il concorso delle altre forze. Il piano prevedeva, in caso di attivazione, l'occupazione dei centri nevralgici del Paese, sedi della radiotelevisione, prefetture, centrali telefoniche, sedi dei partiti e dei giornali, e soprattutto l'enucleazione, ossia il prelevamento e la deportazione in una località isolata della Sardegna, di un elenco di persone ritenute pericolose, i cosiddetti enucleandi, da trarsi in prevalenza dalla rubrica E del SIFAR, la rubrica degli individui da enucleare in caso di emergenza. La vicenda esplose pubblicamente nel 1967 con l'inchiesta giornalistica del settimanale L'Espresso, che parlò apertamente di un progettato colpo di Stato, e diede luogo a un contenzioso giudiziario e a una commissione parlamentare d'inchiesta.</w:t>
      </w:r>
    </w:p>
    <w:p>
      <w:pPr>
        <w:spacing w:after="120" w:line="276"/>
        <w:jc w:val="both"/>
      </w:pPr>
      <w:r>
        <w:rPr>
          <w:rFonts w:ascii="Barlow Semi Condensed" w:cs="Barlow Semi Condensed" w:eastAsia="Barlow Semi Condensed" w:hAnsi="Barlow Semi Condensed"/>
          <w:sz w:val="24"/>
          <w:szCs w:val="24"/>
        </w:rPr>
        <w:t xml:space="preserve">La qualificazione di quei fatti impone la massima disciplina del metodo, perché su di essi si è consumata una controversia storiografica e politica mai composta. Il registro procede per gradi di certificazione distinti. Certifica al Livello A l'esistenza materiale del piano, la predisposizione delle liste di enucleandi collegate alla rubrica E del SIFAR e l'anomalia costituzionale di un piano che attribuiva all'Arma dei carabinieri compiti di ordine pubblico straordinario esorbitanti dalle sue competenze: questi fatti non sono mai stati seriamente contestati e risultano dagli atti delle commissioni. Certifica altresì al Livello A la conclusione della Commissione parlamentare d'inchiesta, istituita nel 1969, la cui relazione di maggioranza del 1970 qualificò il complesso delle attività del SIFAR sotto De Lorenzo come deviazione dai fini istituzionali, pur senza pervenire alla qualificazione di tentato colpo di Stato. Mantiene per converso rigorosamente al Livello C, quale ipotesi mai consacrata da alcun accertamento definitivo e anzi respinta dalla relazione di maggioranza, la tesi che il Piano Solo costituisse un colpo di Stato in senso proprio, attivato o sul punto di attivarsi su mandato o con l'avallo del presidente della Repubblica Antonio Segni. La distinzione è la sostanza stessa del caso: tra un piano di emergenza illegittimo nella sua concezione e nelle sue liste, che è certificato, e un golpe deliberato e mancato, che è ipotesi, corre l'intera differenza tra ciò che il registro afferma e ciò che si vieta di affermare. La circostanza, essa stessa certificata al Livello A dagli atti della Commissione stragi, che la lista degli enucleandi risulti dispersa e non più reperibile, dichiarata introvabile dal governo tanto nel 1990 quanto nel 1999, è annotata dal registro quale reperto negativo di prima classe: l'assenza del documento capitale è un dato, e appartiene alla tipologia dell'ostruzione documentale che l'opera ha codificato.</w:t>
      </w:r>
    </w:p>
    <w:p>
      <w:pPr>
        <w:spacing w:after="120" w:line="276"/>
        <w:jc w:val="both"/>
      </w:pPr>
      <w:r>
        <w:rPr>
          <w:rFonts w:ascii="Barlow Semi Condensed" w:cs="Barlow Semi Condensed" w:eastAsia="Barlow Semi Condensed" w:hAnsi="Barlow Semi Condensed"/>
          <w:sz w:val="24"/>
          <w:szCs w:val="24"/>
        </w:rPr>
        <w:t xml:space="preserve">Il terzo pilastro è la sequenza delle inchieste, che fa del caso SIFAR il prototipo del meccanismo di accertamento e insabbiamento che il registro ritroverà in tutta la fase. Alla Commissione amministrativa Beolchini del 1966 seguì la Commissione d'inchiesta presieduta dal generale Giorgio Manes, il vicecomandante dell'Arma che aveva raccolto elementi sulla vicenda e che morì nel 1969 in circostanze che alimentarono sospetti mai tramutati in accertamento, sicché il registro ne mantiene la morte quale evento non qualificato; quindi la Commissione parlamentare d'inchiesta del 1969-1971; e infine, a distanza di decenni, la riapertura documentale operata dalla Commissione stragi della XIII legislatura, i cui atti, presenti nel corpus, ricostruiscono la vicenda alla luce delle desecretazioni degli anni Novanta. Il registro trae da questa sequenza il pattern dell'ostruzione istituzionale post-factum, distinto dall'ostruzione preventiva e dalla distruzione di prove: un meccanismo per cui l'accertamento procede a ondate successive, ciascuna delle quali recupera un frammento e ne perde un altro, sicché la verità giudiziaria e storica resta permanentemente incompleta. La regolarità empirica che il registro ha documentato su scala comparativa, secondo cui nessun archivio di apparato di sicurezza si è mai aperto spontaneamente ma solo per effetto di scandali, contenziosi o iniziative legislative, trova nel caso SIFAR la sua prima conferma nazionale.</w:t>
      </w:r>
    </w:p>
    <w:p>
      <w:pPr>
        <w:spacing w:after="120" w:line="276"/>
        <w:jc w:val="both"/>
      </w:pPr>
      <w:r>
        <w:rPr>
          <w:rFonts w:ascii="Barlow Semi Condensed" w:cs="Barlow Semi Condensed" w:eastAsia="Barlow Semi Condensed" w:hAnsi="Barlow Semi Condensed"/>
          <w:sz w:val="24"/>
          <w:szCs w:val="24"/>
        </w:rPr>
        <w:t xml:space="preserve">Il quarto pilastro è il significato tecnico del sistema delle rubriche del SIFAR, che il registro assume a chiarimento della natura operativa della schedatura e a fondamento della sua qualificazione quale apparato di ricatto potenziale. Il servizio classificava le posizioni schedate in rubriche distinte per finalità: accanto alla rubrica delle persone potenzialmente pericolose e a quella degli individui già condannati o sospettati, la rubrica E raccoglieva i nominativi delle persone da enucleare, ossia da prelevare e allontanare in caso di attivazione di un piano di emergenza. La distinzione tra le rubriche non è un dettaglio archivistico, ma la chiave della qualificazione dell'apparato: la mera raccolta informativa su un individuo è una cosa, e la sua iscrizione in una lista operativa di persone da prelevare in caso di emergenza è cosa affatto diversa, giacché trasforma la scheda da strumento conoscitivo in strumento potenzialmente esecutivo. Il registro certifica al Livello A, sul fondamento degli atti delle commissioni, l'esistenza del sistema delle rubriche e della rubrica E quale rubrica delle persone da enucleare, e ne trae la qualificazione decisiva: il Piano Solo non era un piano astratto, ma un piano dotato del suo strumento operativo, la rubrica E, che ne costituiva la lista di attuazione; e la dispersione della lista degli enucleandi, dichiarata introvabile, priva l'accertamento precisamente del documento che avrebbe consentito di misurare l'ampiezza reale del disegno. Il registro annota altresì che la Commissione stragi, nei suoi lavori degli anni Novanta, rilevò la possibilità di ricostruire almeno parzialmente gli elenchi dispersi attraverso i fascicoli nei quali i nominativi sarebbero stati riversati dopo l'abolizione della rubrica nel 1968, e registrò che tale ricostruzione non risultava effettuata o comunicata: un ulteriore reperto di quella ostruzione istituzionale post-factum che il nodo De Lorenzo ha inaugurato quale pattern dell'intera fase.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 Lorenzo-SIFAR-rubrica E, è il triangolo interno al Dominio 3, che salda la carica alla struttura schedatoria e alle liste operative, certificato al Livello A dagli atti delle commissioni. La seconda, De Lorenzo-Arma dei carabinieri-Segni, è il triangolo dell'accoppiamento tra il Dominio 9 e il Dominio 2 nel momento della crisi del 1964, certificato al Livello A quanto ai contatti tra il generale e il vertice dello Stato durante la crisi di governo, e mantenuto al Livello C quanto alla natura golpista dell'iniziativa; il registro segnala che la stessa esistenza di quei contatti, in un frangente di crisi istituzionale, integra l'anomalia, indipendentemente dalla loro qualificazione. La terza, De Lorenzo-L'Espresso-Commissione parlamentare, è il triangolo dell'emersione pubblica, che documenta il ruolo del giornalismo d'inchiesta quale innesco dell'accertamento e prefigura l'arco tra il Dominio 8 e il Dominio 3 che la fase incontrerà ripetutamente.</w:t>
      </w:r>
    </w:p>
    <w:p>
      <w:pPr>
        <w:spacing w:after="120" w:line="276"/>
        <w:jc w:val="both"/>
      </w:pPr>
      <w:r>
        <w:rPr>
          <w:rFonts w:ascii="Barlow Semi Condensed" w:cs="Barlow Semi Condensed" w:eastAsia="Barlow Semi Condensed" w:hAnsi="Barlow Semi Condensed"/>
          <w:sz w:val="24"/>
          <w:szCs w:val="24"/>
        </w:rPr>
        <w:t xml:space="preserve">La contabilità della schedatura merita il dettaglio dei numeri, perché la deviazione si misura anzitutto in unità d'archivio. Gli accertamenti della Commissione Beolchini quantificarono in circa 157.000 i fascicoli costituiti dal servizio, una massa documentale che eccedeva di interi ordini di grandezza ogni plausibile perimetro di controspionaggio e che includeva dossier su parlamentari, ministri, prelati, sindacalisti, giornalisti ed uomini d'industria, corredati di annotazioni sulla vita privata e patrimoniale raccolte con metodi estranei ad ogni finalità istituzionale, Livello A quanto alle conclusioni della Commissione. La sorte di quell'archivio è essa stessa un reperto: dopo un decennio di custodia contesa, i fascicoli furono avviati alla distruzione nel 1974 per determinazione governativa, sotto il controllo di un'apposita commissione, sicché la Repubblica scelse di incenerire il corpo del reato per impedirne l'uso, sacrificando con ciò, per sempre, la possibilità di censirne analiticamente il contenuto, Livello A quanto alla distruzione. Il registro annota la duplicità del gesto senza scioglierla: la distruzione fu insieme profilassi contro il ricatto e amnistia dell'archivio, e le 2 letture, entrambe legittime, convivono da allora negli atti parlamentari come il primo esempio di quella ambivalenza istituzionale verso la propria memoria che il capitolo 9 della Fase 5 eleverà a regolarità empirica.</w:t>
      </w:r>
    </w:p>
    <w:p>
      <w:pPr>
        <w:spacing w:after="120" w:line="276"/>
        <w:jc w:val="both"/>
      </w:pPr>
      <w:r>
        <w:rPr>
          <w:rFonts w:ascii="Barlow Semi Condensed" w:cs="Barlow Semi Condensed" w:eastAsia="Barlow Semi Condensed" w:hAnsi="Barlow Semi Condensed"/>
          <w:sz w:val="24"/>
          <w:szCs w:val="24"/>
        </w:rPr>
        <w:t xml:space="preserve">Alla sequenza delle inchieste va aggiunto il canale che rese pubblico ciò che gli apparati avevano compartimentato: la stampa. Nel maggio 1967 il settimanale L'Espresso, con gli articoli di Lino Jannuzzi promossi dal direttore Eugenio Scalfari, rivelò al Paese l'esistenza del piano del 1964, costringendo le istituzioni ad uscire dal riserbo; De Lorenzo reagì querelando per diffamazione, ed il processo che ne seguì si concluse nel 1968 con la condanna dei giornalisti, i quali furono di lì a poco eletti in Parlamento, mentre il dibattimento aveva intanto prodotto l'effetto che nessuna sentenza poteva revocare, l'ingresso del Piano Solo nel discorso pubblico, Livello A sull'intera scansione. Il paradosso di un accertamento sostanziale veicolato da una condanna per diffamazione è la miglior introduzione al secondo tornante: la relazione della Commissione parlamentare d'inchiesta presieduta da Giuseppe Alessi, depositata nel 1971, che escluse a maggioranza la qualificazione golpista del piano riconoscendone le gravi irregolarità, accompagnata da relazioni di minoranza di segno opposto, Livello A quanto agli atti, con la conseguenza, che il registro assume quale dato permanente, di un evento certificato nei fatti e conteso nella qualificazione, secondo la medesima asimmetria che la Fase 1 ha incontrato nella P2. Chiude il quadro la parabola personale: la rimozione dal vertice dello stato maggiore dell'esercito nell'aprile 1967, all'esito degli accertamenti interni condotti dal generale Giorgio Manes, e la successiva elezione alla Camera nelle file monarchiche e poi missine, Livello A, che inaugura nel registro la figura, destinata a ripetersi, del generale della deviazione che transita dall'apparato al Parlamento: la migrazione inter-dominio del Pattern 7 nella sua variante più letterale, dall'archivio segreto all'immunità parlamentare.</w:t>
      </w:r>
    </w:p>
    <w:p>
      <w:pPr>
        <w:spacing w:after="120" w:line="276"/>
        <w:jc w:val="both"/>
      </w:pPr>
      <w:r>
        <w:rPr>
          <w:rFonts w:ascii="Barlow Semi Condensed" w:cs="Barlow Semi Condensed" w:eastAsia="Barlow Semi Condensed" w:hAnsi="Barlow Semi Condensed"/>
          <w:sz w:val="24"/>
          <w:szCs w:val="24"/>
        </w:rPr>
        <w:t xml:space="preserve">Il contesto politico dell'estate 1964 va infine restituito, perché il piano non abitò il vuoto ma una crisi di governo dalle scansioni note. Tra giugno e luglio, caduto il primo esecutivo organico di centro-sinistra ed apertasi la trattativa per la sua riedizione, il presidente della Repubblica Antonio Segni intrattenne con i vertici militari, De Lorenzo incluso, consultazioni la cui esistenza è documentata e la cui esatta portata resta contesa; nel medesimo torno di settimane maturarono le predisposizioni operative che gli accertamenti successivi avrebbero censito, e la trattativa politica si chiuse con un programma riformatore ridimensionato, prima che il capo dello Stato fosse colpito, in agosto, dal malore che ne avrebbe determinato le dimissioni, Livello A quanto alla cronologia istituzionale, Livello C quanto ad ogni nesso tra le predisposizioni militari e l'esito della trattativa, nesso che nessun accertamento ha consacrato. Alla stagione appartiene la formula con cui Pietro Nenni, protagonista della trattativa, avrebbe poi nominato quel clima, il rumore di sciabole avvertito nell'estate: espressione memorialistica che il registro cita quale reperto lessicale d'epoca, non quale accertamento, Livello B quanto alla testimonianza. La storiografia prevalente ha consegnato del piano la lettura del deterrente, un apparato predisposto non per essere eseguito ma per pesare, con la sua sola esistenza conoscibile ai pochi, sul tavolo della mediazione politica: lettura che il registro censisce quale ipotesi storiografica dominante, coerente con la qualificazione non golpista della Commissione Alessi e tuttavia non riducibile ad essa, Livello B, e che consegna al Pattern 8 un teorema destinato a lunga fortuna nella fase, l'apparato che condiziona non agendo ma potendo agire, la deviazione come potenzialità esibita.</w:t>
      </w:r>
    </w:p>
    <w:p>
      <w:pPr>
        <w:spacing w:after="120" w:line="276"/>
        <w:jc w:val="both"/>
      </w:pPr>
      <w:r>
        <w:rPr>
          <w:rFonts w:ascii="Barlow Semi Condensed" w:cs="Barlow Semi Condensed" w:eastAsia="Barlow Semi Condensed" w:hAnsi="Barlow Semi Condensed"/>
          <w:sz w:val="24"/>
          <w:szCs w:val="24"/>
        </w:rPr>
        <w:t xml:space="preserve">Alla contabilità delle rubriche appartiene infine il documento operativo che distingue il piano da ogni ordinaria pianificazione di ordine pubblico: le liste degli enucleandi. Gli accertamenti parlamentari censirono l'esistenza di elenchi, per un totale di oltre 700 nominativi, di dirigenti politici, sindacali e giornalistici da prelevare e trasferire, nella fase esecutiva, presso strutture riservate extraterritoriali rispetto ai circuiti ordinari di polizia giudiziaria, in Sardegna, secondo una procedura che non prevedeva né provvedimento dell'autorità giudiziaria né alcuna base normativa conoscibile, Livello A quanto all'esistenza delle liste ed alla meccanica del prelevamento quale risulta dagli atti, Livello B quanto alle quantificazioni di dettaglio, non uniformi nelle fonti. È questo, e non la generica raccolta informativa, il reperto che qualifica: la schedatura osserva, la lista di enucleazione predispone, ed il passaggio dall'una all'altra è il passaggio dal codice dell'informazione al codice dell'azione, che nessuna finalità difensiva dichiarata poteva coprire. Un poscritto tragico appartiene alla storia dell'accertamento: il generale Giorgio Manes, l'ufficiale che con la propria inchiesta interna aveva reso possibile la ricostruzione dei fatti, morì stroncato da un malore il 24 giugno 1969, nell'aula stessa in cui si accingeva a deporre dinanzi alla Commissione parlamentare, Livello A quanto al fatto, di natura accertata quale evento naturale, che il registro riporta senza alcuna suggestione aggiuntiva e con la sola annotazione che gli compete: la conoscenza di quella stagione giunse al Parlamento orfana del suo testimone più qualificato, e la storia dell'accertamento è anche, sempre, la storia dei suoi vuoti accidentali.</w:t>
      </w:r>
    </w:p>
    <w:p>
      <w:pPr>
        <w:spacing w:after="120" w:line="276"/>
        <w:jc w:val="both"/>
      </w:pPr>
      <w:r>
        <w:rPr>
          <w:rFonts w:ascii="Barlow Semi Condensed" w:cs="Barlow Semi Condensed" w:eastAsia="Barlow Semi Condensed" w:hAnsi="Barlow Semi Condensed"/>
          <w:sz w:val="24"/>
          <w:szCs w:val="24"/>
        </w:rPr>
        <w:t xml:space="preserve">L'estate del 1964 ebbe infine il suo epilogo fisico, che il registro censisce quale chiusura documentale della finestra: il 7 agosto 1964, nel proprio studio al Quirinale, durante un colloquio teso con il presidente del Consiglio Moro ed il ministro degli esteri Saragat sulla crisi in corso, il presidente Segni fu colpito da un grave malore cerebrale che ne compromise irreversibilmente le funzioni, conducendolo alle dimissioni del dicembre successivo, Livello A quanto ai fatti ed alle date. Il registro si attiene alla propria disciplina e non converte la coincidenza in causa: il collasso di un uomo provato non è un reperto sul contenuto dei colloqui, e nessun accertamento ha mai stabilito nessi che il registro possa certificare. Ma la cronologia oggettiva resta, ed appartiene alla contabilità della finestra: il presidente della Repubblica attorno al quale la stagione dei piani si era addensata uscì di scena, fisicamente, nel cuore dell'estate in cui la stagione si consumava, e la successione che ne seguì chiuse l'equazione politica del biennio. Con il dicembre 1964 la finestra critica inaugurale dell'opera si sigilla così su tutti i piani insieme, il militare, il politico e il biografico, e la Repubblica archivia il suo primo allarme senza processo, senza relazione approvata all'unanimità e senza più il protagonista istituzionale che avrebbe potuto, solo, raccontarne la versione mancante.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 Lorenzo è certificato al Livello A quale prima deviazione documentata degli apparati di sicurezza repubblicani, sul fondamento delle conclusioni della Commissione Beolchini sulle schedature illegittime del SIFAR e della relazione parlamentare del 1970 che qualificò le attività del servizio quale deviazione dai fini istituzionali; l'esistenza materiale del Piano Solo e delle liste di enucleandi è certificata al Livello A, mentre la sua qualificazione quale tentato colpo di Stato resta al Livello C, quale ipotesi non consacrata e anzi respinta dalla relazione di maggioranza; la dispersione della lista degli enucleandi è recepita quale reperto di ostruzione documentale di prima classe.</w:t>
      </w:r>
    </w:p>
    <w:p>
      <w:pPr>
        <w:pStyle w:val="Heading3"/>
        <w:spacing w:after="80" w:before="160"/>
      </w:pPr>
      <w:r>
        <w:rPr>
          <w:rFonts w:ascii="Barlow Semi Condensed" w:cs="Barlow Semi Condensed" w:eastAsia="Barlow Semi Condensed" w:hAnsi="Barlow Semi Condensed"/>
          <w:sz w:val="24"/>
          <w:szCs w:val="24"/>
        </w:rPr>
        <w:t xml:space="preserve">Capitolo 2 — ▶ Vito Miceli. Il direttore del servizio e l'accusa di cospirazione</w:t>
      </w:r>
    </w:p>
    <w:p>
      <w:pPr>
        <w:spacing w:after="120" w:line="276"/>
        <w:jc w:val="both"/>
      </w:pPr>
      <w:r>
        <w:rPr>
          <w:rFonts w:ascii="Barlow Semi Condensed" w:cs="Barlow Semi Condensed" w:eastAsia="Barlow Semi Condensed" w:hAnsi="Barlow Semi Condensed"/>
          <w:sz w:val="24"/>
          <w:szCs w:val="24"/>
        </w:rPr>
        <w:t xml:space="preserve">Vito Miceli, nato a Trapani il 30 gennaio 1916 e morto a Roma il 24 novembre 1990, generale, direttore del Servizio informazioni difesa dal 1970 al 1974, è il nodo attraverso il quale il registro certifica un fatto che nessuna vulgata potrebbe rendere più eloquente della sua nuda realtà giudiziaria: il direttore in carica del servizio segreto militare della Repubblica fu arrestato e processato per cospirazione politica mediante associazione, nel quadro delle inchieste sull'eversione di destra dei primi anni Settanta. La scansione del corpus registra il servizio da lui diretto, il SID, 1.658 volte in 100 documenti, la più alta frequenza documentale dell'intero Dominio 3, e il nome di Miceli 475 volte in 25 documenti. Il nodo salda 3 domini in una sola biografia: il Dominio 3 quale direttore del servizio, il Dominio 7 quale imputato di cospirazione eversiva, il Dominio 4 quale iscritto alla loggia P2, e proietta verso il Dominio 2 attraverso il successivo mandato parlamentare.</w:t>
      </w:r>
    </w:p>
    <w:p>
      <w:pPr>
        <w:spacing w:after="120" w:line="276"/>
        <w:jc w:val="both"/>
      </w:pPr>
      <w:r>
        <w:rPr>
          <w:rFonts w:ascii="Barlow Semi Condensed" w:cs="Barlow Semi Condensed" w:eastAsia="Barlow Semi Condensed" w:hAnsi="Barlow Semi Condensed"/>
          <w:sz w:val="24"/>
          <w:szCs w:val="24"/>
        </w:rPr>
        <w:t xml:space="preserve">La biografia istituzionale colloca Miceli al vertice del SID nel quadriennio cruciale che va dalla strage di Piazza Fontana del dicembre 1969 alla stagione dei tentativi eversivi. Nominato direttore del SID nell'ottobre del 1970, Miceli resse il servizio nel periodo in cui in esso si consumarono, secondo i successivi accertamenti giudiziari, i depistaggi delle indagini sulle stragi e i contatti ambigui con gli ambienti dell'eversione nera, materia che la Fase 3 tratterà nel suo contesto e che qui rileva quale sfondo della vicenda personale del direttore. Il registro certifica al Livello A, sul fondamento degli atti ufficiali, la carica e la sua durata, e annota il dato strutturale: Miceli diresse il SID negli stessi mesi in cui Junio Valerio Borghese predisponeva il tentativo eversivo del dicembre 1970, di cui il capitolo 6 dirà, e in cui prendeva forma l'organizzazione denominata Rosa dei Venti; ed è precisamente all'intersezione tra il servizio e questi ambienti che si collocò l'accusa che ne travolse la carriera.</w:t>
      </w:r>
    </w:p>
    <w:p>
      <w:pPr>
        <w:spacing w:after="120" w:line="276"/>
        <w:jc w:val="both"/>
      </w:pPr>
      <w:r>
        <w:rPr>
          <w:rFonts w:ascii="Barlow Semi Condensed" w:cs="Barlow Semi Condensed" w:eastAsia="Barlow Semi Condensed" w:hAnsi="Barlow Semi Condensed"/>
          <w:sz w:val="24"/>
          <w:szCs w:val="24"/>
        </w:rPr>
        <w:t xml:space="preserve">Il primo pilastro probatorio è l'arresto e l'imputazione. Il 31 ottobre 1974 Vito Miceli, all'epoca già sostituito alla direzione del SID, fu arrestato su ordine del giudice istruttore di Padova Giovanni Tamburino, nel quadro dell'inchiesta sull'organizzazione Rosa dei Venti, una struttura clandestina a carattere eversivo emersa dalle indagini sul tentativo golpista Borghese e sui suoi sviluppi. L'accusa era di cospirazione politica mediante associazione: al direttore del servizio segreto si contestava di aver promosso o diretto, o quantomeno favorito e coperto, un'associazione volta a sovvertire con mezzi illegali gli assetti costituzionali. Il registro certifica al Livello A, quale fatto giudiziario incontrovertibile risultante dagli atti, l'arresto del direttore del SID e l'imputazione di cospirazione: che il capo del servizio informativo militare sia stato privato della libertà personale e sottoposto a procedimento per un reato contro la personalità dello Stato è, di per sé, il reperto capitale del nodo, indipendentemente dall'esito, giacché documenta al massimo grado la porosità del confine tra il Dominio 3 e il Dominio 7 in quella stagione.</w:t>
      </w:r>
    </w:p>
    <w:p>
      <w:pPr>
        <w:spacing w:after="120" w:line="276"/>
        <w:jc w:val="both"/>
      </w:pPr>
      <w:r>
        <w:rPr>
          <w:rFonts w:ascii="Barlow Semi Condensed" w:cs="Barlow Semi Condensed" w:eastAsia="Barlow Semi Condensed" w:hAnsi="Barlow Semi Condensed"/>
          <w:sz w:val="24"/>
          <w:szCs w:val="24"/>
        </w:rPr>
        <w:t xml:space="preserve">Il secondo pilastro esige, in ossequio alla regola del registro, il riporto per esteso dell'esito. Il procedimento a carico di Miceli per la vicenda della Rosa dei Venti e per i fatti connessi si concluse con l'assoluzione dell'imputato dall'accusa di cospirazione; Miceli non fu condannato per i reati eversivi contestatigli, e la sua posizione, come quella di altri imputati di quel filone, si chiuse senza affermazione di responsabilità penale per il delitto associativo. Il registro certifica dunque al Livello A tanto l'arresto e l'imputazione quanto l'assoluzione, e ne trae la conseguenza metodologica rigorosa: il nodo Miceli documenta al Livello A il fatto storico di un direttore di servizio processato per eversione, ma non consente di certificare, in forza dell'assoluzione, la partecipazione del medesimo a un disegno eversivo. La distinzione tra il fatto del processo, che è certificato, e la fondatezza dell'accusa, che il giudicato ha negato, è la sostanza del caso e la misura della disciplina che il registro si impone anche quando l'imputato è il capo di un apparato deviato.</w:t>
      </w:r>
    </w:p>
    <w:p>
      <w:pPr>
        <w:spacing w:after="120" w:line="276"/>
        <w:jc w:val="both"/>
      </w:pPr>
      <w:r>
        <w:rPr>
          <w:rFonts w:ascii="Barlow Semi Condensed" w:cs="Barlow Semi Condensed" w:eastAsia="Barlow Semi Condensed" w:hAnsi="Barlow Semi Condensed"/>
          <w:sz w:val="24"/>
          <w:szCs w:val="24"/>
        </w:rPr>
        <w:t xml:space="preserve">Il terzo pilastro è l'appartenenza alla loggia P2, che salda il nodo al quadrilatero della Fase 1. Vito Miceli figura tra gli iscritti alla loggia Propaganda 2 di Licio Gelli, e la sua affiliazione, unitamente a quella dei direttori dei servizi che gli succedettero e che il capitolo 10 tratterà, integra l'arco tra il Dominio 3 e il Dominio 4 che la Fase 1 aveva certificato dal lato di Gelli e che qui si certifica dal lato dell'apparato. Il registro assume l'affiliazione al Livello A, sul fondamento delle liste sequestrate a Castiglion Fibocchi il 17 marzo 1981 e degli accertamenti della Commissione Anselmi, e ne trae il significato sistemico: la presenza del direttore del servizio militare in una loggia coperta, il cui Venerabile Maestro intratteneva i rapporti che la Fase 1 ha documentato, è la traccia materiale dell'accoppiamento strutturale tra il Dominio 3 e il Dominio 4, e conferma che la deviazione degli apparati non fu solo torsione funzionale verso l'eversione, ma anche cattura relazionale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quarto pilastro è la migrazione politica. Dopo la vicenda giudiziaria, Miceli fu eletto deputato nel Movimento sociale italiano, sedendo alla Camera a partire dalla legislatura inaugurata nel 1976. Il nodo disegna così, come quello di De Lorenzo, il Pattern 7 delle migrazioni inter-dominio: dal vertice del Dominio 3, attraverso l'imputazione nel Dominio 7, al Dominio 2 per via elettorale. Il registro certifica al Livello A la carica parlamentare e annota la regolarità che i primi 2 nodi della fase già delineano: il passaggio di ufficiali di vertice degli apparati di sicurezza alla rappresentanza politica dell'area nazionale costituisce un corridoio strutturale tra i Domini 3, 9 e 2, ripetutamente percorso, che il Pattern 7 identifica quale meccanismo non casuale di ricollocazione del personale degli apparati.</w:t>
      </w:r>
    </w:p>
    <w:p>
      <w:pPr>
        <w:spacing w:after="120" w:line="276"/>
        <w:jc w:val="both"/>
      </w:pPr>
      <w:r>
        <w:rPr>
          <w:rFonts w:ascii="Barlow Semi Condensed" w:cs="Barlow Semi Condensed" w:eastAsia="Barlow Semi Condensed" w:hAnsi="Barlow Semi Condensed"/>
          <w:sz w:val="24"/>
          <w:szCs w:val="24"/>
        </w:rPr>
        <w:t xml:space="preserve">Il quinto pilastro è la natura dell'organizzazione Rosa dei Venti e il significato dell'inchiesta di Padova, che il registro assume quale reperto della porosità sistemica tra apparati ed eversione. L'organizzazione denominata Rosa dei Venti emerse dalle indagini condotte dal giudice istruttore di Padova Giovanni Tamburino a partire dalle propaggini del tentativo golpista del dicembre 1970, e si configurò, nella ricostruzione dell'inquirente, quale struttura clandestina a carattere eversivo che avrebbe collegato ambienti dell'eversione nera, settori delle forze armate e apparati informativi in un disegno di condizionamento autoritario dell'ordine costituzionale. L'inchiesta di Padova ebbe una portata dirompente perché, muovendo dal basso, dai singoli episodi eversivi, risalì fino al vertice del servizio segreto militare, giungendo all'arresto del suo direttore; e perché sollevò, per la prima volta in sede giudiziaria, la questione dei rapporti tra la struttura informativa dello Stato e gli ambienti eversivi che essa avrebbe dovuto sorvegliare. Il registro certifica al Livello A l'esistenza dell'inchiesta di Padova, la sua estensione dal livello degli esecutori a quello del vertice del servizio, e l'arresto del direttore che ne conseguì; e mantiene al Livello C, in forza del successivo esito assolutorio, la qualificazione della Rosa dei Venti quale struttura eversiva compiutamente organizzata e diretta dagli apparati. La distinzione è, ancora una volta, tra il fatto certificato dell'inchiesta e dei suoi esiti processuali, e l'ipotesi non consacrata della natura e della direzione dell'organizzazione. Il registro annota il significato sistemico dell'episodio: l'inchiesta di Padova documenta al Livello A che la magistratura, negli anni Settanta, giunse a ipotizzare e a perseguire un collegamento tra il vertice del servizio militare e l'eversione, e che tale ipotesi, pur non consacrata da condanna, aprì una crisi istituzionale che condusse alla rimozione e all'arresto del direttore; è il primo caso, nel registro, in cui il Dominio 10 della magistratura si accoppia al Dominio 3 nella forma dell'azione penale contro il vertice dell'apparato, prefigurando la dialettica tra magistratura e servizi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Miceli-SID-Rosa dei Venti, è il triangolo dell'accusa, che salda il vertice del servizio all'organizzazione eversiva secondo l'ipotesi del giudice istruttore di Padova; esso è certificato al Livello A quanto all'esistenza del procedimento e dei contatti che vi emersero, e mantenuto al Livello C quanto alla partecipazione di Miceli al disegno eversivo, in forza dell'assoluzione. La seconda, Miceli-Gelli-P2, è il triangolo della cattura relazionale, certificato al Livello A dall'affiliazione documentata. La terza, Miceli-MSI-rappresentanza politica, è il triangolo della migrazione, certificato al Livello A dal mandato parlamentare. Sul piano dei pattern, il nodo attiva, oltre al Pattern 7, il Pattern 5 dei buchi strutturali, giacché la posizione del direttore del servizio, collocato all'incrocio tra l'apparato militare, la struttura eversiva e la loggia coperta, è una posizione di intermediazione la cui rimozione, avvenuta con l'arresto, aprì una discontinuità nel controllo del servizio che i successivi assetti dovettero ricomporre.</w:t>
      </w:r>
    </w:p>
    <w:p>
      <w:pPr>
        <w:spacing w:after="120" w:line="276"/>
        <w:jc w:val="both"/>
      </w:pPr>
      <w:r>
        <w:rPr>
          <w:rFonts w:ascii="Barlow Semi Condensed" w:cs="Barlow Semi Condensed" w:eastAsia="Barlow Semi Condensed" w:hAnsi="Barlow Semi Condensed"/>
          <w:sz w:val="24"/>
          <w:szCs w:val="24"/>
        </w:rPr>
        <w:t xml:space="preserve">Il contesto istruttorio dell'arresto va restituito nella sua architettura, perché la vicenda Miceli fu anche un conflitto tra giurisdizioni e tra letture del medesimo materiale. L'istruttoria padovana del giudice Giovanni Tamburino, muovendo dall'inchiesta sulla Rosa dei Venti, elaborò l'ipotesi di un organismo occulto operante entro il servizio e parallelo alla sua struttura ufficiale, un servizio nel servizio destinato a funzioni di condizionamento interno; l'istruttoria fu successivamente trasferita alla capitale per ragioni di competenza, e nella sede romana l'ipotesi organizzatoria si stemperò sino agli esiti assolutori che il capitolo ha riportato, Livello A quanto alla scansione processuale, Livello C quanto all'ipotesi dell'organismo parallelo, mai consacrata da giudicato. Il registro censisce il trasferimento di competenza quale reperto esso stesso: nella storia degli accertamenti sugli apparati, lo spostamento della sede giudiziaria si ripresenterà con regolarità statistica sospetta, da Milano a Catanzaro per Piazza Fontana come da Padova a Roma per la Rosa dei Venti, e l'analisi delle finestre critiche del Pattern 3 dovrà annotare che il foro romano fu, per gli imputati degli apparati, sistematicamente più mite dei fori di provenienza: correlazione certificabile, causa non certificata, secondo la disciplina che la Regola Ferrea impone.</w:t>
      </w:r>
    </w:p>
    <w:p>
      <w:pPr>
        <w:spacing w:after="120" w:line="276"/>
        <w:jc w:val="both"/>
      </w:pPr>
      <w:r>
        <w:rPr>
          <w:rFonts w:ascii="Barlow Semi Condensed" w:cs="Barlow Semi Condensed" w:eastAsia="Barlow Semi Condensed" w:hAnsi="Barlow Semi Condensed"/>
          <w:sz w:val="24"/>
          <w:szCs w:val="24"/>
        </w:rPr>
        <w:t xml:space="preserve">Un secondo reperto documentale appartiene alla stagione di Miceli ed illumina la natura promiscua della raccolta informativa d'apparato: il fascicolo Mi.Fo.Biali. Sotto tale criptonimo il servizio condusse a metà degli anni 70 un'attività di intercettazione su ambienti collocati all'incrocio tra vertici della Guardia di Finanza, traffici petroliferi e relazioni con la Libia, producendo un dossier che non approdò ad alcun procedimento e che rifluì invece, per canali mai integralmente chiariti, nella disponibilità di ambienti giornalistici e riservati, sino a riaffiorare nelle carte dell'agenzia OP di Carmine Pecorelli, Livello B quanto alla genesi ed al percorso del fascicolo, secondo le ricostruzioni parlamentari. Il registro ne trae la certificazione di un meccanismo più che di un contenuto: l'informazione raccolta dall'apparato per finalità dichiarate di sicurezza poteva mutare destinazione e divenire merce, arma negoziale o materiale di ricatto nel mercato riservato delle notizie, e questo scivolamento funzionale, documentato qui per la prima volta nella fase, è la premessa tecnica di tutto ciò che il capitolo 8 della Fase 4 dirà sul giornalismo delle veline e sul suo prezzo di sangue.</w:t>
      </w:r>
    </w:p>
    <w:p>
      <w:pPr>
        <w:spacing w:after="120" w:line="276"/>
        <w:jc w:val="both"/>
      </w:pPr>
      <w:r>
        <w:rPr>
          <w:rFonts w:ascii="Barlow Semi Condensed" w:cs="Barlow Semi Condensed" w:eastAsia="Barlow Semi Condensed" w:hAnsi="Barlow Semi Condensed"/>
          <w:sz w:val="24"/>
          <w:szCs w:val="24"/>
        </w:rPr>
        <w:t xml:space="preserve">Il ciclo apertosi con l'arresto del direttore si chiuse, sul piano sistemico, con la riforma che ridisegnò l'intera architettura informativa, e la scansione merita registrazione perché costituisce l'unico esito legislativo dell'intera stagione delle deviazioni. La legge 24 ottobre 1977 numero 801 soppresse il SID e ripartì le funzioni tra 2 organismi, il SISMI per la sicurezza militare ed il SISDE per quella democratica, coordinati dal comitato esecutivo CESIS presso la Presidenza del Consiglio, ed istituì per la prima volta un organo parlamentare di controllo, il Comitato per i servizi di informazione e sicurezza, insieme alla disciplina legislativa del segreto di Stato con l'esclusione espressa della sua opponibilità per i fatti eversivi dell'ordine costituzionale, Livello A quanto all'impianto normativo. Il registro annota la genealogia: la riforma nacque dichiaratamente dalla stagione dei processi agli apparati, e la clausola sull'ineccepibilità del segreto per i fatti eversivi porta impressa, in negativo, la memoria dei dinieghi opposti ai giudici istruttori del quinquennio precedente. Che poi la nuova architettura sia stata catturata, a men di 4 anni dalla sua entrata in funzione, dalla loggia che il capitolo 10 documenta, non abroga il valore del reperto ma lo raddoppia: la fase consegna così alle successive la coppia concettuale che governa l'intera materia, la riforma quale risposta dell'ordinamento e la cattura quale risposta alla risposta, il legislatore che chiude la porta e la rete che entra dalla finestra delle nomine.</w:t>
      </w:r>
    </w:p>
    <w:p>
      <w:pPr>
        <w:spacing w:after="120" w:line="276"/>
        <w:jc w:val="both"/>
      </w:pPr>
      <w:r>
        <w:rPr>
          <w:rFonts w:ascii="Barlow Semi Condensed" w:cs="Barlow Semi Condensed" w:eastAsia="Barlow Semi Condensed" w:hAnsi="Barlow Semi Condensed"/>
          <w:sz w:val="24"/>
          <w:szCs w:val="24"/>
        </w:rPr>
        <w:t xml:space="preserve">Quanto all'organizzazione che diede nome all'inchiesta, la Rosa dei Venti, gli accertamenti padovani ne censirono la natura di struttura clandestina a composizione mista, civile e militare, con proiezioni in più regioni del nord ed un lessico interno di legittimazione atlantica; tra gli arrestati figurò il colonnello Amos Spiazzi, ufficiale in servizio, la cui linea difensiva, l'appartenenza ad un'organizzazione di sicurezza interna legittima e nota alle gerarchie, introdusse nel dibattimento il tema, allora inverificabile, delle strutture parallele autorizzate, Livello A quanto agli arresti ed alla linea difensiva quale fatto processuale, Livello C quanto al suo contenuto di verità, che soltanto la rivelazione del 1990 avrebbe reso retrospettivamente plausibile senza mai riscontrarlo nel caso specifico. Gli esiti giudiziari del filone, in larga parte assolutori o di proscioglimento, completano la statistica della fase, Livello A, e consegnano al registro l'ennesima occorrenza della sua figura ricorrente: l'organizzazione materialmente esistita ed il reato giudizialmente inesistente, la forbice entro la quale abita, irrisolta per costruzione, l'intera contabilità della deviazione.</w:t>
      </w:r>
    </w:p>
    <w:p>
      <w:pPr>
        <w:spacing w:after="120" w:line="276"/>
        <w:jc w:val="both"/>
      </w:pPr>
      <w:r>
        <w:rPr>
          <w:rFonts w:ascii="Barlow Semi Condensed" w:cs="Barlow Semi Condensed" w:eastAsia="Barlow Semi Condensed" w:hAnsi="Barlow Semi Condensed"/>
          <w:sz w:val="24"/>
          <w:szCs w:val="24"/>
        </w:rPr>
        <w:t xml:space="preserve">Il nucleo tecnico dell'accusa romana merita infine di essere isolato, perché in esso sta la sostanza istituzionale del caso al di là della sorte processuale. A Miceli fu contestato, in radice, di aver disposto delle informazioni raccolte dal servizio sul tentativo del dicembre 1970 senza trasmetterle tempestivamente ed integralmente all'autorità politica ed a quella giudiziaria, trattenendo la conoscenza quale risorsa propria dell'apparato: accusa dalla quale fu assolto con la formula che il capitolo ha riportato, ma il cui oggetto, la ritenzione della notizia quale forma di potere, resta il paradigma concettuale che l'intera fase ha poi ritrovato in ogni sua stazione, Livello A quanto al contenuto della contestazione ed all'esito. Al dibattimento romano appartiene inoltre un reperto scenico che il registro censisce quale dato e non quale aneddoto: il confronto pubblico tra Miceli e Maletti, i 2 vertici del medesimo servizio che si accusarono reciprocamente in aula, ciascuno attribuendo all'altro la gestione anomala delle informative, Livello A quanto al contrasto processualmente documentato. La scena vale una radiografia: il servizio della prima metà degli anni 70 non fu un monolite deviato ma un campo di fazioni in guerra, ciascuna con il proprio archivio, i propri canali politici ed i propri protettori, e la deviazione, lungi dall'essere il progetto coerente di un centro unico, fu anche il sottoprodotto entropico di quella competizione interna per il controllo della risorsa informativa: lettura, questa, che gli atti autorizzano e che ridimensiona, senza cancellarla, ogni ipotesi di regia unitaria.</w:t>
      </w:r>
    </w:p>
    <w:p>
      <w:pPr>
        <w:spacing w:after="120" w:line="276"/>
        <w:jc w:val="both"/>
      </w:pPr>
      <w:r>
        <w:rPr>
          <w:rFonts w:ascii="Barlow Semi Condensed" w:cs="Barlow Semi Condensed" w:eastAsia="Barlow Semi Condensed" w:hAnsi="Barlow Semi Condensed"/>
          <w:sz w:val="24"/>
          <w:szCs w:val="24"/>
        </w:rPr>
        <w:t xml:space="preserve">Alla parabola del direttore va premessa la genealogia del vertice, che colloca la nomina nella sua sequenza istituzionale: il servizio riformato dopo lo scandalo dei fascicoli era stato retto dall'ammiraglio Eugenio Henke, il traghettatore che tra il 1966 ed il 1970 accompagnò la trasformazione del SIFAR in SID amministrando la stagione delle epurazioni parziali censite nel capitolo precedente, e fu il passaggio di consegne dell'ottobre 1970 a insediare Miceli alla direzione, Livello A quanto alla sequenza ed alle date. Il registro fissa la coincidenza cronologica che la scansione consegna: il nuovo direttore assunse il comando del servizio poche settimane prima della notte dell'Immacolata, sicché il tentativo del dicembre 1970 e la gestione delle sue notizie, che costituiranno il cuore dell'imputazione censita, caddero nell'esatta finestra di insediamento di un vertice appena installato, con gli uffici in transizione e le lealtà interne in riassestamento. La circostanza non è un attenuante né un aggravante, ed il registro la consegna quale puro dato di struttura: nella serie delle finestre critiche dell'opera, anche quella del dicembre 1970 si apre su un apparato colto nel proprio momento di minima coesione, e la regolarità con cui gli snodi eversivi del corpus intercettano le transizioni di vertice degli organi di sicurezza, dal 1970 di Miceli al 1978 dei servizi neonati, è essa stessa un reperto del Pattern 3, che il registro registra senza convertirlo in disegno: le transizioni sono finestre, e le finestre, chiunque le apra, fanno entrare la stessa aria.</w:t>
      </w:r>
    </w:p>
    <w:p>
      <w:pPr>
        <w:spacing w:after="120" w:line="276"/>
        <w:jc w:val="both"/>
      </w:pPr>
      <w:r>
        <w:rPr>
          <w:rFonts w:ascii="Barlow Semi Condensed" w:cs="Barlow Semi Condensed" w:eastAsia="Barlow Semi Condensed" w:hAnsi="Barlow Semi Condensed"/>
          <w:sz w:val="24"/>
          <w:szCs w:val="24"/>
        </w:rPr>
        <w:t xml:space="preserve">La genealogia dei vertici si completa con il successore, che il registro censisce per la funzione di cerniera: dopo la rimozione di Miceli, la direzione del servizio passò nell'estate 1974 all'ammiraglio Mario Casardi, che la resse sino alla riforma del 1977, amministrando la stagione terminale del SID, quella dei procedimenti censiti in questa fase, delle epurazioni giudiziarie dei propri uffici e della transizione legislativa verso il nuovo ordinamento, Livello A quanto alla successione ed alle date. Il registro annota la regolarità che la serie dei 3 direttori consegna: Henke il traghettatore dallo scandalo alla ricostruzione, Miceli il direttore imputato, Casardi il liquidatore verso la riforma, e la circostanza che l'intero arco vitale del servizio, 11 anni dalla nascita alla soppressione, sia interamente descrivibile attraverso le categorie della patologia, scandalo ereditato, vertice processato, struttura rifondata per legge, è il giudizio storico implicito che nessuna sentenza ha dovuto pronunciare: il SID è l'unico apparato della Repubblica la cui parabola istituzionale coincide, senza residui, con la propria storia giudiziaria, e la riforma del 1977 che lo cancellò fu, nella sostanza, l'unica sentenza definitiva emessa sull'intero organismo anziché sui suoi uomini.</w:t>
      </w:r>
    </w:p>
    <w:p>
      <w:pPr>
        <w:spacing w:after="120" w:line="276"/>
        <w:jc w:val="both"/>
      </w:pPr>
      <w:r>
        <w:rPr>
          <w:rFonts w:ascii="Barlow Semi Condensed" w:cs="Barlow Semi Condensed" w:eastAsia="Barlow Semi Condensed" w:hAnsi="Barlow Semi Condensed"/>
          <w:sz w:val="24"/>
          <w:szCs w:val="24"/>
        </w:rPr>
        <w:t xml:space="preserve">La mappa degli apparati si completa con la costellazione minore che il registro censisce per dovere di completezza istituzionale: accanto al servizio unificato operavano i SIOS, i servizi informazioni delle 3 forze armate, Esercito, Marina ed Aeronautica, strutture di intelligence di forza armata mai assorbite dalla riforma del 1949 né da quella del 1977, con proprie catene gerarchiche, propri archivi e proprie reti, formalmente confinate all'informazione tecnico-militare e ricorrentemente lambite, negli atti delle inchieste censite dall'opera, da attività eccedenti quel perimetro, Livello A quanto all'assetto ordinamentale, Livello B quanto alle eccedenze operative documentate episodicamente dalle istruttorie. Il registro annota il dato strutturale che la costellazione consegna: la Repubblica non ebbe mai, nell'intero arco del corpus, un solo servizio segreto, ma un arcipelago di almeno 4 strutture informative militari parallele più quelle civili, e questa ridondanza istituzionale, difesa per decenni in nome delle specificità d'arma, moltiplicava per definizione i luoghi possibili della devianza riducendo i luoghi effettivi del controllo, sicché ogni riforma censita dall'opera, dal 1977 al 2007, è leggibile anche come un tentativo, mai interamente riuscito al primo colpo, di ridurre il numero delle stanze buie per metro quadrato di Stato.</w:t>
      </w:r>
    </w:p>
    <w:p>
      <w:pPr>
        <w:spacing w:after="120" w:line="276"/>
        <w:jc w:val="both"/>
      </w:pPr>
      <w:r>
        <w:rPr>
          <w:rFonts w:ascii="Barlow Semi Condensed" w:cs="Barlow Semi Condensed" w:eastAsia="Barlow Semi Condensed" w:hAnsi="Barlow Semi Condensed"/>
          <w:sz w:val="24"/>
          <w:szCs w:val="24"/>
        </w:rPr>
        <w:t xml:space="preserve">Alla parabola del direttore appartiene infine il giorno che il registro isola quale trauma istituzionale puro, distinto dagli esiti processuali già censiti: il 31 ottobre 1974 il generale Vito Miceli, direttore in carica del servizio, fu tratto in arresto su ordine dell'autorità giudiziaria nell'ambito delle istruttorie sulle trame eversive, e tradotto nel carcere militare di Forte Boccea, primo ed unico caso nella storia repubblicana di un capo dei servizi arrestato durante il mandato, Livello A quanto all'arresto, alla data ed alla detenzione. Il registro fissa il valore autonomo della giornata, che nessuna assoluzione successiva ha potuto retroattivamente cancellare: quale che fosse la fondatezza dell'ipotesi accusatoria, poi caduta nei modi che il capitolo ha riportato per esteso, il 31 ottobre 1974 la Repubblica visse la circostanza istituzionalmente inaudita di un ordinamento il cui massimo organo informativo aveva il proprio vertice in cella per sospetta partecipazione a trame contro lo Stato medesimo, e questa fotografia, indipendente dal giudizio finale sull'uomo, resta il punto di massima crisi fiduciaria dell'intero sistema censito dalla fase, il momento in cui la domanda che attraversa tutta l'opera, chi custodisce i custodi, ricevette dall'ordinamento la sola risposta che esso conosca, un mandato di cattura, con la conseguenza storica che il registro annota: la riforma del 1977 non nacque da un dibattito, nacque da quella cella, e la legge censita nel capitolo finale di questa fase è comprensibile solo come il tentativo di garantire che mai più la Repubblica dovesse arrestare sé stessa per sapere cosa stesse facendo.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Miceli è certificato al Livello A quale caso, unico per rango, di direttore in carica del servizio segreto militare arrestato e processato per cospirazione politica, con esito assolutorio parimenti certificato e riportato per esteso; l'affiliazione del direttore alla loggia P2 è certificata al Livello A e salda l'arco Dominio 3-Dominio 4 dal lato dell'apparato; la successiva elezione parlamentare nel Movimento sociale italiano conferma il corridoio strutturale, individuato dal Pattern 7, che collega i vertici degli apparati di sicurezza alla rappresentanza politica dell'area nazionale.</w:t>
      </w:r>
    </w:p>
    <w:p>
      <w:pPr>
        <w:pStyle w:val="Heading3"/>
        <w:spacing w:after="80" w:before="160"/>
      </w:pPr>
      <w:r>
        <w:rPr>
          <w:rFonts w:ascii="Barlow Semi Condensed" w:cs="Barlow Semi Condensed" w:eastAsia="Barlow Semi Condensed" w:hAnsi="Barlow Semi Condensed"/>
          <w:sz w:val="24"/>
          <w:szCs w:val="24"/>
        </w:rPr>
        <w:t xml:space="preserve">Capitolo 3 — ▶ Gianadelio Maletti. Il Reparto D, il depistaggio di Piazza Fontana e la fuga</w:t>
      </w:r>
    </w:p>
    <w:p>
      <w:pPr>
        <w:spacing w:after="120" w:line="276"/>
        <w:jc w:val="both"/>
      </w:pPr>
      <w:r>
        <w:rPr>
          <w:rFonts w:ascii="Barlow Semi Condensed" w:cs="Barlow Semi Condensed" w:eastAsia="Barlow Semi Condensed" w:hAnsi="Barlow Semi Condensed"/>
          <w:sz w:val="24"/>
          <w:szCs w:val="24"/>
        </w:rPr>
        <w:t xml:space="preserve">Gianadelio Maletti, nato a Bologna il 13 gennaio 1921 e morto a Johannesburg il 26 dicembre 2021, generale, capo del Reparto D del Servizio informazioni difesa, ossia del reparto di controspionaggio, dal 1971 al 1975, è il nodo attraverso il quale il registro certifica al Livello A la figura che dà nome all'intera fase: l'ufficiale dei servizi condannato in via definitiva per aver depistato le indagini su una strage, e per ciò stesso latitante all'estero per l'ultimo quarantennio della sua vita. La scansione del corpus lo registra 497 volte in 28 documenti. Se Miceli è il direttore processato per il disegno e assolto, Maletti è il funzionario operativo condannato per la condotta: la distinzione tra i 2 nodi, contigui nel medesimo servizio e nel medesimo torno di anni, è la distinzione tra l'accusa non provata di partecipazione all'eversione e l'accusa provata di ostruzione all'accertamento, ed è precisamente questa distinzione che il registro pone a fondamento della sua nozione di deviazione documentata.</w:t>
      </w:r>
    </w:p>
    <w:p>
      <w:pPr>
        <w:spacing w:after="120" w:line="276"/>
        <w:jc w:val="both"/>
      </w:pPr>
      <w:r>
        <w:rPr>
          <w:rFonts w:ascii="Barlow Semi Condensed" w:cs="Barlow Semi Condensed" w:eastAsia="Barlow Semi Condensed" w:hAnsi="Barlow Semi Condensed"/>
          <w:sz w:val="24"/>
          <w:szCs w:val="24"/>
        </w:rPr>
        <w:t xml:space="preserve">La biografia istituzionale colloca Maletti al vertice del controspionaggio del SID nel periodo immediatamente successivo alla strage di Piazza Fontana, avvenuta a Milano il 12 dicembre 1969, evento inaugurale della stagione stragista che la Fase 3 tratterà nella sua interezza e che qui rileva quale oggetto delle condotte di depistaggio contestate al nodo. Quale capo del Reparto D, Maletti ebbe la responsabilità operativa delle attività di controspionaggio e delle relative fonti confidenziali nel periodo in cui le indagini sulla strage di Milano si indirizzavano dapprima, secondo l'impostazione che si rivelerà depistante, verso la pista anarchica, e successivamente verso la pista nera dell'eversione di destra. Il registro certifica al Livello A la carica e la sua collocazione temporale, e ne trae lo sfondo: il controspionaggio militare disponeva, in quegli anni, di fonti collocate negli ambienti dell'eversione nera, e la gestione di tali fonti fu il terreno sul quale si consumarono le condotte per le quali il nodo fu condannato.</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di Piazza Fontana. Nel lungo ciclo processuale sulla strage di Milano, la posizione di Gianadelio Maletti fu accertata quanto alle condotte di favoreggiamento e di ostruzione: al generale fu contestato, e giudizialmente addebitato, di aver favorito l'espatrio e la sottrazione all'accertamento di soggetti collegati agli ambienti dell'eversione nera implicati nelle indagini, tra i quali l'agente e fonte del servizio Guido Giannettini e l'ordinovista Marco Pozzi, e di aver contribuito alla costruzione di piste false e alla contaminazione del quadro probatorio. Le sentenze accertarono tali condotte e ne trassero condanna, divenuta irrevocabile, per i reati connessi al depistaggio. Il registro certifica al Livello A, sul fondamento del giudicato, la responsabilità di Maletti nelle condotte di depistaggio delle indagini su Piazza Fontana, e ne trae la certificazione dell'arco che dà nome alla fase: l'arco di ostruzione tra il Dominio 3 e il Dominio 7, per cui un apparato dello Stato intervenne non per accertare una strage, ma per sottrarne all'accertamento la matrice. Il registro ribadisce con la massima fermezza il limite inferenziale già sancito nella Fase 1 a proposito di Bologna: la condanna per il depistaggio certifica la condotta di ostruzione, non il mandato della strage depistata; dal fatto che un apparato abbia coperto una pista non discende che il medesimo apparato abbia armato la mano, e la Regola Ferrea vieta di colmare con la verosimiglianza questo abisso probatorio. La condotta di depistaggio è parte integrante dell'evento e non suo accidente, secondo la tipologia quadripartita dell'ostruzione che il registro ha codificato; ma è parte del versante dell'occultamento, non prova del versante dell'ideazione.</w:t>
      </w:r>
    </w:p>
    <w:p>
      <w:pPr>
        <w:spacing w:after="120" w:line="276"/>
        <w:jc w:val="both"/>
      </w:pPr>
      <w:r>
        <w:rPr>
          <w:rFonts w:ascii="Barlow Semi Condensed" w:cs="Barlow Semi Condensed" w:eastAsia="Barlow Semi Condensed" w:hAnsi="Barlow Semi Condensed"/>
          <w:sz w:val="24"/>
          <w:szCs w:val="24"/>
        </w:rPr>
        <w:t xml:space="preserve">Il secondo pilastro è la latitanza in Sudafrica, che fa del nodo Maletti un caso di scuola e un ponte anticipato verso la Fase 5. Divenuta insostenibile la sua posizione in Italia, Maletti riparò all'estero e si stabilì stabilmente in Sudafrica, a Johannesburg, dove risiedette fino alla morte, sottraendosi all'esecuzione delle statuizioni a suo carico e rendendo, negli anni successivi, dichiarazioni e interviste dalla sua residenza sudafricana. Il registro certifica al Livello A la latitanza e la sua sede, e ne trae 2 annotazioni. La prima è di metodo: le dichiarazioni rese dal latitante negli anni successivi, particolarmente quelle concernenti presunte responsabilità di apparati stranieri nelle stragi italiane, sono trattate secondo l'Indice di Contaminazione della Fonte, giacché provengono da un soggetto condannato per depistaggio, interessato alla propria collocazione nella vicenda e sottratto al contraddittorio processuale; esse non ascendono, in assenza di riscontri autonomi, oltre il Livello C. La seconda annotazione è strutturale e anticipa la Fase 5: la scelta del Sudafrica dell'apartheid quale rifugio di un ufficiale dei servizi italiani latitante non è casuale, ma si iscrive in una regolarità che il registro documenterà su scala mondiale, per cui il regime di Pretoria funzionò da nodo di accoglienza e di scambio per una rete internazionale di soggetti dell'eversione e degli apparati deviati; il Sudafrica compare qui, per la prima volta nel registro dopo l'accenno del profilo di uno dei suoi finanziatori, quale destinazione strutturale e non quale asilo individuale.</w:t>
      </w:r>
    </w:p>
    <w:p>
      <w:pPr>
        <w:spacing w:after="120" w:line="276"/>
        <w:jc w:val="both"/>
      </w:pPr>
      <w:r>
        <w:rPr>
          <w:rFonts w:ascii="Barlow Semi Condensed" w:cs="Barlow Semi Condensed" w:eastAsia="Barlow Semi Condensed" w:hAnsi="Barlow Semi Condensed"/>
          <w:sz w:val="24"/>
          <w:szCs w:val="24"/>
        </w:rPr>
        <w:t xml:space="preserve">Il terzo pilastro è la figura di Guido Giannettini, la fonte del servizio la cui vicenda illumina la natura dell'accoppiamento tra il Dominio 3 e il Dominio 7 e proietta verso il Dominio 8. Giannettini, giornalista e pubblicista di orientamento di destra radicale, fu, secondo gli accertamenti, contemporaneamente collaboratore e fonte del servizio informativo militare e figura attiva negli ambienti dell'eversione nera, sino a essere coinvolto nelle indagini sulla strage di Piazza Fontana; la sua sottrazione all'accertamento, favorita dagli uomini del servizio secondo quanto le sentenze accertarono, fu parte delle condotte di depistaggio per le quali Maletti fu condannato. Il registro certifica al Livello A, sul fondamento del giudicato, la duplice collocazione di Giannettini quale fonte del servizio e quale figura degli ambienti eversivi, e il favoreggiamento della sua sottrazione da parte degli uomini del Reparto D; e ne trae l'annotazione strutturale che ne fa un reperto capitale. La figura di Giannettini documenta al Livello A che il servizio informativo non si limitava a sorvegliare l'eversione nera dall'esterno, ma ne aveva reclutato al proprio interno, quale fonte, un esponente attivo; e che, quando tale esponente fu lambito dalle indagini su una strage, il servizio intervenne per sottrarlo all'accertamento anziché per consegnarlo. È la certificazione più netta della porosità del confine tra il Dominio 3 e il Dominio 7: non un confine sorvegliato, ma un confine attraversato, nel quale la fonte del servizio e l'esponente dell'eversione coincidono nella medesima persona. La proiezione verso il Dominio 8 è nel fatto che Giannettini fu, professionalmente, un pubblicista, sicché la sua figura salda in un solo nodo la fonte informativa, l'attore eversivo e l'operatore dell'informazione, prefigurando quell'intreccio tra apparati, eversione e controllo del flusso informativo che la Nota metodologica assegna al Dominio 8 e che le fasi successive svilupperanno. Il registro ribadisce, anche qui, il limite inferenziale: la certificazione della duplice collocazione della fonte e del favoreggiamento della sua sottrazione non prova che il servizio abbia diretto l'azione stragista attraverso la propria fonte, ma soltanto che ne coprì l'esponente quando l'accertamento lo raggiunse; la distinzione tra la copertura provata e la direzione non provata è, ancora una volta, la sostanza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Maletti-Reparto D-Giannettini, è il triangolo della gestione delle fonti, che salda il controspionaggio militare alla fonte collocata nell'eversione nera e costituisce il segmento operativo del depistaggio; esso è certificato al Livello A dal giudicato. La seconda, Maletti-espatrio-piste false, è il triangolo della condotta di ostruzione nella sua duplice modalità, la sottrazione dei soggetti e la contaminazione del quadro probatorio, certificato al Livello A dalle sentenze. La terza, Maletti-Sudafrica-dichiarazioni tardive, è il triangolo della latitanza e della sua produzione dichiarativa, certificato al Livello A quanto al fatto della latitanza e mantenuto al Livello C quanto al contenuto delle dichiarazioni, per l'Indice di Contaminazione. Sul piano dei pattern, il nodo è il caso paradigmatico del Pattern che il registro ha derivato dalla tipologia dell'ostruzione, e attiva altresì il Pattern 7 nella sua variante geografica, la migrazione non tra domini ma tra giurisdizioni, quale tecnica di sottrazione all'accertamento.</w:t>
      </w:r>
    </w:p>
    <w:p>
      <w:pPr>
        <w:spacing w:after="120" w:line="276"/>
        <w:jc w:val="both"/>
      </w:pPr>
      <w:r>
        <w:rPr>
          <w:rFonts w:ascii="Barlow Semi Condensed" w:cs="Barlow Semi Condensed" w:eastAsia="Barlow Semi Condensed" w:hAnsi="Barlow Semi Condensed"/>
          <w:sz w:val="24"/>
          <w:szCs w:val="24"/>
        </w:rPr>
        <w:t xml:space="preserve">La condanna per il depistaggio si compone di episodi materiali che il registro deve nominare, perché la loro concretezza vale più di ogni qualificazione astratta. Il primo è l'esfiltrazione di Marco Pozzan, testimone chiave del filone veneto, prelevato e trasferito clandestinamente a Madrid nel gennaio 1973 a cura di uomini del Reparto D muniti di documenti di copertura, affinché la sua voce non raggiungesse i giudici istruttori, Livello A quanto al fatto, consacrato dalle sentenze. Il secondo è la gestione della fonte Giannettini dopo l'emersione del suo nome: l'espatrio a Parigi nella primavera del 1973, il mantenimento della retribuzione da parte del servizio durante la latitanza, la protezione prolungata sino a che la posizione divenne indifendibile, Livello A. Il terzo è il modo in cui il segreto cadde: non per iniziativa dell'apparato ma per decisione politica esterna, allorché nel giugno 1974 il ministro della difesa Giulio Andreotti, con un'intervista al settimanale Il Mondo, rivelò pubblicamente la qualità di collaboratore del SID di Guido Giannettini, scardinando con un gesto di comunicazione ciò che 2 anni di istruttorie non avevano potuto aprire, Livello A quanto alla rivelazione ed alla sua data. Il registro segnala l'anomalia morfologica dell'episodio: nella tassonomia degli archi, si tratta di un caso raro di disaccoppiamento verticale, il vertice politico che recide unilateralmente la protezione stesa dall'apparato, e la sua eccezionalità statistica, un solo caso certificato nell'intera fase, misura per contrasto la regola.</w:t>
      </w:r>
    </w:p>
    <w:p>
      <w:pPr>
        <w:spacing w:after="120" w:line="276"/>
        <w:jc w:val="both"/>
      </w:pPr>
      <w:r>
        <w:rPr>
          <w:rFonts w:ascii="Barlow Semi Condensed" w:cs="Barlow Semi Condensed" w:eastAsia="Barlow Semi Condensed" w:hAnsi="Barlow Semi Condensed"/>
          <w:sz w:val="24"/>
          <w:szCs w:val="24"/>
        </w:rPr>
        <w:t xml:space="preserve">Alla latitanza sudafricana appartiene infine un poscritto dichiarativo che il registro censisce con la doppia marcatura che gli spetta. Nel 2001, in occasione del ciclo processuale milanese sulla strage, Maletti, escusso dalla giustizia italiana nelle forme consentite dalla sua condizione di residente all'estero, rese e accompagnò con interviste pubbliche dichiarazioni nelle quali evocava la cornice internazionale degli anni della tensione ed il peso degli interessi atlantici sul teatro italiano: affermazioni di un condannato per depistaggio, rese a distanza di 3 decenni, prive di riscontro documentale autonomo, che il registro classifica al Livello C quale materiale dichiarativo tardivo, annotando però il paradosso che esse incarnano, il custode del segreto che, esauriti i tempi della responsabilità, si offre quale esegeta del segreto medesimo. La morte a Johannesburg, il 26 dicembre 2021, alla soglia dei 101 anni, chiuse l'ultima biografia vivente del triangolo del depistaggio, consegnando definitivamente agli archivi ciò che l'anagrafe aveva sino ad allora conteso alla storia.</w:t>
      </w:r>
    </w:p>
    <w:p>
      <w:pPr>
        <w:spacing w:after="120" w:line="276"/>
        <w:jc w:val="both"/>
      </w:pPr>
      <w:r>
        <w:rPr>
          <w:rFonts w:ascii="Barlow Semi Condensed" w:cs="Barlow Semi Condensed" w:eastAsia="Barlow Semi Condensed" w:hAnsi="Barlow Semi Condensed"/>
          <w:sz w:val="24"/>
          <w:szCs w:val="24"/>
        </w:rPr>
        <w:t xml:space="preserve">La geografia del rifugio merita un'annotazione che salda il nodo alla Fase 5. La scelta sudafricana di Maletti non fu eccentrica ma sistemica: il Sudafrica dell'apartheid, privo di rapporti estradizionali praticabili con l'Italia per i reati contestati e dotato di un apparato di sicurezza ideologicamente affine, funzionò per un ventennio quale approdo di latitanze eccellenti dell'area nera e degli apparati, ed il generale del Reparto D vi trascorse, tra Johannesburg ed i suoi sobborghi, quasi mezzo secolo di vita, protetto meno da un asilo formale che dall'inerzia reciproca delle burocrazie, Livello A quanto alla latitanza ed alla sua durata, Livello B quanto alla qualificazione sistemica dell'approdo, che la Fase 5 documenterà quale hub australe. Il registro ne trae una misura: la pena irrevocabile inflitta al depistatore di Piazza Fontana fu scontata per intero nella forma del soggiorno estero, e la distanza tra la sentenza e la sua esecuzione, misurabile in decenni ed in chilometri, è essa stessa un dato del sistema, la certificazione che per gli uomini degli apparati la sanzione penale operò, quando operò, quale titolo simbolico e non quale afflizione effettiva. Nella contabilità della fase, che registra condanne rare ed esecuzioni più rare ancora, il caso Maletti occupa perciò la posizione del paradigma: il massimo di accertamento compatibile con il minimo di conseguenza, la giustizia che raggiunge la verità e non raggiunge l'uomo.</w:t>
      </w:r>
    </w:p>
    <w:p>
      <w:pPr>
        <w:spacing w:after="120" w:line="276"/>
        <w:jc w:val="both"/>
      </w:pPr>
      <w:r>
        <w:rPr>
          <w:rFonts w:ascii="Barlow Semi Condensed" w:cs="Barlow Semi Condensed" w:eastAsia="Barlow Semi Condensed" w:hAnsi="Barlow Semi Condensed"/>
          <w:sz w:val="24"/>
          <w:szCs w:val="24"/>
        </w:rPr>
        <w:t xml:space="preserve">Il Reparto D va infine definito nella sua natura ordinamentale, perché l'anomalia sta nel mandato prima che negli uomini. Reparto di controspionaggio, istituzionalmente rivolto alla minaccia esterna, il D operò negli anni di Maletti, per prassi consolidata e mai formalizzata, quale principale strumento informativo interno del servizio sull'eversione domestica, con proprie fonti nell'estremismo di entrambi i segni, propri fondi riservati e proprie operazioni non tracciate nei circuiti ordinari: torsione funzionale che gli atti parlamentari censirono quale dato strutturale e che costituisce il presupposto tecnico di tutti gli episodi giudicati, Livello A quanto alla torsione documentata. Accanto al generale, la sentenza raggiunse l'esecutore delle operazioni materiali, il capitano Antonio Labruna, condannato in via definitiva per i medesimi fatti di favoreggiamento, figura che il registro ha già incontrato nel capitolo 6 quale raccoglitore dei nastri sul tentativo del 1970 e che riappare qui quale operatore delle esfiltrazioni: la doppia presenza del medesimo ufficiale sui 2 versanti, la documentazione del golpe e la protezione dei depistati, certifica al Livello A l'unità operativa della filiera che la fase ha scomposto per capitoli, ed autorizza la conclusione, rigorosamente limitata al perimetro dei giudicati, che il segmento deviato del servizio fu, negli anni cruciali, una struttura piccola, coesa e trasversale agli organigrammi, l'esatto contrario della deviazione di massa che la pubblicistica immagina e la prova esatta di quanto poco personale occorra, in un apparato compartimentato, per amministrare la conoscenza di tutti.</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la parabola della fonte con il suo esito giudiziario, che il registro riporta per esteso. Guido Giannettini, rinviato a giudizio quale concorrente nella strage di Piazza Fontana, fu condannato all'ergastolo in primo grado dalla Corte d'Assise di Catanzaro nel 1979, insieme agli imputati principali del filone veneto, e fu poi assolto nel giudizio d'appello del 1981 dall'imputazione di strage, con esito divenuto irrevocabile, sicché a carico della fonte del Reparto D residuò unicamente la responsabilità accertata altrove per la vicenda del favoreggiamento, Livello A sull'intera scansione. Il registro consegna la parabola alla sua lettura strutturale: il medesimo uomo fu, nell'ordine, informatore retribuito dell'apparato, imputato capitale, condannato all'ergastolo, protetto in latitanza dal servizio che lo impiegava ed infine assolto in via definitiva, ed una simile traiettoria, che attraversa in un solo decennio tutti gli stati possibili del rapporto tra un individuo e la giustizia, non ha eguali nel registro e certifica, meglio di ogni teoria, la natura anfibia della figura dell'agente-pubblicista, il nodo che i Domini 3, 7 ed 8 si contesero senza che alcuno potesse rivendicarlo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Maletti è certificato al Livello A quale caso emblematico di ufficiale dei servizi condannato in via definitiva per il depistaggio delle indagini su una strage, quella di Piazza Fontana, e costituisce la certificazione piena dell'arco di ostruzione tra il Dominio 3 e il Dominio 7; il limite inferenziale tra la condotta di depistaggio, provata, e il mandato della strage, non provato, è ribadito quale cardine del metodo; la latitanza in Sudafrica è certificata al Livello A e anticipa la funzione di quel regime quale nodo di accoglienza internazionale che la Fase 5 documenterà, mentre le dichiarazioni rese dal latitante restano al Livello C per 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4 — ▶ Federico Umberto D'Amato e l'Ufficio Affari Riservati. La struttura parallela del Viminale</w:t>
      </w:r>
    </w:p>
    <w:p>
      <w:pPr>
        <w:spacing w:after="120" w:line="276"/>
        <w:jc w:val="both"/>
      </w:pPr>
      <w:r>
        <w:rPr>
          <w:rFonts w:ascii="Barlow Semi Condensed" w:cs="Barlow Semi Condensed" w:eastAsia="Barlow Semi Condensed" w:hAnsi="Barlow Semi Condensed"/>
          <w:sz w:val="24"/>
          <w:szCs w:val="24"/>
        </w:rPr>
        <w:t xml:space="preserve">Federico Umberto D'Amato, nato a Marsico Nuovo il 4 giugno 1919 e morto a Roma il 1º luglio 1996, funzionario del Ministero dell'interno, capo dell'Ufficio affari riservati, è il nodo attraverso il quale il registro estende la mappa della deviazione dal versante militare a quello civile, certificando l'esistenza, all'interno del Ministero dell'interno, di una struttura informativa riservata la cui attività travalicò a lungo i confini istituzionali. La scansione del corpus registra i termini connessi al nodo con frequenza inferiore a quella dei grandi apparati militari, ma la sua rilevanza strutturale è massima, giacché D'Amato è il punto di raccordo tra il Dominio 3 nella sua articolazione civile, il Dominio 2 attraverso il controllo informativo sulla vita politica, e la dimensione internazionale attraverso la sua partecipazione ai circuiti atlantici. Il nodo è altresì il primo, nel registro, a proiettarsi verso il Dominio 8, il controllo dell'informazione, attraverso la nota attività di D'Amato quale collaboratore e curatore di riviste.</w:t>
      </w:r>
    </w:p>
    <w:p>
      <w:pPr>
        <w:spacing w:after="120" w:line="276"/>
        <w:jc w:val="both"/>
      </w:pPr>
      <w:r>
        <w:rPr>
          <w:rFonts w:ascii="Barlow Semi Condensed" w:cs="Barlow Semi Condensed" w:eastAsia="Barlow Semi Condensed" w:hAnsi="Barlow Semi Condensed"/>
          <w:sz w:val="24"/>
          <w:szCs w:val="24"/>
        </w:rPr>
        <w:t xml:space="preserve">La biografia istituzionale colloca D'Amato al vertice dell'Ufficio affari riservati del Ministero dell'interno, la struttura che raccoglieva e gestiva le informazioni riservate di competenza del Viminale, con particolare riguardo all'ordine pubblico, alla vita dei partiti e dei movimenti, e ai fenomeni eversivi. Formatosi negli ambienti informativi del dopoguerra, in contatto sin da allora con i servizi alleati, D'Amato guidò l'Ufficio nella stagione che va dagli anni Sessanta alla metà degli anni Settanta, il periodo delle grandi schedature e dell'esplosione stragista. Il registro certifica al Livello A, sul fondamento degli atti parlamentari e delle ricostruzioni documentali confluite nelle inchieste sulle stragi, l'esistenza e le funzioni dell'Ufficio affari riservati quale struttura informativa civile dotata di ampia autonomia operativa, e annota il dato strutturale: l'Ufficio costituì il pendant civile del servizio militare, e la sua attività schedatoria e informativa sulla vita politica configurò, dal lato del Ministero dell'interno, la medesima torsione dell'apparato legale verso il controllo politico che il caso SIFAR aveva documentato dal lato militare.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controllo informativo sulla vita politica e la sua ambiguità operativa negli anni delle stragi. Le inchieste giudiziarie e parlamentari sulla stagione stragista, i cui atti sono presenti nel corpus, hanno collocato l'Ufficio affari riservati e il suo responsabile al centro di una fitta rete di rapporti con gli ambienti dell'eversione e con le fonti confidenziali di quel mondo, in una posizione di intermediazione che rese l'Ufficio, secondo la ricostruzione degli inquirenti, un osservatore privilegiato e talora un attore ambiguo delle vicende eversive. Il registro certifica al Livello A, quanto al fatto della centralità informativa dell'Ufficio e del suo responsabile nella gestione delle fonti dell'eversione, ciò che gli atti documentano; e mantiene rigorosamente al Livello C ogni ipotesi che da tale centralità inferisca una regia dell'Ufficio sugli eventi stragisti, giacché la disponibilità di informazioni e di fonti in un dato ambiente non prova la direzione degli eventi che in quell'ambiente maturano. La distinzione, ancora una volta, separa il fatto certificato dell'intermediazione informativa dall'ipotesi non provata della regia.</w:t>
      </w:r>
    </w:p>
    <w:p>
      <w:pPr>
        <w:spacing w:after="120" w:line="276"/>
        <w:jc w:val="both"/>
      </w:pPr>
      <w:r>
        <w:rPr>
          <w:rFonts w:ascii="Barlow Semi Condensed" w:cs="Barlow Semi Condensed" w:eastAsia="Barlow Semi Condensed" w:hAnsi="Barlow Semi Condensed"/>
          <w:sz w:val="24"/>
          <w:szCs w:val="24"/>
        </w:rPr>
        <w:t xml:space="preserve">Il secondo pilastro è l'inserimento nei circuiti internazionali, che fa del nodo D'Amato il primo, nel registro, a documentare l'accoppiamento tra il Dominio 3 nazionale e la dimensione atlantica su base personale e continuativa. D'Amato partecipò ai circuiti di coordinamento informativo occidentale e alle sedi riservate del confronto atlantico, e il suo nome è associato alla partecipazione alle riunioni del gruppo Bilderberg e ai contatti con i servizi alleati risalenti al dopoguerra. Il registro certifica al Livello B, sul fondamento delle ricostruzioni documentali convergenti ma non integralmente giudicate, l'inserimento di D'Amato nei circuiti internazionali del coordinamento informativo occidentale, e ne trae un'annotazione di metodo che vale per l'intera fase: la partecipazione di un responsabile informativo italiano a sedi internazionali di confronto è un fatto strutturale che documenta la cornice atlantica entro la quale gli apparati operavano, ma non è, di per sé, prova di una subordinazione operativa a mandanti stranieri; il registro tiene distinta la cornice, che è certificata, dalla regia, che è ipotesi, e verificherà nella chiusura di fase quale delle 2 letture le evidenze meno contraddicano.</w:t>
      </w:r>
    </w:p>
    <w:p>
      <w:pPr>
        <w:spacing w:after="120" w:line="276"/>
        <w:jc w:val="both"/>
      </w:pPr>
      <w:r>
        <w:rPr>
          <w:rFonts w:ascii="Barlow Semi Condensed" w:cs="Barlow Semi Condensed" w:eastAsia="Barlow Semi Condensed" w:hAnsi="Barlow Semi Condensed"/>
          <w:sz w:val="24"/>
          <w:szCs w:val="24"/>
        </w:rPr>
        <w:t xml:space="preserve">Il terzo pilastro è l'affiliazione, o quantomeno la prossimità, ai circuiti riservati trasversali, e la proiezione verso il Dominio 8. Il nome di D'Amato compare nelle ricostruzioni relative agli elenchi e agli ambienti della loggia P2, e la sua attività di curatore di una nota rivista enogastronomica e di collaboratore editoriale è stata letta dagli inquirenti quale copertura e quale strumento di relazione. Il registro procede qui con la massima cautela: certifica al Livello B la prossimità di D'Amato agli ambienti riservati trasversali documentata dagli atti, e mantiene al Livello C ogni qualificazione che ecceda la prossimità documentata; quanto alla proiezione verso il Dominio 8, certifica al Livello A il fatto della sua attività editoriale e la mantiene distinta, sul piano probatorio, dalle ipotesi sulla sua funzione. La disciplina è imposta dalla natura stessa del nodo, che opera nel dominio dell'informazione riservata e le cui tracce sono, per definizione, più rade e più ambigue di quelle dei nodi giudiziariamente accertati.</w:t>
      </w:r>
    </w:p>
    <w:p>
      <w:pPr>
        <w:spacing w:after="120" w:line="276"/>
        <w:jc w:val="both"/>
      </w:pPr>
      <w:r>
        <w:rPr>
          <w:rFonts w:ascii="Barlow Semi Condensed" w:cs="Barlow Semi Condensed" w:eastAsia="Barlow Semi Condensed" w:hAnsi="Barlow Semi Condensed"/>
          <w:sz w:val="24"/>
          <w:szCs w:val="24"/>
        </w:rPr>
        <w:t xml:space="preserve">Il quarto pilastro è la continuità storica della struttura, che il registro assume quale reperto di lungo periodo e quale conferma del carattere non episodico della deviazione. L'Ufficio affari riservati non fu una creazione contingente della stagione stragista, ma l'esito di una continuità istituzionale che risale al dopoguerra e alla costituzione degli apparati informativi civili nel clima della guerra fredda, quando la necessità di un presidio informativo sull'attività dei partiti di sinistra e dei movimenti sociali orientò la funzione della struttura sin dalla sua origine. La figura di D'Amato attraversa questa continuità, dagli anni della ricostruzione informativa postbellica, nei quali maturò i contatti con i servizi alleati che la fase ha già registrato, sino alla stagione delle stragi, nella quale la struttura raggiunse la sua massima esposizione. Il registro certifica al Livello A la continuità storica dell'Ufficio quale struttura informativa del Ministero dell'interno operante lungo l'intero arco della prima Repubblica, e ne trae un'annotazione che vale per l'intera fase e che corregge una diffusa distorsione prospettica: la deviazione degli apparati non fu un fenomeno concentrato in una singola stagione eccezionale, ma un dato strutturale di lungo periodo, radicato nella funzione stessa che agli apparati fu assegnata nel contesto del confronto bipolare, ossia il presidio informativo contro l'avversario interno identificato nel movimento comunista. Questa continuità di lungo periodo è, essa stessa, un elemento che il registro annota ai fini della verifica di H1: la funzione anticomunista della struttura, costante lungo l'intero arco temporale, colloca anche il nodo D'Amato sul versante occidentale del confronto bipolare, e non su quello di una convergenza tra i blocchi, confermando la lettura che i nodi precedenti hanno già suggerito.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D'Amato-Ufficio affari riservati-fonti dell'eversione, è il triangolo dell'intermediazione informativa civile, certificato al Livello A quanto al fatto e mantenuto al Livello C quanto alla regia. La seconda, D'Amato-circuiti atlantici-Bilderberg, è il triangolo della cornice internazionale, certificato al Livello B. La terza, D'Amato-ambienti riservati-attività editoriale, è il triangolo della copertura e della proiezione mediatica, certificato al Livello B quanto alla prossimità e al Livello A quanto al fatto dell'attività editoriale. Sul piano dei pattern, il nodo attiva il Pattern 1, l'analisi dei nodi centrali, nella sua accezione più sottile: D'Amato è il nodo a bassa visibilità e alta centralità informativa, il cui potere non deriva dal grado gerarchico né dall'esposizione pubblica, ma dalla posizione di controllo sul flusso informativo, secondo la distinzione tra potere formale e potere relazionale che la Nota metodologica ha derivato da Freeman e Burt.</w:t>
      </w:r>
    </w:p>
    <w:p>
      <w:pPr>
        <w:spacing w:after="120" w:line="276"/>
        <w:jc w:val="both"/>
      </w:pPr>
      <w:r>
        <w:rPr>
          <w:rFonts w:ascii="Barlow Semi Condensed" w:cs="Barlow Semi Condensed" w:eastAsia="Barlow Semi Condensed" w:hAnsi="Barlow Semi Condensed"/>
          <w:sz w:val="24"/>
          <w:szCs w:val="24"/>
        </w:rPr>
        <w:t xml:space="preserve">La biografia del funzionario va integrata alla radice, perché la sua formazione è essa stessa un arco. Gli atti e le ricostruzioni parlamentari documentano la collaborazione del giovane D'Amato, dal 1944, con i servizi alleati operanti a Roma liberata, esperienza che ne fece, entro l'amministrazione dell'interno, l'interlocutore naturale del collegamento atlantico e gli consegnò quel capitale di relazioni transnazionali che la carriera successiva avrebbe messo a frutto, Livello A quanto alla collaborazione, attestata dalle fonti parlamentari. Su questo capitale si innestò la funzione internazionale matura: la partecipazione di vertice al Club di Berna, il consesso riservato che dal principio degli anni 70 coordinava i responsabili dei servizi di sicurezza interna dell'Europa occidentale, del quale D'Amato fu tra gli animatori riconosciuti, Livello A quanto alla partecipazione, Livello B quanto ai contenuti operativi del consesso, per costituzione non verbalizzati. La parabola discendente ha una data: nel 1974, nella stagione in cui la magistratura risaliva i fili della trama nera e l'amministrazione si riorganizzava con l'Ispettorato antiterrorismo, D'Amato fu rimosso dalla direzione degli Affari riservati ed avviato ad incarichi di minor sensibilità, sino alla direzione della polizia di frontiera, Livello A: rimozione che il registro annota quale indizio amministrativo di una perdita di copertura politica, secondo la grammatica per cui, negli apparati, il trasferimento è la forma che assume il giudizio quando il processo non è praticabile.</w:t>
      </w:r>
    </w:p>
    <w:p>
      <w:pPr>
        <w:spacing w:after="120" w:line="276"/>
        <w:jc w:val="both"/>
      </w:pPr>
      <w:r>
        <w:rPr>
          <w:rFonts w:ascii="Barlow Semi Condensed" w:cs="Barlow Semi Condensed" w:eastAsia="Barlow Semi Condensed" w:hAnsi="Barlow Semi Condensed"/>
          <w:sz w:val="24"/>
          <w:szCs w:val="24"/>
        </w:rPr>
        <w:t xml:space="preserve">Due reperti postumi completano il nodo. Il primo è archivistico ed è di prima grandezza: nel 1996 fu rinvenuto, in un deposito della circonvallazione Appia a Roma, un cospicuo fondo documentale dell'Ufficio affari riservati mai versato all'Archivio centrale dello Stato, migliaia di fascicoli sottratti per decenni ad ogni controllo, la cui scoperta ed il cui successivo riordino restituirono agli studiosi ed ai giudici la contabilità informativa del Viminale parallelo, Livello A quanto al rinvenimento ed alla consistenza. La circostanza conferma sul versante civile ciò che il capitolo 1 ha documentato sul versante militare, che l'archivio occulto è l'organo vitale della struttura parallela, con la differenza, gravida di conseguenze per la conoscenza storica, che i fascicoli del SIFAR furono bruciati e quelli dell'Ufficio ritrovati. Il secondo reperto è di costume, e il registro lo annota perché la semiotica dei nodi non è mai ornamentale: per anni il capo della polizia segreta del Viminale curò, sotto pseudonimo trasparente, la guida gastronomica di un grande settimanale, recensendo ristoranti con la medesima penna che classificava sovversivi, Livello A quanto al fatto, noto e rivendicato. Chi cercasse un emblema del doppio codice luhmanniano, l'osservatore che appartiene simultaneamente a 2 sistemi di comunicazione e traduce l'uno nell'altro, difficilmente ne troverebbe uno più esatto di questo ispettore delle cucine e delle trame, per il quale la tavola fu, insieme, piacere dichiarato e tecnologia di relazione: perché è a tavola, insegnava senza scriverlo, che le reti riservate celebrano la propria liturgia.</w:t>
      </w:r>
    </w:p>
    <w:p>
      <w:pPr>
        <w:spacing w:after="120" w:line="276"/>
        <w:jc w:val="both"/>
      </w:pPr>
      <w:r>
        <w:rPr>
          <w:rFonts w:ascii="Barlow Semi Condensed" w:cs="Barlow Semi Condensed" w:eastAsia="Barlow Semi Condensed" w:hAnsi="Barlow Semi Condensed"/>
          <w:sz w:val="24"/>
          <w:szCs w:val="24"/>
        </w:rPr>
        <w:t xml:space="preserve">Il fondo ritrovato nel 1996 consente di misurare, per campioni, l'estensione tematica della raccolta, e la misura vale più di ogni aggettivo: accanto ai fascicoli sull'eversione di destra e di sinistra, l'archivio parallelo del Viminale conservava dossier sistematici sui movimenti studenteschi ed operai della stagione 1968-69, su partiti, sindacati, redazioni, singoli parlamentari ed ecclesiastici, con una capillarità che riproduceva, in sede civile, la logica onnivora già censita nel SIFAR militare, Livello A quanto alla tipologia documentale accertata dal riordino archivistico. La duplicazione è il dato: 2 amministrazioni distinte, la militare e la civile, costruirono negli stessi anni 2 archivi paralleli sul medesimo oggetto, la società italiana in quanto tale, e la ridondanza, che una lettura efficientista giudicherebbe spreco, era in realtà la struttura, giacché ciascun apparato traeva dal proprio archivio la propria autonomia negoziale verso l'altro e verso la politica. Alla genealogia istituzionale appartiene infine la trasformazione: soppresso l'Ufficio nella riorganizzazione del 1974 che istituì l'Ispettorato generale per l'azione contro il terrorismo, le funzioni rifluirono nel 1978 nell'UCIGOS e di lì nelle strutture successive, secondo una continuità amministrativa che il registro certifica nei suoi passaggi formali, Livello A, astenendosi dall'inferenza, che sarebbe indebita, di una pari continuità delle prassi: gli uffici si ereditano per decreto, le deviazioni no, e la storia successiva della struttura appartiene ad altri capitoli ed altri standard di prova.</w:t>
      </w:r>
    </w:p>
    <w:p>
      <w:pPr>
        <w:spacing w:after="120" w:line="276"/>
        <w:jc w:val="both"/>
      </w:pPr>
      <w:r>
        <w:rPr>
          <w:rFonts w:ascii="Barlow Semi Condensed" w:cs="Barlow Semi Condensed" w:eastAsia="Barlow Semi Condensed" w:hAnsi="Barlow Semi Condensed"/>
          <w:sz w:val="24"/>
          <w:szCs w:val="24"/>
        </w:rPr>
        <w:t xml:space="preserve">Un dato documentale chiude il cerchio tra questo capitolo ed il quadrilatero della Fase 1: il nome di Federico Umberto D'Amato figura negli elenchi della loggia Propaganda 2 sequestrati a Castiglion Fibocchi, Livello A quanto alla figurazione documentale, con la consueta avvertenza certificativa della Commissione sulla natura di quella prova, che attesta l'iscrizione e non misura l'operatività. Il registro colloca il dato nella sua costellazione: con esso, la fase censisce la compresenza negli elenchi del capo storico della struttura informativa civile, dei direttori contestuali dei 3 organismi riformati e del vertice del controspionaggio della stagione precedente, sicché la cattura piduista degli apparati, che il capitolo 10 certificherà nella sua forma sincronica, si rivela qui nella sua profondità diacronica, una permeabilità di lungo periodo che attraversa le riforme senza esserne intaccata. Alla biografia del funzionario questa figurazione aggiunge l'ultimo tratto del suo doppio codice: l'uomo che schedava le associazioni segrete della Repubblica risultò a sua volta elencato nella più segreta di esse, ed il registro, che ha bandito l'ironia dalle proprie certificazioni, si limita a consegnare la simmetria al lettore, annotando che essa costituisce, nel linguaggio della Nota metodologica, un arco di infiltrazione la cui direzione, chi penetrò chi, resta l'unica variabile che i documenti non consentono di orientare.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D'Amato è certificato al Livello A quale responsabile di una struttura informativa civile, l'Ufficio affari riservati del Ministero dell'interno, la cui attività di controllo informativo sulla vita politica configura, dal lato del Viminale, la deviazione dell'apparato legale già documentata dal lato militare; l'inserimento nei circuiti atlantici del coordinamento informativo è certificato al Livello B quale cornice sistemica, tenuta distinta dall'ipotesi non provata della regia straniera; la prossimità agli ambienti riservati trasversali e la proiezione verso il Dominio 8 sono certificate al Livello B, con la massima cautela imposta dalla natura informativa del nodo.</w:t>
      </w:r>
    </w:p>
    <w:p>
      <w:pPr>
        <w:pStyle w:val="Heading3"/>
        <w:spacing w:after="80" w:before="160"/>
      </w:pPr>
      <w:r>
        <w:rPr>
          <w:rFonts w:ascii="Barlow Semi Condensed" w:cs="Barlow Semi Condensed" w:eastAsia="Barlow Semi Condensed" w:hAnsi="Barlow Semi Condensed"/>
          <w:sz w:val="24"/>
          <w:szCs w:val="24"/>
        </w:rPr>
        <w:t xml:space="preserve">Capitolo 5 — ◆ Gladio e la rete stay-behind. L'esercito segreto e la sua rivelazione</w:t>
      </w:r>
    </w:p>
    <w:p>
      <w:pPr>
        <w:spacing w:after="120" w:line="276"/>
        <w:jc w:val="both"/>
      </w:pPr>
      <w:r>
        <w:rPr>
          <w:rFonts w:ascii="Barlow Semi Condensed" w:cs="Barlow Semi Condensed" w:eastAsia="Barlow Semi Condensed" w:hAnsi="Barlow Semi Condensed"/>
          <w:sz w:val="24"/>
          <w:szCs w:val="24"/>
        </w:rPr>
        <w:t xml:space="preserve">L'organizzazione Gladio, denominazione italiana della rete clandestina stay-behind predisposta nel quadro atlantico per operare in caso di occupazione del territorio nazionale, è il nodo attraverso il quale il registro certifica l'esistenza, per oltre 4 decenni tenuta segreta al Parlamento e all'opinione pubblica, di una struttura militare occulta operante sul suolo italiano in raccordo con il servizio segreto e con la struttura atlantica. La scansione del corpus registra il termine Gladio 2.005 volte in 88 documenti e i termini connessi alla rete stay-behind 372 volte in 23 documenti: è, dopo i grandi apparati e dopo il caso Moro, uno dei nuclei documentali più densi dell'intera opera. Il nodo salda il Dominio 9, le forze armate, al Dominio 3, l'intelligence, nella sua dimensione atlantica, e costituisce il banco di prova per eccellenza della verifica dell'ipotesi H1 che questa fase ha il compito di condurre.</w:t>
      </w:r>
    </w:p>
    <w:p>
      <w:pPr>
        <w:spacing w:after="120" w:line="276"/>
        <w:jc w:val="both"/>
      </w:pPr>
      <w:r>
        <w:rPr>
          <w:rFonts w:ascii="Barlow Semi Condensed" w:cs="Barlow Semi Condensed" w:eastAsia="Barlow Semi Condensed" w:hAnsi="Barlow Semi Condensed"/>
          <w:sz w:val="24"/>
          <w:szCs w:val="24"/>
        </w:rPr>
        <w:t xml:space="preserve">La certificazione del nodo poggia su un fatto storico incontrovertibile, la cui data appartiene alla cronologia fondativa della conoscenza pubblica sugli apparati: il 24 ottobre 1990 il presidente del Consiglio Giulio Andreotti trasmise alla Commissione parlamentare d'inchiesta sulle stragi una relazione nella quale ammetteva ufficialmente l'esistenza di una struttura di informazione e sicurezza a carattere clandestino denominata Gladio, predisposta a partire dagli anni Cinquanta nel quadro degli accordi atlantici per garantire la continuità di una capacità informativa e resistenziale in caso di invasione e occupazione del territorio nazionale. Il registro certifica al Livello A, quale fatto documentale insuperabile, l'ammissione ufficiale del 1990 e il suo contenuto: l'esistenza della rete, la sua genesi negli anni Cinquanta, il suo raccordo con il servizio segreto militare e con la struttura atlantica. Prima di quella data, l'esistenza della struttura era stata negata o taciuta a ogni sede parlamentare e giudiziaria; dopo di essa, la rete divenne oggetto di indagine giudiziaria e di approfondimento parlamentare, i cui atti costituiscono il fondamento documentale del presente capitolo.</w:t>
      </w:r>
    </w:p>
    <w:p>
      <w:pPr>
        <w:spacing w:after="120" w:line="276"/>
        <w:jc w:val="both"/>
      </w:pPr>
      <w:r>
        <w:rPr>
          <w:rFonts w:ascii="Barlow Semi Condensed" w:cs="Barlow Semi Condensed" w:eastAsia="Barlow Semi Condensed" w:hAnsi="Barlow Semi Condensed"/>
          <w:sz w:val="24"/>
          <w:szCs w:val="24"/>
        </w:rPr>
        <w:t xml:space="preserve">Il primo pilastro probatorio è la struttura materiale della rete. Gli accertamenti seguiti alla rivelazione documentarono l'organizzazione della struttura: la sua base addestrativa nel Centro addestramento guastatori di Capo Marrargiu, in Sardegna, presso Bosa; l'esistenza di depositi occultati di armi, munizioni ed esplosivi, i cosiddetti Nasco, disseminati sul territorio; e l'elenco dei suoi appartenenti, i cosiddetti gladiatori, che la documentazione trasmessa quantificò in un numero collocato dalle fonti attorno alle 622 unità per l'elenco reso disponibile. Il registro certifica al Livello A, sul fondamento della documentazione ufficiale trasmessa e degli accertamenti successivi, l'esistenza della base di Capo Marrargiu, dei depositi Nasco e dell'elenco degli appartenenti, e ne trae la certificazione della natura materiale della rete: non un progetto sulla carta, ma una struttura dotata di uomini, mezzi, addestramento e depositi, operante nella clandestinità e sottratta a ogni controllo parlamentare per l'intera durata della sua esistenza segreta. La regolarità empirica documentata dal registro, secondo cui nessun apparato di sicurezza ha mai aperto spontaneamente i propri archivi, trova nel caso Gladio la sua conferma più netta: la rete fu rivelata non per iniziativa spontanea, ma nel quadro di una crisi giudiziaria e politica che ne rese insostenibile l'occultamento.</w:t>
      </w:r>
    </w:p>
    <w:p>
      <w:pPr>
        <w:spacing w:after="120" w:line="276"/>
        <w:jc w:val="both"/>
      </w:pPr>
      <w:r>
        <w:rPr>
          <w:rFonts w:ascii="Barlow Semi Condensed" w:cs="Barlow Semi Condensed" w:eastAsia="Barlow Semi Condensed" w:hAnsi="Barlow Semi Condensed"/>
          <w:sz w:val="24"/>
          <w:szCs w:val="24"/>
        </w:rPr>
        <w:t xml:space="preserve">Il secondo pilastro è la genesi atlantica, che colloca il nodo al centro della verifica di H1 e ne impone la trattazione più rigorosa dell'intera fase. La documentazione accertò che la struttura fu costituita nel quadro degli accordi tra il servizio informativo italiano e il servizio statunitense, e inserita nella pianificazione atlantica delle reti stay-behind predisposte in più Paesi dell'Europa occidentale nel medesimo periodo e per la medesima finalità dichiarata, la resistenza a un'eventuale occupazione. Il registro certifica al Livello A la genesi atlantica della rete e il suo raccordo con il servizio statunitense e con la struttura di coordinamento occidentale, quale fatto documentato dagli atti. Ma è precisamente qui che la disciplina anti-induttiva impone la distinzione capitale che governa l'intera valutazione di H1. La finalità dichiarata e documentata della rete, la resistenza in caso di invasione, è una finalità difensiva coerente con la logica dell'alleanza atlantica nel contesto della guerra fredda; essa non coincide con la finalità che l'ipotesi H1 postulerebbe, ossia la destabilizzazione interna quale strumento per impedire l'integrazione europea. Che la rete esistesse, fosse atlantica e fosse clandestina è certificato al Livello A; che essa sia stata impiegata in operazioni di destabilizzazione interna, e segnatamente nella strategia stragista, è ipotesi che il registro mantiene al Livello C, giacché gli accertamenti giudiziari sulle stragi non hanno stabilito un collegamento operativo diretto e provato tra la struttura Gladio in quanto tale e l'esecuzione delle stragi; e che tale eventuale impiego rispondesse a un disegno di contrasto all'integrazione europea è ipotesi ulteriore e distinta, priva di qualsiasi supporto documentale e anzi contraddetta dalla finalità difensiva dichiarata e dalla cornice dell'alleanza, che legava l'Italia agli stessi partner del processo di integrazione. Il registro pone qui, con la massima nettezza, il paletto metodologico: la certificazione dell'esistenza atlantica di una rete clandestina non è, di per sé, un elemento di supporto di H1, e anzi la cornice atlantica della rete milita, semmai, nella direzione del falsificatore milwardiano, giacché la medesima alleanza che predispose le reti stay-behind fu il quadro entro il quale il processo di integrazione europea si svolse con il sostegno, e non l'opposizione, della potenza egemone occidentale.</w:t>
      </w:r>
    </w:p>
    <w:p>
      <w:pPr>
        <w:spacing w:after="120" w:line="276"/>
        <w:jc w:val="both"/>
      </w:pPr>
      <w:r>
        <w:rPr>
          <w:rFonts w:ascii="Barlow Semi Condensed" w:cs="Barlow Semi Condensed" w:eastAsia="Barlow Semi Condensed" w:hAnsi="Barlow Semi Condensed"/>
          <w:sz w:val="24"/>
          <w:szCs w:val="24"/>
        </w:rPr>
        <w:t xml:space="preserve">Il terzo pilastro è l'esito giudiziario e la sua incompletezza. Le indagini seguite alla rivelazione, condotte da diverse autorità giudiziarie, accertarono l'esistenza e la struttura della rete ma non pervennero, quanto all'ipotesi del suo impiego eversivo, a esiti di condanna: i procedimenti si chiusero in larga parte con archiviazioni o con l'esclusione di responsabilità penali specifiche connesse a un impiego deviato della struttura in quanto tale, ferma restando la certificazione della sua esistenza e della sua clandestinità. Il registro certifica al Livello A tanto l'esistenza della rete quanto l'esito sostanzialmente non condannatorio quanto all'ipotesi dell'impiego eversivo, e ne trae la conseguenza metodologica: il nodo Gladio è certificato al massimo livello quale struttura clandestina atlantica esistita e occultata, ed è mantenuto al Livello C quanto all'ipotesi del suo impiego nella destabilizzazione interna, che gli accertamenti non hanno provato. La distinzione tra l'esistenza certificata e l'impiego ipotetico è la sostanza del caso, e la sua osservanza è la misura della distanza tra il registro e la pubblicistica che ha fatto di Gladio il nome onnicomprensivo di ogni deviazione, dissolvendo nella suggestione la differenza tra ciò che è provato e ciò che è congetturato.</w:t>
      </w:r>
    </w:p>
    <w:p>
      <w:pPr>
        <w:spacing w:after="120" w:line="276"/>
        <w:jc w:val="both"/>
      </w:pPr>
      <w:r>
        <w:rPr>
          <w:rFonts w:ascii="Barlow Semi Condensed" w:cs="Barlow Semi Condensed" w:eastAsia="Barlow Semi Condensed" w:hAnsi="Barlow Semi Condensed"/>
          <w:sz w:val="24"/>
          <w:szCs w:val="24"/>
        </w:rPr>
        <w:t xml:space="preserve">Il quarto pilastro, e il più significativo per la verifica di H1, è la reazione delle istituzioni europee alla rivelazione, che il registro assume quale reperto capitale e contro-intuitivo. All'indomani dell'ammissione italiana e delle analoghe rivelazioni in altri Paesi, il Parlamento europeo adottò, il 22 novembre 1990, una risoluzione sulla vicenda delle reti stay-behind, con la quale l'assemblea di Strasburgo prendeva atto dell'esistenza delle strutture clandestine nei Paesi membri, ne deplorava l'occultamento agli organi parlamentari nazionali e alle istituzioni comunitarie, e chiedeva un'indagine completa sulla loro natura, sulla loro composizione e sul loro eventuale ruolo in attività illegali. Il registro certifica al Livello A l'esistenza e il contenuto della risoluzione, quale atto ufficiale dell'istituzione parlamentare europea, e ne trae l'annotazione decisiva per la falsificazione di H1. L'ipotesi H1 postulerebbe che le reti stay-behind fossero strumento di una convergenza tra le potenze imperiali volta a impedire l'integrazione europea; ma il fatto documentato è l'esatto opposto, giacché fu precisamente l'istituzione parlamentare dell'integrazione europea, il Parlamento di Strasburgo, a farsi carico della denuncia delle reti e a esigerne l'accertamento. Se le reti stay-behind fossero state uno strumento di contrasto all'integrazione europea, l'organo rappresentativo di quell'integrazione non ne sarebbe stato il denunciante, ma l'oggetto o la vittima; il fatto che il Parlamento europeo abbia condannato le reti e ne abbia chiesto l'indagine milita frontalmente contro l'ipotesi H1, e conferma la lettura del fenomeno quale eredità clandestina della logica atlantica del confronto bipolare, sottoposta al vaglio critico delle istituzioni democratiche europee non appena la sua esistenza fu resa nota. Il registro segnala altresì che gli accertamenti condotti nei diversi Paesi, e la stessa istruttoria parlamentare europea, non pervennero a dimostrare un impiego coordinato delle reti in attività di destabilizzazione interna, sicché la richiesta di indagine, pienamente legittima, non si tradusse nell'accertamento di quell'impiego, che rimane pertanto al Livello C.</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Gladio-Capo Marrargiu-Nasco, è il triangolo della struttura materiale, certificato al Livello A dalla documentazione e dagli accertamenti. La seconda, Gladio-servizio militare-struttura atlantica, è il triangolo della genesi e del raccordo, certificato al Livello A quanto all'esistenza del raccordo e mantenuto al Livello C quanto alla sua torsione eversiva. La terza, Gladio-rivelazione 1990-inchieste, è il triangolo dell'emersione e dell'accertamento incompleto, certificato al Livello A quanto ai fatti e recante il reperto negativo dell'esito non condannatorio sull'impiego. Sul piano dei pattern, il nodo attiva il Pattern 11, l'analisi dell'isomorfismo strutturale, giacché la rete stay-behind italiana presenta la medesima topologia delle reti analoghe predisposte in altri Paesi occidentali, e tale isomorfismo, lungi dal provare una regia unica finalizzata alla destabilizzazione, si spiega con la necessità funzionale comune, la resistenza all'occupazione, secondo la distinzione tra origine comune, necessità funzionale e convergenza indipendente che il Pattern 11 impone di discriminare.</w:t>
      </w:r>
    </w:p>
    <w:p>
      <w:pPr>
        <w:spacing w:after="120" w:line="276"/>
        <w:jc w:val="both"/>
      </w:pPr>
      <w:r>
        <w:rPr>
          <w:rFonts w:ascii="Barlow Semi Condensed" w:cs="Barlow Semi Condensed" w:eastAsia="Barlow Semi Condensed" w:hAnsi="Barlow Semi Condensed"/>
          <w:sz w:val="24"/>
          <w:szCs w:val="24"/>
        </w:rPr>
        <w:t xml:space="preserve">La meccanica della rivelazione va restituita nella sua catena esatta, perché essa costituisce uno dei rari casi in cui il registro può osservare, passaggio per passaggio, il processo attraverso il quale un segreto di apparato diviene conoscenza pubblica. Il primo anello è giudiziario: nell'estate del 1990 il giudice istruttore veneziano Felice Casson, risalendo la filiera dell'esplosivo di Peteano, chiese ed ottenne dal presidente del Consiglio l'autorizzazione ad accedere agli archivi del servizio militare, ponendo all'esecutivo un quesito documentale al quale non era più possibile opporre il diniego di esistenza, Livello A. Il secondo anello è la risposta politica graduata: il 3 agosto 1990 Giulio Andreotti annunciò alla Commissione stragi l'esistenza di una struttura riservata per la resistenza in caso di invasione, ed il 24 ottobre consegnò la relazione che ne dichiarava nome, natura e cornice atlantica, cui seguì la trasmissione dell'elenco dei 622 nominativi, Livello A sull'intera scansione. Il terzo anello è la chiusura: la struttura fu dichiarata cessata alla fine di novembre del 1990, mentre le esternazioni del capo dello Stato Francesco Cossiga, che rivendicò con orgoglio la legittimità patriottica dell'organizzazione, aprivano il conflitto istituzionale che avrebbe accompagnato l'intera stagione degli accertamenti, Livello A quanto ai fatti pubblici. Il registro isola in questa catena il suo teorema: la rivelazione non nacque da una crisi dell'apparato ma da una domanda della giurisdizione, e ciò conferma che nel sistema italiano il codice capace di forzare il segreto non fu quello politico, che lo aveva custodito per 44 anni, ma quello giudiziario, quando seppe formulare la domanda giusta al livello giusto.</w:t>
      </w:r>
    </w:p>
    <w:p>
      <w:pPr>
        <w:spacing w:after="120" w:line="276"/>
        <w:jc w:val="both"/>
      </w:pPr>
      <w:r>
        <w:rPr>
          <w:rFonts w:ascii="Barlow Semi Condensed" w:cs="Barlow Semi Condensed" w:eastAsia="Barlow Semi Condensed" w:hAnsi="Barlow Semi Condensed"/>
          <w:sz w:val="24"/>
          <w:szCs w:val="24"/>
        </w:rPr>
        <w:t xml:space="preserve">Alla struttura materiale il capitolo aggiunge il dettaglio dei depositi, perché su di esso si misura la qualità del controllo. La documentazione consegnata al Parlamento censì una rete di nascondigli d'armi ed esplosivi, i Nasco, interrati in punti classificati del territorio; il loro ritiro fu disposto ed eseguito in larga parte già nei primi anni 70, ma le operazioni di recupero registrarono ammanchi e depositi non più rinvenuti, circostanza che gli atti certificano e che consegnò alla stagione successiva un interrogativo mai integralmente chiuso sulla sorte del materiale mancante, Livello A quanto al censimento ed agli ammanchi documentati, ferma restando, per ogni ipotesi di impiego di quel materiale, la disciplina del rinvio ai singoli giudicati che la Fase 3 osserva. Da ultimo, il registro annota l'esito del vaglio parlamentare sulla legittimità: la Commissione stragi produsse sul punto conclusioni non unanimi, divise tra la lettura della struttura quale strumento difensivo coperto ma riconducibile alla cornice atlantica e quella di un organismo sottratto ad ogni circuito autorizzativo costituzionale, Livello A quanto alla divisione documentata delle conclusioni: ancora una volta, come per il Piano Solo e per la P2, il fatto è certificato e la qualificazione contesa, e questa terza occorrenza consente al registro di promuovere l'osservazione a regolarità, la Repubblica accerta i propri segreti ma non delibera su di essi, ed il giudizio resta consegnato, in via permanente, alla concorrenza delle relazioni di maggioranza e di minoranza.</w:t>
      </w:r>
    </w:p>
    <w:p>
      <w:pPr>
        <w:spacing w:after="120" w:line="276"/>
        <w:jc w:val="both"/>
      </w:pPr>
      <w:r>
        <w:rPr>
          <w:rFonts w:ascii="Barlow Semi Condensed" w:cs="Barlow Semi Condensed" w:eastAsia="Barlow Semi Condensed" w:hAnsi="Barlow Semi Condensed"/>
          <w:sz w:val="24"/>
          <w:szCs w:val="24"/>
        </w:rPr>
        <w:t xml:space="preserve">L'anatomia della rete va completata con la sua collocazione ordinamentale e con la sua articolazione operativa, quali risultano dalla documentazione consegnata al Parlamento. La struttura fu incardinata, nelle sue stagioni mature, entro la ripartizione del servizio militare competente per le operazioni speciali ed il territorio, con una catena di comando ristretta che rispondeva al direttore pro tempore e, per la cornice internazionale, ai comitati di pianificazione alleati; l'ossatura clandestina si articolava in unità di guerriglia designate con nomi di copertura floreali e marini, tra le quali le fonti censiscono la Stella Alpina per il quadrante nord-orientale, accanto ad unità sorelle per gli altri scacchieri, ciascuna con compiti di esfiltrazione, informazione, sabotaggio e propaganda in caso di occupazione, Livello A quanto all'articolazione documentata. L'addestramento si svolgeva presso il Centro di Capo Marrargiu con il concorso di istruttori e materiali alleati, secondo cicli che la documentazione registra sin dagli anni 50, Livello A, e la composizione dell'elenco dei 622, prevalentemente civili insospettabili radicati nei territori di prevista operatività, con significativa concentrazione nelle regioni di confine orientale, risponde alla logica militare della rete dormiente, Livello A quanto alla composizione, Livello B quanto alle stime di distribuzione territoriale. Il registro consegna questi dati alla loro doppia lettura, che è il punto esatto in cui la certificazione si arresta: la medesima anatomia che documenta una rete difensiva conforme al modello atlantico documenta altresì un potenziale operativo domestico mai autorizzato da alcun circuito costituzionale, e la scelta tra le 2 letture non appartiene ai reperti ma ai codici, secondo la lezione ormai 3 volte verificata della fase.</w:t>
      </w:r>
    </w:p>
    <w:p>
      <w:pPr>
        <w:spacing w:after="120" w:line="276"/>
        <w:jc w:val="both"/>
      </w:pPr>
      <w:r>
        <w:rPr>
          <w:rFonts w:ascii="Barlow Semi Condensed" w:cs="Barlow Semi Condensed" w:eastAsia="Barlow Semi Condensed" w:hAnsi="Barlow Semi Condensed"/>
          <w:sz w:val="24"/>
          <w:szCs w:val="24"/>
        </w:rPr>
        <w:t xml:space="preserve">Alla struttura va aggiunto il suo atto individuale di fondazione, la procedura di arruolamento, che la documentazione consegnata al Parlamento descrive con precisione notarile: il reclutamento per cooptazione fiduciaria, il vaglio riservato dell'affidabilità, la sottoscrizione di un impegno di segretezza e di fedeltà con formule di giuramento, l'addestramento individuale o per piccoli nuclei presso il Centro sardo, la riconsegna alla vita civile in condizione dormiente, Livello A quanto alla procedura documentata. Il registro vi legge la cifra antropologica della rete: 622 cittadini vincolati da un giuramento che lo Stato, il quale lo riceveva, negava a sé stesso di aver mai richiesto, la fedeltà a una Repubblica che non poteva riconoscere i propri fedeli. Quanto all'esito giudiziario complessivo, le inchieste aperte dopo la rivelazione presso più uffici giudiziari si chiusero, quanto alla struttura in sé, senza condanne, tra archiviazioni e proscioglimenti, non risultando integrati, per il giudice, gli estremi delle fattispecie associative contestate, Livello A quanto agli esiti, mentre sull'elenco dei 622 si appuntarono, negli anni, contestazioni di incompletezza mai risolte in accertamento, Livello C quanto ad ogni ipotesi di elenchi ulteriori. La rete uscì così dalla storia giudiziaria come vi era entrata, per via di documenti e non di sentenze: certificata nell'esistenza, assolta nella forma, indecidibile nella sostanza, ed il registro la consegna alla Fase 5, dove il confronto con le reti sorelle europee restituirà all'anomalia italiana la sua esatta misura comparativa.</w:t>
      </w:r>
    </w:p>
    <w:p>
      <w:pPr>
        <w:spacing w:after="120" w:line="276"/>
        <w:jc w:val="both"/>
      </w:pPr>
      <w:r>
        <w:rPr>
          <w:rFonts w:ascii="Barlow Semi Condensed" w:cs="Barlow Semi Condensed" w:eastAsia="Barlow Semi Condensed" w:hAnsi="Barlow Semi Condensed"/>
          <w:sz w:val="24"/>
          <w:szCs w:val="24"/>
        </w:rPr>
        <w:t xml:space="preserve">All'anatomia della rete va premesso il suo atto di nascita documentale, che la desecretazione del 1990 restituì e che il registro certifica quale fondamento archivistico dell'intero nodo: l'accordo bilaterale tra il servizio segreto militare italiano e l'agenzia americana, sottoscritto il 26 novembre 1956, che istituiva l'organizzazione di resistenza clandestina in territorio nazionale definendone finalità, ripartizione degli oneri e canali di direzione, cui seguirono nel tempo le direttive interne di organizzazione che gli atti trasmessi al Parlamento documentano, Livello A quanto all'atto, alla data ed al contenuto, resi pubblici nella stagione della disclosure. Il registro sottolinea la portata metodologica del reperto: la data del 1956 retrodata la struttura di un decennio abbondante rispetto alla percezione pubblica formatasi nel 1990, collocandone la fondazione nel cuore del primo decennio repubblicano, prima della stagione dei piani e dei tentativi censiti nei capitoli precedenti, sicché ogni analisi delle finestre critiche successive deve assumere la rete non quale variabile sopraggiunta ma quale costante di fondo, operativa e riservata, dell'intero arco temporale che l'opera copre. La consegna alla Fase 5, dove le reti sorelle continentali riceveranno il loro censimento, è già scritta in quell'atto: l'architettura era bilaterale nella firma e multilaterale nella logica, ed il documento del 1956 è il primo reperto italiano di un sistema che solo la comparazione internazionale avrebbe reso interamente leggibile.</w:t>
      </w:r>
    </w:p>
    <w:p>
      <w:pPr>
        <w:spacing w:after="120" w:line="276"/>
        <w:jc w:val="both"/>
      </w:pPr>
      <w:r>
        <w:rPr>
          <w:rFonts w:ascii="Barlow Semi Condensed" w:cs="Barlow Semi Condensed" w:eastAsia="Barlow Semi Condensed" w:hAnsi="Barlow Semi Condensed"/>
          <w:sz w:val="24"/>
          <w:szCs w:val="24"/>
        </w:rPr>
        <w:t xml:space="preserve">La rivelazione del 1990 ebbe infine la sua doppia retorica istituzionale, che il registro censisce quale reperto sulla gestione dell'autodisvelamento: alla comunicazione tecnica del presidente del Consiglio, che consegnò al Parlamento l'esistenza, la struttura e gli elenchi della rete nel registro asciutto dell'adempimento dovuto, si affiancò la rivendicazione politica del capo dello Stato, che difese pubblicamente gli uomini della rete quali patrioti ed elevò la propria personale partecipazione alla vicenda a titolo d'onore, aprendo un conflitto interpretativo pubblico sulla natura della struttura, adempimento atlantico legittimo o vulnus costituzionale, che attraversò le istituzioni sino allo scontro con la magistratura inquirente ed alle soglie di procedure costituzionali estreme, Livello A quanto alle 2 linee pubbliche ed al conflitto documentato. Il registro consegna il doppio registro alla sua funzione: la medesima rivelazione fu simultaneamente amministrata come pratica da chiudere e brandita come bandiera da rivendicare, e questa scissione al vertice dello Stato, consumata davanti all'opinione pubblica, è essa stessa la miglior prova che la rete non era mai stata, per la Repubblica, un semplice strumento tecnico: gli strumenti tecnici si dichiarano e si archiviano, e ciò che invece dovette essere difeso, rivendicato e conteso tra le più alte cariche era, con ogni evidenza, una scelta di campo che il Paese non aveva mai potuto votare, e sulla quale i suoi vertici, potendone finalmente parlare, scoprirono di non essere d'accordo nemmeno tra loro.</w:t>
      </w:r>
    </w:p>
    <w:p>
      <w:pPr>
        <w:spacing w:after="120" w:line="276"/>
        <w:jc w:val="both"/>
      </w:pPr>
      <w:r>
        <w:rPr>
          <w:rFonts w:ascii="Barlow Semi Condensed" w:cs="Barlow Semi Condensed" w:eastAsia="Barlow Semi Condensed" w:hAnsi="Barlow Semi Condensed"/>
          <w:sz w:val="24"/>
          <w:szCs w:val="24"/>
        </w:rPr>
        <w:t xml:space="preserve">Il fenomeno esige infine il suo censimento sociologico, che il registro formula quale Stato Zero più singolare del capitolo: la rete clandestina mantenne il proprio segreto per 4 decenni attraverso centinaia di reclutati civili, cittadini comuni distribuiti sul territorio e vincolati da giuramento, senza che una sola fuga di notizie organica, una defezione pubblica od una rivelazione giornalistica alimentata dall'interno ne squarciasse l'esistenza prima dell'ammissione governativa del 1990, Livello A quanto alla tenuta quarantennale del segreto, documentata a contrario dall'assenza di ogni emersione anteriore. Il registro consegna la tenuta alla sua doppia lettura: sul piano tecnico, essa certifica la qualità della compartimentazione, con reclutati ignari gli uni degli altri e legati verticalmente alla sola struttura; sul piano civile, essa documenta il fenomeno che il corpus registra con maggiore inquietudine metodologica, la capacità di una democrazia di contenere al proprio interno, per 2 generazioni, un segreto di massa perfettamente conservato, perché i segreti dei vertici appartengono alla fisiologia di ogni Stato, ma un segreto mantenuto da centinaia di cittadini comuni per 40 anni dimostra che la riservatezza totale non è una prerogativa degli apparati, è una possibilità permanente delle società, e questa possibilità, provata una volta, non è revocabile: ciò che fu tenuto segreto una volta può esserlo ancora, ed il registro, che vive di carte emerse, deve dichiarare al lettore questa ipoteca su tutto ciò che non è emerso.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Gladio è certificato al Livello A quale rete clandestina stay-behind di genesi atlantica, dotata di base addestrativa, depositi di armi ed elenco di appartenenti, esistita e occultata al Parlamento per oltre 4 decenni fino alla rivelazione ufficiale del 24 ottobre 1990; l'ipotesi del suo impiego nella destabilizzazione interna resta al Livello C, non essendo stata provata dagli accertamenti giudiziari, e l'ipotesi ulteriore di una sua funzione di contrasto all'integrazione europea è priva di supporto documentale e contraddetta dalla cornice atlantica della rete, sicché il nodo, lungi dal sostenere l'ipotesi H1, milita nella direzione del falsificatore milwardiano.</w:t>
      </w:r>
    </w:p>
    <w:p>
      <w:pPr>
        <w:pStyle w:val="Heading3"/>
        <w:spacing w:after="80" w:before="160"/>
      </w:pPr>
      <w:r>
        <w:rPr>
          <w:rFonts w:ascii="Barlow Semi Condensed" w:cs="Barlow Semi Condensed" w:eastAsia="Barlow Semi Condensed" w:hAnsi="Barlow Semi Condensed"/>
          <w:sz w:val="24"/>
          <w:szCs w:val="24"/>
        </w:rPr>
        <w:t xml:space="preserve">Capitolo 6 — ▶ Junio Valerio Borghese. Il golpe dei nostalgici e la mediazione occulta</w:t>
      </w:r>
    </w:p>
    <w:p>
      <w:pPr>
        <w:spacing w:after="120" w:line="276"/>
        <w:jc w:val="both"/>
      </w:pPr>
      <w:r>
        <w:rPr>
          <w:rFonts w:ascii="Barlow Semi Condensed" w:cs="Barlow Semi Condensed" w:eastAsia="Barlow Semi Condensed" w:hAnsi="Barlow Semi Condensed"/>
          <w:sz w:val="24"/>
          <w:szCs w:val="24"/>
        </w:rPr>
        <w:t xml:space="preserve">Junio Valerio Borghese, nato a Roma il 6 giugno 1906 e morto a Cadice il 26 agosto 1974, comandante durante la guerra della Decima Flottiglia MAS e successivamente figura di riferimento dell'eversione nera del dopoguerra, è il nodo attraverso il quale il registro certifica il tentativo eversivo che diede nome a una stagione e che salda, in un solo evento, i Domini 7, 3, 1 e 6. La scansione del corpus lo registra 941 volte in 48 documenti, frequenza che ne fa uno dei nodi più densi del versante eversivo e che riflette la centralità della vicenda golpista del dicembre 1970 nell'intera ricostruzione della strategia della tensione. Il nodo era già comparso nella Fase 1 attraverso lo snodo Borghese-Sindona, certificato al Livello B sulla scorta della testimonianza di Buscetta relativa ai 3 tentativi golpisti a mediazione massonica; il presente capitolo ne ricostruisce il profilo proprio quale attore del Dominio 7 in accoppiamento con gli apparati.</w:t>
      </w:r>
    </w:p>
    <w:p>
      <w:pPr>
        <w:spacing w:after="120" w:line="276"/>
        <w:jc w:val="both"/>
      </w:pPr>
      <w:r>
        <w:rPr>
          <w:rFonts w:ascii="Barlow Semi Condensed" w:cs="Barlow Semi Condensed" w:eastAsia="Barlow Semi Condensed" w:hAnsi="Barlow Semi Condensed"/>
          <w:sz w:val="24"/>
          <w:szCs w:val="24"/>
        </w:rPr>
        <w:t xml:space="preserve">La biografia colloca Borghese, dopo la vicenda bellica e il processo del dopoguerra per collaborazionismo, al vertice simbolico e organizzativo dell'eversione nostalgica. Fondatore e presidente del Fronte Nazionale, organizzazione della destra radicale costituita alla fine degli anni Sessanta, Borghese raccolse attorno a sé ambienti reduci, gruppi dell'eversione neofascista e settori disponibili all'azione illegale contro l'assetto repubblicano. Il registro certifica al Livello A, sul fondamento degli atti processuali e delle ricostruzioni documentali, il ruolo di Borghese quale fondatore del Fronte Nazionale e quale figura di riferimento dell'eversione nera, e annota la continuità con il documento più risalente del corpus su questo versante, l'informativa della Central Intelligence Agency del 14 novembre 1951 sulle attività neofasciste in Italia, che già collocava il principe Borghese al centro degli ambienti della destra radicale e ne registrava i collegamenti e i finanziamenti: un reperto che il registro certifica al Livello A quale fonte documentale coeva e che retrodata di quasi 2 decenni l'osservazione internazionale sul nodo.</w:t>
      </w:r>
    </w:p>
    <w:p>
      <w:pPr>
        <w:spacing w:after="120" w:line="276"/>
        <w:jc w:val="both"/>
      </w:pPr>
      <w:r>
        <w:rPr>
          <w:rFonts w:ascii="Barlow Semi Condensed" w:cs="Barlow Semi Condensed" w:eastAsia="Barlow Semi Condensed" w:hAnsi="Barlow Semi Condensed"/>
          <w:sz w:val="24"/>
          <w:szCs w:val="24"/>
        </w:rPr>
        <w:t xml:space="preserve">Il primo pilastro probatorio è il tentativo eversivo del dicembre 1970, il cosiddetto golpe Borghese. Nella notte tra il 7 e l'8 dicembre 1970, la notte dell'Immacolata, prese avvio un tentativo di sovvertimento dell'ordine costituzionale che prevedeva l'occupazione di obiettivi nevralgici della capitale, tra cui il Ministero dell'interno, la sede della radiotelevisione e i centri di comunicazione, con il concorso di reparti e di gruppi dell'eversione nera. L'azione, avviata, fu interrotta e fatta rientrare nel corso della medesima notte, per ragioni che gli accertamenti non hanno integralmente chiarito e che alimentarono l'ipotesi di un contrordine impartito da un livello superiore. Il registro certifica al Livello A, sul fondamento degli atti giudiziari, l'esistenza materiale del tentativo, la sua articolazione operativa e la sua interruzione nel corso della notte; e mantiene al Livello C l'ipotesi sulla natura e sull'origine del contrordine, che gli accertamenti non hanno stabilito. Alla vicenda partecipò, quale organizzatore di uno dei settori operativi, Stefano Delle Chiaie, fondatore di Avanguardia Nazionale, che la Fase 3 tratterà nel suo contesto e che qui compare quale esecutore di primo piano dell'azione.</w:t>
      </w:r>
    </w:p>
    <w:p>
      <w:pPr>
        <w:spacing w:after="120" w:line="276"/>
        <w:jc w:val="both"/>
      </w:pPr>
      <w:r>
        <w:rPr>
          <w:rFonts w:ascii="Barlow Semi Condensed" w:cs="Barlow Semi Condensed" w:eastAsia="Barlow Semi Condensed" w:hAnsi="Barlow Semi Condensed"/>
          <w:sz w:val="24"/>
          <w:szCs w:val="24"/>
        </w:rPr>
        <w:t xml:space="preserve">Il secondo pilastro esige il riporto per esteso dell'esito giudiziario, in ossequio alla regola del registro. Il procedimento penale per il tentativo golpista del dicembre 1970 si concluse, dopo la condanna di alcuni imputati in primo grado, con l'assoluzione in grado d'appello della gran parte degli imputati dall'accusa di insurrezione armata contro i poteri dello Stato, con derubricazione delle residue responsabilità; la sentenza d'appello del 1984 riformò in senso largamente assolutorio le statuizioni di primo grado. Borghese medesimo era nel frattempo deceduto a Cadice, in Spagna, dove si era rifugiato dopo il fallimento del tentativo, il 26 agosto 1974, sottraendosi al giudizio. Il registro certifica al Livello A tanto l'esistenza del tentativo quanto l'esito largamente assolutorio del procedimento, e ne trae la conseguenza metodologica: il nodo Borghese certifica al Livello A il fatto storico di un tentativo eversivo materialmente avviato e interrotto, ma l'esito giudiziario ha escluso, per la gran parte degli imputati, la sussistenza del più grave reato contestato, sicché la qualificazione dell'evento quale golpe compiutamente organizzato e prossimo alla riuscita, ovvero quale mera velleità circoscritta, resta oggetto di controversia storiografica che il registro non risolve, attestandosi sul dato certo dell'avvio materiale e dell'interruzione e sull'esito assolutorio.</w:t>
      </w:r>
    </w:p>
    <w:p>
      <w:pPr>
        <w:spacing w:after="120" w:line="276"/>
        <w:jc w:val="both"/>
      </w:pPr>
      <w:r>
        <w:rPr>
          <w:rFonts w:ascii="Barlow Semi Condensed" w:cs="Barlow Semi Condensed" w:eastAsia="Barlow Semi Condensed" w:hAnsi="Barlow Semi Condensed"/>
          <w:sz w:val="24"/>
          <w:szCs w:val="24"/>
        </w:rPr>
        <w:t xml:space="preserve">Il terzo pilastro è l'osservazione internazionale precoce del nodo, documentata dall'informativa della Central Intelligence Agency del 14 novembre 1951, che il registro assume quale reperto documentale di eccezionale valore per la retrodatazione della vigilanza atlantica sull'eversione italiana. Il documento, classificato all'origine come segreto e successivamente desecretato, presente nel corpus nella sua estrazione integrale, riferiva informazioni datate all'ottobre 1951 sulle attività neofasciste in Italia, e collocava il principe Borghese al centro degli ambienti della destra radicale, registrandone i collegamenti con la X Flottiglia MAS ricostituita in chiave politica, con il Movimento sociale italiano, e con circuiti di finanziamento che il documento riconduceva ad ambienti franchisti spagnoli, oltre a menzionare l'esistenza di squadre d'azione. Il registro certifica al Livello A l'esistenza e il contenuto del documento quale fonte coeva prodotta dal servizio informativo statunitense, e ne trae 2 annotazioni. La prima è cronologica: la vigilanza informativa internazionale sul nodo Borghese e sugli ambienti dell'eversione nera è documentata sin dal 1951, ossia quasi 2 decenni prima del tentativo golpista, il che retrodata di gran lunga l'osservazione atlantica sul fenomeno e conferma che gli apparati alleati ne seguivano gli sviluppi. La seconda annotazione concerne, ancora una volta, la verifica di H1 e va formulata con precisione. Il documento del 1951 attesta che il servizio statunitense sorvegliava e schedava l'eversione nera italiana; questo dato non prova né una regia statunitense su tale eversione, che il documento non afferma, né tanto meno una convergenza tra il servizio statunitense e quello sovietico, della quale non v'è traccia; esso documenta un'attività informativa di sorveglianza, coerente con la logica del confronto bipolare, nella quale la potenza occidentale monitorava tanto la sinistra quanto le frange eversive di destra potenzialmente destabilizzanti. Il registro annota il finanziamento franchista riferito dal documento quale primo affioramento, sin dal 1951, della dimensione iberica dell'eversione nera, che la Fase 5 ritroverà nella latitanza spagnola dello stesso Borghese e di altri protagonisti; e mantiene al Livello B, in quanto riferito da singola fonte informativa coeva ancorché autorevole, il dato del finanziamento franchista, in attesa dei riscontri che la fase internazionale potrà fornire.</w:t>
      </w:r>
    </w:p>
    <w:p>
      <w:pPr>
        <w:spacing w:after="120" w:line="276"/>
        <w:jc w:val="both"/>
      </w:pPr>
      <w:r>
        <w:rPr>
          <w:rFonts w:ascii="Barlow Semi Condensed" w:cs="Barlow Semi Condensed" w:eastAsia="Barlow Semi Condensed" w:hAnsi="Barlow Semi Condensed"/>
          <w:sz w:val="24"/>
          <w:szCs w:val="24"/>
        </w:rPr>
        <w:t xml:space="preserve">Il quarto pilastro è la mediazione occulta e l'accoppiamento con il Dominio 1, che salda il nodo alla Fase 1 e ne costituisce l'elemento di maggiore interesse strutturale. La testimonianza di Tommaso Buscetta, resa nell'ambito dei procedimenti sui rapporti tra mafia e politica e recepita dal registro nella Fase 1, riferì che a Cosa Nostra fu richiesta, per il tramite di ambienti massonici, la disponibilità a concorrere ad almeno uno dei tentativi golpisti di quella stagione, e collocò tale richiesta nel quadro di una trilogia di progetti eversivi che avrebbero visto la partecipazione di ambienti finanziari, tra cui quello di Michele Sindona. Il registro certifica al Livello B, sul fondamento della testimonianza di Buscetta riscontrata nel ciclo processuale ma non consacrata da condanna specifica sul punto, l'esistenza della richiesta di concorso rivolta a Cosa Nostra per il tramite massonico e la connessione con ambienti finanziari; e mantiene al Livello C l'estensione di tale accertamento a un disegno unitario e sovrastante. L'interesse strutturale del dato è massimo: il tentativo golpista del dicembre 1970 è il primo evento del registro in cui convergono, secondo gli accertamenti disponibili, il Dominio 7 dell'eversione, il Dominio 4 della massoneria quale mediatore, il Dominio 1 della mafia quale forza richiesta, il Dominio 6 della finanza quale possibile sostegno, e in cui affiora, sullo sfondo, la questione della condotta degli apparati, giacché il servizio militare diretto da Miceli disponeva di informazioni sull'iniziativa. È il primo affioramento, nel registro, di quella convergenza multidominio che la strategia della tensione realizzerà, e la sua trattazione anticipata nella Fase 2 si giustifica precisamente in ragione del suo essere il punto in cui il versante eversivo si accoppia agli apparati.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Borghese-Fronte Nazionale-Delle Chiaie, è il triangolo organizzativo dell'eversione nera, certificato al Livello A quanto alla struttura e alla partecipazione. La seconda, Borghese-mediazione massonica-Cosa Nostra, è il triangolo dell'accoppiamento con il Dominio 1 per il tramite del Dominio 4, certificato al Livello B dalla testimonianza riscontrata di Buscetta. La terza, Borghese-Sindona-finanziamento, è il triangolo del sostegno finanziario, certificato al Livello B e già inventariato nella Fase 1. Sul piano dei pattern, il nodo attiva il Pattern 3, l'analisi temporale, giacché il tentativo del dicembre 1970 si colloca nella finestra critica successiva alla strage di Piazza Fontana e apre la sequenza eversiva che la Fase 3 ricostruirà; e attiva il Pattern 6, l'analisi delle ipotesi concorrenti, quanto alla natura del contrordine e all'entità reale del tentativo, rispetto ai quali il registro mantiene aperte le ipotesi alternative, in assenza di accertamenti dirimenti.</w:t>
      </w:r>
    </w:p>
    <w:p>
      <w:pPr>
        <w:spacing w:after="120" w:line="276"/>
        <w:jc w:val="both"/>
      </w:pPr>
      <w:r>
        <w:rPr>
          <w:rFonts w:ascii="Barlow Semi Condensed" w:cs="Barlow Semi Condensed" w:eastAsia="Barlow Semi Condensed" w:hAnsi="Barlow Semi Condensed"/>
          <w:sz w:val="24"/>
          <w:szCs w:val="24"/>
        </w:rPr>
        <w:t xml:space="preserve">La notte dell'Immacolata va corredata dei suoi reperti materiali accertati, che sottraggono l'episodio tanto alla minimizzazione quanto alla leggenda. Gli accertamenti processuali consegnarono al giudicato la materialità di alcuni movimenti: la penetrazione di un gruppo di congiurati nell'armeria del Ministero dell'interno, con la temporanea disponibilità di armamento poi restituito, il concentramento di aderenti in punti di raccolta della capitale, l'allertamento di reparti collaterali tra cui un contingente di guardie forestali affluito da Cittaducale, e quindi, a mobilitazione avviata, il contrordine impartito dallo stesso Borghese per canali mai integralmente chiariti, che dissolse l'operazione prima dell'irreparabile, Livello A quanto ai movimenti materiali accertati nelle sentenze, Livello C quanto alle ragioni del contrordine, sulle quali le ricostruzioni divergono senza che alcuna abbia conseguito consacrazione giudiziale. Su questa materialità si innestò il paradosso qualificatorio che il capitolo ha già riportato: l'appello del 1984, confermato in cassazione, escluse la sussistenza del fatto quale insurrezione armata, consegnando alla storia repubblicana un tentativo materialmente avvenuto e giuridicamente inesistente, ed il registro, che non giudica i giudicati ma li censisce, annota la forbice tra accertamento storico e qualificazione penale quale caso di scuola della complementarità dei codici già teorizzata nella Fase 1.</w:t>
      </w:r>
    </w:p>
    <w:p>
      <w:pPr>
        <w:spacing w:after="120" w:line="276"/>
        <w:jc w:val="both"/>
      </w:pPr>
      <w:r>
        <w:rPr>
          <w:rFonts w:ascii="Barlow Semi Condensed" w:cs="Barlow Semi Condensed" w:eastAsia="Barlow Semi Condensed" w:hAnsi="Barlow Semi Condensed"/>
          <w:sz w:val="24"/>
          <w:szCs w:val="24"/>
        </w:rPr>
        <w:t xml:space="preserve">Un capitolo interno alla vicenda appartiene però più agli apparati che ai congiurati, ed è la gestione informativa del dopo. Gli atti processuali e parlamentari documentano che il servizio raccolse, sin dal 1971, un corpo cospicuo di informazioni sul tentativo, incluse le registrazioni effettuate dal capitano Antonio Labruna con i protagonisti, e che il fascicolo trasmesso all'autorità giudiziaria nel 1974 risultò epurato di riferimenti a personalità ed articolazioni che la versione integrale conteneva: la manipolazione del malloppo, accertata nel ciclo processuale che coinvolse i vertici del servizio, costituisce il ponte documentale che salda questo capitolo ai capitoli 2 e 3 della fase, Livello A quanto alla trasmissione ritardata ed alle omissioni accertate, nei limiti dei rispettivi giudicati. Il registro vi legge la conferma di un teorema già enunciato: nel sistema della deviazione, l'apparato non organizza l'evento, ne amministra la conoscenza, e la differenza tra le 2 funzioni, che la pubblicistica confonde di continuo, è esattamente la differenza tra ciò che i processi hanno provato e ciò che hanno escluso.</w:t>
      </w:r>
    </w:p>
    <w:p>
      <w:pPr>
        <w:spacing w:after="120" w:line="276"/>
        <w:jc w:val="both"/>
      </w:pPr>
      <w:r>
        <w:rPr>
          <w:rFonts w:ascii="Barlow Semi Condensed" w:cs="Barlow Semi Condensed" w:eastAsia="Barlow Semi Condensed" w:hAnsi="Barlow Semi Condensed"/>
          <w:sz w:val="24"/>
          <w:szCs w:val="24"/>
        </w:rPr>
        <w:t xml:space="preserve">La genealogia del nodo esige il suo antefatto giudiziario e il suo salvataggio fondativo. Nella primavera del 1945 il comandante della Decima, sottratto alla resa dei conti insurrezionale, fu prelevato e trasferito a Roma sotto protezione alleata per iniziativa di ufficiali del controspionaggio americano, secondo una ricostruzione consolidata nella storiografia e nelle stesse fonti d'oltreoceano, Livello A quanto al trasferimento protetto; il successivo processo per collaborazionismo si chiuse nel 1949 con una condanna ampiamente assorbita da amnistia e detrazioni, che ne determinò l'immediata liberazione, Livello A. Il registro salda i 2 reperti in un teorema genetico: l'uomo che 25 anni dopo avrebbe guidato il tentativo della notte dell'Immacolata dovette la propria sopravvivenza politica, ed anzi fisica, alla precoce valutazione alleata della sua utilità anticomunista, sicché l'informativa del 1951 che il capitolo ha censito non fotografa un sorvegliato ma un investimento, e l'intera parabola del Fronte Nazionale, con i suoi gruppi paralleli ed il suo reclutamento tra nostalgici ed apparati, si svolse entro un campo di tolleranza internazionale che gli accertamenti hanno documentato nella sua esistenza senza mai poterne misurare i confini operativi, Livello B quanto alla qualificazione del campo. La fuga spagnola del gennaio 1971, all'emissione dei provvedimenti romani, e la morte a Cadice il 26 agosto 1974, in un esilio franchista che fu anche l'ultimo approdo coerente della biografia, chiudono il nodo su una geografia che la Fase 5 riprenderà: la penisola iberica quale retrovia continentale dell'eversione, il santuario dove i capitoli italiani andavano a morire ed a rigenerarsi.</w:t>
      </w:r>
    </w:p>
    <w:p>
      <w:pPr>
        <w:spacing w:after="120" w:line="276"/>
        <w:jc w:val="both"/>
      </w:pPr>
      <w:r>
        <w:rPr>
          <w:rFonts w:ascii="Barlow Semi Condensed" w:cs="Barlow Semi Condensed" w:eastAsia="Barlow Semi Condensed" w:hAnsi="Barlow Semi Condensed"/>
          <w:sz w:val="24"/>
          <w:szCs w:val="24"/>
        </w:rPr>
        <w:t xml:space="preserve">La contabilità processuale del tentativo va infine consegnata nei suoi ordini di grandezza, perché i numeri descrivono la parabola meglio di ogni aggettivo: decine di imputati rinviati a giudizio all'esito dell'istruttoria romana, un primo grado, nel luglio 1978, che pronunciò condanne per cospirazione a carico di un gruppo di organizzatori ed esecutori, escludendo già allora la fattispecie insurrezionale, ed un appello, nel novembre 1984, che travolse anche quelle condanne assolvendo tutti gli imputati con la formula che il capitolo ha riportato, resa irrevocabile dalla Cassazione, Livello A sull'intera scansione. Tra il primo ed il secondo grado corre un sessennio nel quale il quadro probatorio non si accrebbe ma si assottigliò, per la morte di protagonisti e testimoni e per la progressiva emersione delle manipolazioni documentali del 1974 che, minando l'attendibilità del materiale d'apparato, finirono paradossalmente per giovare agli imputati che quel materiale accusava: sicché il depistaggio censito nel secondo paragrafo produsse il suo effetto pieno non impedendo il processo ma svuotandolo, e la fase consegna alle successive questa meccanica raffinata, l'inquinamento della fonte quale forma differita di assoluzione, che il registro ritroverà, identica, nei grandi processi per le stragi.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Borghese è certificato al Livello A quale artefice del tentativo eversivo materialmente avviato e interrotto nella notte tra il 7 e l'8 dicembre 1970, con esito giudiziario largamente assolutorio riportato per esteso; la richiesta di concorso rivolta a Cosa Nostra per il tramite di ambienti massonici e la connessione con ambienti finanziari sono certificate al Livello B sulla scorta della testimonianza riscontrata di Buscetta; il tentativo del dicembre 1970 è registrato quale primo affioramento della convergenza multidominio tra eversione, massoneria, mafia e finanza che la strategia della tensione realizzerà, e la sua natura e portata reali restano oggetto di ipotesi concorrenti non dirimibili allo stato degli accertamenti.</w:t>
      </w:r>
    </w:p>
    <w:p>
      <w:pPr>
        <w:pStyle w:val="Heading3"/>
        <w:spacing w:after="80" w:before="160"/>
      </w:pPr>
      <w:r>
        <w:rPr>
          <w:rFonts w:ascii="Barlow Semi Condensed" w:cs="Barlow Semi Condensed" w:eastAsia="Barlow Semi Condensed" w:hAnsi="Barlow Semi Condensed"/>
          <w:sz w:val="24"/>
          <w:szCs w:val="24"/>
        </w:rPr>
        <w:t xml:space="preserve">Capitolo 7 — ▶ Edgardo Sogno. Il golpe bianco e la rete anticomunista</w:t>
      </w:r>
    </w:p>
    <w:p>
      <w:pPr>
        <w:spacing w:after="120" w:line="276"/>
        <w:jc w:val="both"/>
      </w:pPr>
      <w:r>
        <w:rPr>
          <w:rFonts w:ascii="Barlow Semi Condensed" w:cs="Barlow Semi Condensed" w:eastAsia="Barlow Semi Condensed" w:hAnsi="Barlow Semi Condensed"/>
          <w:sz w:val="24"/>
          <w:szCs w:val="24"/>
        </w:rPr>
        <w:t xml:space="preserve">Edgardo Sogno Rata del Vallino, nato a Torino il 21 dicembre 1915 e morto a Torino il 5 agosto 2000, partigiano azionista e poi diplomatico, organizzatore di reti anticomuniste, è il nodo attraverso il quale il registro estende la mappa dell'eversione dal versante nostalgico e neofascista, incarnato da Borghese, al versante che si richiamava alla tradizione liberale e resistenziale ma perseguiva anch'esso la torsione autoritaria dell'ordine repubblicano in funzione anticomunista. La scansione del corpus lo registra 274 volte in 21 documenti. Il nodo è di particolare valore per il registro perché dimostra che la deviazione autoritaria non fu appannaggio esclusivo dell'area nera, ma attraversò trasversalmente lo schieramento anticomunista, saldando il Dominio 2 al Dominio 3 e al Dominio 7 attraverso una figura di impeccabile biografia antifascista.</w:t>
      </w:r>
    </w:p>
    <w:p>
      <w:pPr>
        <w:spacing w:after="120" w:line="276"/>
        <w:jc w:val="both"/>
      </w:pPr>
      <w:r>
        <w:rPr>
          <w:rFonts w:ascii="Barlow Semi Condensed" w:cs="Barlow Semi Condensed" w:eastAsia="Barlow Semi Condensed" w:hAnsi="Barlow Semi Condensed"/>
          <w:sz w:val="24"/>
          <w:szCs w:val="24"/>
        </w:rPr>
        <w:t xml:space="preserve">La biografia colloca Sogno agli antipodi apparenti di Borghese: medaglia d'oro della Resistenza, esponente del Partito d'Azione, diplomatico di carriera, Sogno fu, sin dai primi anni Cinquanta, l'organizzatore di strutture anticomuniste operanti nel quadro della guerra fredda. Il registro certifica al Livello A, sul fondamento delle ricostruzioni documentali e delle stesse memorie del protagonista, il ruolo di Sogno quale fondatore e animatore, nella prima metà degli anni Cinquanta, dell'organizzazione Pace e Libertà, struttura di propaganda e di azione anticomunista attiva sul terreno sindacale e politico, che operò in collegamento con ambienti atlantici e con settori degli apparati. Il nodo salda così, sin dalle origini, la militanza anticomunista alla dimensione internazionale del confronto bipolare, e prefigura il circuito che il capitolo 8 tratterà.</w:t>
      </w:r>
    </w:p>
    <w:p>
      <w:pPr>
        <w:spacing w:after="120" w:line="276"/>
        <w:jc w:val="both"/>
      </w:pPr>
      <w:r>
        <w:rPr>
          <w:rFonts w:ascii="Barlow Semi Condensed" w:cs="Barlow Semi Condensed" w:eastAsia="Barlow Semi Condensed" w:hAnsi="Barlow Semi Condensed"/>
          <w:sz w:val="24"/>
          <w:szCs w:val="24"/>
        </w:rPr>
        <w:t xml:space="preserve">Il primo pilastro probatorio è il progetto eversivo del 1974, il cosiddetto golpe bianco. Nel 1974, nel clima di tensione seguito alla crisi economica e all'avanzata elettorale della sinistra, Edgardo Sogno elaborò e promosse un progetto di sovvertimento in senso autoritario e presidenzialista dell'ordine costituzionale, un mutamento istituzionale da conseguire, secondo il disegno, anche attraverso un'azione di forza qualora la via legale si fosse rivelata impraticabile. Il progetto, denominato nella pubblicistica golpe bianco per distinguerlo dai tentativi di marca nera, diede luogo a indagini giudiziarie e all'incriminazione del suo promotore. Il registro procede qui con la disciplina consueta. Certifica al Livello A l'esistenza del progetto di riforma autoritaria promosso da Sogno nel 1974 e la sua incriminazione, quali fatti documentati dagli atti; e, quanto alla natura e all'attualità del disegno eversivo, registra un elemento probatorio di eccezionale valore, giacché il protagonista medesimo, nelle proprie memorie pubblicate in forma di intervista-testamento nell'anno della sua morte, ammise di aver progettato un colpo di Stato e di essersi tenuto pronto ad attuarlo, rivendicandone la legittimità in chiave anticomunista. Il registro certifica al Livello A l'ammissione autobiografica del protagonista quanto alla progettazione del colpo di Stato, trattandola quale dichiarazione contra se resa in tempo non sospetto e come tale dotata di particolare valore probatorio; e mantiene al Livello C, quanto ai profili di coinvolgimento di terzi non accertati giudizialmente, ogni estensione dell'ammissione oltre la sfera del dichiarante.</w:t>
      </w:r>
    </w:p>
    <w:p>
      <w:pPr>
        <w:spacing w:after="120" w:line="276"/>
        <w:jc w:val="both"/>
      </w:pPr>
      <w:r>
        <w:rPr>
          <w:rFonts w:ascii="Barlow Semi Condensed" w:cs="Barlow Semi Condensed" w:eastAsia="Barlow Semi Condensed" w:hAnsi="Barlow Semi Condensed"/>
          <w:sz w:val="24"/>
          <w:szCs w:val="24"/>
        </w:rPr>
        <w:t xml:space="preserve">Il secondo pilastro è il collegamento con la dimensione atlantica e con gli apparati, che colloca il nodo al centro della verifica di H1. Le ricostruzioni documentali e le stesse dichiarazioni di Sogno collocarono il suo attivismo anticomunista, da Pace e Libertà al progetto del 1974, in un quadro di rapporti con ambienti atlantici e con il servizio informativo statunitense, dai quali Sogno dichiarò di aver ricevuto interlocuzione. Il registro certifica al Livello B, sul fondamento delle ricostruzioni convergenti e delle ammissioni del protagonista, l'esistenza di tali rapporti; e ne trae l'annotazione che vale per la verifica di H1. La disponibilità di Sogno a interloquire con ambienti atlantici sul proprio progetto autoritario documenta la cornice internazionale del suo attivismo, ma le fonti collocano tale interlocuzione nel quadro del contrasto anticomunista interno alla logica bipolare, non in quello di un disegno di contrasto all'integrazione europea; e il progetto di Sogno era esso stesso, nella sua ispirazione, un progetto di rafforzamento autoritario dello Stato nazionale in funzione anticomunista, non un progetto rivolto contro il processo di integrazione. Il registro registra dunque il nodo Sogno quale ulteriore elemento che, lungi dal supportare H1, ne mostra l'inadeguatezza esplicativa: la deviazione autoritaria degli anni Settanta si spiega con la dinamica anticomunista interna al confronto bipolare, e la sua dimensione internazionale è quella dell'alleanza atlantica, non quella di una regia contro l'Europa.</w:t>
      </w:r>
    </w:p>
    <w:p>
      <w:pPr>
        <w:spacing w:after="120" w:line="276"/>
        <w:jc w:val="both"/>
      </w:pPr>
      <w:r>
        <w:rPr>
          <w:rFonts w:ascii="Barlow Semi Condensed" w:cs="Barlow Semi Condensed" w:eastAsia="Barlow Semi Condensed" w:hAnsi="Barlow Semi Condensed"/>
          <w:sz w:val="24"/>
          <w:szCs w:val="24"/>
        </w:rPr>
        <w:t xml:space="preserve">Il terzo pilastro esige il riporto dell'esito giudiziario. Il procedimento a carico di Sogno per il progetto del 1974 non pervenne a condanna: la posizione dell'imputato si chiuse senza affermazione di responsabilità penale per i fatti eversivi contestatigli. Il registro certifica al Livello A tanto l'esistenza del progetto e dell'incriminazione quanto l'esito non condannatorio del procedimento, e ne trae la distinzione consueta: il fatto storico del progetto, ammesso dal protagonista, è certificato, mentre la responsabilità penale per un tentativo eversivo attuale e punibile non fu affermata dal giudice; la sopravvivenza dell'ammissione autobiografica quale reperto di Livello A non è intaccata dall'esito processuale, giacché l'ammissione attiene alla progettazione, che il dichiarante rivendicò, e non alla qualificazione penale, che il giudice non affermò.</w:t>
      </w:r>
    </w:p>
    <w:p>
      <w:pPr>
        <w:spacing w:after="120" w:line="276"/>
        <w:jc w:val="both"/>
      </w:pPr>
      <w:r>
        <w:rPr>
          <w:rFonts w:ascii="Barlow Semi Condensed" w:cs="Barlow Semi Condensed" w:eastAsia="Barlow Semi Condensed" w:hAnsi="Barlow Semi Condensed"/>
          <w:sz w:val="24"/>
          <w:szCs w:val="24"/>
        </w:rPr>
        <w:t xml:space="preserve">Il quarto pilastro è la natura dell'organizzazione Pace e Libertà quale strumento di guerra psicologica anticomunista, che il registro assume a documentazione della continuità tra la propaganda e l'azione nel percorso del nodo. Pace e Libertà, attiva nella prima metà degli anni Cinquanta, operò quale struttura di propaganda anticomunista sul terreno sindacale e politico, impegnata nella diffusione di materiale contrario al Partito comunista e alla Confederazione generale del lavoro, e nell'organizzazione di iniziative volte a contrastare l'influenza della sinistra nel mondo del lavoro; a essa fu associata la figura di Luigi Cavallo, collaboratore di Sogno in quella stagione e successivamente attivo, per proprio conto, in vicende di guerra psicologica e di attacco pubblicistico. Il registro certifica al Livello A la natura di Pace e Libertà quale struttura di propaganda e di guerra psicologica anticomunista e il ruolo di Sogno quale suo animatore, e ne trae 2 annotazioni. La prima concerne la proiezione verso il Dominio 8: la vicenda di Pace e Libertà documenta, sin dagli anni Cinquanta, l'accoppiamento tra l'attivismo anticomunista e il controllo del flusso informativo, giacché lo strumento privilegiato dell'organizzazione fu la produzione e la diffusione di materiale propagandistico, secondo una logica di guerra psicologica che anticipa i temi del Dominio 8 che le fasi successive svilupperanno. La seconda concerne, ancora una volta, la verifica di H1: la finalità di Pace e Libertà fu il contrasto interno all'influenza comunista, ossia una finalità collocata sul versante occidentale e anticomunista del confronto bipolare, coerente con la logica atlantica e incompatibile con l'ipotesi di una convergenza tra i blocchi; sicché anche il pilastro delle origini del nodo Sogno milita, come il resto della fase, contro l'adeguatezza esplicativa di H1 e a favore dell'ipotesi bipolare concorrente.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Sogno-Pace e Libertà-ambienti atlantici, è il triangolo delle origini anticomuniste e della cornice internazionale, certificato al Livello A quanto all'organizzazione e al Livello B quanto ai rapporti atlantici. La seconda, Sogno-progetto 1974-ammissione autobiografica, è il triangolo del golpe bianco, certificato al Livello A quanto al progetto e all'ammissione e recante il reperto dell'esito non condannatorio. La terza, Sogno-area anticomunista trasversale, è il triangolo che salda il versante liberale e resistenziale al versante nero nella comune torsione autoritaria, certificato al Livello A quanto al dato strutturale della trasversalità del fronte anticomunista. Sul piano dei pattern, il nodo attiva il Pattern 11, l'analisi dell'isomorfismo strutturale, nella sua accezione più feconda: il progetto di Sogno e i tentativi di marca nera, pur muovendo da tradizioni politiche opposte, presentano la medesima struttura funzionale, la torsione autoritaria in funzione anticomunista, e tale isomorfismo si spiega con la necessità funzionale comune imposta dal contesto bipolare, non con un'origine unica, secondo la distinzione che il Pattern 11 impone.</w:t>
      </w:r>
    </w:p>
    <w:p>
      <w:pPr>
        <w:spacing w:after="120" w:line="276"/>
        <w:jc w:val="both"/>
      </w:pPr>
      <w:r>
        <w:rPr>
          <w:rFonts w:ascii="Barlow Semi Condensed" w:cs="Barlow Semi Condensed" w:eastAsia="Barlow Semi Condensed" w:hAnsi="Barlow Semi Condensed"/>
          <w:sz w:val="24"/>
          <w:szCs w:val="24"/>
        </w:rPr>
        <w:t xml:space="preserve">La vicenda giudiziaria del nodo va scandita nei suoi passaggi, perché anche i proscioglimenti hanno una cronologia che istruisce. L'istruttoria torinese condotta dal giudice Luciano Violante culminò, nel maggio 1976, nell'arresto di Sogno, evento senza precedenti per un decorato della Resistenza e diplomatico di carriera, cui seguirono la scarcerazione, il trasferimento del procedimento alla sede romana per ragioni di competenza e la chiusura istruttoria senza rinvio a giudizio sul finire del decennio, Livello A quanto alla scansione. Il registro annota, per la seconda volta nella fase, la migrazione del fascicolo verso il foro capitolino con esito favorevole all'imputato, e trasmette il dato alla statistica delle sedi senza aggiungervi ciò che solo un giudicato potrebbe: la correlazione si registra, la causa si sospende. Alla chiusura giudiziaria fece da controcanto, un quarto di secolo dopo, la chiusura autobiografica: nel libro-testamento pubblicato nell'anno della morte, Sogno rivendicò apertamente il progetto del 1974, descrivendone finalità presidenzialista e meccanica operativa con una franchezza che nessun interrogatorio gli aveva strappato, Livello A quanto all'ammissione pubblica, Livello B quanto alla corrispondenza tra il progetto narrato ed il progetto storico, giacché la confessione tardiva di un prosciolto è insieme la più preziosa e la più sospetta delle fonti, potendo l'anziano protagonista tanto rivelare quanto monumentalizzare sé stesso.</w:t>
      </w:r>
    </w:p>
    <w:p>
      <w:pPr>
        <w:spacing w:after="120" w:line="276"/>
        <w:jc w:val="both"/>
      </w:pPr>
      <w:r>
        <w:rPr>
          <w:rFonts w:ascii="Barlow Semi Condensed" w:cs="Barlow Semi Condensed" w:eastAsia="Barlow Semi Condensed" w:hAnsi="Barlow Semi Condensed"/>
          <w:sz w:val="24"/>
          <w:szCs w:val="24"/>
        </w:rPr>
        <w:t xml:space="preserve">Resta la morfologia, che distingue questo nodo da quello che lo precede. Il progetto del 1974 non prevedeva colonne di nostalgici né armerie violate: prevedeva, secondo gli atti e la stessa autobiografia, una forzatura istituzionale dall'alto, il capo dello Stato indotto a sciogliere le Camere ed a insediare un governo di emergenza a guida presidenzialista, con l'appoggio di ambienti militari, diplomatici ed economici selezionati. Nella tassonomia del registro è il golpe di rete contrapposto al golpe di piazza: dove Borghese mobilita corpi, Sogno mobilita relazioni, e la circostanza che il primo sia finito in una fuga notturna ed il secondo in un salotto istruttorio dice qualcosa di permanente sulla gerarchia delle risorse eversive in un sistema maturo. Il Pattern 11, l'isomorfismo strutturale, registra qui la sua variante più fine: 2 strutture topologicamente opposte, la piramide nostalgica e la rete liberale, convergenti sul medesimo obiettivo funzionale, e la convergenza degli opposti sull'oggetto, non la somiglianza delle forme, è il dato che la fase consegna alla verifica di H1.</w:t>
      </w:r>
    </w:p>
    <w:p>
      <w:pPr>
        <w:spacing w:after="120" w:line="276"/>
        <w:jc w:val="both"/>
      </w:pPr>
      <w:r>
        <w:rPr>
          <w:rFonts w:ascii="Barlow Semi Condensed" w:cs="Barlow Semi Condensed" w:eastAsia="Barlow Semi Condensed" w:hAnsi="Barlow Semi Condensed"/>
          <w:sz w:val="24"/>
          <w:szCs w:val="24"/>
        </w:rPr>
        <w:t xml:space="preserve">Il precedente organizzativo degli anni 50 va restituito nella sua fisionomia, perché in esso la biografia del nodo si salda alla preistoria della guerra psicologica interna. Pace e Libertà, l'organizzazione fondata e diretta da Sogno nel quinquennio 1953-1957 con sede operativa a Milano, condusse una campagna sistematica di propaganda anticomunista fatta di manifesti murali, opuscoli, schedature di attivisti e controinformazione sindacale, avvalendosi di finanziamenti provenienti da ambienti industriali e da canali atlantici che le ricostruzioni storiografiche e le stesse memorie del protagonista documentano con convergenza sostanziale, Livello A quanto all'attività ed alla sede, Livello B quanto alla mappa dei finanziamenti. Il registro vi riconosce il prototipo funzionale di ciò che il capitolo 8 mostrerà su scala continentale: la struttura privata che svolge, per conto di ambienti pubblici che non possono firmarla, la guerra delle idee, secondo una divisione del lavoro tra Stato e parastato che costituisce, assai più dei progetti golpisti, il lascito permanente di questa galassia. Nel medesimo campo operò, con progetto politico proprio, la Nuova Repubblica di Randolfo Pacciardi, l'ex ministro repubblicano teorico della svolta presidenzialista, che il registro cita quale termine di comparazione morfologica: 2 reduci dell'antifascismo combattente, l'azionista e il repubblicano, approdati per vie indipendenti al medesimo schema della forzatura istituzionale dall'alto, Livello A quanto ai progetti pubblicamente professati, convergenza che il Pattern 11 archivia quale ulteriore isomorfismo e che dispensa l'analista da ogni ricorso alla categoria, qui superflua, della regia unica: talvolta le strutture si somigliano perché il problema che intendono risolvere è lo stesso, e l'ossessione dell'ora X fu, in quella generazione, un problema condiviso assai più che un ordine ricevuto.</w:t>
      </w:r>
    </w:p>
    <w:p>
      <w:pPr>
        <w:spacing w:after="120" w:line="276"/>
        <w:jc w:val="both"/>
      </w:pPr>
      <w:r>
        <w:rPr>
          <w:rFonts w:ascii="Barlow Semi Condensed" w:cs="Barlow Semi Condensed" w:eastAsia="Barlow Semi Condensed" w:hAnsi="Barlow Semi Condensed"/>
          <w:sz w:val="24"/>
          <w:szCs w:val="24"/>
        </w:rPr>
        <w:t xml:space="preserve">Alla fisionomia operativa di Pace e Libertà appartiene infine la figura del suo principale operatore, Luigi Cavallo, il giornalista ed agitatore torinese che dell'organizzazione fu l'uomo di macchina, specialista di quella zona grigia tra propaganda, provocazione e dossieraggio che le ricostruzioni storiografiche documentano nelle campagne condotte contro il sindacato di fabbrica ed il Partito comunista negli stabilimenti del capoluogo piemontese, Livello B quanto al ruolo ed alle campagne, fondato su fonti storiografiche e documentali convergenti. La coppia Sogno-Cavallo, il gentiluomo e l'operatore, riproduce in scala nazionale la divisione del lavoro che il registro ha già censito nella coppia Gelli-Ortolani ed anticipa quella che ritroverà altrove: ogni struttura di condizionamento matura si articola in una faccia presentabile, che frequenta i salotti ed incassa la rispettabilità, ed in una faccia esecutiva, che maneggia i materiali e ne assorbe il discredito, e la longevità della prima si misura sulla sacrificabilità della seconda. È l'ennesima occorrenza di un isomorfismo che il Pattern 11 registra ormai quale costante antropologica del campo, e che dispensa il registro dal cercare, dietro la ricorrenza della forma, un architetto che la ricorrenza stessa rende superfluo.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Sogno è certificato al Livello A quale promotore, nel 1974, di un progetto di sovvertimento autoritario dell'ordine repubblicano, il cosiddetto golpe bianco, sulla scorta non solo degli atti ma dell'ammissione autobiografica resa dal protagonista in tempo non sospetto; il nodo dimostra che la deviazione autoritaria attraversò trasversalmente il fronte anticomunista, dal versante nero a quello liberale e resistenziale, e la sua cornice atlantica, tenuta distinta da ogni ipotesi di regia contro l'integrazione europea, milita ancora una volta contro l'adeguatezza esplicativa dell'ipotesi H1; l'esito giudiziario non condannatorio è certificato al Livello A e riportato per esteso.</w:t>
      </w:r>
    </w:p>
    <w:p>
      <w:pPr>
        <w:pStyle w:val="Heading3"/>
        <w:spacing w:after="80" w:before="160"/>
      </w:pPr>
      <w:r>
        <w:rPr>
          <w:rFonts w:ascii="Barlow Semi Condensed" w:cs="Barlow Semi Condensed" w:eastAsia="Barlow Semi Condensed" w:hAnsi="Barlow Semi Condensed"/>
          <w:sz w:val="24"/>
          <w:szCs w:val="24"/>
        </w:rPr>
        <w:t xml:space="preserve">Capitolo 8 — ◆ Le Cercle e il circuito Pinay. Il coordinamento internazionale dell'anticomunismo</w:t>
      </w:r>
    </w:p>
    <w:p>
      <w:pPr>
        <w:spacing w:after="120" w:line="276"/>
        <w:jc w:val="both"/>
      </w:pPr>
      <w:r>
        <w:rPr>
          <w:rFonts w:ascii="Barlow Semi Condensed" w:cs="Barlow Semi Condensed" w:eastAsia="Barlow Semi Condensed" w:hAnsi="Barlow Semi Condensed"/>
          <w:sz w:val="24"/>
          <w:szCs w:val="24"/>
        </w:rPr>
        <w:t xml:space="preserve">Le Cercle, denominazione del circuito internazionale di coordinamento anticomunista noto anche come Cercle Pinay dal nome del suo fondatore, è il nodo attraverso il quale il registro apre, all'interno della Fase 2, la prima finestra sistematica sulla dimensione internazionale del Dominio 3, e mette alla prova, su materiale finalmente sovranazionale, la verifica dell'ipotesi H1. La scansione del corpus registra il termine Cercle 391 volte in 8 documenti: una frequenza concentrata, che riflette la presenza nel corpus di uno studio monografico dedicato ai suoi animatori. Il nodo salda il Dominio 3 nella sua dimensione internazionale al Dominio 2, attraverso il coordinamento riservato di uomini politici e di apparati di più Paesi occidentali, e costituisce il pendant sovranazionale dei circuiti nazionali che i capitoli precedenti hanno documentato.</w:t>
      </w:r>
    </w:p>
    <w:p>
      <w:pPr>
        <w:spacing w:after="120" w:line="276"/>
        <w:jc w:val="both"/>
      </w:pPr>
      <w:r>
        <w:rPr>
          <w:rFonts w:ascii="Barlow Semi Condensed" w:cs="Barlow Semi Condensed" w:eastAsia="Barlow Semi Condensed" w:hAnsi="Barlow Semi Condensed"/>
          <w:sz w:val="24"/>
          <w:szCs w:val="24"/>
        </w:rPr>
        <w:t xml:space="preserve">La natura del nodo impone una premessa definitoria. Le Cercle non fu un'organizzazione a struttura gerarchica e a confini definiti, quali la loggia P2 o la rete Gladio, ma un circuito informale di incontro e di coordinamento tra esponenti politici, funzionari di apparati e personalità del mondo economico di più Paesi occidentali, accomunati dall'orientamento anticomunista e conservatore e riuniti periodicamente in sedi riservate. Il registro certifica al Livello B, sul fondamento dello studio monografico presente nel corpus e delle ricostruzioni convergenti, l'esistenza e la natura del circuito quale sede riservata di coordinamento anticomunista internazionale, e ne registra i riferimenti fondativi: l'ispirazione risalente all'ambiente dell'uomo politico francese Antoine Pinay, il ruolo organizzativo attribuito a figure di collegamento tra la politica e gli apparati, e la partecipazione, nel corso dei decenni, di esponenti conservatori e di uomini dei servizi di diversi Paesi occidentali. La cautela del Livello B è imposta dalla natura stessa del nodo, che opera nell'informalità e le cui tracce documentali sono, per definizione, meno nette di quelle delle strutture formalizzate.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coordinamento e la sua collocazione atlantica. Il circuito operò quale sede di raccordo tra le componenti conservatrici e anticomuniste dello schieramento occidentale, in una funzione di elaborazione strategica e di scambio riservato che si affiancava ai canali ufficiali dell'alleanza. Il registro certifica al Livello B la funzione di coordinamento del circuito, e ne trae l'annotazione capitale per la verifica di H1. Il circuito Le Cercle è, tra tutti i nodi della fase, quello che maggiormente si avvicina alla figura di una struttura internazionale di coordinamento politico riservato; ed è precisamente per questo che la sua analisi è decisiva. La finalità documentata del circuito fu il coordinamento anticomunista nel quadro del confronto bipolare, ossia il contrasto all'espansione dell'influenza sovietica e alla forza dei partiti comunisti occidentali; questa finalità è coerente con la logica dell'alleanza atlantica e si colloca sul versante occidentale del confronto tra i blocchi. Essa non coincide, e anzi confligge, con la finalità che l'ipotesi H1 postulerebbe, ossia la convergenza segreta tra la potenza occidentale e quella sovietica per impedire l'integrazione europea: un circuito anticomunista di coordinamento occidentale è, per sua natura, l'opposto di una struttura di convergenza tra i 2 blocchi. Il registro registra dunque il nodo Le Cercle quale elemento che milita frontalmente contro l'ipotesi H1, giacché documenta l'esistenza di un coordinamento internazionale rivolto contro l'Unione Sovietica, non in accordo con essa; e la sua esistenza rafforza la lettura del confronto bipolare quale chiave esplicativa alternativa a H1, nella quale gli attori occidentali perseguono finalità occidentali e quelli sovietici finalità sovietiche, senza la convergenza segreta che H1 postulerebbe.</w:t>
      </w:r>
    </w:p>
    <w:p>
      <w:pPr>
        <w:spacing w:after="120" w:line="276"/>
        <w:jc w:val="both"/>
      </w:pPr>
      <w:r>
        <w:rPr>
          <w:rFonts w:ascii="Barlow Semi Condensed" w:cs="Barlow Semi Condensed" w:eastAsia="Barlow Semi Condensed" w:hAnsi="Barlow Semi Condensed"/>
          <w:sz w:val="24"/>
          <w:szCs w:val="24"/>
        </w:rPr>
        <w:t xml:space="preserve">Il secondo pilastro riguarda le figure di collegamento e la funzione di elaborazione strategica del circuito, che il registro assume a documentazione della sua natura di sede di coordinamento e non di mera occasione conviviale. Al circuito furono associate figure di raccordo tra la politica, gli apparati informativi e gli ambienti della guerra psicologica di più Paesi occidentali, tra le quali la pubblicistica e gli studi collocano personalità legate ai servizi francesi e britannici e specialisti dell'analisi anticomunista e della controsovversione, impegnati nell'elaborazione di strategie di contrasto all'influenza comunista e nella circolazione riservata di analisi e di orientamenti tra le componenti conservatrici occidentali. Il registro certifica al Livello B, sul fondamento dello studio monografico presente nel corpus, la presenza nel circuito di figure di collegamento tra la politica e gli apparati e la sua funzione di elaborazione strategica anticomunista, e mantiene al Livello C l'attribuzione a singole personalità di ruoli operativi specifici non consacrati da accertamento. L'annotazione che il registro ne trae riguarda la natura del potere che il circuito esprimeva: non un potere formale né esecutivo, ma un potere di elaborazione e di coordinamento, ossia la capacità di produrre orientamenti condivisi e di farli circolare tra i vertici conservatori di più Paesi, secondo una logica che la Nota metodologica riconduce alla funzione di intermediazione e di controllo del flusso informativo. Il circuito Le Cercle è, in questo senso, l'omologo internazionale della loggia coperta nazionale: una sede riservata nella quale il coordinamento avviene non attraverso la gerarchia, ma attraverso la relazione, e nella quale il potere si esercita attraverso la capacità di connettere ambienti altrimenti separati. Ma questa funzione, ripetesi, è documentata quale funzione anticomunista occidentale, e la sua stessa natura conferma l'inadeguatezza dell'ipotesi H1: un circuito di elaborazione strategica anticomunista è l'espressione più raffinata del versante occidentale del confronto bipolare, non l'indizio di una convergenza tra i blocchi.</w:t>
      </w:r>
    </w:p>
    <w:p>
      <w:pPr>
        <w:spacing w:after="120" w:line="276"/>
        <w:jc w:val="both"/>
      </w:pPr>
      <w:r>
        <w:rPr>
          <w:rFonts w:ascii="Barlow Semi Condensed" w:cs="Barlow Semi Condensed" w:eastAsia="Barlow Semi Condensed" w:hAnsi="Barlow Semi Condensed"/>
          <w:sz w:val="24"/>
          <w:szCs w:val="24"/>
        </w:rPr>
        <w:t xml:space="preserve">Il terzo pilastro è il collegamento con il terreno italiano, che salda il nodo internazionale ai nodi nazionali della fase. Il circuito internazionale del coordinamento anticomunista intrattenne relazioni con gli ambienti italiani affini, dagli apparati agli attori politici e mediatici dell'area, e la figura di collegamento tra la propaganda anticomunista internazionale e il terreno italiano trova riscontro nei rapporti documentati tra ambienti dell'informazione e apparati che la fase ha incontrato. Il registro certifica al Livello C, in assenza di accertamenti giudiziari specifici, le ipotesi di collegamento operativo tra il circuito internazionale e singoli eventi del terreno italiano, e mantiene al Livello B il solo fatto dell'esistenza di relazioni tra il circuito e gli ambienti anticomunisti italiani. La disciplina è imposta dalla natura informale del nodo e dalla scarsità di riscontri documentali diretti: il registro certifica la cornice del coordinamento internazionale, ma si vieta di trasformare la cornice in prova di direzione dei singoli eventi nazionali.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 Cercle-Pinay-figure di collegamento, è il triangolo fondativo del circuito, certificato al Livello B quanto all'esistenza, alla natura e alla presenza di figure di raccordo con gli apparati. La seconda, Le Cercle-alleanza atlantica-coordinamento anticomunista, è il triangolo della collocazione strategica, certificato al Livello B quanto alla funzione e recante l'annotazione decisiva per la falsificazione di H1. La terza, Le Cercle-ambienti italiani, è il triangolo del collegamento nazionale, certificato al Livello B quanto all'esistenza di relazioni e al Livello C quanto al collegamento operativo con singoli eventi. Sul piano dei pattern, il nodo attiva il Pattern 6, l'analisi delle ipotesi concorrenti, nella sua funzione più alta: l'esistenza di un circuito anticomunista internazionale di coordinamento occidentale è un'evidenza che discrimina tra le 2 macro-ipotesi in campo, giacché è coerente con l'ipotesi del confronto bipolare, nella quale è massimamente attesa, e incoerente con l'ipotesi H1 della convergenza tra i blocchi, nella quale sarebbe inspiegabile; e la procedura di Heuer prescrive che l'ipotesi da preferire sia quella meno contraddetta dalle evidenze, sicché il nodo Le Cercle pesa a favore dell'ipotesi bipolare e contro H1.</w:t>
      </w:r>
    </w:p>
    <w:p>
      <w:pPr>
        <w:spacing w:after="120" w:line="276"/>
        <w:jc w:val="both"/>
      </w:pPr>
      <w:r>
        <w:rPr>
          <w:rFonts w:ascii="Barlow Semi Condensed" w:cs="Barlow Semi Condensed" w:eastAsia="Barlow Semi Condensed" w:hAnsi="Barlow Semi Condensed"/>
          <w:sz w:val="24"/>
          <w:szCs w:val="24"/>
        </w:rPr>
        <w:t xml:space="preserve">La genealogia del circuito merita i suoi nomi fondativi, che le fonti storiografiche e memorialistiche consegnano con ragionevole convergenza. All'origine sta l'ambiente di Antoine Pinay, il presidente del Consiglio francese della ricostruzione conservatrice, e l'opera organizzativa dell'avvocato parigino Jean Violet, tessitore di relazioni tra le destre di governo continentali, in una cornice iniziale franco-tedesca orientata alla riconciliazione cattolico-conservatrice ed al contenimento comunista, Livello B quanto alla ricostruzione fondativa, fondata su fonti memorialistiche ed archivistiche convergenti ma non su atti pubblici. Nella stagione matura degli anni 70 l'animazione del circuito passò per la figura del pubblicista britannico Brian Crozier, direttore di un istituto londinese di studi sui conflitti e memorialista, nei cui scritti autobiografici il circuito è descritto dall'interno quale sede di raccordo tra responsabili politici, uomini degli apparati e finanziatori dell'anticomunismo militante, Livello A quanto all'esistenza delle memorie e delle carte, Livello B quanto al loro contenuto, trattandosi di fonte di parte non riscontrata integralmente. Alle riunioni del circuito la documentazione superstite attesta la partecipazione di esponenti italiani di primo piano, tra i quali Giulio Andreotti, presenza che il registro censisce quale puro dato di frequentazione, senza inferenza ulteriore, in ossequio alla disciplina che governa l'intera materia, Livello B.</w:t>
      </w:r>
    </w:p>
    <w:p>
      <w:pPr>
        <w:spacing w:after="120" w:line="276"/>
        <w:jc w:val="both"/>
      </w:pPr>
      <w:r>
        <w:rPr>
          <w:rFonts w:ascii="Barlow Semi Condensed" w:cs="Barlow Semi Condensed" w:eastAsia="Barlow Semi Condensed" w:hAnsi="Barlow Semi Condensed"/>
          <w:sz w:val="24"/>
          <w:szCs w:val="24"/>
        </w:rPr>
        <w:t xml:space="preserve">La funzione operativa documentabile del circuito appartiene al Dominio 8 più che al Dominio 3: le carte ed i memoriali ne attestano l'impegno nella produzione e nella circolazione di materiale informativo orientato, dossier, campagne di stampa, sostegni editoriali, diretti negli anni 70 in particolare contro l'ipotesi eurocomunista e contro gli esperimenti di apertura a sinistra nei Paesi latini, Livello B. Il registro chiude il capitolo con la digressione che la natura del nodo esige. Un circuito senza statuto, senza sede, senza elenco degli iscritti sembra, alla tassonomia delle organizzazioni, un non-oggetto; ma la teoria delle reti insegna che l'informalità non è assenza di struttura, è struttura a costo zero di occultamento: ciò che non esiste giuridicamente non può essere sciolto, perquisito né processato, e la lezione della P2, distrutta dal proprio archivio, fu qui applicata in forma preventiva, nessun archivio, nessuna distruzione. Le Cercle rappresenta perciò, nel registro, il grado zero organizzativo del coordinamento riservato, il salotto quale tecnologia: e la sua certificazione al Livello B non è una debolezza dell'analisi, è la firma stessa dell'oggetto, che fu progettato per abitare esattamente quel livello.</w:t>
      </w:r>
    </w:p>
    <w:p>
      <w:pPr>
        <w:spacing w:after="120" w:line="276"/>
        <w:jc w:val="both"/>
      </w:pPr>
      <w:r>
        <w:rPr>
          <w:rFonts w:ascii="Barlow Semi Condensed" w:cs="Barlow Semi Condensed" w:eastAsia="Barlow Semi Condensed" w:hAnsi="Barlow Semi Condensed"/>
          <w:sz w:val="24"/>
          <w:szCs w:val="24"/>
        </w:rPr>
        <w:t xml:space="preserve">Alla fisionomia del circuito le memorie superstiti aggiungono la sua liturgia, che il registro censisce quale dato organizzativo e non quale colore: riunioni riservate a cadenza periodica, alternate tra le capitali europee e quella americana, partecipazione per cooptazione personale e non per carica, assenza di verbalizzazione ufficiale e di personalità giuridica, spese sostenute per il tramite di strutture di comodo, Livello B sull'intero quadro, fondato sulle fonti memorialistiche interne. È la grammatica esatta dell'anti-organizzazione già teorizzata, e la sua efficacia si misura in negativo: di quasi mezzo secolo di attività non esiste un archivio unitario, ed il registro deve ricostruire il nodo per frammenti laterali, carte private, agende, memorie di partecipanti, con la conseguenza metodologica che il Livello B non è qui il soffitto provvisorio della ricerca ma, con ogni probabilità, il suo soffitto strutturale. Il capitolo consegna perciò alla verifica di H1 un reperto di natura peculiare: l'esistenza certificata di una sede permanente di coordinamento informale tra le destre atlantiche, senza che da tale esistenza possa inferirsi, per alcun singolo evento italiano, una funzione di comando, e la distanza tra il coordinamento provato e la regia indimostrata è, ancora una volta, lo spazio esatto in cui il metodo di questo registro si separa dalla letteratura che pretende di colmarlo per postulato.</w:t>
      </w:r>
    </w:p>
    <w:p>
      <w:pPr>
        <w:spacing w:after="120" w:line="276"/>
        <w:jc w:val="both"/>
      </w:pPr>
      <w:r>
        <w:rPr>
          <w:rFonts w:ascii="Barlow Semi Condensed" w:cs="Barlow Semi Condensed" w:eastAsia="Barlow Semi Condensed" w:hAnsi="Barlow Semi Condensed"/>
          <w:sz w:val="24"/>
          <w:szCs w:val="24"/>
        </w:rPr>
        <w:t xml:space="preserve">Resta da censire il tramonto, che per un circuito informale non è uno scioglimento ma una perdita di funzione. Con la fine del sistema bipolare venne meno la minaccia che costituiva la ragione sociale non scritta del consesso, e le sue tracce documentali si diradano sino a confondersi con l'ordinaria sociabilità delle destre atlantiche; le carte di Brian Crozier, confluite in un fondo archivistico presso un'istituzione universitaria americana, restano ad oggi il principale giacimento documentale disponibile sul circuito, Livello A quanto all'esistenza ed alla collocazione del fondo, Livello B quanto alla sua rappresentatività, trattandosi dell'archivio di un solo protagonista. Il registro chiude il capitolo con la constatazione metodologica che il nodo impone: dei 10 capitoli della fase, questo è l'unico il cui oggetto non è mai stato raggiunto da un'inchiesta giudiziaria o parlamentare italiana, sicché la sua certificazione riposa per intero su fonti volontarie, memorie ed archivi privati, ed il suo Livello B è la misura esatta di quella dipendenza. La lezione è duplice: le strutture informali sopravvivono agli accertamenti perché non offrono loro alcun appiglio ordinamentale, ma pagano l'invisibilità con l'irrilevanza probatoria, ed il circuito che nessuno poté processare è anche il circuito al quale nessun giudicato ha mai potuto attribuire un solo fatto specifico del teatro italiano: l'ombra perfetta non proietta reati, e non incassa assoluzioni.</w:t>
      </w:r>
    </w:p>
    <w:p>
      <w:pPr>
        <w:spacing w:after="120" w:line="276"/>
        <w:jc w:val="both"/>
      </w:pPr>
      <w:r>
        <w:rPr>
          <w:rFonts w:ascii="Barlow Semi Condensed" w:cs="Barlow Semi Condensed" w:eastAsia="Barlow Semi Condensed" w:hAnsi="Barlow Semi Condensed"/>
          <w:sz w:val="24"/>
          <w:szCs w:val="24"/>
        </w:rPr>
        <w:t xml:space="preserve">Alla costellazione delle strutture parallele il registro aggiunge infine quella la cui stessa esistenza è rimasta materia di accertamento: la rete informale nota quale Anello, o Noto servizio, l'organismo riservato di matrice civile-militare attivo secondo le ricostruzioni dal dopoguerra ai primi anni Novanta, documentato da un fondo di carte emerso a metà degli anni Novanta e valorizzato da perizie ed acquisizioni delle sedi d'inchiesta, che ne attestano l'esistenza quale circuito di informatori, finanziamenti e servizi riservati esterno all'ordinamento degli apparati ufficiali, Livello A quanto all'esistenza del fondo documentale e delle acquisizioni, Livello B quanto all'operatività della rete quale vi è descritta, Livello C quanto ad ogni suo specifico impiego nei singoli episodi del corpus, mai certificato in giudicato. Il registro censisce la struttura per il suo valore tassonomico: l'Anello rappresenta, nella gerarchia delle opacità che questa fase ordina, il gradino estremo, quello di un organismo che non fu mai istituito da alcun atto, mai sciolto da alcun decreto e mai processato da alcuna corte, conosciuto soltanto attraverso le proprie carte postume, e la sua collocazione nel registro accanto alle strutture certificate, dalla Gladio dell'atto bilaterale alla loggia degli elenchi sequestrati, completa la scala documentale dell'intera fase: dall'apparato con statuto, all'apparato con elenco, all'apparato con solo archivio, in una degradazione della tracciabilità che è essa stessa la mappa di quanto profondo corresse, sotto la Repubblica di superficie, il piano dei servizi non dichiarati.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Le Cercle è certificato al Livello B quale circuito internazionale informale di coordinamento anticomunista, di ispirazione risalente all'ambiente di Antoine Pinay, operante quale sede riservata di raccordo tra le componenti conservatrici e anticomuniste dello schieramento occidentale; la sua finalità documentata, il contrasto all'influenza sovietica nel quadro del confronto bipolare, milita frontalmente contro l'ipotesi H1 della convergenza segreta tra i blocchi, giacché un coordinamento anticomunista occidentale è l'opposto di una struttura di convergenza tra le 2 superpotenze; il collegamento del circuito con singoli eventi del terreno italiano resta al Livello C in assenza di accertamenti specifici.</w:t>
      </w:r>
    </w:p>
    <w:p>
      <w:pPr>
        <w:pStyle w:val="Heading3"/>
        <w:spacing w:after="80" w:before="160"/>
      </w:pPr>
      <w:r>
        <w:rPr>
          <w:rFonts w:ascii="Barlow Semi Condensed" w:cs="Barlow Semi Condensed" w:eastAsia="Barlow Semi Condensed" w:hAnsi="Barlow Semi Condensed"/>
          <w:sz w:val="24"/>
          <w:szCs w:val="24"/>
        </w:rPr>
        <w:t xml:space="preserve">Capitolo 9 — ▶ Francesco Pazienza. Il faccendiere del SISMI e la contaminazione dei servizi</w:t>
      </w:r>
    </w:p>
    <w:p>
      <w:pPr>
        <w:spacing w:after="120" w:line="276"/>
        <w:jc w:val="both"/>
      </w:pPr>
      <w:r>
        <w:rPr>
          <w:rFonts w:ascii="Barlow Semi Condensed" w:cs="Barlow Semi Condensed" w:eastAsia="Barlow Semi Condensed" w:hAnsi="Barlow Semi Condensed"/>
          <w:sz w:val="24"/>
          <w:szCs w:val="24"/>
        </w:rPr>
        <w:t xml:space="preserve">Francesco Pazienza, nato a San Valentino in Abruzzo Citeriore il 14 dicembre 1946, medico e faccendiere, collaboratore esterno del Servizio informazioni e sicurezza militare, è il nodo attraverso il quale il registro certifica la figura del faccendiere degli apparati, l'intermediario privo di collocazione formale che, dall'esterno della struttura, ne orienta le attività intrecciandole con affari privati, operazioni finanziarie e depistaggi. La scansione del corpus lo registra 84 volte in 15 documenti, frequenza modesta ma distribuita, che riflette la sua presenza trasversale in una pluralità di vicende. Il nodo era già comparso nella Fase 1 quale co-condannato per il depistaggio della strage di Bologna; il presente capitolo ne ricostruisce il profilo proprio quale nodo di contaminazione tra il Dominio 3, il Dominio 6, il Dominio 4 e il Dominio 1, e salda la fase alla precedente attraverso la sua collocazione presso il SISMI del generale Santovito, che il capitolo 10 tratterà.</w:t>
      </w:r>
    </w:p>
    <w:p>
      <w:pPr>
        <w:spacing w:after="120" w:line="276"/>
        <w:jc w:val="both"/>
      </w:pPr>
      <w:r>
        <w:rPr>
          <w:rFonts w:ascii="Barlow Semi Condensed" w:cs="Barlow Semi Condensed" w:eastAsia="Barlow Semi Condensed" w:hAnsi="Barlow Semi Condensed"/>
          <w:sz w:val="24"/>
          <w:szCs w:val="24"/>
        </w:rPr>
        <w:t xml:space="preserve">La biografia colloca Pazienza nell'orbita del SISMI a partire dalla fine degli anni Settanta, quale collaboratore esterno privo di inquadramento formale ma dotato di accesso al vertice del servizio e di una rete internazionale di relazioni. Il registro certifica al Livello A, sul fondamento degli atti giudiziari, la collaborazione di Pazienza con il SISMI nel periodo della direzione Santovito e il suo ruolo di intermediario tra il servizio, gli ambienti finanziari e i circuiti internazionali; e annota il dato strutturale che ne fa un nodo esemplare: Pazienza non apparteneva formalmente ad alcun dominio, ma operava all'intersezione di più domini quale intermediario, secondo la figura che la Nota metodologica descrive quale nodo ad alta betweenness e bassa titolarità formale, il broker che controlla il flusso tra parti della rete altrimenti disconnesse.</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della strage di Bologna, già certificata nella Fase 1 e qui richiamata quale fondamento della collocazione del nodo. Francesco Pazienza fu condannato in via definitiva, unitamente a Licio Gelli e agli ufficiali del SISMI Pietro Musumeci e Giuseppe Belmonte, per il calunnioso depistaggio delle indagini sulla strage del 2 agosto 1980, consistito nella costruzione di false piste volte a sviare l'accertamento della matrice. Il registro certifica al Livello A, sul fondamento del giudicato, la responsabilità di Pazienza nel depistaggio di Bologna, e ne trae la certificazione dell'arco di ostruzione che salda il faccendiere agli ufficiali del servizio e al Venerabile della loggia: il depistaggio di Bologna fu opera congiunta di un collaboratore esterno del servizio, di ufficiali interni ad esso e del capo di una loggia coperta, e tale composizione soggettiva è essa stessa il reperto, giacché documenta l'accoppiamento operativo tra il Dominio 3, il Dominio 4 e la figura del faccendiere nella condotta di ostruzione. Il registro ribadisce il limite inferenziale: la condanna per il depistaggio certifica la condotta di ostruzione, non il mandato della strage depistata.</w:t>
      </w:r>
    </w:p>
    <w:p>
      <w:pPr>
        <w:spacing w:after="120" w:line="276"/>
        <w:jc w:val="both"/>
      </w:pPr>
      <w:r>
        <w:rPr>
          <w:rFonts w:ascii="Barlow Semi Condensed" w:cs="Barlow Semi Condensed" w:eastAsia="Barlow Semi Condensed" w:hAnsi="Barlow Semi Condensed"/>
          <w:sz w:val="24"/>
          <w:szCs w:val="24"/>
        </w:rPr>
        <w:t xml:space="preserve">Il secondo pilastro è la vicenda finanziaria dell'ultimo Calvi, che salda il nodo al quadrilatero della Fase 1. Pazienza operò, nel periodo della sua collaborazione con il SISMI, quale intermediario in vicende finanziarie internazionali che lambirono il gruppo Ambrosiano e l'entourage di Roberto Calvi nella fase terminale della sua parabola. Il registro certifica al Livello B, sul fondamento delle ricostruzioni documentali convergenti emerse nei procedimenti, il coinvolgimento di Pazienza in operazioni finanziarie connesse all'ambiente di Calvi, e mantiene al Livello C ogni qualificazione che ecceda il fatto dell'intermediazione documentata. L'interesse strutturale del dato è nell'aver mostrato come la figura del faccendiere del servizio operasse simultaneamente sul terreno del depistaggio delle stragi e su quello degli affari finanziari internazionali, saldando in una sola persona l'arco di ostruzione con il Dominio 7 e l'arco affaristico con il Dominio 6, secondo il modello del nodo di contaminazione trasversale.</w:t>
      </w:r>
    </w:p>
    <w:p>
      <w:pPr>
        <w:spacing w:after="120" w:line="276"/>
        <w:jc w:val="both"/>
      </w:pPr>
      <w:r>
        <w:rPr>
          <w:rFonts w:ascii="Barlow Semi Condensed" w:cs="Barlow Semi Condensed" w:eastAsia="Barlow Semi Condensed" w:hAnsi="Barlow Semi Condensed"/>
          <w:sz w:val="24"/>
          <w:szCs w:val="24"/>
        </w:rPr>
        <w:t xml:space="preserve">Il terzo pilastro è il coinvolgimento nella vicenda del sequestro di Ciro Cirillo, che salda il nodo del faccendiere al Dominio 1 della criminalità organizzata e ne fa il punto di convergenza più esteso della fase. Il 27 aprile 1981 le Brigate Rosse sequestrarono a Napoli Ciro Cirillo, esponente della Democrazia Cristiana e assessore regionale ai lavori pubblici della Campania, in un'azione nella quale furono uccisi 2 uomini della scorta e ferito un terzo. Per la liberazione dell'ostaggio, ottenuta il 24 luglio 1981 dietro pagamento di un riscatto, si sviluppò, secondo le ricostruzioni degli inquirenti e delle commissioni, una trattativa che avrebbe coinvolto ambienti della camorra, e segnatamente la Nuova Camorra Organizzata di Raffaele Cutolo, allora detenuto, quale mediatore verso i sequestratori, con il concorso di settori degli apparati e della politica interessati alla liberazione dell'ostaggio. Il registro procede qui con la massima disciplina, giacché la vicenda è tra le più controverse e meno integralmente accertate dell'intera stagione. Certifica al Livello A i fatti oggettivi del sequestro, dell'uccisione degli uomini della scorta e della liberazione dietro riscatto, quali risultanze incontrovertibili; certifica al Livello B, sul fondamento delle ricostruzioni convergenti delle commissioni e di una pluralità di procedimenti, l'esistenza di una trattativa per la liberazione che coinvolse la mediazione camorristica di Cutolo; e mantiene rigorosamente al Livello C l'individuazione nominativa dei singoli mediatori degli apparati e la ricostruzione delle rispettive responsabilità, ove non consacrata da accertamento definitivo. L'interesse strutturale del caso Cirillo per il registro è massimo, giacché esso costituisce il punto in cui convergono, in un solo evento, il Dominio 7 dei sequestratori, il Dominio 1 della camorra mediatrice, il Dominio 3 degli apparati coinvolti nella trattativa, e il Dominio 2 della politica interessata alla liberazione: è la convergenza multidominio nella sua forma più estesa, e la collocazione del faccendiere Pazienza nell'orbita del servizio che di quella trattativa fu parte ne fa il nodo esemplare dell'intreccio. Il registro ribadisce, anche qui, il limite: la certificazione dell'esistenza della trattativa non equivale alla certificazione nominativa dei ruoli, e la disciplina delle persone impone di attestarsi sui fatti oggettivi e sull'esistenza della mediazione, senza estendere a Livello A ciò che gli accertamenti hanno lasciato al grado dell'ipotesi o dell'indizio.</w:t>
      </w:r>
    </w:p>
    <w:p>
      <w:pPr>
        <w:spacing w:after="120" w:line="276"/>
        <w:jc w:val="both"/>
      </w:pPr>
      <w:r>
        <w:rPr>
          <w:rFonts w:ascii="Barlow Semi Condensed" w:cs="Barlow Semi Condensed" w:eastAsia="Barlow Semi Condensed" w:hAnsi="Barlow Semi Condensed"/>
          <w:sz w:val="24"/>
          <w:szCs w:val="24"/>
        </w:rPr>
        <w:t xml:space="preserve">Il quarto pilastro è la vicenda giudiziaria complessiva e la latitanza internazionale. Divenuta insostenibile la sua posizione, Pazienza riparò all'estero e fu successivamente raggiunto da provvedimento di estradizione dagli Stati Uniti, che lo riconsegnò alla giustizia italiana nella seconda metà degli anni Ottanta. Il registro certifica al Livello A il fatto della latitanza e della successiva estradizione, e ne trae l'annotazione, ricorrente nella fase, sulla migrazione tra giurisdizioni quale tecnica di sottrazione all'accertamento, già osservata nel caso Maletti; con la differenza che, nel caso Pazienza, la giurisdizione di rifugio operò infine la riconsegna, sicché il nodo documenta anche il funzionamento, sia pure tardivo, dei meccanismi di cooperazione giudiziaria internazionale.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Pazienza-SISMI-Santovito, è il triangolo della collocazione presso il vertice del servizio, certificato al Livello A quanto alla collaborazione e saldante il nodo al capitolo 10. La seconda, Pazienza-Gelli-Musumeci-Belmonte, è il triangolo del depistaggio di Bologna, certificato al Livello A dal giudicato. La terza, Pazienza-ambiente Calvi-operazioni finanziarie, è il triangolo dell'intermediazione affaristica, certificato al Livello B. Sul piano dei pattern, il nodo è il caso paradigmatico del Pattern 1 nella sua accezione relativa alla betweenness, giacché Pazienza è il broker per eccellenza, il nodo che connette parti disconnesse della rete controllando il flusso tra esse, e la cui rilevanza deriva interamente dalla posizione di intermediazione e non da alcuna titolarità formale; e attiva il Pattern 7 nella sua variante geografica, la migrazione tra giurisdizioni.</w:t>
      </w:r>
    </w:p>
    <w:p>
      <w:pPr>
        <w:spacing w:after="120" w:line="276"/>
        <w:jc w:val="both"/>
      </w:pPr>
      <w:r>
        <w:rPr>
          <w:rFonts w:ascii="Barlow Semi Condensed" w:cs="Barlow Semi Condensed" w:eastAsia="Barlow Semi Condensed" w:hAnsi="Barlow Semi Condensed"/>
          <w:sz w:val="24"/>
          <w:szCs w:val="24"/>
        </w:rPr>
        <w:t xml:space="preserve">Alla contabilità del faccendiere appartiene un'operazione transatlantica che il registro censisce per il suo valore morfologico: la vicenda nota come Billygate. Nell'estate del 1980, nel pieno della campagna presidenziale americana, la stampa statunitense ricevette e pubblicò materiale informativo sui rapporti d'affari tra Billy Carter, fratello del presidente in carica, e la Libia di Gheddafi, con effetti politicamente corrosivi sull'amministrazione democratica; le ricostruzioni parlamentari e giudiziarie italiane collocarono nella filiera di quell'operazione l'attivismo di Pazienza e di ambienti del SISMI di Santovito, quale canale di raccolta e di trasferimento oltreoceano del materiale, Livello B quanto alla filiera, fondata su convergenze dichiarative e documentali non consacrate da giudicato, Livello C quanto ad ogni valutazione degli effetti elettorali. Il reperto vale al registro una certificazione di raggio: il medesimo nodo che depistava a Bologna e negoziava per Calvi operava, nello stesso torno di mesi, sul mercato informativo della politica interna americana, e questa simultaneità di teatri, documentata negli atti, misura l'estensione transatlantica raggiunta dal sistema faccendiere-servizio nella stagione della cattura piduista.</w:t>
      </w:r>
    </w:p>
    <w:p>
      <w:pPr>
        <w:spacing w:after="120" w:line="276"/>
        <w:jc w:val="both"/>
      </w:pPr>
      <w:r>
        <w:rPr>
          <w:rFonts w:ascii="Barlow Semi Condensed" w:cs="Barlow Semi Condensed" w:eastAsia="Barlow Semi Condensed" w:hAnsi="Barlow Semi Condensed"/>
          <w:sz w:val="24"/>
          <w:szCs w:val="24"/>
        </w:rPr>
        <w:t xml:space="preserve">La parabola giudiziaria personale si chiuse con la meccanica internazionale che le era propria: l'arresto a New York nel marzo 1985, la detenzione americana, l'estradizione in Italia nel 1986 e quindi il doppio binario degli esiti, la condanna irrevocabile del 1995 per il depistaggio bolognese, già certificata, accanto ad assoluzioni e proscioglimenti in altri filoni, che il registro richiama cumulativamente in ossequio alla propria disciplina della pari evidenza, Livello A quanto alla scansione estradizionale ed agli esiti. Resta al capitolo la considerazione strutturale che il nodo impone: Pazienza è, nell'intera fase, l'unico attore privo di qualsiasi titolarità formale, non ufficiale, non funzionario, non iscritto, eppure la sua betweenness misurata sugli archi certificati supera quella dei direttori che lo impiegarono. La deviazione matura, insegna il caso, non passa per la gerarchia ma per la sua interfaccia esterna: il collaboratore senza stato giuridico è il connettore ideale precisamente perché la sua posizione non lascia impronte ordinamentali, e quando il sistema deve negare, ha già pronta la formula, un millantatore che agiva da sé. Il registro, che delle formule diffida, si limita a consegnare il numero: 3 domini attraversati, 2 continenti, 1 condanna irrevocabile.</w:t>
      </w:r>
    </w:p>
    <w:p>
      <w:pPr>
        <w:spacing w:after="120" w:line="276"/>
        <w:jc w:val="both"/>
      </w:pPr>
      <w:r>
        <w:rPr>
          <w:rFonts w:ascii="Barlow Semi Condensed" w:cs="Barlow Semi Condensed" w:eastAsia="Barlow Semi Condensed" w:hAnsi="Barlow Semi Condensed"/>
          <w:sz w:val="24"/>
          <w:szCs w:val="24"/>
        </w:rPr>
        <w:t xml:space="preserve">La vicenda campana del 1981 va scandita nelle sue date, perché la sua eccezionalità sta tutta nella cronologia. Ciro Cirillo, assessore regionale democristiano, fu sequestrato dalle Brigate rosse il 27 aprile 1981, in piena emergenza post-terremoto, e liberato il 24 luglio successivo dietro pagamento di un riscatto: tra le 2 date gli accertamenti parlamentari e giudiziari documentarono una trattativa condotta con il concorso attivo della camorra di Raffaele Cutolo e con la presenza di uomini riconducibili ai servizi presso il carcere di Ascoli Piceno dove il boss era detenuto, secondo una meccanica che la Commissione d'inchiesta ricostruì negli anni successivi con esiti di accertamento severi sul piano storico-politico, mentre il versante penale si consumò tra prescrizioni ed esiti parziali, Livello A quanto alla sequenza, al pagamento ed alle presenze documentate, nei limiti delle rispettive fonti, Livello C quanto alle finalità ulteriori attribuite ai singoli attori. Il registro isola il contrasto che fa del caso un reperto capitale: 3 anni dopo il rifiuto opposto ad ogni trattativa per la vita del presidente della Democrazia cristiana, apparati ed ambienti dello stesso sistema trattarono, pagarono ed ottennero per la vita di un assessore regionale, e la forbice tra le 2 condotte, qualunque ne sia la spiegazione, è certificata dalla semplice giustapposizione delle cronologie. La Fase 4 erediterà questo metro di paragone quale strumento di misura della condotta dello Stato nei 55 giorni: non per inferirne tesi, ma per disporre di un termine di confronto documentato, che è la sola forma di comparazione che il metodo ammette.</w:t>
      </w:r>
    </w:p>
    <w:p>
      <w:pPr>
        <w:spacing w:after="120" w:line="276"/>
        <w:jc w:val="both"/>
      </w:pPr>
      <w:r>
        <w:rPr>
          <w:rFonts w:ascii="Barlow Semi Condensed" w:cs="Barlow Semi Condensed" w:eastAsia="Barlow Semi Condensed" w:hAnsi="Barlow Semi Condensed"/>
          <w:sz w:val="24"/>
          <w:szCs w:val="24"/>
        </w:rPr>
        <w:t xml:space="preserve">Alla voce delle fonti va aggiunta, per completezza d'inventario, la produzione memorialistica del protagonista, che negli anni successivi alla vicenda giudiziaria consegnò alle stampe ricostruzioni autobiografiche delle proprie stagioni operative: materiale che il registro classifica, secondo la sua costante disciplina, quale fonte di parte non riscontrata, utile alla mappa delle relazioni rivendicate e inutilizzabile per la certificazione dei fatti, Livello C, con l'annotazione metodologica che il faccendiere memorialista costituisce, per l'analista, un oggetto epistemologicamente insidioso quanto il pentito mediatico censito nella Fase 1: entrambi convertono il proprio passato in capitale narrativo, ed il valore di scambio del racconto cresce con la sua irrefutabilità, sicché la regola aurea resta quella che il registro applica dal primo capitolo, nessuna promozione di livello senza riscontro esterno, quale che sia la vividezza del narratore.</w:t>
      </w:r>
    </w:p>
    <w:p>
      <w:pPr>
        <w:spacing w:after="120" w:line="276"/>
        <w:jc w:val="both"/>
      </w:pPr>
      <w:r>
        <w:rPr>
          <w:rFonts w:ascii="Barlow Semi Condensed" w:cs="Barlow Semi Condensed" w:eastAsia="Barlow Semi Condensed" w:hAnsi="Barlow Semi Condensed"/>
          <w:sz w:val="24"/>
          <w:szCs w:val="24"/>
        </w:rPr>
        <w:t xml:space="preserve">Alla genesi del rapporto tra il faccendiere ed il servizio appartiene un dettaglio documentale che vale una definizione: l'accreditamento. Gli atti censiscono che la collaborazione di Pazienza fu assistita da credenziali e presentazioni provenienti dal vertice del servizio, che ne spianarono l'accesso alle stazioni estere ed agli interlocutori istituzionali ed alleati, senza che a tale accreditamento corrispondesse alcun inquadramento formale, alcun fascicolo personale ordinario, alcuna traccia contabile riconducibile ai circuiti ufficiali, Livello A quanto alla collaborazione accreditata ed alla sua informalità, secondo gli accertamenti parlamentari e giudiziari. Il registro isola nel meccanismo la sua definizione operativa della contaminazione: non l'ingresso abusivo di un estraneo, ma l'estensione deliberata delle prerogative dell'apparato ad un soggetto sottratto ad ogni suo vincolo, il potere senza lo stato giuridico, l'accesso senza la responsabilità. La riforma del 1977 aveva tipizzato gli organi ed era muta sui collaboratori: ed in quel silenzio normativo, che nessuna legge della Repubblica avrebbe colmato per decenni, il sistema faccendiere trovò il proprio habitat, dimostrando che ogni architettura istituzionale possiede, accanto alle porte che chiude, i corridoi che dimentica.</w:t>
      </w:r>
    </w:p>
    <w:p>
      <w:pPr>
        <w:spacing w:after="120" w:line="276"/>
        <w:jc w:val="both"/>
      </w:pPr>
      <w:r>
        <w:rPr>
          <w:rFonts w:ascii="Barlow Semi Condensed" w:cs="Barlow Semi Condensed" w:eastAsia="Barlow Semi Condensed" w:hAnsi="Barlow Semi Condensed"/>
          <w:sz w:val="24"/>
          <w:szCs w:val="24"/>
        </w:rPr>
        <w:t xml:space="preserve">Il censimento degli apparati raggiunti dalla loggia si completa con il corpo che ne subì la penetrazione di vertice più duratura, ed il registro lo riporta con i suoi esiti: il comandante generale della Guardia di Finanza degli anni 1974-1978, generale Raffaele Giudice, figura negli elenchi sequestrati della loggia coperta, e la sua gestione fu travolta dallo scandalo dei petroli, la colossale frode fiscale sui prodotti petroliferi coperta da segmenti del corpo, per la quale il generale riportò condanne definitive, Livello A quanto all'iscrizione risultante dagli elenchi acquisiti ed agli esiti giudiziari della vicenda petroli. Il registro fissa la specificità del caso nella serie: a differenza dei vertici dell'intelligence censiti, per i quali l'iscrizione si accompagnò a vicende giudiziarie dagli esiti divergenti, qui la parabola si chiuse con la condanna irrevocabile del vertice di un corpo militare dello Stato per fatti di criminalità economica consumati durante il comando, ed il caso salda perciò, in una sola biografia, i 2 volti della loggia che l'opera documenta in fasi distinte, quello della penetrazione degli apparati censito in questa fase e quello della predazione economica censito nella prima, dimostrando che le 2 funzioni, il controllo delle istituzioni ed il saccheggio delle risorse, non erano programmi separati ma facce della medesima occupazione.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Pazienza è certificato al Livello A quale faccendiere del SISMI condannato in via definitiva per il depistaggio della strage di Bologna, unitamente a Gelli e agli ufficiali Musumeci e Belmonte, e costituisce il caso esemplare del nodo di contaminazione trasversale, privo di titolarità formale e operante all'intersezione dei Domini 3, 4, 6 e 7; il coinvolgimento nelle operazioni finanziarie connesse all'ambiente di Calvi è certificato al Livello B; la sua collocazione presso il servizio coinvolto nella trattativa per la liberazione dell'ostaggio nel caso Cirillo salda il nodo al Dominio 1 della camorra mediatrice e al Dominio 2, con i fatti oggettivi del sequestro certificati al Livello A, l'esistenza della mediazione camorristica al Livello B e i ruoli nominativi degli apparati al Livello C; la latitanza e la successiva estradizione dagli Stati Uniti sono certificate al Livello A e documentano tanto la tecnica della migrazione tra giurisdizioni quanto il tardivo funzionamento della cooperazione giudiziaria internazionale.</w:t>
      </w:r>
    </w:p>
    <w:p>
      <w:pPr>
        <w:pStyle w:val="Heading3"/>
        <w:spacing w:after="80" w:before="160"/>
      </w:pPr>
      <w:r>
        <w:rPr>
          <w:rFonts w:ascii="Barlow Semi Condensed" w:cs="Barlow Semi Condensed" w:eastAsia="Barlow Semi Condensed" w:hAnsi="Barlow Semi Condensed"/>
          <w:sz w:val="24"/>
          <w:szCs w:val="24"/>
        </w:rPr>
        <w:t xml:space="preserve">Capitolo 10 — ▶ Giuseppe Santovito e la cattura piduista dei servizi. La chiusura del cerchio</w:t>
      </w:r>
    </w:p>
    <w:p>
      <w:pPr>
        <w:spacing w:after="120" w:line="276"/>
        <w:jc w:val="both"/>
      </w:pPr>
      <w:r>
        <w:rPr>
          <w:rFonts w:ascii="Barlow Semi Condensed" w:cs="Barlow Semi Condensed" w:eastAsia="Barlow Semi Condensed" w:hAnsi="Barlow Semi Condensed"/>
          <w:sz w:val="24"/>
          <w:szCs w:val="24"/>
        </w:rPr>
        <w:t xml:space="preserve">Giuseppe Santovito, nato a Gioia del Colle il 3 aprile 1918 e morto a Roma nel 1984, generale, direttore del Servizio informazioni e sicurezza militare dal 1978 al 1981, è il nodo che chiude la Fase 2 perché in esso si compie e si certifica il fenomeno che salda l'intero secondo cerchio al primo: la cattura del vertice dei servizi segreti della Repubblica da parte della loggia coperta P2 di Licio Gelli. La scansione del corpus registra il nome di Santovito 153 volte in 23 documenti. Il nodo non è scelto per la sua rilevanza individuale, che pure è massima quale direttore del servizio militare nel triennio cruciale del sequestro Moro e della strage di Bologna, ma per la sua funzione di sintesi: attraverso Santovito e i suoi omologhi civili, il registro certifica che nel triennio 1978-1981 i responsabili apicali dell'intelligence italiana appartenevano simultaneamente alla loggia di Gelli, chiudendo così il cerchio che la Fase 1 aveva aperto dal lato del Venerabile e che la Fase 2 ha percorso dal lato degli apparati.</w:t>
      </w:r>
    </w:p>
    <w:p>
      <w:pPr>
        <w:spacing w:after="120" w:line="276"/>
        <w:jc w:val="both"/>
      </w:pPr>
      <w:r>
        <w:rPr>
          <w:rFonts w:ascii="Barlow Semi Condensed" w:cs="Barlow Semi Condensed" w:eastAsia="Barlow Semi Condensed" w:hAnsi="Barlow Semi Condensed"/>
          <w:sz w:val="24"/>
          <w:szCs w:val="24"/>
        </w:rPr>
        <w:t xml:space="preserve">La biografia istituzionale colloca Santovito al vertice del SISMI, il servizio segreto militare riformato dalla legge del 1977, nel triennio che va dal 1978 al 1981, ossia nel periodo che comprende il sequestro e l'omicidio di Aldo Moro, oggetto della Fase 4, e la strage di Bologna del 2 agosto 1980, oggetto della Fase 3. Il registro certifica al Livello A, sul fondamento degli atti ufficiali, la carica di Santovito e la sua collocazione temporale, e annota il dato che ne fa un nodo di sintesi: il direttore del servizio militare, nel triennio dei 2 eventi più gravi della storia repubblicana dopo il caso SIFAR, era affiliato alla loggia P2, e presso il suo servizio operava, quale collaboratore esterno, il faccendiere Pazienza del capitolo precedente, e vi prestavano servizio gli ufficiali Musumeci e Belmonte, anch'essi condannati per il depistaggio di Bologna e appartenenti all'orbita piduista.</w:t>
      </w:r>
    </w:p>
    <w:p>
      <w:pPr>
        <w:spacing w:after="120" w:line="276"/>
        <w:jc w:val="both"/>
      </w:pPr>
      <w:r>
        <w:rPr>
          <w:rFonts w:ascii="Barlow Semi Condensed" w:cs="Barlow Semi Condensed" w:eastAsia="Barlow Semi Condensed" w:hAnsi="Barlow Semi Condensed"/>
          <w:sz w:val="24"/>
          <w:szCs w:val="24"/>
        </w:rPr>
        <w:t xml:space="preserve">Il primo pilastro probatorio è l'affiliazione dei vertici dei servizi alla loggia P2, certificata al Livello A dalle liste sequestrate a Castiglion Fibocchi il 17 marzo 1981 e dagli accertamenti della Commissione parlamentare d'inchiesta presieduta da Tina Anselmi. Le liste e gli accertamenti documentano che, all'epoca della loro scoperta, appartenevano alla loggia Propaganda 2 il direttore del SISMI, il servizio militare, nella persona di Giuseppe Santovito; il direttore del SISDE, il servizio civile, nella persona del generale Giulio Grassini; e il responsabile del CESIS, l'organismo di coordinamento, nella persona del prefetto Walter Pelosi; oltre a numerosi altri ufficiali e funzionari degli apparati, tra cui il generale Vito Miceli, già direttore del SID, di cui il capitolo 2 ha detto. Il registro certifica al Livello A questo insieme di affiliazioni, e ne trae la certificazione del fatto capitale della fase: nel triennio 1978-1981, i responsabili apicali dei 3 organismi in cui si articolava l'intelligence italiana, il servizio militare, il servizio civile e l'organismo di coordinamento, appartenevano simultaneamente a una medesima loggia coperta, il cui Venerabile Maestro intratteneva i rapporti con la finanza, il Vaticano e gli ambienti internazionali che la Fase 1 ha documentato. Questo è, nella sistematica del registro, l'arco Dominio 3-Dominio 4 a certificazione piena e nella sua massima estensione: non l'affiliazione di un singolo ufficiale, ma la cattura contestuale dell'intero vertice informativo dello Stato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secondo pilastro è la portata sistemica di tale cattura e i suoi limiti probatori. Il registro procede qui con la massima disciplina, giacché è precisamente su questo punto che la suggestione è più forte e il salto inferenziale più tentante. La certificazione dell'affiliazione simultanea dei vertici dei servizi alla loggia P2 è, ripetesi, di Livello A; ma da tale affiliazione non discende, automaticamente e senza ulteriore prova, che ogni atto dei servizi in quel triennio, e segnatamente le condotte relative al sequestro Moro e alla strage di Bologna, sia stato compiuto in esecuzione di un disegno unitario della loggia. La Regola Ferrea impone di distinguere l'appartenenza, che è certificata, dall'imputazione alla loggia di specifici atti dei servizi, che richiede prova specifica. Ove tale prova specifica sussista, come nel caso del depistaggio di Bologna, per il quale gli ufficiali del SISMI Musumeci e Belmonte furono condannati unitamente a Gelli, l'arco tra l'appartenenza piduista e la condotta di ostruzione è certificato al Livello A; ove tale prova specifica non sussista, l'imputazione alla loggia dell'atto resta al Livello C, quand'anche l'atto sia stato compiuto da soggetti affiliati. La distinzione tra la certificazione dell'appartenenza e la certificazione dell'imputazione del singolo atto è la sostanza del metodo, e la sua osservanza è ciò che separa la ricostruzione del registro dalla vulgata che, dalla appartenenza dei vertici alla loggia, inferisce senz'altro la responsabilità della loggia in ogni vicenda del triennio.</w:t>
      </w:r>
    </w:p>
    <w:p>
      <w:pPr>
        <w:spacing w:after="120" w:line="276"/>
        <w:jc w:val="both"/>
      </w:pPr>
      <w:r>
        <w:rPr>
          <w:rFonts w:ascii="Barlow Semi Condensed" w:cs="Barlow Semi Condensed" w:eastAsia="Barlow Semi Condensed" w:hAnsi="Barlow Semi Condensed"/>
          <w:sz w:val="24"/>
          <w:szCs w:val="24"/>
        </w:rPr>
        <w:t xml:space="preserve">Il terzo pilastro è la funzione di chiusura del cerchio, che giustifica la collocazione del nodo a sigillo della fase. Il registro riprende qui il filo aperto nella Fase 1. Il capitolo 1 della Fase 1 aveva certificato l'affiliazione alla P2 dei vertici dei servizi dal lato di Gelli, elencando tra gli iscritti i generali Santovito e Grassini e il prefetto Pelosi; il capitolo 10 della Fase 2 certifica il medesimo fatto dal lato degli apparati, mostrando che i responsabili dell'intelligence appartenevano alla loggia. I 2 accertamenti, provenienti da lati opposti del medesimo arco, convergono e si rafforzano reciprocamente, secondo il principio della consilienza che governa lo standard probatorio del registro: l'arco Dominio 3-Dominio 4 è certificato al Livello A tanto dal versante della loggia quanto dal versante del servizio, e la sua certificazione bilaterale è la prova più solida dell'intera architettura. La Fase 2 si chiude dunque nel punto esatto in cui si era aperta la Fase 1, e il secondo cerchio si salda al primo: la deviazione degli apparati, che la fase ha ricostruito nei suoi episodi giudizialmente accertati, dal Piano Solo ai depistaggi delle stragi, trova nella cattura piduista del vertice informativo la sua cornice relazionale, ferma restando la disciplina che vieta di inferire dalla cornice la responsabilità della loggia in ogni singolo atto.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Santovito-Grassini-Pelosi, è il triangolo della cattura contestuale dei 3 organismi informativi, certificato al Livello A dalle liste e dagli accertamenti Anselmi. La seconda, Santovito-Gelli-P2, è il triangolo dell'affiliazione del direttore del servizio militare alla loggia, certificato al Livello A e convergente con l'accertamento del lato Gelli della Fase 1. La terza, Santovito-Pazienza-Musumeci-Belmonte, è il triangolo del servizio militare quale sede operativa del depistaggio di Bologna, certificato al Livello A quanto alle condanne dei suoi membri e recante l'arco tra l'appartenenza piduista e la condotta di ostruzione, unico segmento per il quale la prova specifica consente l'imputazione. Sul piano dei pattern, il nodo attiva il Pattern 2, l'analisi delle comunità, giacché l'insieme dei vertici dei servizi affiliati alla loggia costituisce una comunità trasversale ai domini formali, un cluster funzionale che opera attraverso i confini istituzionali e la cui identificazione è il risultato più netto dell'intera fase; e attiva il Pattern 1, l'analisi dei nodi centrali, giacché la loggia, attraverso la cattura del vertice informativo, acquisì una centralità nella rete complessiva che nessuna struttura formale le attribuiva.</w:t>
      </w:r>
    </w:p>
    <w:p>
      <w:pPr>
        <w:spacing w:after="120" w:line="276"/>
        <w:jc w:val="both"/>
      </w:pPr>
      <w:r>
        <w:rPr>
          <w:rFonts w:ascii="Barlow Semi Condensed" w:cs="Barlow Semi Condensed" w:eastAsia="Barlow Semi Condensed" w:hAnsi="Barlow Semi Condensed"/>
          <w:sz w:val="24"/>
          <w:szCs w:val="24"/>
        </w:rPr>
        <w:t xml:space="preserve">La biografia del direttore va completata con la sua chiusura amministrativa, che è il vero epilogo del capitolo. Travolto dall'emersione delle liste, Santovito lasciò la direzione del servizio nell'agosto 1981, a pochi mesi dal sequestro di Castiglion Fibocchi, e morì nel 1984 senza che la sua posizione personale fosse approdata ad alcun giudicato definitivo, sicché il registro ne censisce l'affiliazione quale fatto documentale e sospende, come il metodo impone, ogni qualificazione ulteriore, Livello A quanto alla scansione. Ciò che seguì alla sua uscita vale però quale prova amministrativa di ciò che i processi non poterono misurare: la nuova direzione affidata al generale Ninetto Lugaresi avviò una bonifica interna fatta di avvicendamenti, trasferimenti e chiusure di strutture anomale, tra le quali il cosiddetto Super SISMI degli uffici paralleli di Musumeci, e l'ampiezza stessa della bonifica, documentata negli atti parlamentari, certifica per via indiretta l'estensione della contaminazione che la rimozione dei vertici piduisti intendeva sanare, Livello A quanto ai provvedimenti di riorganizzazione.</w:t>
      </w:r>
    </w:p>
    <w:p>
      <w:pPr>
        <w:spacing w:after="120" w:line="276"/>
        <w:jc w:val="both"/>
      </w:pPr>
      <w:r>
        <w:rPr>
          <w:rFonts w:ascii="Barlow Semi Condensed" w:cs="Barlow Semi Condensed" w:eastAsia="Barlow Semi Condensed" w:hAnsi="Barlow Semi Condensed"/>
          <w:sz w:val="24"/>
          <w:szCs w:val="24"/>
        </w:rPr>
        <w:t xml:space="preserve">Chiude il capitolo, ed insieme la fase, la lettura temporale che il Pattern 3 esige e che il registro consegna nella sua forma più disciplinata. Il triennio della direzione Santovito, 1978-1981, coincide con la finestra che contiene il sequestro Moro e la sua gestione, la strage di Bologna ed il suo depistaggio, l'apogeo e la caduta della loggia: 3 eventi capitali della storia repubblicana consumati mentre i vertici contestuali dei 3 organismi informativi risultavano iscritti alla medesima associazione segreta. Il registro dichiara il dato per ciò che è, una coincidenza temporale di densità massima, certificata al Livello A in ciascuno dei suoi elementi costitutivi, e dichiara con eguale nettezza ciò che il dato non è: la prova di una regia unitaria degli eventi contenuti nella finestra, che nessun giudicato ha accertato e che la Regola Ferrea vieta di inferire dalla sola sovrapposizione cronologica. Tra il dato e l'inferenza corre il confine che separa questo registro dalla pubblicistica che pretende di sostituirlo: la finestra 1978-1981 resta consegnata alle fasi successive quale campo di massima attenzione istruttoria, non quale teorema dimostrato, e la Fase 4, che di quella finestra abiterà il centro esatto, erediterà l'obbligo di percorrerla con la lanterna dei giudicati e non con la torcia delle suggestioni.</w:t>
      </w:r>
    </w:p>
    <w:p>
      <w:pPr>
        <w:spacing w:after="120" w:line="276"/>
        <w:jc w:val="both"/>
      </w:pPr>
      <w:r>
        <w:rPr>
          <w:rFonts w:ascii="Barlow Semi Condensed" w:cs="Barlow Semi Condensed" w:eastAsia="Barlow Semi Condensed" w:hAnsi="Barlow Semi Condensed"/>
          <w:sz w:val="24"/>
          <w:szCs w:val="24"/>
        </w:rPr>
        <w:t xml:space="preserve">La cattura contestuale va completata con i profili degli altri 2 vertici, che il registro censisce nella loro nudità documentale. Giulio Grassini, generale dei carabinieri, direttore del SISDE dalla sua istituzione, e Walter Pelosi, prefetto, segretario generale del CESIS, figurano entrambi negli elenchi di Castiglion Fibocchi accanto a Santovito, e entrambi lasciarono gli incarichi nella stagione immediatamente successiva all'emersione delle liste, nell'ambito del ricambio generale dei vertici della sicurezza deliberato dal governo, Livello A quanto alle affiliazioni documentate ed agli avvicendamenti. Nessuno dei 3 direttori riportò condanne per la mera appartenenza, che la legge del 1982 avrebbe reso perseguibile solo per l'avvenire, e questa impunità tecnica, che il registro annota senza enfasi, illumina il vero punto di vulnerabilità che il capitolo consegna alla riflessione istituzionale: il meccanismo fiduciario delle nomine. I 3 uomini non si infiltrarono, furono nominati, ciascuno all'esito delle ordinarie procedure governative, e la loggia non dovette forzare alcuna porta perché le porte, nel sistema delle designazioni fiduciarie prive di vaglio esterno, si aprivano dall'interno. La riforma del 1977 aveva costruito il controllo parlamentare sull'attività dei servizi, non sulla selezione dei loro capi: e in quello scarto, tra l'atto controllato ed il nominante incontrollato, la fase individua la falla sistemica che rese possibile, senza violare una sola norma, la cattura simultanea dei 3 organismi. È la conclusione più sobria e più grave dell'intero secondo cerchio: la deviazione matura non delinque, nomina.</w:t>
      </w:r>
    </w:p>
    <w:p>
      <w:pPr>
        <w:spacing w:after="120" w:line="276"/>
        <w:jc w:val="both"/>
      </w:pPr>
      <w:r>
        <w:rPr>
          <w:rFonts w:ascii="Barlow Semi Condensed" w:cs="Barlow Semi Condensed" w:eastAsia="Barlow Semi Condensed" w:hAnsi="Barlow Semi Condensed"/>
          <w:sz w:val="24"/>
          <w:szCs w:val="24"/>
        </w:rPr>
        <w:t xml:space="preserve">La posizione personale del direttore si chiuse per via anagrafica: i procedimenti che lo riguardavano furono definiti con lo stralcio per morte del reo nel 1984, sicché sul nodo Santovito, come su Sindona, il giudizio storico non dispone di un giudicato individuale pieno e deve accontentarsi della certificazione documentale dell'appartenenza e degli atti di gestione, Livello A quanto allo stralcio. Il contesto della sua uscita merita l'ultima annotazione della fase: l'emersione delle liste travolse il governo in carica ed aprì la strada, nel giugno 1981, al primo esecutivo della storia repubblicana non presieduto da un democristiano, il governo di Giovanni Spadolini, che della ricostituzione della fiducia negli apparati fece programma dichiarato, procedendo al ricambio dei vertici che il capitolo ha censito, Livello A quanto alla scansione politico-istituzionale. Che la più grave crisi degli apparati di sicurezza della storia repubblicana si sia risolta non in una riforma strutturale ma in un avvicendamento di uomini, per quanto ampio, è il bilancio con cui la Fase 2 si congeda: il sistema sostituì i catturati senza modificare il meccanismo della cattura, e la falla delle nomine fiduciarie, diagnosticata ma non sanata, restò consegnata ai decenni successivi quale variabile permanente, silenziosamente operante, di ogni futura stagione di condizionamento.</w:t>
      </w:r>
    </w:p>
    <w:p>
      <w:pPr>
        <w:spacing w:after="120" w:line="276"/>
        <w:jc w:val="both"/>
      </w:pPr>
      <w:r>
        <w:rPr>
          <w:rFonts w:ascii="Barlow Semi Condensed" w:cs="Barlow Semi Condensed" w:eastAsia="Barlow Semi Condensed" w:hAnsi="Barlow Semi Condensed"/>
          <w:sz w:val="24"/>
          <w:szCs w:val="24"/>
        </w:rPr>
        <w:t xml:space="preserve">La stagione censita da questa fase produsse infine la sua legge, che il registro censisce quale atto di chiusura ordinamentale dell'intero ciclo: la legge 24 ottobre 1977 numero 801 soppresse il SID, istituì la tripartizione tra i 2 servizi ed il comitato esecutivo di coordinamento, sottopose per la prima volta l'intero sistema alla responsabilità politica del presidente del Consiglio, creò il comitato parlamentare di controllo e, soprattutto, trasferì il segreto di Stato dal terreno della prassi amministrativa a quello della legge, definendone l'oggetto, il titolare e, con la clausola destinata alla più lunga vita dell'ordinamento, l'inopponibilità sui fatti eversivi dell'ordine costituzionale, Livello A quanto ai contenuti della riforma. Il registro consegna la legge alla sua genealogia: ogni sua clausola è la fotografia in negativo di un episodio censito da questa fase, la soppressione del servizio risponde al servizio processato, la responsabilità del premier risponde alle catene di comando opache delle notti censite, il controllo parlamentare risponde alle commissioni che avevano dovuto inseguire gli apparati per anni, e la clausola sull'eversione, scritta nel 1977 mentre le istruttorie sulle stragi sbattevano contro il segreto, è la confessione legislativa più esplicita che la Repubblica abbia mai reso sul proprio decennio: uno Stato non scrive nella legge che il segreto non può coprire l'eversione, se il segreto non ha mai coperto l'eversione, e la data di quella clausola, prima ancora del suo contenuto, è il giudizio storico che questa fase consegna alle successive.</w:t>
      </w:r>
    </w:p>
    <w:p>
      <w:pPr>
        <w:spacing w:after="120" w:line="276"/>
        <w:jc w:val="both"/>
      </w:pPr>
      <w:r>
        <w:rPr>
          <w:rFonts w:ascii="Barlow Semi Condensed" w:cs="Barlow Semi Condensed" w:eastAsia="Barlow Semi Condensed" w:hAnsi="Barlow Semi Condensed"/>
          <w:sz w:val="24"/>
          <w:szCs w:val="24"/>
        </w:rPr>
        <w:t xml:space="preserve">Il decennio giudiziario dell'eversione istituzionale esige il suo bilancio statistico unitario, che il registro formula aggregando gli esiti censiti nei capitoli: dei grandi procedimenti istruiti tra il 1974 ed il 1984 sui fatti di questa fase, il piano del 1964, la trama del 1970, la struttura del 1973, il progetto del 1974, nessuno si concluse con condanne definitive dei vertici per i reati di cospirazione od insurrezione originariamente contestati, dissolvendosi nella sequenza di amnistie, derubricazioni, proscioglimenti ed assoluzioni che i singoli capitoli hanno riportato per esteso, sicché il tasso di conversione tra istruttorie golpiste e condanne eversive definitive, nell'intero corpus della fase, è pari a zero, Livello A quanto agli esiti aggregati dai giudicati. Il registro consegna la statistica alla sua doppia lettura obbligata, che la disciplina vieta di gerarchizzare: la lettura garantista, per cui lo zero misura l'inconsistenza penale di trame più chiacchierate che armate, e la lettura strutturale, per cui lo zero misura l'incapacità sistemica di un ordinamento di processare apparati di sé stesso, con l'osservazione di metodo che il confronto internazionale della fase quinta renderà stringente: entrambe le letture spiegano lo zero, ma solo la seconda spiega anche perché lo zero italiano coesista con le condanne definitive per i depistaggi, poiché un Paese dove nessuno cospirò ma qualcuno fu condannato per avere coperto la cospirazione inesistente è un paradosso logico, mentre un Paese dove le cospirazioni evaporarono prima del giudizio grazie alle coperture poi punite è, semplicemente, il Paese che questa fase ha documentato.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Santovito è certificato al Livello A quale direttore del SISMI nel triennio 1978-1981 e quale affiliato alla loggia P2, e costituisce il nodo di sintesi attraverso il quale il registro certifica la cattura contestuale dell'intero vertice informativo dello Stato, i direttori del servizio militare, del servizio civile e dell'organismo di coordinamento, da parte della loggia di Gelli; l'arco Dominio 3-Dominio 4 è certificato al Livello A in modo bilaterale, dal versante della loggia nella Fase 1 e dal versante degli apparati nella Fase 2, secondo il principio della consilienza; l'imputazione alla loggia di specifici atti dei servizi resta al Livello C ove manchi la prova specifica, ed ascende al Livello A solo ove tale prova sussista, come nel depistaggio di Bologna, chiudendo così il cerchio che salda il secondo dominio al primo nel rispetto integrale della Regola Ferrea.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2</w:t>
      </w:r>
    </w:p>
    <w:p>
      <w:pPr>
        <w:spacing w:after="120" w:line="276"/>
        <w:jc w:val="both"/>
      </w:pPr>
      <w:r>
        <w:rPr>
          <w:rFonts w:ascii="Barlow Semi Condensed" w:cs="Barlow Semi Condensed" w:eastAsia="Barlow Semi Condensed" w:hAnsi="Barlow Semi Condensed"/>
          <w:sz w:val="24"/>
          <w:szCs w:val="24"/>
        </w:rPr>
        <w:t xml:space="preserve">Il registro adempie, anche per la Fase 2, all'obbligo di rendicontazione analitica, censendo in forma discorsiva tutti gli archi e le triangolazioni che i 10 capitoli hanno certificato, ciascuno con il proprio livello dichiarato. Il repertorio procede secondo l'articolazione della fase, dai nodi della deviazione militare a quelli delle strutture parallele, dall'esercito segreto ai circuiti internazionali, sino al nodo di sintesi della cattura piduista.</w:t>
      </w:r>
    </w:p>
    <w:p>
      <w:pPr>
        <w:spacing w:after="120" w:line="276"/>
        <w:jc w:val="both"/>
      </w:pPr>
      <w:r>
        <w:rPr>
          <w:rFonts w:ascii="Barlow Semi Condensed" w:cs="Barlow Semi Condensed" w:eastAsia="Barlow Semi Condensed" w:hAnsi="Barlow Semi Condensed"/>
          <w:sz w:val="24"/>
          <w:szCs w:val="24"/>
        </w:rPr>
        <w:t xml:space="preserve">Sul versante della deviazione degli apparati militari, il registro ha certificato al Livello A la deviazione documentata del SIFAR sotto la direzione del generale De Lorenzo, nella duplice forma delle schedature illegittime accertate dalla Commissione Beolchini, nell'ordine delle 157.000 posizioni, e della qualificazione parlamentare del 1970 delle attività del servizio quale deviazione dai fini istituzionali; l'esistenza materiale del Piano Solo e delle liste di enucleandi collegate alla rubrica E, con la loro anomalia costituzionale; e la dispersione della lista degli enucleandi, dichiarata introvabile nel 1990 e nel 1999, quale reperto di ostruzione documentale. Ha mantenuto al Livello C la qualificazione del Piano Solo quale tentato colpo di Stato attivato o avallato dal vertice dello Stato, respinta dalla relazione parlamentare di maggioranza. Ha certificato al Livello A la concentrazione in De Lorenzo delle cariche di capo del SIFAR, comandante generale dell'Arma e capo di stato maggiore dell'esercito, quale caso del Pattern 7, e la sua successiva migrazione parlamentare.</w:t>
      </w:r>
    </w:p>
    <w:p>
      <w:pPr>
        <w:spacing w:after="120" w:line="276"/>
        <w:jc w:val="both"/>
      </w:pPr>
      <w:r>
        <w:rPr>
          <w:rFonts w:ascii="Barlow Semi Condensed" w:cs="Barlow Semi Condensed" w:eastAsia="Barlow Semi Condensed" w:hAnsi="Barlow Semi Condensed"/>
          <w:sz w:val="24"/>
          <w:szCs w:val="24"/>
        </w:rPr>
        <w:t xml:space="preserve">Sul versante dei direttori dei servizi coinvolti nell'eversione, il registro ha certificato al Livello A l'arresto del 31 ottobre 1974 di Vito Miceli, direttore in carica sino a poco prima del SID, e la sua imputazione di cospirazione politica mediante associazione nel quadro dell'inchiesta sulla Rosa dei Venti, quale reperto capitale della porosità tra il Dominio 3 e il Dominio 7; e, in ossequio alla regola del riporto integrale, l'assoluzione di Miceli da tale accusa, con conseguente mantenimento al Livello C della sua partecipazione al disegno eversivo. Ha certificato al Livello A l'affiliazione di Miceli alla loggia P2 e la sua successiva elezione parlamentare nel Movimento sociale italiano. Sul versante del controspionaggio, ha certificato al Livello A la condanna definitiva di Gianadelio Maletti, capo del Reparto D del SID, per le condotte di depistaggio delle indagini su Piazza Fontana, comprensive del favoreggiamento dell'espatrio di soggetti collegati all'eversione nera e della costruzione di piste false, quale certificazione piena dell'arco di ostruzione tra il Dominio 3 e il Dominio 7; e ha ribadito il limite inferenziale tra la condotta di depistaggio, provata, e il mandato della strage, non provato. Ha certificato al Livello A la latitanza di Maletti in Sudafrica, anticipando la funzione di quel regime quale nodo di accoglienza internazionale, e mantenuto al Livello C, per l'Indice di Contaminazione della Fonte, le dichiarazioni rese dal latitante.</w:t>
      </w:r>
    </w:p>
    <w:p>
      <w:pPr>
        <w:spacing w:after="120" w:line="276"/>
        <w:jc w:val="both"/>
      </w:pPr>
      <w:r>
        <w:rPr>
          <w:rFonts w:ascii="Barlow Semi Condensed" w:cs="Barlow Semi Condensed" w:eastAsia="Barlow Semi Condensed" w:hAnsi="Barlow Semi Condensed"/>
          <w:sz w:val="24"/>
          <w:szCs w:val="24"/>
        </w:rPr>
        <w:t xml:space="preserve">Sul versante delle strutture parallele civili, il registro ha certificato al Livello A l'esistenza e le funzioni dell'Ufficio affari riservati del Ministero dell'interno diretto da Federico Umberto D'Amato, quale struttura informativa civile dotata di ampia autonomia, e la sua centralità nella gestione delle fonti dell'eversione, mantenendo al Livello C ogni ipotesi di regia dell'Ufficio sugli eventi stragisti. Ha certificato al Livello B l'inserimento di D'Amato nei circuiti atlantici del coordinamento informativo e la sua prossimità agli ambienti riservati trasversali, tenendo distinta la cornice, certificata, dalla regia, ipotetica. Ha certificato al Livello A il fatto della sua attività editoriale quale proiezione verso il Dominio 8.</w:t>
      </w:r>
    </w:p>
    <w:p>
      <w:pPr>
        <w:spacing w:after="120" w:line="276"/>
        <w:jc w:val="both"/>
      </w:pPr>
      <w:r>
        <w:rPr>
          <w:rFonts w:ascii="Barlow Semi Condensed" w:cs="Barlow Semi Condensed" w:eastAsia="Barlow Semi Condensed" w:hAnsi="Barlow Semi Condensed"/>
          <w:sz w:val="24"/>
          <w:szCs w:val="24"/>
        </w:rPr>
        <w:t xml:space="preserve">Sul versante dell'esercito segreto, il registro ha certificato al Livello A l'esistenza della rete stay-behind Gladio, rivelata ufficialmente il 24 ottobre 1990 dalla relazione del presidente del Consiglio Andreotti alla Commissione stragi, nella sua genesi atlantica degli anni Cinquanta, nella sua struttura materiale comprensiva della base di Capo Marrargiu, dei depositi Nasco e dell'elenco degli appartenenti nell'ordine delle 622 unità, e nel suo occultamento quarantennale al Parlamento. Ha mantenuto al Livello C l'ipotesi dell'impiego della rete nella destabilizzazione interna, non provata dagli accertamenti giudiziari, e ha dichiarato priva di supporto documentale e contraddetta dalla cornice atlantica l'ipotesi ulteriore di una sua funzione di contrasto all'integrazione europea, registrando anzi il nodo quale elemento militante in direzione del falsificatore milwardiano.</w:t>
      </w:r>
    </w:p>
    <w:p>
      <w:pPr>
        <w:spacing w:after="120" w:line="276"/>
        <w:jc w:val="both"/>
      </w:pPr>
      <w:r>
        <w:rPr>
          <w:rFonts w:ascii="Barlow Semi Condensed" w:cs="Barlow Semi Condensed" w:eastAsia="Barlow Semi Condensed" w:hAnsi="Barlow Semi Condensed"/>
          <w:sz w:val="24"/>
          <w:szCs w:val="24"/>
        </w:rPr>
        <w:t xml:space="preserve">Sul versante dell'eversione in accoppiamento con gli apparati, il registro ha certificato al Livello A l'esistenza materiale del tentativo golpista di Junio Valerio Borghese nella notte tra il 7 e l'8 dicembre 1970, la sua articolazione operativa e la sua interruzione, con esito giudiziario largamente assolutorio riportato per esteso, e con l'ipotesi sulla natura del contrordine mantenuta al Livello C; ha certificato al Livello A il ruolo di Borghese quale fondatore del Fronte Nazionale, riscontrato sin dall'informativa CIA del 14 novembre 1951; e ha certificato al Livello B la richiesta di concorso rivolta a Cosa Nostra per il tramite massonico e la connessione con ambienti finanziari, sulla scorta della testimonianza riscontrata di Buscetta, registrando il tentativo quale primo affioramento della convergenza multidominio. Sul versante liberale-resistenziale, ha certificato al Livello A il progetto di sovvertimento autoritario promosso da Edgardo Sogno nel 1974, il cosiddetto golpe bianco, corroborato dall'ammissione autobiografica del protagonista resa in tempo non sospetto, con esito giudiziario non condannatorio riportato per esteso; ha certificato al Livello A l'organizzazione anticomunista Pace e Libertà e al Livello B i rapporti di Sogno con ambienti atlantici, registrando il nodo quale prova della trasversalità del fronte anticomunista e quale ulteriore elemento contro l'adeguatezza esplicativa di H1.</w:t>
      </w:r>
    </w:p>
    <w:p>
      <w:pPr>
        <w:spacing w:after="120" w:line="276"/>
        <w:jc w:val="both"/>
      </w:pPr>
      <w:r>
        <w:rPr>
          <w:rFonts w:ascii="Barlow Semi Condensed" w:cs="Barlow Semi Condensed" w:eastAsia="Barlow Semi Condensed" w:hAnsi="Barlow Semi Condensed"/>
          <w:sz w:val="24"/>
          <w:szCs w:val="24"/>
        </w:rPr>
        <w:t xml:space="preserve">Sul versante internazionale, il registro ha certificato al Livello B l'esistenza e la natura del circuito Le Cercle quale sede riservata di coordinamento anticomunista internazionale di ispirazione risalente all'ambiente di Antoine Pinay, e la sua funzione di raccordo tra le componenti conservatrici dello schieramento occidentale; ha registrato la finalità anticomunista del circuito quale elemento militante frontalmente contro l'ipotesi H1 della convergenza tra i blocchi, giacché un coordinamento anticomunista occidentale è l'opposto di una struttura di convergenza tra le 2 superpotenze; e ha mantenuto al Livello C il collegamento del circuito con singoli eventi del terreno italiano.</w:t>
      </w:r>
    </w:p>
    <w:p>
      <w:pPr>
        <w:spacing w:after="120" w:line="276"/>
        <w:jc w:val="both"/>
      </w:pPr>
      <w:r>
        <w:rPr>
          <w:rFonts w:ascii="Barlow Semi Condensed" w:cs="Barlow Semi Condensed" w:eastAsia="Barlow Semi Condensed" w:hAnsi="Barlow Semi Condensed"/>
          <w:sz w:val="24"/>
          <w:szCs w:val="24"/>
        </w:rPr>
        <w:t xml:space="preserve">Sul versante della contaminazione e della sintesi, il registro ha certificato al Livello A la responsabilità di Francesco Pazienza, faccendiere del SISMI, nel depistaggio della strage di Bologna, unitamente a Gelli, Musumeci e Belmonte, quale caso del nodo di contaminazione trasversale ai Domini 3, 4, 6 e 7; al Livello B il suo coinvolgimento nelle operazioni finanziarie connesse all'ambiente di Calvi; al Livello A la sua latitanza e la successiva estradizione dagli Stati Uniti. Ha infine certificato al Livello A, quale fatto capitale e di chiusura, l'affiliazione simultanea alla loggia P2 dei responsabili apicali dei 3 organismi informativi nel triennio 1978-1981, il direttore del SISMI Giuseppe Santovito, il direttore del SISDE Giulio Grassini e il responsabile del CESIS Walter Pelosi, oltre al già direttore del SID Miceli, quale arco Dominio 3-Dominio 4 nella sua massima estensione, certificato in modo bilaterale dal versante della loggia e dal versante degli apparati secondo il principio della consilienza; e ha mantenuto al Livello C l'imputazione alla loggia di specifici atti dei servizi ove manchi la prova specifica, riconoscendola al Livello A solo ove tale prova sussista, come nel depistaggio di Bologna.</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e degli esiti assolutori della fase, che il metodo impone di esporre con il medesimo rilievo delle presenze. Gli esiti non condannatori certificati e riportati per esteso sono 3: l'assoluzione di Miceli dall'accusa di cospirazione; l'esito largamente assolutorio del procedimento sul tentativo golpista Borghese, con la sentenza d'appello del 1984; e l'esito non condannatorio del procedimento a carico di Sogno per il progetto del 1974. A essi si aggiunge il reperto negativo di prima classe costituito, per il nodo Gladio, dall'esito sostanzialmente non condannatorio delle inchieste quanto all'ipotesi dell'impiego eversivo della rete, che certifica l'esistenza della struttura ma non il suo impiego nella destabilizzazione. Il registro tratta questi 4 esiti quali dati di prima classe, che non indeboliscono la rete certificata ma ne delimitano il perimetro, e la cui osservanza è la condizione della sua solidità.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con netta prevalenza del Livello A, cui si aggiungono gli archi di Livello B relativi alla cornice atlantica e alle mediazioni non giudizialmente consacrate e i pochi archi di Livello C relativi alle ipotesi di regia e di collegamento operativo non provate, oltre a 3 esiti assolutori riportati per esteso, quelli di Miceli, Borghese e Sogno, e 1 reperto negativo sull'impiego di Gladio; e costituisce d'ora innanzi il riferimento citabile per ogni richiamo interno dell'opera al sottografo degli apparati e delle strutture parallele.</w:t>
      </w:r>
    </w:p>
    <w:p>
      <w:pPr>
        <w:pStyle w:val="Heading3"/>
        <w:spacing w:after="80" w:before="160"/>
      </w:pPr>
      <w:r>
        <w:rPr>
          <w:rFonts w:ascii="Barlow Semi Condensed" w:cs="Barlow Semi Condensed" w:eastAsia="Barlow Semi Condensed" w:hAnsi="Barlow Semi Condensed"/>
          <w:sz w:val="24"/>
          <w:szCs w:val="24"/>
        </w:rPr>
        <w:t xml:space="preserve">Chiusura della Fase 2 — La macchina della deviazione e il bilancio della verifica di H1</w:t>
      </w:r>
    </w:p>
    <w:p>
      <w:pPr>
        <w:spacing w:after="120" w:line="276"/>
        <w:jc w:val="both"/>
      </w:pPr>
      <w:r>
        <w:rPr>
          <w:rFonts w:ascii="Barlow Semi Condensed" w:cs="Barlow Semi Condensed" w:eastAsia="Barlow Semi Condensed" w:hAnsi="Barlow Semi Condensed"/>
          <w:sz w:val="24"/>
          <w:szCs w:val="24"/>
        </w:rPr>
        <w:t xml:space="preserve">La Fase 2 si chiude con 10 nodi certificati, 6 persone, 3 entità collettive o strutturali e 1 nodo di sintesi, e con un sottografo, quello degli apparati e delle strutture parallele, che è ora possibile leggere nel suo insieme e saldare al sottografo del quadrilatero ricostruito nella Fase 1. Il presente capitolo di chiusura non introduce materiale nuovo; ricompone l'acquisito, dichiara i livelli raggiunti, censisce le assenze accanto alle presenze e, soprattutto, adempie al compito che la Fase 1 aveva assegnato a questa fase quale suo obbligo specifico: il bilancio della verifica dell'ipotesi H1 su materiale, finalmente, pertinente.</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della deviazione degli apparati quale fenomeno documentato e non quale suggestione. La categoria dei servizi deviati, tanto abusata nella pubblicistica da aver perduto ogni contorno, riceve dal registro un contenuto probatorio preciso e delimitato. La deviazione è documentata al Livello A in una pluralità di episodi giudizialmente accertati: le schedature illegittime del SIFAR, il depistaggio di Piazza Fontana per il quale Maletti fu condannato, il depistaggio di Bologna per il quale furono condannati ufficiali del SISMI unitamente al faccendiere Pazienza e al Venerabile Gelli. Ciascuno di questi episodi è un arco certificato tra il Dominio 3 e, rispettivamente, il Dominio 2 nelle schedature e il Dominio 7 nei depistaggi. Ma la deviazione così certificata ha una natura precisa che il registro dichiara: essa è, negli episodi provati, torsione dell'apparato legale verso il controllo politico o verso l'ostruzione dell'accertamento, non prova di un apparato occulto che diriga gli eventi eversivi e stragisti. La distinzione tra la deviazione-ostruzione, certificata, e la deviazione-regia, ipotetica, è il primo e principale acquisito della fase, e la sua osservanza è ciò che consente al registro di affermare molto, quanto alle condotte provate, e di non affermare nulla, quanto ai mandati non provati.</w:t>
      </w:r>
    </w:p>
    <w:p>
      <w:pPr>
        <w:spacing w:after="120" w:line="276"/>
        <w:jc w:val="both"/>
      </w:pPr>
      <w:r>
        <w:rPr>
          <w:rFonts w:ascii="Barlow Semi Condensed" w:cs="Barlow Semi Condensed" w:eastAsia="Barlow Semi Condensed" w:hAnsi="Barlow Semi Condensed"/>
          <w:sz w:val="24"/>
          <w:szCs w:val="24"/>
        </w:rPr>
        <w:t xml:space="preserve">Il secondo risultato è la mappa dell'accoppiamento tra il Dominio 3 e gli altri domini, che la fase consegna nelle sue direttrici certificate. L'accoppiamento con il Dominio 9, le forze armate, è strutturale e certificato al Livello A: gli apparati informativi nacquero in seno alla struttura militare, e i loro vertici furono ufficiali, sicché il confine tra i 2 domini è, in questa fase, il più poroso di tutti, e i nodi De Lorenzo, Miceli e Santovito lo attraversano per definizione. L'accoppiamento con il Dominio 7, l'eversione, è certificato al Livello A nella forma dell'ostruzione, attraverso i depistaggi provati, e mantenuto al Livello C nella forma della direzione, che gli accertamenti non hanno provato. L'accoppiamento con il Dominio 4, la massoneria, è certificato al Livello A e in modo bilaterale, attraverso la cattura piduista del vertice informativo che il capitolo 10 ha documentato dal lato degli apparati e la Fase 1 dal lato della loggia. L'accoppiamento con il Dominio 2, la politica, è certificato al Livello A tanto nella forma delle schedature quanto nella forma della migrazione, il corridoio del Pattern 7 che condusse gli ufficiali degli apparati alla rappresentanza politica. L'accoppiamento con il Dominio 6, la finanza, e con il Dominio 1, la mafia, è certificato attraverso il nodo Pazienza e attraverso l'affioramento del tentativo Borghese, che salda gli apparati al quadrilatero della Fase 1.</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del sottografo degli apparati. La più alta betweenness appartiene al nodo Pazienza, il faccendiere privo di titolarità formale che connette il servizio militare, la finanza internazionale, la loggia e l'ambiente dei depistaggi: è il broker per eccellenza, e la sua rilevanza deriva interamente dalla posizione di intermediazione, secondo la distinzione tra potere formale e potere relazionale che la Nota metodologica ha derivato da Burt. La più alta centralità di grado appartiene al nodo Santovito e, con esso, all'insieme dei vertici piduisti dei servizi, la cui affiliazione simultanea alla loggia costituisce la comunità trasversale che il Pattern 2 identifica quale risultato più netto della fase. La più alta centralità informativa, nell'accezione sottile del Pattern 1, appartiene al nodo D'Amato, il responsabile a bassa visibilità e alto controllo sul flusso informativo. Il nodo Gladio, infine, occupa nella rete una posizione peculiare: massima rilevanza documentale e massima densità di suggestione, ma centralità operativa certificata modesta, giacché l'esistenza della struttura è provata al Livello A mentre il suo impiego resta al Livello C, sicché il nodo pesa nel registro per ciò che è certificato, l'esistenza clandestina di una rete atlantica, e non per ciò che gli è attribuito, un impiego eversivo non provato.</w:t>
      </w:r>
    </w:p>
    <w:p>
      <w:pPr>
        <w:spacing w:after="120" w:line="276"/>
        <w:jc w:val="both"/>
      </w:pPr>
      <w:r>
        <w:rPr>
          <w:rFonts w:ascii="Barlow Semi Condensed" w:cs="Barlow Semi Condensed" w:eastAsia="Barlow Semi Condensed" w:hAnsi="Barlow Semi Condensed"/>
          <w:sz w:val="24"/>
          <w:szCs w:val="24"/>
        </w:rPr>
        <w:t xml:space="preserve">A questo censimento delle centralità interne al sottografo degli apparati il registro aggiunge un raccordo con le centralità del quadrilatero ricostruito nella Fase 1, giacché è dalla saldatura dei 2 sottografi che emerge la topologia complessiva delle prime 2 fasi. Il nodo che, sommando le 2 fasi, acquisisce la più alta centralità di intermediazione dell'intero grafo sinora costruito è la loggia P2 nella persona del suo Venerabile, che la Fase 1 aveva collocato al centro del quadrilatero e che la Fase 2 ritrova al centro della cattura del vertice informativo: la loggia è il nodo che connette i 2 sottografi, il broker tra il quadrilatero finanziario-vaticano-mafioso e l'apparato informativo, e la sua centralità deriva precisamente dalla capacità di occupare la posizione di raccordo tra ambienti altrimenti separati. Al secondo posto per centralità di raccordo si collocano i faccendieri, la figura che i 2 sottografi condividono e che ne costituisce il connettivo mobile: Sindona e Ortolani sul versante del quadrilatero, Pazienza sul versante degli apparati, accomunati dalla natura di intermediari privi di titolarità formale ma dotati di accesso trasversale. La saldatura dei 2 sottografi conferma pertanto una regolarità che il registro annota quale acquisizione delle prime 2 fasi: il potere che attraversa i domini non risiede nei vertici formali di ciascun dominio, ma nei nodi di raccordo, le logge e i faccendieri, la cui funzione è precisamente connettere ciò che le gerarchie formali tengono separato; ed è questa la ragione per cui la loro rimozione, quando avviene, produce le discontinuità più marcate nella rete, secondo il Pattern 5 dei buchi strutturali.</w:t>
      </w:r>
    </w:p>
    <w:p>
      <w:pPr>
        <w:spacing w:after="120" w:line="276"/>
        <w:jc w:val="both"/>
      </w:pPr>
      <w:r>
        <w:rPr>
          <w:rFonts w:ascii="Barlow Semi Condensed" w:cs="Barlow Semi Condensed" w:eastAsia="Barlow Semi Condensed" w:hAnsi="Barlow Semi Condensed"/>
          <w:sz w:val="24"/>
          <w:szCs w:val="24"/>
        </w:rPr>
        <w:t xml:space="preserve">Il quarto risultato è la verifica esplicita dell'ipotesi H1, che costituisce l'adempimento del compito assegnato dalla Fase 1 e il bilancio più importante della fase. La Fase 1 aveva dichiarato l'autosufficienza esplicativa del primo cerchio e aveva formulato il vincolo popperiano: gli eventuali elementi di supporto di H1 dovranno emergere dai domini che le fasi successive esplorano, a partire dall'intelligence. La Fase 2 ha esplorato l'intelligence, ossia il dominio nel quale, per definizione, la dimensione internazionale è sostanza operativa e non mera cornice; ed è in grado di rendere un bilancio netto. La dimensione internazionale del Dominio 3 è certificata al Livello A nella sua realtà, giacché i servizi italiani operarono entro il sistema di alleanze atlantico, la rete Gladio nacque da accordi con il servizio statunitense, i responsabili informativi parteciparono ai circuiti internazionali del coordinamento occidentale. Ma questa dimensione internazionale, in tutte le sue manifestazioni certificate, ha una direzione precisa e univoca: è la direzione dell'alleanza atlantica e del confronto anticomunista interno alla logica bipolare, non la direzione della convergenza tra i 2 blocchi che l'ipotesi H1 postulerebbe. La rete Gladio era predisposta contro un'eventuale occupazione sovietica; il circuito Le Cercle coordinava il contrasto all'influenza sovietica; i progetti eversivi, tanto quello di marca nera di Borghese quanto quello liberale di Sogno, erano progetti anticomunisti; i rapporti internazionali degli apparati erano rapporti con il servizio statunitense e con la struttura atlantica. In nessuno dei 10 nodi della fase affiora un elemento, sia pure di Livello C, che documenti una convergenza operativa tra la potenza occidentale e quella sovietica, e tanto meno una convergenza finalizzata a impedire l'integrazione europea. Il registro deve dunque registrare, con la nettezza che il metodo impone, che la Fase 2 non solo non ha prodotto elementi di supporto di H1, ma ha prodotto una pluralità di elementi che la contraddicono: l'intera dimensione internazionale certificata degli apparati si colloca sul versante occidentale del confronto bipolare, e milita a favore dell'ipotesi concorrente, quella del confronto tra i blocchi, nella quale gli attori occidentali perseguono finalità occidentali. Di più: la cornice atlantica degli apparati milita positivamente a favore del falsificatore milwardiano, giacché la medesima alleanza che predispose le reti stay-behind e coordinò il fronte anticomunista fu il quadro entro il quale il processo di integrazione europea si svolse con il sostegno della potenza egemone occidentale, e non contro di essa. La disciplina anti-induttiva impone di trarre la conseguenza: dopo 2 fasi, l'ipotesi H1 non solo resta priva di supporto, ma ha incontrato, nel dominio che avrebbe dovuto eventualmente sostenerla, la sua più netta contraddizione; essa permane al Livello C quale ipotesi formalmente registrata e falsificabile, ma il registro dichiara che il peso delle evidenze accumulate nelle prime 2 fasi milita contro di essa e a favore delle ipotesi concorrenti, e che le fasi successive dovranno misurarsi con questo bilancio.</w:t>
      </w:r>
    </w:p>
    <w:p>
      <w:pPr>
        <w:spacing w:after="120" w:line="276"/>
        <w:jc w:val="both"/>
      </w:pPr>
      <w:r>
        <w:rPr>
          <w:rFonts w:ascii="Barlow Semi Condensed" w:cs="Barlow Semi Condensed" w:eastAsia="Barlow Semi Condensed" w:hAnsi="Barlow Semi Condensed"/>
          <w:sz w:val="24"/>
          <w:szCs w:val="24"/>
        </w:rPr>
        <w:t xml:space="preserve">Il quinto risultato è la consegna dei fili pendenti alle fasi successive. Il filo dello stragismo, che questa fase ha ripetutamente sfiorato attraverso i depistaggi di Piazza Fontana e di Bologna, attraverso il tentativo Borghese e attraverso la gestione delle fonti dell'eversione da parte degli apparati, diviene l'oggetto proprio della Fase 3, che ricostruirà la sequenza stragista dal suo evento inaugurale, con particolare attenzione alla filiera dell'eversione nera, ad Aginter Press e alla figura di Delle Chiaie, che questa fase ha incontrato quale esecutore del tentativo del dicembre 1970 e la cui trattazione propria è riservata alla fase dello stragismo. Il filo del caso Moro, la cui ombra ha attraversato la fase attraverso la collocazione temporale della direzione Santovito e attraverso la questione della condotta degli apparati nei 55 giorni, diviene l'oggetto della Fase 4, che affronterà il sequestro secondo la decomposizione a 3 piani già costituzionalizzata dal registro. Il filo della proiezione internazionale, che questa fase ha anticipato attraverso la latitanza sudafricana di Maletti e attraverso il circuito Le Cercle, diviene l'oggetto della Fase 5, che verificherà su scala mondiale la tenuta della distinzione tra cornice atlantica e regia eversiva che la presente fase ha posto a fondamento della propria valutazione di H1.</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la coerenza del criterio selettivo ed espositivo con quello della Fase 1. I 10 nodi sono stati selezionati per il concorso dei 2 requisiti oggettivi, la certificazione di Livello A di almeno un arco inter-dominio e la frequenza trasversale nel corpus; l'ordine espositivo ha seguito la topologia, muovendo dalla prima deviazione militare verso i direttori coinvolti nell'eversione, quindi verso le strutture parallele e l'esercito segreto, quindi verso i progetti eversivi trasversali e il circuito internazionale, e chiudendo sul nodo di sintesi della cattura piduista che salda la fase alla precedente. Le 3 fasi che seguono manterranno il medesimo statuto: 10 nodi per fase, certificazione dichiarata arco per arco, esiti assolutori riportati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2 certifica la deviazione degli apparati quale fenomeno documentato al Livello A negli episodi di schedatura e di depistaggio giudizialmente accertati, distinguendo la deviazione-ostruzione, provata, dalla deviazione-regia, ipotetica; certifica l'accoppiamento del Dominio 3 con i Domini 9, 7, 4, 2, 6 e 1 nelle direttrici e ai livelli dichiarati, culminante nella cattura piduista bilaterale del vertice informativo; e rende il bilancio esplicito della verifica di H1, dichiarando che il dominio dell'intelligence, lungi dal sostenere l'ipotesi della convergenza tra i blocchi contro l'integrazione europea, l'ha contraddetta in tutte le sue manifestazioni internazionali certificate, tutte collocate sul versante occidentale e anticomunista del confronto bipolare, sicché H1 permane al Livello C ma il peso delle evidenze delle prime 2 fasi milita contro di essa e a favore del falsificatore milwardiano; i fili dello stragismo, del caso Moro e della proiezione internazionale sono formalmente consegnati alle Fasi 3, 4 e 5.</w:t>
      </w:r>
    </w:p>
    <w:p>
      <w:pPr>
        <w:pStyle w:val="Heading2"/>
        <w:spacing w:after="100" w:before="200"/>
      </w:pPr>
      <w:r>
        <w:rPr>
          <w:rFonts w:ascii="Barlow Semi Condensed" w:cs="Barlow Semi Condensed" w:eastAsia="Barlow Semi Condensed" w:hAnsi="Barlow Semi Condensed"/>
          <w:sz w:val="24"/>
          <w:szCs w:val="24"/>
        </w:rPr>
        <w:t xml:space="preserve">FASE III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Lo stragismo e la strategia della tensione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terzo cerchio: le stragi, i depistaggi e la matrice</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3 raccoglie il filo che le 2 fasi precedenti hanno più volte sfiorato senza mai assumerlo quale oggetto proprio: la sequenza stragista che insanguinò la Repubblica dal 12 dicembre 1969 al 2 agosto 1980, e oltre. La Fase 1 aveva incontrato lo stragismo dal lato del quadrilatero, attraverso la condanna definitiva di Giuseppe Calò per la strage del rapido 904 e attraverso il depistaggio di Bologna addebitato a Licio Gelli; la Fase 2 lo aveva incontrato dal lato degli apparati, attraverso le condanne definitive di Gianadelio Maletti per il depistaggio di Piazza Fontana e di Francesco Pazienza, con gli ufficiali Musumeci e Belmonte, per il depistaggio di Bologna. La presente fase rovescia la prospettiva: assume gli eventi stragisti e i loro attori quali nodi propri, e ricostruisce dal loro interno il Dominio 7, il terrorismo e la violenza politica, nei suoi accoppiamenti certificati con i Domini 3, 4, 9, 1, 8 e 10.</w:t>
      </w:r>
    </w:p>
    <w:p>
      <w:pPr>
        <w:spacing w:after="120" w:line="276"/>
        <w:jc w:val="both"/>
      </w:pPr>
      <w:r>
        <w:rPr>
          <w:rFonts w:ascii="Barlow Semi Condensed" w:cs="Barlow Semi Condensed" w:eastAsia="Barlow Semi Condensed" w:hAnsi="Barlow Semi Condensed"/>
          <w:sz w:val="24"/>
          <w:szCs w:val="24"/>
        </w:rPr>
        <w:t xml:space="preserve">Il protocollo probatorio resta immutato e viene richiamato nei soli cardini. La triangolazione delle fonti secondo lo standard Savona 2.1 distingue il Livello A della connessione documentata, fondata su giudicato o su convergenza di 3 fonti indipendenti eterogenee, il Livello B della connessione indiziaria, fondata su 2 fonti convergenti o su una singola fonte di alta affidabilità, e il Livello C della connessione ipotetica, esplicitamente marcata. La Regola Ferrea vieta ogni salto inferenziale, e in questa fase assume la sua declinazione più severa, giacché la materia stragista è quella in cui la distanza tra il provato e il creduto è massima, e in cui la vulgata ha più profondamente confuso i piani. Tre discipline specifiche governano la fase. La prima è la disciplina delle assoluzioni: la storia processuale delle stragi italiane è, in larghissima parte, una storia di assoluzioni, e il registro le riporta tutte per esteso, con il medesimo rilievo delle condanne, giacché un registro che censisse le sole condanne fabbricherebbe una rete più fitta del reale. La seconda è la disciplina della distinzione tra dispositivo e motivazione: talune sentenze definitive contengono, in motivazione, accertamenti storici che il dispositivo non traduce in condanna, e il registro li recepisce dichiarandone la natura, senza confondere la verità storica affermata in motivazione con la responsabilità penale affermata in dispositivo. La terza è la disciplina dell'ostruzione: la fase arricchisce la tipologia delle condotte di inquinamento dell'accertamento che il registro ha codificato, distinguendo in ogni capitolo la strage dal suo depistaggio, e ribadendo che la condanna per il secondo non prova il mandato della prima.</w:t>
      </w:r>
    </w:p>
    <w:p>
      <w:pPr>
        <w:spacing w:after="120" w:line="276"/>
        <w:jc w:val="both"/>
      </w:pPr>
      <w:r>
        <w:rPr>
          <w:rFonts w:ascii="Barlow Semi Condensed" w:cs="Barlow Semi Condensed" w:eastAsia="Barlow Semi Condensed" w:hAnsi="Barlow Semi Condensed"/>
          <w:sz w:val="24"/>
          <w:szCs w:val="24"/>
        </w:rPr>
        <w:t xml:space="preserve">Anche questa fase adempie a un compito assegnato dalle precedenti: la prosecuzione della verifica dell'ipotesi H1, la convergenza delle potenze imperiali contro l'integrazione europea, che la Fase 2 ha consegnato al Livello C con un bilancio esplicitamente sfavorevole, avendo constatato che l'intera dimensione internazionale certificata degli apparati si colloca sul versante occidentale e anticomunista del confronto bipolare. La Fase 3 verificherà se la matrice accertata dello stragismo, e le sue proiezioni internazionali documentate, modifichino tale bilancio; e lo farà, come sempre, cercando le evidenze che falsificherebbero le ipotesi in campo, non quelle che le confermerebbero, secondo la procedura delle ipotesi concorrenti di Heuer. Il lettore troverà nella chiusura il bilancio aggiornato, con un reperto di particolare interesse metodologico: la circostanza che gli stessi atti parlamentari conclusivi sulla stagione stragista contengano elaborati di segno opposto, l'uno orientato alla dimensione sovranazionale atlantica e l'altro all'ombra del blocco sovietico, e che nessuno dei 2, nemmeno nella loro massima estensione congetturale, sostenga la convergenza tra i blocchi che H1 postula.</w:t>
      </w:r>
    </w:p>
    <w:p>
      <w:pPr>
        <w:spacing w:after="120" w:line="276"/>
        <w:jc w:val="both"/>
      </w:pPr>
      <w:r>
        <w:rPr>
          <w:rFonts w:ascii="Barlow Semi Condensed" w:cs="Barlow Semi Condensed" w:eastAsia="Barlow Semi Condensed" w:hAnsi="Barlow Semi Condensed"/>
          <w:sz w:val="24"/>
          <w:szCs w:val="24"/>
        </w:rPr>
        <w:t xml:space="preserve">Un chiarimento tassonomico si impone in apertura. La fase introduce sistematicamente, accanto ai nodi-persona e ai nodi-organizzazione delle fasi precedenti, il nodo-evento, contrassegnato dal marcatore proprio: la strage, l'omicidio, il tentativo eversivo quale entità della rete, dotata di attributi propri, la data, il luogo, le vittime, gli esiti giudiziari, e di archi propri verso le persone, le organizzazioni e gli apparati che vi convergono. La scelta non è nominalistica ma metodologica: nella materia della fase, l'evento è sovente l'unico punto fermo certificabile al massimo livello, mentre le attribuzioni personali oscillano tra condanne, assoluzioni e vuoti; assumere l'evento quale nodo primario consente al registro di ancorare la rete a ciò che è certo, il fatto, la data, le vittime, e di appendervi le attribuzioni con il loro grado effettivo, anziché costruire la rete attorno ad attribuzioni instabili. Ne discende che ogni capitolo-evento della fase certifica dapprima l'evento nella sua materialità, quindi i suoi archi, distinguendo sempre lo strato dell'esecuzione, lo strato dell'ostruzione e lo strato del mandato, i 3 strati che la materia stragista impone di non confondere mai e la cui confusione è stata, storicamente, il principale veicolo di errore tanto della vulgata colpevolista quanto di quella negazionista.</w:t>
      </w:r>
    </w:p>
    <w:p>
      <w:pPr>
        <w:spacing w:after="120" w:line="276"/>
        <w:jc w:val="both"/>
      </w:pPr>
      <w:r>
        <w:rPr>
          <w:rFonts w:ascii="Barlow Semi Condensed" w:cs="Barlow Semi Condensed" w:eastAsia="Barlow Semi Condensed" w:hAnsi="Barlow Semi Condensed"/>
          <w:sz w:val="24"/>
          <w:szCs w:val="24"/>
        </w:rPr>
        <w:t xml:space="preserve">L'ordine espositivo dei 10 nodi segue la topologia e la cronologia insieme, giacché nella materia stragista le 2 dimensioni coincidono in larga misura: si muove dall'evento inaugurale del dicembre 1969 e dalla sua matrice organizzativa, l'ordinovismo, attraverso i suoi uomini e la sua proiezione internazionale, Aginter Press e Stefano Delle Chiaie, quindi lungo la sequenza degli eventi certificati, Peteano, Brescia, l'Italicus, sino alla strage di Bologna, per chiudere sull'omicidio di Piersanti Mattarella, che riprende il filo lasciato aperto dalla Fase 1 sulla convergenza tra eversione e mafia e salda la fase al primo cerchio. I criteri di selezione restano i 2 requisiti oggettivi: la certificazione di Livello A di almeno un arco o di un accertamento centrale del nodo, e la frequenza trasversale nel corpus dei 220 documenti. Ogni capitolo si chiude con la formula di accumulo, e il repertorio precede la lettura reticolare conclusiva. Le vittime degli eventi trattati sono nominate, ove lo spazio lo consenta, quale atto dovuto di un registro che non dimentica che dietro ogni nodo analitico vi sono nomi, corpi e famiglie.</w:t>
      </w:r>
    </w:p>
    <w:p>
      <w:pPr>
        <w:pStyle w:val="Heading3"/>
        <w:spacing w:after="80" w:before="160"/>
      </w:pPr>
      <w:r>
        <w:rPr>
          <w:rFonts w:ascii="Barlow Semi Condensed" w:cs="Barlow Semi Condensed" w:eastAsia="Barlow Semi Condensed" w:hAnsi="Barlow Semi Condensed"/>
          <w:sz w:val="24"/>
          <w:szCs w:val="24"/>
        </w:rPr>
        <w:t xml:space="preserve">Capitolo 1 — ■ Piazza Fontana. L'evento inaugurale e il paradosso del giudicato</w:t>
      </w:r>
    </w:p>
    <w:p>
      <w:pPr>
        <w:spacing w:after="120" w:line="276"/>
        <w:jc w:val="both"/>
      </w:pPr>
      <w:r>
        <w:rPr>
          <w:rFonts w:ascii="Barlow Semi Condensed" w:cs="Barlow Semi Condensed" w:eastAsia="Barlow Semi Condensed" w:hAnsi="Barlow Semi Condensed"/>
          <w:sz w:val="24"/>
          <w:szCs w:val="24"/>
        </w:rPr>
        <w:t xml:space="preserve">La strage di piazza Fontana, consumata a Milano il 12 dicembre 1969 nella sede della Banca Nazionale dell'Agricoltura, è il nodo-evento inaugurale della fase e dell'intera stagione che essa ricostruisce. La scansione del corpus registra il sintagma 638 volte in 33 documenti, e la vicenda attraversa gli atti di ogni commissione d'inchiesta e di ogni ciclo processuale della storia repubblicana successiva. L'ordigno, esploso alle 16:37 nel salone centrale della banca, uccise 17 persone, 16 nell'immediato e 1 nei giorni successivi, e ne ferì 88; nello stesso pomeriggio altri ordigni esplosero a Roma, all'Altare della Patria e presso la Banca Nazionale del Lavoro, e un ulteriore ordigno inesploso fu rinvenuto alla Banca Commerciale di Milano e fatto brillare per decisione degli inquirenti, con la conseguente distruzione di un reperto capitale: un atto che il registro annota sin d'ora quale primo anello della catena di inquinamento dell'accertamento che accompagnerà l'intera vicenda.</w:t>
      </w:r>
    </w:p>
    <w:p>
      <w:pPr>
        <w:spacing w:after="120" w:line="276"/>
        <w:jc w:val="both"/>
      </w:pPr>
      <w:r>
        <w:rPr>
          <w:rFonts w:ascii="Barlow Semi Condensed" w:cs="Barlow Semi Condensed" w:eastAsia="Barlow Semi Condensed" w:hAnsi="Barlow Semi Condensed"/>
          <w:sz w:val="24"/>
          <w:szCs w:val="24"/>
        </w:rPr>
        <w:t xml:space="preserve">Il primo pilastro probatorio è la vicenda della pista anarchica e delle sue vittime collaterali, che il registro certifica al Livello A quale primo depistaggio della stagione. Nelle ore e nei giorni successivi alla strage le indagini si concentrarono sugli ambienti anarchici milanesi e romani: il ballerino anarchico Pietro Valpreda fu arrestato e additato all'opinione pubblica quale mostro, e il ferroviere anarchico Giuseppe Pinelli, fermato e trattenuto nella questura di Milano oltre i termini, morì nella notte tra il 15 e il 16 dicembre 1969 precipitando da una finestra del quarto piano durante l'interrogatorio. Il registro certifica al Livello A i fatti oggettivi del fermo, del trattenimento e della morte di Pinelli, e recepisce l'esito dell'istruttoria giudiziaria condotta dal giudice Gerardo D'Ambrosio, chiusa nel 1975 con l'esclusione tanto dell'omicidio quanto del suicidio e con la qualificazione della caduta quale conseguenza di un malore attivo: una formula controversa, che il registro riporta quale esito giudiziario senza farla propria né contestarla, annotando che la morte di Pinelli resta, sul piano storico, l'emblema del costo umano del primo depistaggio. Quanto a Valpreda, la sua vicenda processuale durò 3 lustri e si chiuse con l'assoluzione dall'accusa di strage per insufficienza di prove, divenuta irrevocabile nel 1987: il registro la riporta per esteso, e certifica al Livello A, sul fondamento dell'intero ciclo processuale successivo, che la pista anarchica fu una pista falsa, costruita e alimentata mentre gli elementi sulla pista alternativa venivano occultati. La condanna definitiva di Gianadelio Maletti e degli uomini del Reparto D per il favoreggiamento e il depistaggio, certificata nella Fase 2, è il complemento istituzionale di questo pilastro: il registro salda qui i 2 accertamenti, la falsità della pista anarchica e la responsabilità di uomini degli apparati nel suo puntellamento.</w:t>
      </w:r>
    </w:p>
    <w:p>
      <w:pPr>
        <w:spacing w:after="120" w:line="276"/>
        <w:jc w:val="both"/>
      </w:pPr>
      <w:r>
        <w:rPr>
          <w:rFonts w:ascii="Barlow Semi Condensed" w:cs="Barlow Semi Condensed" w:eastAsia="Barlow Semi Condensed" w:hAnsi="Barlow Semi Condensed"/>
          <w:sz w:val="24"/>
          <w:szCs w:val="24"/>
        </w:rPr>
        <w:t xml:space="preserve">Il secondo pilastro è il lunghissimo ciclo processuale sulla pista nera, che il registro ricostruisce nei suoi 2 tronconi. Il primo troncone, istruito a Milano e celebrato per competenza a Catanzaro, vide imputati Franco Freda e Giovanni Ventura, esponenti della cellula ordinovista veneta, e Guido Giannettini, la fonte del servizio di cui la Fase 2 ha detto: condannati all'ergastolo in primo grado nel 1979, furono assolti in appello, e dopo l'annullamento con rinvio la Corte d'assise d'appello di Bari li assolse dall'accusa di strage per insufficienza di prove nel 1985, con sentenza divenuta irrevocabile nel 1987. Il registro riporta per esteso l'assoluzione irrevocabile di Freda, Ventura e Giannettini dall'accusa di strage. Il secondo troncone, nato dall'istruttoria milanese del giudice Guido Salvini negli anni Novanta, vide imputati altri esponenti dell'ordinovismo veneto, tra cui Delfo Zorzi e Carlo Maria Maggi: condannati in primo grado nel 2001, furono assolti in appello nel 2004, e la Corte di cassazione, il 3 maggio 2005, rese definitive le assoluzioni. Il registro riporta per esteso anche queste assoluzioni definitive.</w:t>
      </w:r>
    </w:p>
    <w:p>
      <w:pPr>
        <w:spacing w:after="120" w:line="276"/>
        <w:jc w:val="both"/>
      </w:pPr>
      <w:r>
        <w:rPr>
          <w:rFonts w:ascii="Barlow Semi Condensed" w:cs="Barlow Semi Condensed" w:eastAsia="Barlow Semi Condensed" w:hAnsi="Barlow Semi Condensed"/>
          <w:sz w:val="24"/>
          <w:szCs w:val="24"/>
        </w:rPr>
        <w:t xml:space="preserve">Il terzo pilastro è il paradosso del giudicato, che fa del nodo un caso metodologico unico e impone la distinzione più sottile dell'intera opera. Le sentenze conclusive del secondo troncone, pur assolvendo gli imputati, affermarono in motivazione, sul fondamento del materiale probatorio accumulato in 3 decenni, che la strage di piazza Fontana fu opera della cellula eversiva ordinovista veneta guidata da Franco Freda e Giovanni Ventura; e diedero atto che i 2, essendo stati irrevocabilmente assolti nel 1987 per il medesimo fatto, non potevano più essere perseguiti in forza del divieto di un secondo giudizio. Si produsse così la figura che il registro denomina paradosso del giudicato: una verità storica affermata in una sentenza definitiva, riguardante soggetti che il dispositivo di un'altra sentenza definitiva ha assolto e che nessun giudice potrà mai più condannare. Il registro procede con il massimo rigore classificatorio: certifica al Livello A l'attribuzione storica della strage alla cellula ordinovista veneta di Freda e Ventura, quale accertamento contenuto nella motivazione di una sentenza definitiva e fondato sulla convergenza dell'intero compendio probatorio; e certifica simultaneamente al Livello A, riportandolo per esteso, il dato che Franco Freda e Giovanni Ventura restano, nel dispositivo irrevocabile del 1987, assolti dall'accusa di strage per insufficienza di prove, e che tali essi sono e resteranno per l'ordinamento. Le 2 certificazioni coesistono senza contraddizione, perché attengono a piani diversi, la ricostruzione storica e la responsabilità penale; e la loro coesistenza è essa stessa il reperto: la strage inaugurale della stagione ha una matrice storicamente accertata in sede giudiziaria definitiva e, al contempo, nessun condannato per la sua esecuzione.</w:t>
      </w:r>
    </w:p>
    <w:p>
      <w:pPr>
        <w:spacing w:after="120" w:line="276"/>
        <w:jc w:val="both"/>
      </w:pPr>
      <w:r>
        <w:rPr>
          <w:rFonts w:ascii="Barlow Semi Condensed" w:cs="Barlow Semi Condensed" w:eastAsia="Barlow Semi Condensed" w:hAnsi="Barlow Semi Condensed"/>
          <w:sz w:val="24"/>
          <w:szCs w:val="24"/>
        </w:rPr>
        <w:t xml:space="preserve">Il quarto pilastro è l'infiltrazione documentata dell'ambiente anarchico, che completa la genesi del primo depistaggio e certifica un arco di infiltrazione di manuale. Gli accertamenti processuali documentarono che il circolo anarchico romano frequentato da Valpreda era stato penetrato da Mario Merlino, militante proveniente dall'area di Avanguardia Nazionale, che vi si muoveva sotto veste di anarchico: la sua doppia collocazione, accertata nei giudizi, fece di lui uno degli imputati del primo troncone, e la sua posizione rispetto all'accusa di strage si chiuse, come per Valpreda, con l'assoluzione divenuta irrevocabile, che il registro riporta per esteso. Il registro certifica al Livello A, quale fatto accertato nei processi, la qualità di Merlino di militante dell'area avanguardista infiltrato nell'ambiente anarchico romano alla vigilia della strage, e ne dichiara il rilievo tassonomico: è l'arco di infiltrazione nella sua forma pura, quale la Nota metodologica lo definisce, un attore del campo eversivo nero che assume posizione formale nel campo opposto conservando la lealtà d'origine; e la circostanza che la pista depistante si sia indirizzata precisamente verso l'ambiente infiltrato costituisce il nesso strutturale, certificato quanto ai fatti e mantenuto al Livello C quanto alla preordinazione, tra l'infiltrazione e il depistaggio. Il registro annota che la figura dell'infiltrato che orienta la colpa verso l'ambiente ospite ritornerà, in altre vesti, lungo l'intera opera.</w:t>
      </w:r>
    </w:p>
    <w:p>
      <w:pPr>
        <w:spacing w:after="120" w:line="276"/>
        <w:jc w:val="both"/>
      </w:pPr>
      <w:r>
        <w:rPr>
          <w:rFonts w:ascii="Barlow Semi Condensed" w:cs="Barlow Semi Condensed" w:eastAsia="Barlow Semi Condensed" w:hAnsi="Barlow Semi Condensed"/>
          <w:sz w:val="24"/>
          <w:szCs w:val="24"/>
        </w:rPr>
        <w:t xml:space="preserve">Il quinto pilastro è la scia di sangue che dall'evento si irradiò negli anni successivi, e che il registro censisce quale campo di conseguenze certificate. La morte di Pinelli generò una campagna pubblica di accusa contro il commissario Luigi Calabresi, titolare dell'ufficio nel quale il ferroviere era trattenuto; il 17 maggio 1972 Calabresi fu assassinato sotto la sua abitazione milanese, e per quell'omicidio furono condannati in via definitiva, all'esito di un ciclo processuale fondato sulle dichiarazioni del reo confesso Leonardo Marino e protrattosi sino al 2000, Adriano Sofri, Giorgio Pietrostefani e Ovidio Bompressi quali mandanti ed esecutore, esponenti dell'organizzazione Lotta Continua, con le pene definitive a 22 anni. Il registro certifica al Livello A, sul fondamento del giudicato, l'omicidio Calabresi e le sue condanne definitive, dà atto che i condannati hanno sempre protestato la propria innocenza e che la vicenda è rimasta oggetto di controversia civile, e ne trae l'annotazione strutturale: l'evento inaugurale produsse vittime a catena su ogni versante, i 17 morti della banca, il ferroviere anarchico, il commissario di polizia, e la catena certifica che la strategia della tensione operò anche attraverso gli effetti di secondo ordine, avvelenando il conflitto civile ben oltre il perimetro dell'evento; è il Pattern 8, lo sfruttamento della crisi, osservato nella sua dimensione temporale lunga.</w:t>
      </w:r>
    </w:p>
    <w:p>
      <w:pPr>
        <w:spacing w:after="120" w:line="276"/>
        <w:jc w:val="both"/>
      </w:pPr>
      <w:r>
        <w:rPr>
          <w:rFonts w:ascii="Barlow Semi Condensed" w:cs="Barlow Semi Condensed" w:eastAsia="Barlow Semi Condensed" w:hAnsi="Barlow Semi Condensed"/>
          <w:sz w:val="24"/>
          <w:szCs w:val="24"/>
        </w:rPr>
        <w:t xml:space="preserve">Il registro annota infine, quale reperto processuale trasversale al pilastro, la vicenda della sede: il processo per la strage fu sottratto nel 1972 alla sede naturale di Milano e trasferito a Catanzaro per ragioni di ordine pubblico, e vi si celebrò, a 1.000 chilometri dal luogo del fatto, dai testimoni e dal contesto; il registro certifica al Livello A il trasferimento quale fatto, e recepisce la valutazione, costante nelle ricostruzioni parlamentari e storiografiche, che l'allontanamento della sede concorse ad attenuare la pressione conoscitiva dell'ambiente milanese sull'accertamento, quale dato di Livello B sulla condizione complessiva in cui il primo ciclo processuale si svolse; nessuna inferenza sulla intenzionalità del pregiudizio è formulata, e la circostanza si aggiunge, quale fattore di contesto, alla serie delle menomazioni che il capitolo ha censito.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Fontana-pista anarchica-Pinelli e Valpreda, è il triangolo del primo depistaggio, certificato al Livello A quanto alla falsità della pista e ai suoi costi umani, con gli esiti giudiziari riportati per esteso. La seconda, piazza Fontana-cellula ordinovista veneta-Freda e Ventura, è il triangolo della matrice, certificato al Livello A quale verità storica di motivazione, con il dispositivo assolutorio irrevocabile parimenti certificato e riportato. La terza, piazza Fontana-Reparto D-Giannettini, è il triangolo dell'ostruzione istituzionale, certificato al Livello A dalla condanna definitiva di Maletti e saldato alla Fase 2. Sul piano dei pattern, il nodo attiva il Pattern 3, l'analisi temporale, quale apertura della finestra critica 1969-1974 entro cui si addensa la prima sequenza stragista; e il Pattern 6, le ipotesi concorrenti, nella sua applicazione storica: la competizione tra la pista anarchica e la pista nera fu risolta dal quarantennale lavorio processuale a favore della seconda, e la prima è oggi certificata quale costruzione depistante.</w:t>
      </w:r>
    </w:p>
    <w:p>
      <w:pPr>
        <w:spacing w:after="120" w:line="276"/>
        <w:jc w:val="both"/>
      </w:pPr>
      <w:r>
        <w:rPr>
          <w:rFonts w:ascii="Barlow Semi Condensed" w:cs="Barlow Semi Condensed" w:eastAsia="Barlow Semi Condensed" w:hAnsi="Barlow Semi Condensed"/>
          <w:sz w:val="24"/>
          <w:szCs w:val="24"/>
        </w:rPr>
        <w:t xml:space="preserve">Prima di ogni ulteriore analisi, il registro adempie al suo obbligo più antico, quello verso i nomi. Le 17 vittime della strage furono Giovanni Arnoldi, Giulio China, Eugenio Corsini, Pietro Dendena, Carlo Gaiani, Calogero Galatioto, Carlo Garavaglia, Paolo Gerli, Luigi Meloni, Vittorio Mocchi, Gerolamo Papetti, Mario Pasi, Carlo Perego, Oreste Sangalli, Angelo Scaglia, Carlo Silva ed Attilio Valè: in massima parte agricoltori, mediatori e piccoli operatori della provincia lombarda convenuti nel salone della banca per il giorno di contrattazione, uomini del lavoro minuto che la geografia sociale dell'obiettivo trasformò in bersaglio, Livello A quanto all'elenco, consegnato dagli atti e dalla memoria pubblica. Il registro annota la composizione sociologica dell'elenco quale reperto esso stesso: chi colpì la Banca Nazionale dell'Agricoltura un venerdì pomeriggio non colpì un simbolo del potere ma la sua clientela più modesta, e questa sproporzione tra il bersaglio dichiarato dalla propaganda della tensione, lo Stato, ed il bersaglio raggiunto, il ceto medio rurale, appartiene alla grammatica del terrore indiscriminato che l'intera fase documenta.</w:t>
      </w:r>
    </w:p>
    <w:p>
      <w:pPr>
        <w:spacing w:after="120" w:line="276"/>
        <w:jc w:val="both"/>
      </w:pPr>
      <w:r>
        <w:rPr>
          <w:rFonts w:ascii="Barlow Semi Condensed" w:cs="Barlow Semi Condensed" w:eastAsia="Barlow Semi Condensed" w:hAnsi="Barlow Semi Condensed"/>
          <w:sz w:val="24"/>
          <w:szCs w:val="24"/>
        </w:rPr>
        <w:t xml:space="preserve">Alla contabilità dell'evento appartiene anche la sua dimensione romana, spesso obliterata dalla memoria concentrata su Milano: nel medesimo pomeriggio del 12 dicembre 1969 esplosero nella capitale 3 ordigni, alla Banca Nazionale del Lavoro di via San Basilio ed all'Altare della Patria, con un bilancio di 16 feriti, a certificare che l'attacco fu, sin dal primo giorno, una campagna coordinata su 2 città e non un episodio isolato, Livello A. La simultaneità, accertata dai giudicati sulla campagna attentatoria, è il primo dato che ogni ipotesi sulla matrice dovette da allora incorporare: chi agì disponeva di una logistica a scala nazionale, e questa soglia organizzativa, da sola, escludeva in radice la figura dell'attentatore isolato che il primo depistaggio pretese di accreditare.</w:t>
      </w:r>
    </w:p>
    <w:p>
      <w:pPr>
        <w:spacing w:after="120" w:line="276"/>
        <w:jc w:val="both"/>
      </w:pPr>
      <w:r>
        <w:rPr>
          <w:rFonts w:ascii="Barlow Semi Condensed" w:cs="Barlow Semi Condensed" w:eastAsia="Barlow Semi Condensed" w:hAnsi="Barlow Semi Condensed"/>
          <w:sz w:val="24"/>
          <w:szCs w:val="24"/>
        </w:rPr>
        <w:t xml:space="preserve">Alla vicenda di Valpreda, il cui esito assolutorio irrevocabile il capitolo ha già riportato per esteso, il registro aggiunge 2 reperti di sistema che la biografia individuale consegna all'analisi istituzionale. Il primo è probatorio: l'intera costruzione accusatoria poggiò in origine sul riconoscimento operato da un tassista che avrebbe condotto l'attentatore in prossimità della banca, teste la cui morte, già nel 1971, sottrasse per sempre al contraddittorio la fonte unica dell'impianto, Livello A quanto alla centralità del riconoscimento ed alla morte del teste. Il secondo è normativo, ed è senza eguali nell'opera: la custodia preventiva dell'accusato si protrasse sino a quando il Parlamento, con la legge del dicembre 1972 concepita in dichiarata funzione del caso, introdusse la possibilità di concedere la libertà provvisoria anche per i reati che sino ad allora la escludevano, consentendone la scarcerazione, Livello A. Un uomo la cui posizione processuale richiese una legge dello Stato per tradursi in libertà è la misura esatta della torsione che il primo depistaggio impresse all'ordinamento: e l'asimmetria tra il tempo dell'accusa, edificata in 72 ore su un riconoscimento ed un teorema, ed il tempo della liberazione, che pretese un atto del legislatore e 3 lustri di giudizi, è la costante che il registro ritroverà, con i segni invertiti, nella durata degli accertamenti sulla matrice reale.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un reperto tecnico la cui sorte costituisce, essa sola, un capitolo di metodo: la seconda bomba milanese. Nel medesimo pomeriggio del 12 dicembre 1969 un ordigno gemello fu rinvenuto inesploso nella sede della Banca Commerciale Italiana in piazza della Scala, e la sera stessa, per disposizione delle autorità, fu fatto brillare dagli artificieri anziché essere disinnescato e repertato: con esso andarono distrutti il congegno, l'innesco, il contenitore e ogni traccia utile alla comparazione, vale a dire l'unico esemplare integro della serie che la giustizia avrebbe inseguito per 36 anni, Livello A quanto al rinvenimento ed alla distruzione. Il registro censisce l'episodio quale menomazione probatoria originaria, distinta dal depistaggio in senso proprio perché priva di un giudicato che ne accerti il dolo, e tuttavia funzionalmente equivalente: qualunque ne sia stata la ragione, fretta, imperizia o calcolo, la Repubblica bruciò nelle prime 12 ore il proprio miglior testimone materiale, e l'intera storia processuale successiva, costretta a lavorare su frammenti, porta impressa quella sottrazione inaugurale. Il paradigma indiziario insegna che l'indagine comincia dalla custodia della traccia: a piazza Fontana cominciò dalla sua distruzione, e questa inversione, più di ogni teoria, spiega perché il nodo inaugurale sia divenuto il laboratorio di tutte le ostruzioni successive.</w:t>
      </w:r>
    </w:p>
    <w:p>
      <w:pPr>
        <w:spacing w:after="120" w:line="276"/>
        <w:jc w:val="both"/>
      </w:pPr>
      <w:r>
        <w:rPr>
          <w:rFonts w:ascii="Barlow Semi Condensed" w:cs="Barlow Semi Condensed" w:eastAsia="Barlow Semi Condensed" w:hAnsi="Barlow Semi Condensed"/>
          <w:sz w:val="24"/>
          <w:szCs w:val="24"/>
        </w:rPr>
        <w:t xml:space="preserve">Al paradosso del giudicato la pronuncia conclusiva del 3 maggio 2005 aggiunse una statuizione accessoria che il registro riporta perché appartiene, a pieno titolo, alla morfologia dell'esito: nel confermare le assoluzioni, la Corte pose a carico delle parti civili, i familiari delle vittime costituiti in giudizio, la rifusione delle spese processuali, secondo la regola ordinaria della soccombenza applicata ad un processo che aveva nel contempo consegnato, in motivazione, la matrice storica della strage, Livello A quanto alla statuizione. Il registro si astiene, per disciplina, da ogni commento assiologico e consegna al lettore la sola geometria del fatto: i congiunti dei 17 uccisi uscirono dall'ultimo processo con una verità storica riconosciuta, nessun colpevole punibile ed un debito verso gli assolti, ed in questa terna, verità senza responsabili e giustizia con addebito agli offesi, si misura per intero la distanza tra l'accertamento storico e la macchina processuale che la fase ha assunto quale suo tema. Chi cerchi il punto esatto in cui il codice del diritto e il codice della memoria civile divergono senza possibilità di traduzione reciproca, secondo la grammatica luhmanniana che governa questo registro, lo ha trovato: è il dispositivo del 3 maggio 2005, letto accanto alla propria motivazione.</w:t>
      </w:r>
    </w:p>
    <w:p>
      <w:pPr>
        <w:spacing w:after="120" w:line="276"/>
        <w:jc w:val="both"/>
      </w:pPr>
      <w:r>
        <w:rPr>
          <w:rFonts w:ascii="Barlow Semi Condensed" w:cs="Barlow Semi Condensed" w:eastAsia="Barlow Semi Condensed" w:hAnsi="Barlow Semi Condensed"/>
          <w:sz w:val="24"/>
          <w:szCs w:val="24"/>
        </w:rPr>
        <w:t xml:space="preserve">Alla vicenda della sede il registro aggiunge la sua contabilità cumulativa, perché l'itinerario territoriale del processo è esso stesso un reperto quantificabile: istruito a Milano, trasferito a Roma, assegnato per legittima suspicione a Catanzaro, approdato per il giudizio conclusivo del primo troncone a Bari, il procedimento percorse 4 sedi e superò il migliaio di chilometri di distanza dal luogo del fatto, con la conseguenza, misurabile, che nessun giudice del merito conclusivo operò nella città della strage né a contatto con il suo tessuto testimoniale, Livello A quanto all'itinerario. Il registro si astiene dal sindacare le singole ordinanze di rimessione, ciascuna assistita dalle proprie ragioni processuali, e censisce l'effetto aggregato quale dato di sistema: la giustizia itinerante è giustizia rallentata, e nella materia stragista, dove il tempo lavora per la dispersione delle fonti e per la morte dei testimoni, il rallentamento non è mai una variabile neutra. La distanza, insegna il primo nodo della fase, è una forma silenziosa dell'ostruzione, che non richiede dolo per produrre i suoi effetti: basta la fisica.</w:t>
      </w:r>
    </w:p>
    <w:p>
      <w:pPr>
        <w:spacing w:after="120" w:line="276"/>
        <w:jc w:val="both"/>
      </w:pPr>
      <w:r>
        <w:rPr>
          <w:rFonts w:ascii="Barlow Semi Condensed" w:cs="Barlow Semi Condensed" w:eastAsia="Barlow Semi Condensed" w:hAnsi="Barlow Semi Condensed"/>
          <w:sz w:val="24"/>
          <w:szCs w:val="24"/>
        </w:rPr>
        <w:t xml:space="preserve">La parabola personale di Pietro Valpreda merita infine la sua chiusa documentale, perché essa sigilla il primo depistaggio con una data che è essa stessa un verdetto: il ballerino anarchico, la cui assoluzione definitiva il capitolo ha riportato per esteso, morì a Milano il 6 luglio 2002, quasi 3 anni prima che la pronuncia conclusiva del 3 maggio 2005 chiudesse per sempre il ciclo processuale della strage di cui era stato, per anni, il colpevole designato dinanzi al Paese, Livello A quanto alla data ed alla sequenza. Alla detenzione sofferta nella lunga custodia non seguì mai una riparazione, giacché l'istituto dell'indennizzo per l'ingiusta detenzione, introdotto dal codice del 1988, non retroagiva alle vicende anteriori, Livello A quanto al quadro normativo, sicché il conto personale del primo depistaggio si chiuse in perfetto pareggio negativo: anni di carcere, nessun colpevole della calunnia di sistema che ve lo condusse, nessun ristoro. Il registro consegna la biografia alla sua funzione di reperto: Valpreda è il caso limite in cui la macchina dell'ostruzione produsse, oltre alle vittime della strage, una vittima processuale integrale, l'uomo che attraversò da innocente l'intero arco della vicenda, dall'arresto alla morte, senza vedere né la propria riparazione né la condanna di alcuno, e la sua parabola, misurata sulle date, è la biografia individuale esatta del paradosso del giudicato che il capitolo certifica sul piano collettivo.</w:t>
      </w:r>
    </w:p>
    <w:p>
      <w:pPr>
        <w:spacing w:after="120" w:line="276"/>
        <w:jc w:val="both"/>
      </w:pPr>
      <w:r>
        <w:rPr>
          <w:rFonts w:ascii="Barlow Semi Condensed" w:cs="Barlow Semi Condensed" w:eastAsia="Barlow Semi Condensed" w:hAnsi="Barlow Semi Condensed"/>
          <w:sz w:val="24"/>
          <w:szCs w:val="24"/>
        </w:rPr>
        <w:t xml:space="preserve">Alla fenomenologia della falsa bandiera il caso milanese offre la sua prova giudiziaria più pulita, che il registro censisce quale controprova sperimentale dell'intero paradigma: il 7 aprile 1973, sul direttissimo Torino-Roma, il militante del gruppo ordinovista milanese La Fenice Nico Azzi rimase gravemente ferito dall'innesco anticipato dell'ordigno che stava armando nella toilette del treno, e l'istruttoria che ne seguì accertò con condanne definitive il piano del commando, che prevedeva di accompagnare l'attentato con tracce precostituite riconducibili all'estrema sinistra per orientarne l'attribuzione, Livello A quanto al fatto, al piano ed ai giudicati. Il valore del reperto nell'economia del capitolo è metodologico prima che storico: la strage fallita del 7 aprile è l'unico caso della serie in cui la falsa bandiera fu sequestrata intatta, per così dire, sul corpo del suo esecutore, con l'ordigno, l'attribuzione preconfezionata ed il colpevole designato colti nello stesso istante, e ciò che a piazza Fontana il registro ha dovuto ricostruire in 36 anni di gradi di giudizio, la meccanica dell'addossamento all'area anarchica, qui è documentato in flagranza, a 16 mesi esatti dalla strage madre e per mano del medesimo ambiente ideologico. Il registro consegna perciò il treno di Azzi alla sua funzione di stele: la falsa bandiera non è, nel corpus, un'inferenza degli storici, è una tecnica confessata dalle cose almeno una volta, e quella volta basta a trasformare, per tutti gli altri casi, l'ipotesi da congettura in modello documentato di cui verificare caso per caso la ricorrenza.</w:t>
      </w:r>
    </w:p>
    <w:p>
      <w:pPr>
        <w:spacing w:after="120" w:line="276"/>
        <w:jc w:val="both"/>
      </w:pPr>
      <w:r>
        <w:rPr>
          <w:rFonts w:ascii="Barlow Semi Condensed" w:cs="Barlow Semi Condensed" w:eastAsia="Barlow Semi Condensed" w:hAnsi="Barlow Semi Condensed"/>
          <w:sz w:val="24"/>
          <w:szCs w:val="24"/>
        </w:rPr>
        <w:t xml:space="preserve">La contabilità dei caduti del caso include infine il magistrato che ne aveva raccolto l'eredità istruttoria, e la cui fine consegna al registro l'ironia più nera dell'intero corpus: Emilio Alessandrini, il giudice milanese che aveva condotto con rigore la ricostruzione della pista nera sulla strage ed esteso le proprie indagini agli snodi finanziari censiti nella prima fase dell'opera, fu assassinato a Milano il 29 gennaio 1979 da un commando del gruppo armato di estrema sinistra Prima Linea, che ne rivendicò l'uccisione, ed i responsabili furono individuati e condannati con sentenze definitive, Livello A quanto al fatto, alla matrice ed ai giudicati. Il registro fissa il paradosso documentale che la biografia consegna: il magistrato che aveva contribuito a smontare l'addossamento della strage all'estrema sinistra fu ucciso dall'estrema sinistra armata, che lo colpì non per la pista nera ma per la sua efficienza complessiva di investigatore dello Stato, sicché la sua morte, estranea per matrice al capitolo, vi appartiene per funzione: essa privò simultaneamente l'istruttoria milanese sulla strage e quella sui crocevia finanziari del loro continuatore più capace, e la circostanza che i 2 fronti dell'opera, il nero delle bombe ed il grigio dei capitali, si siano trovati sguarniti dal medesimo agguato proveniente dal terzo fronte, il rosso, è la dimostrazione più cruda della tesi sistemica dell'opera, che i domini si danneggiano e si giovano a vicenda anche senza coordinarsi, per la semplice fisica delle sottrazioni: chiunque uccida un buon giudice lavora oggettivamente per tutti gli imputati di tutti i processi che quel giudice istruiva.</w:t>
      </w:r>
    </w:p>
    <w:p>
      <w:pPr>
        <w:spacing w:after="120" w:line="276"/>
        <w:jc w:val="both"/>
      </w:pPr>
      <w:r>
        <w:rPr>
          <w:rFonts w:ascii="Barlow Semi Condensed" w:cs="Barlow Semi Condensed" w:eastAsia="Barlow Semi Condensed" w:hAnsi="Barlow Semi Condensed"/>
          <w:sz w:val="24"/>
          <w:szCs w:val="24"/>
        </w:rPr>
        <w:t xml:space="preserve">La scia della strage madre attraversa il 1973 con l'attentato che il registro censisce quale suo replicante diretto: il 17 maggio 1973, nel cortile della Questura di Milano, durante la cerimonia di commemorazione del commissario ucciso l'anno precedente, alla presenza delle massime autorità con il ministro dell'interno Rumor allontanatosi pochi minuti prima, Gianfranco Bertoli lanciò una bomba a mano sulla folla uccidendo 4 persone, i cui nomi la lapide del cortile custodisce, e ferendone decine, Livello A quanto al fatto, alle vittime ed al bersaglio mancato. Il percorso giudiziario consegnò 2 verità di profondità diversa, che il registro riporta con il loro statuto: l'esecutore, presentatosi quale anarchico individualista, fu condannato all'ergastolo con sentenza definitiva e morì detenuto nel 2000, Livello A; le istruttorie successive, che ne ricostruirono i pregressi rapporti con ambienti dell'eversione ordinovista veneta e ne smontarono documentalmente l'autorappresentazione libertaria, esplorarono per decenni l'ipotesi della strage concertata con copertura anarchica, la medesima grammatica del 12 dicembre, senza approdare a giudicati ulteriori sui concorrenti, Livello B quanto alle acquisizioni sui rapporti pregressi, Livello C quanto alla catena di concorso mai certificata. Il registro colloca l'attentato nella sua funzione di cerniera: colpendo la cerimonia per Calabresi con un attentatore in maschera anarchica, la bomba della Questura replicò a distanza di 41 mesi l'intero dispositivo semiotico di piazza Fontana, la violenza attribuita per costruzione all'area che si voleva colpire politicamente, e la sua collocazione cronologica, tra la stagione dei depistaggi della strage madre e la campagna del 1974, ne fa l'anello che salda i 2 tempi del capitolo, dimostrando che la tecnica della falsa bandiera censita in flagranza sul treno di aprile era, un mese dopo, di nuovo operativa nel cuore blindato dello Stato.</w:t>
      </w:r>
    </w:p>
    <w:p>
      <w:pPr>
        <w:spacing w:after="120" w:line="276"/>
        <w:jc w:val="both"/>
      </w:pPr>
      <w:r>
        <w:rPr>
          <w:rFonts w:ascii="Barlow Semi Condensed" w:cs="Barlow Semi Condensed" w:eastAsia="Barlow Semi Condensed" w:hAnsi="Barlow Semi Condensed"/>
          <w:sz w:val="24"/>
          <w:szCs w:val="24"/>
        </w:rPr>
        <w:t xml:space="preserve">L'accusa originaria contro l'anarchico ebbe il suo intero peso su un solo teste, ed il registro ne censisce la parabola quale architrave fragile dell'errore: il tassista Cornelio Rolandi, che dichiarò di avere trasportato nel pomeriggio del 12 dicembre un passeggero con una borsa sino ai pressi della banca, riconobbe Valpreda nelle forme che la difesa contestò per l'intero processo, con un'individuazione condotta secondo modalità suggestive e con descrizioni oscillanti che gli atti documentano, e morì nel 1971, prima di ogni dibattimento, cristallizzando per sempre la propria testimonianza nello stato istruttorio, non più verificabile in contraddittorio, Livello A quanto alla deposizione, alle sue modalità ed alla morte del teste. Il registro consegna il caso alla sua funzione paradigmatica per l'intera opera: l'imputazione che tenne un innocente 3 anni in carcere e per 16 sotto processo poggiava su un riconoscimento unico, viziato nel metodo e reso incontrovertibile dalla morte del suo autore, e la sproporzione tra la fragilità di quella base e la durata dei suoi effetti è la dimostrazione inaugurale, nel primo capitolo della fase, della legge che il corpus verificherà sino all'ultimo: nei processi della stagione, il danno non lo fecero quasi mai le prove false, lo fecero le prove deboli trattate come forti, e la giustizia impiegò decenni non a smascherare menzogne, ma a ridare alle cose il loro peso.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Fontana è certificato al Livello A quale evento inaugurale della stagione stragista, con 17 vittime, e quale sede del paradosso del giudicato: la matrice ordinovista veneta della strage, riconducibile a Freda e Ventura, è affermata quale verità storica nella motivazione della sentenza definitiva del 3 maggio 2005, mentre il dispositivo irrevocabile del 1987 assolve i medesimi per insufficienza di prove e il divieto del secondo giudizio ne preclude per sempre la condanna; la pista anarchica è certificata al Livello A quale primo depistaggio della stagione, con la morte di Pinelli e la quindicennale odissea giudiziaria di Valpreda, assolto in via definitiva, quali suoi costi documentati; le assoluzioni definitive di Freda, Ventura, Giannettini, Zorzi e Maggi per questa strage sono tutte riportate per esteso.</w:t>
      </w:r>
    </w:p>
    <w:p>
      <w:pPr>
        <w:pStyle w:val="Heading3"/>
        <w:spacing w:after="80" w:before="160"/>
      </w:pPr>
      <w:r>
        <w:rPr>
          <w:rFonts w:ascii="Barlow Semi Condensed" w:cs="Barlow Semi Condensed" w:eastAsia="Barlow Semi Condensed" w:hAnsi="Barlow Semi Condensed"/>
          <w:sz w:val="24"/>
          <w:szCs w:val="24"/>
        </w:rPr>
        <w:t xml:space="preserve">Capitolo 2 — ◆ Ordine Nuovo. La matrice organizzativa e la vendetta contro il giudice</w:t>
      </w:r>
    </w:p>
    <w:p>
      <w:pPr>
        <w:spacing w:after="120" w:line="276"/>
        <w:jc w:val="both"/>
      </w:pPr>
      <w:r>
        <w:rPr>
          <w:rFonts w:ascii="Barlow Semi Condensed" w:cs="Barlow Semi Condensed" w:eastAsia="Barlow Semi Condensed" w:hAnsi="Barlow Semi Condensed"/>
          <w:sz w:val="24"/>
          <w:szCs w:val="24"/>
        </w:rPr>
        <w:t xml:space="preserve">Ordine Nuovo, il movimento della destra radicale fondato da Pino Rauti e divenuto, nelle sue articolazioni, la matrice organizzativa accertata del primo stragismo, è il nodo attraverso il quale il registro dà forma organizzativa a ciò che il capitolo precedente ha certificato quale matrice storica. La scansione del corpus registra il sintagma 881 volte in 42 documenti, la più alta frequenza del versante eversivo dopo il nome di Delle Chiaie, e il nome di Rauti 324 volte in 23 documenti. Il nodo salda il Dominio 7 al Dominio 2, attraverso la contiguità e le migrazioni con il Movimento sociale italiano, al Dominio 3, attraverso le fonti che gli apparati vi reclutarono, e al Dominio 10, attraverso lo scioglimento giudiziario e la vendetta consumata contro il magistrato che lo aveva ottenuto.</w:t>
      </w:r>
    </w:p>
    <w:p>
      <w:pPr>
        <w:spacing w:after="120" w:line="276"/>
        <w:jc w:val="both"/>
      </w:pPr>
      <w:r>
        <w:rPr>
          <w:rFonts w:ascii="Barlow Semi Condensed" w:cs="Barlow Semi Condensed" w:eastAsia="Barlow Semi Condensed" w:hAnsi="Barlow Semi Condensed"/>
          <w:sz w:val="24"/>
          <w:szCs w:val="24"/>
        </w:rPr>
        <w:t xml:space="preserve">La ricostruzione organizzativa muove dalla fondazione. Il Centro Studi Ordine Nuovo nacque nel 1956 da una scissione della corrente più radicale del Movimento sociale italiano, guidata da Pino Rauti, in polemica con la linea dell'inserimento parlamentare; nel 1969 Rauti rientrò nel partito, e la componente contraria al rientro, guidata da Clemente Graziani, diede vita al Movimento politico Ordine Nuovo, che proseguì l'attività su posizioni rivoluzionarie. Il registro certifica al Livello A, sul fondamento degli atti e della letteratura consolidata, questa duplice articolazione, e ne trae la prima annotazione: la storia di Ordine Nuovo è la storia di un movimento che oscillò costantemente sul confine tra il Dominio 2, la politica legale dell'area missina, e il Dominio 7, l'eversione armata, e le migrazioni dei suoi uomini attraverso quel confine disegnano il Pattern 7 nella sua variante più densa.</w:t>
      </w:r>
    </w:p>
    <w:p>
      <w:pPr>
        <w:spacing w:after="120" w:line="276"/>
        <w:jc w:val="both"/>
      </w:pPr>
      <w:r>
        <w:rPr>
          <w:rFonts w:ascii="Barlow Semi Condensed" w:cs="Barlow Semi Condensed" w:eastAsia="Barlow Semi Condensed" w:hAnsi="Barlow Semi Condensed"/>
          <w:sz w:val="24"/>
          <w:szCs w:val="24"/>
        </w:rPr>
        <w:t xml:space="preserve">Il primo pilastro probatorio è lo scioglimento giudiziario, che il registro certifica al Livello A quale unico caso, insieme a quello di Avanguardia Nazionale, di applicazione repubblicana della normativa contro la ricostituzione del partito fascista a un'organizzazione della destra radicale. Nel novembre 1973 il Tribunale di Roma condannò numerosi dirigenti del Movimento politico Ordine Nuovo per il reato di ricostituzione del disciolto partito fascista, e con decreto del 23 novembre 1973 il ministro dell'interno Paolo Emilio Taviani dispose lo scioglimento dell'organizzazione. Pubblico ministero di quel processo era stato il sostituto procuratore Vittorio Occorsio. Il registro certifica al Livello A la sentenza, il decreto e la titolarità dell'accusa, e annota che lo scioglimento non estinse la rete: parte dei militanti confluì nella clandestinità di Ordine Nero e delle sigle successive, secondo la dinamica di carsismo organizzativo che il registro codifica quale regolarità del dominio.</w:t>
      </w:r>
    </w:p>
    <w:p>
      <w:pPr>
        <w:spacing w:after="120" w:line="276"/>
        <w:jc w:val="both"/>
      </w:pPr>
      <w:r>
        <w:rPr>
          <w:rFonts w:ascii="Barlow Semi Condensed" w:cs="Barlow Semi Condensed" w:eastAsia="Barlow Semi Condensed" w:hAnsi="Barlow Semi Condensed"/>
          <w:sz w:val="24"/>
          <w:szCs w:val="24"/>
        </w:rPr>
        <w:t xml:space="preserve">Il secondo pilastro è la vendetta contro il magistrato, che il registro certifica al Livello A quale arco tra il Dominio 7 e il Dominio 10 nella sua forma estrema. Il 10 luglio 1976 Vittorio Occorsio, che dopo il processo per la ricostituzione aveva proseguito le indagini sui rapporti tra eversione nera e criminalità comune, fu assassinato a Roma con raffiche di mitra mentre si recava al lavoro; l'agguato fu rivendicato da Ordine Nuovo con un volantino che motivava l'esecuzione con la persecuzione giudiziaria del movimento. Per l'omicidio fu condannato all'ergastolo, con sentenza divenuta irrevocabile, Pierluigi Concutelli, comandante militare della struttura clandestina ordinovista, catturato nel 1977. La scansione del corpus registra Occorsio 191 volte in 22 documenti e Concutelli 163 volte in 23. Il registro certifica al Livello A, sul fondamento del giudicato, l'omicidio di Occorsio quale esecuzione deliberata di un magistrato da parte dell'organizzazione che egli aveva colpito, e ne trae la qualificazione sistemica: è il primo omicidio di magistrato della stagione a matrice interamente eversiva e a movente dichiaratamente ritorsivo, e certifica che l'organizzazione disponeva, dopo lo scioglimento, di una struttura militare clandestina capace di deliberare ed eseguire l'eliminazione di un servitore dello Stato. Il registro annota altresì, quale reperto di continuità che salda questa vicenda al capitolo su Brescia, che Concutelli, detenuto, strangolò in carcere nel 1981, insieme a Mario Tuti, l'imputato della strage di piazza della Loggia Ermanno Buzzi, alla vigilia del processo d'appello: l'eliminazione fisica di un imputato-testimone da parte di detenuti dell'area, certificata al Livello A dalle condanne per quell'omicidio, appartiene alla tipologia dell'ostruzione nella sua specie più radicale, la soppressione della fonte.</w:t>
      </w:r>
    </w:p>
    <w:p>
      <w:pPr>
        <w:spacing w:after="120" w:line="276"/>
        <w:jc w:val="both"/>
      </w:pPr>
      <w:r>
        <w:rPr>
          <w:rFonts w:ascii="Barlow Semi Condensed" w:cs="Barlow Semi Condensed" w:eastAsia="Barlow Semi Condensed" w:hAnsi="Barlow Semi Condensed"/>
          <w:sz w:val="24"/>
          <w:szCs w:val="24"/>
        </w:rPr>
        <w:t xml:space="preserve">Il terzo pilastro è la posizione di Pino Rauti, che il registro tratta con la disciplina integrale delle assoluzioni. Rauti, fondatore del movimento, fu ripetutamente raggiunto da indagini e imputazioni per gli eventi della stagione stragista: arrestato nel 1972 nell'ambito delle prime indagini su piazza Fontana, fu prosciolto; imputato nel nuovo ciclo processuale per la strage di piazza della Loggia, fu assolto in primo grado nel 2010 e in appello nel 2012, con pronuncia divenuta definitiva, ed è morto nel novembre 2012 senza aver mai riportato alcuna condanna per fatti di strage. Il registro riporta per esteso questa sequenza integralmente assolutoria e certifica al Livello A che Pino Rauti, fondatore di Ordine Nuovo e successivamente parlamentare e segretario del Movimento sociale italiano, non è mai stato condannato per alcuno degli eventi stragisti; la distinzione tra la responsabilità organizzativa e ideologica del fondatore, materia storiografica, e la responsabilità penale individuale, mai affermata, è per il registro invalicabile.</w:t>
      </w:r>
    </w:p>
    <w:p>
      <w:pPr>
        <w:spacing w:after="120" w:line="276"/>
        <w:jc w:val="both"/>
      </w:pPr>
      <w:r>
        <w:rPr>
          <w:rFonts w:ascii="Barlow Semi Condensed" w:cs="Barlow Semi Condensed" w:eastAsia="Barlow Semi Condensed" w:hAnsi="Barlow Semi Condensed"/>
          <w:sz w:val="24"/>
          <w:szCs w:val="24"/>
        </w:rPr>
        <w:t xml:space="preserve">Il quarto pilastro è il carsismo organizzativo successivo allo scioglimento, che il registro certifica quale regolarità strutturale del dominio e quale chiave della finestra critica del 1974. Lo scioglimento del novembre 1973 non estinse la rete umana e operativa del movimento: parte dei militanti, sottrattisi alla dissoluzione, diede vita alla sigla clandestina Ordine Nero, sotto la quale furono rivendicati numerosi attentati della campagna del 1974, e la magistratura degli anni successivi ricostruì la continuità personale e materiale tra il movimento disciolto e le formazioni clandestine che ne raccolsero l'eredità. Il registro certifica al Livello A, sul fondamento degli atti giudiziari e parlamentari convergenti, la continuità carsica tra l'organizzazione disciolta e le sigle successive quanto agli uomini e agli ambienti, e mantiene distinta, secondo la disciplina consueta, l'attribuzione dei singoli attentati rivendicati, che segue per ciascun evento il proprio statuto probatorio. L'annotazione sistemica è duplice. In primo luogo, la sequenza scioglimento-clandestinizzazione-campagna del 1974 disegna una correlazione temporale che il Pattern 3 registra: l'anno successivo allo scioglimento fu l'anno di massima intensità stragista della prima finestra, con piazza della Loggia in maggio e l'Italicus in agosto, e la trasformazione della struttura da movimento semilegale a rete clandestina accompagnò l'innalzamento della soglia omicidiaria; la correlazione è certificata quale sequenza, non quale nesso causale, che resterebbe inferenza. In secondo luogo, il carsismo certifica che lo strumento dello scioglimento amministrativo-giudiziario, da solo, non disarticola la rete: colpisce il contenitore e non i nodi, i quali si ricompongono sotto altra insegna, secondo la dinamica che la teoria dei sistemi assegna alle strutture la cui capacità di autoriproduzione risiede nelle relazioni e non nella forma giuridica; è la medesima lezione che il registro ha tratto, nella Fase 1, dalla sopravvivenza della rete piduista allo scioglimento della loggia.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Ordine Nuovo-cellula veneta-piazza Fontana, è il triangolo della matrice, certificato al Livello A quale verità storica di motivazione secondo quanto esposto nel capitolo 1. La seconda, Ordine Nuovo-Occorsio-Concutelli, è il triangolo della vendetta contro la giurisdizione, certificato al Livello A dal giudicato e costituente l'arco Dominio 7-Dominio 10 nella sua massima gravità. La terza, Ordine Nuovo-Movimento sociale italiano-migrazioni, è il triangolo della contiguità politica, certificato al Livello A quanto ai fatti organizzativi delle scissioni e dei rientri, e mantenuto rigorosamente distinto da ogni estensione di responsabilità al partito quale tale, che il registro non afferma ad alcun livello. Sul piano dei pattern, il nodo attiva il Pattern 7 nelle migrazioni tra politica legale ed eversione, e il Pattern 2, l'identificazione delle comunità, giacché la cellula ordinovista veneta, con le sue ramificazioni mestrine e milanesi, costituisce la comunità funzionale la cui azione coordinata è confermata dagli eventi certificati, secondo il criterio di validazione che il metodo prescrive.</w:t>
      </w:r>
    </w:p>
    <w:p>
      <w:pPr>
        <w:spacing w:after="120" w:line="276"/>
        <w:jc w:val="both"/>
      </w:pPr>
      <w:r>
        <w:rPr>
          <w:rFonts w:ascii="Barlow Semi Condensed" w:cs="Barlow Semi Condensed" w:eastAsia="Barlow Semi Condensed" w:hAnsi="Barlow Semi Condensed"/>
          <w:sz w:val="24"/>
          <w:szCs w:val="24"/>
        </w:rPr>
        <w:t xml:space="preserve">Alla parabola del Movimento politico che il capitolo ha censito va aggiunto il destino del suo capo, perché esso completa la statistica delle latitanze della fase. Raggiunto dalle condanne del filone sullo scioglimento, Clemente Graziani riparò all'estero e condusse la propria latitanza lungo la rotta sudamericana, chiudendola in Paraguay, dove morì nel 1996 senza aver più fatto rientro in Italia, Livello A quanto alla latitanza ed alla morte. La traiettoria certifica su scala organizzativa una regolarità che il registro eleva a teorema: lo scioglimento per via giudiziaria e ministeriale non estingue l'ambiente, ne modifica lo stato di aggregazione, dalla forma solida dell'organizzazione legale alla forma gassosa della rete clandestina e diasporica, e la mappa delle latitanze dei quadri ordinovisti, distribuita tra la penisola iberica ed il cono sudamericano, coincide con precisione cartografica con la mappa dei santuari che la Fase 5 sistematizzerà. Sicché il decreto del novembre 1973, lungi dal chiudere la storia del movimento, ne inaugurò la fase internazionale, e la repressione domestica funzionò, per eterogenesi dei fini, quale motore della transnazionalizzazione dell'ambiente: dinamica che la criminologia delle organizzazioni conosce bene e che il registro annota quale variabile permanente di ogni politica di scioglimento, il costo esterno della bonifica interna.</w:t>
      </w:r>
    </w:p>
    <w:p>
      <w:pPr>
        <w:spacing w:after="120" w:line="276"/>
        <w:jc w:val="both"/>
      </w:pPr>
      <w:r>
        <w:rPr>
          <w:rFonts w:ascii="Barlow Semi Condensed" w:cs="Barlow Semi Condensed" w:eastAsia="Barlow Semi Condensed" w:hAnsi="Barlow Semi Condensed"/>
          <w:sz w:val="24"/>
          <w:szCs w:val="24"/>
        </w:rPr>
        <w:t xml:space="preserve">Lo scioglimento va restituito nella sua meccanica a doppio atto, che ne fa un unicum ordinamentale. Il 21 novembre 1973 il Tribunale di Roma, all'esito del processo promosso contro il Centro Studi e la sua rete, condannò un folto gruppo di dirigenti e militanti, una trentina di posizioni, per il delitto di ricostituzione del disciolto partito fascista previsto dalla legge Scelba, ed il 23 novembre, a 48 ore dalla sentenza, il ministro dell'interno Paolo Emilio Taviani decretò lo scioglimento dell'organizzazione e la confisca dei beni, saldando in un solo tornante la via giudiziaria e quella amministrativa, Livello A quanto ad entrambi gli atti ed alle date, con conferme nei gradi successivi del versante penale. Il registro annota la rarità della sequenza: la legislazione attuativa della XII disposizione transitoria della Costituzione, rimasta per un quarto di secolo strumento più evocato che applicato, conobbe qui la sua applicazione maggiore, e la circostanza che essa colpisse l'organizzazione dalla quale i giudicati avrebbero poi fatto discendere la matrice del primo stragismo conferisce al provvedimento, retrospettivamente, il valore di un accertamento anticipato. Alla data dello scioglimento il movimento aveva peraltro già prodotto la propria metamorfosi carsica, secondo la dinamica che il quarto pilastro ha censito: sicché il decreto Taviani colpì la forma quando la funzione era già altrove, e la fase ne trae la conferma di un teorema che la P2 aveva già dimostrato sul versante massonico, la dissoluzione giuridica quale evento che certifica il passato dell'organizzazione assai più di quanto ne determini il futuro.</w:t>
      </w:r>
    </w:p>
    <w:p>
      <w:pPr>
        <w:spacing w:after="120" w:line="276"/>
        <w:jc w:val="both"/>
      </w:pPr>
      <w:r>
        <w:rPr>
          <w:rFonts w:ascii="Barlow Semi Condensed" w:cs="Barlow Semi Condensed" w:eastAsia="Barlow Semi Condensed" w:hAnsi="Barlow Semi Condensed"/>
          <w:sz w:val="24"/>
          <w:szCs w:val="24"/>
        </w:rPr>
        <w:t xml:space="preserve">Una parola, infine, sul nome, perché la semiotica delle denominazioni non è mai neutra in questo campo ed il registro se ne è dato carico sin dalla Fase 1. Ordine Nuovo: il sintagma, che il movimento condivideva con esperienze europee coeve e che rovesciava programmaticamente l'ordine vigente in disordine da sanare, dichiara nella sua stessa grammatica la dottrina che il capitolo 3 esporrà, la destabilizzazione quale via alla stabilizzazione autoritaria, il caos strumentale in vista dell'ordine finale. Che un'organizzazione il cui nome prometteva l'ordine sia stata giudizialmente accertata quale matrice del massimo disordine sanguinoso della Repubblica non è un'ironia della storia ma l'esatta esecuzione del programma: e la fase, che diffida delle ironie quanto delle cabale, consegna il dato alla sua sede propria, la dottrina scritta, dove il rovesciamento era teorizzato con la franchezza che soltanto i documenti di dottrina, tra tutte le carte che questo registro maneggia, si possono permettere.</w:t>
      </w:r>
    </w:p>
    <w:p>
      <w:pPr>
        <w:spacing w:after="120" w:line="276"/>
        <w:jc w:val="both"/>
      </w:pPr>
      <w:r>
        <w:rPr>
          <w:rFonts w:ascii="Barlow Semi Condensed" w:cs="Barlow Semi Condensed" w:eastAsia="Barlow Semi Condensed" w:hAnsi="Barlow Semi Condensed"/>
          <w:sz w:val="24"/>
          <w:szCs w:val="24"/>
        </w:rPr>
        <w:t xml:space="preserve">Il carsismo organizzativo va corredato della sua nomenclatura, perché le sigle sono i sedimenti visibili del fiume sotterraneo: allo scioglimento del novembre 1973 seguirono, nella galassia reduce, le denominazioni della clandestinità matura, dal Movimento politico che raccolse la militanza irriducibile alle sigle di rivendicazione quali Ordine Nero, apparse sui volantini della stagione stragista del 1974, sino alle testate ed ai fogli d'area che assicurarono la continuità dottrinale, Livello A quanto all'esistenza ed all'uso documentato delle sigle, Livello B quanto alla esatta consistenza organizzativa di ciascuna, che gli accertamenti restituirono disomogenea. Il registro trae dalla nomenclatura la sua lezione tassonomica: nella fase carsica, la sigla non designa più un'organizzazione ma una funzione, la rivendicazione, la formazione, il collegamento, e l'analista che cercasse dietro ogni denominazione un organigramma commetterebbe l'errore inverso a quello di chi nega ogni continuità. La continuità certificata è quella degli uomini e della dottrina, non delle strutture: gli stessi militanti attraversano sigle successive come si attraversano stanze, e la mappa attendibile del dopo-scioglimento è perciò prosopografica, non organizzativa, secondo il metodo che il Pattern 7 prescrive e che i giudicati della fase hanno implicitamente convalidato.</w:t>
      </w:r>
    </w:p>
    <w:p>
      <w:pPr>
        <w:spacing w:after="120" w:line="276"/>
        <w:jc w:val="both"/>
      </w:pPr>
      <w:r>
        <w:rPr>
          <w:rFonts w:ascii="Barlow Semi Condensed" w:cs="Barlow Semi Condensed" w:eastAsia="Barlow Semi Condensed" w:hAnsi="Barlow Semi Condensed"/>
          <w:sz w:val="24"/>
          <w:szCs w:val="24"/>
        </w:rPr>
        <w:t xml:space="preserve">La prosopografia del nodo si completa con la figura che ne attraversò tutti i processi maggiori uscendone sempre assolto, ed il registro la censisce per completezza di casellario: Paolo Signorelli, il docente romano tra i riferimenti ideologici dell'area ordinovista e della sua diaspora, imputato nelle istruttorie sulle stragi e sull'eversione sino al processo bolognese, dal quale uscì con assoluzione divenuta irrevocabile, come dagli altri procedimenti maggiori che lo videro alla sbarra, sicché il suo casellario definitivo, alla morte nel 2010, non registrava alcuna condanna per i fatti di strage contestatigli, Livello A quanto agli esiti assolutori riportati per esteso secondo la disciplina dell'opera. Il registro colloca la figura nella tipologia che il capitolo ha costruito: Signorelli appartiene alla categoria degli imputati seriali assolti, gli uomini che l'accusa ha inseguito per decenni attraverso più stragi senza mai ottenerne la condanna, e la disciplina impone di consegnare la categoria nella sua doppia lettura non gerarchizzabile, quella garantista, per cui la serialità delle assoluzioni misura la serialità degli errori accusatori, e quella storiografica, per cui la ricorrenza del medesimo nome in tutte le istruttorie misura la centralità di un ambiente che i processi non riuscirono a penetrare, con l'annotazione di metodo che vale per l'intera prosopografia della fase: il casellario di un uomo è un fatto, la sua biografia è un altro, e l'opera, che deve fedeltà ad entrambi, li riporta separati perché il lettore non li confonda mai.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Ordine Nuovo è certificato al Livello A quale matrice organizzativa del primo stragismo, sciolto per via giudiziaria e ministeriale nel novembre 1973 all'esito del processo per ricostituzione del partito fascista sostenuto dall'accusa di Vittorio Occorsio; l'omicidio di Occorsio del 10 luglio 1976, rivendicato dall'organizzazione ed eseguito da Pierluigi Concutelli, condannato in via definitiva, è certificato al Livello A quale arco estremo tra il Dominio 7 e il Dominio 10; l'eliminazione in carcere dell'imputato Buzzi ad opera di Concutelli e Tuti è certificata al Livello A quale specie radicale dell'ostruzione; la posizione di Pino Rauti, mai condannato e assolto in via definitiva in ogni sede, è riportata per esteso.</w:t>
      </w:r>
    </w:p>
    <w:p>
      <w:pPr>
        <w:pStyle w:val="Heading3"/>
        <w:spacing w:after="80" w:before="160"/>
      </w:pPr>
      <w:r>
        <w:rPr>
          <w:rFonts w:ascii="Barlow Semi Condensed" w:cs="Barlow Semi Condensed" w:eastAsia="Barlow Semi Condensed" w:hAnsi="Barlow Semi Condensed"/>
          <w:sz w:val="24"/>
          <w:szCs w:val="24"/>
        </w:rPr>
        <w:t xml:space="preserve">Capitolo 3 — ▶ Franco Freda e Giovanni Ventura. La cellula veneta tra condanna e giudicato assolutorio</w:t>
      </w:r>
    </w:p>
    <w:p>
      <w:pPr>
        <w:spacing w:after="120" w:line="276"/>
        <w:jc w:val="both"/>
      </w:pPr>
      <w:r>
        <w:rPr>
          <w:rFonts w:ascii="Barlow Semi Condensed" w:cs="Barlow Semi Condensed" w:eastAsia="Barlow Semi Condensed" w:hAnsi="Barlow Semi Condensed"/>
          <w:sz w:val="24"/>
          <w:szCs w:val="24"/>
        </w:rPr>
        <w:t xml:space="preserve">Franco Freda, nato a Padova l'11 febbraio 1941, editore e ideologo della destra radicale, e Giovanni Ventura, nato in provincia di Treviso nel 1944 e morto a Buenos Aires nel 2010, editore e libraio, costituiscono il nodo binario attraverso il quale il registro dà volto individuale alla cellula ordinovista veneta che il capitolo 1 ha certificato quale matrice storica della strage inaugurale. La scansione del corpus registra Freda 448 volte in 26 documenti e Ventura 359 volte in 22. Il nodo è trattato congiuntamente perché congiunta fu l'azione dei 2 nella ricostruzione giudiziaria, e perché la loro vicenda processuale, presa nel suo insieme, costituisce il più compiuto caso di scuola dell'intera opera sul rapporto tra verità storica e verità processuale.</w:t>
      </w:r>
    </w:p>
    <w:p>
      <w:pPr>
        <w:spacing w:after="120" w:line="276"/>
        <w:jc w:val="both"/>
      </w:pPr>
      <w:r>
        <w:rPr>
          <w:rFonts w:ascii="Barlow Semi Condensed" w:cs="Barlow Semi Condensed" w:eastAsia="Barlow Semi Condensed" w:hAnsi="Barlow Semi Condensed"/>
          <w:sz w:val="24"/>
          <w:szCs w:val="24"/>
        </w:rPr>
        <w:t xml:space="preserve">La ricostruzione biografica colloca i 2 al centro della cellula eversiva attiva tra Padova, Treviso e Mestre alla fine degli anni Sessanta. Freda, ideologo della disintegrazione del sistema e teorico della saldatura tra estremismi opposti in funzione antisistema, animava dalla sua casa editrice padovana un circuito politico-culturale della destra rivoluzionaria; Ventura, editore trevigiano, ne era il sodale operativo, con contatti che le indagini avrebbero rivelato estesi agli ambienti informativi. Il registro certifica al Livello A, sul fondamento dei giudicati che si diranno, l'esistenza e l'operatività della cellula facente capo ai 2 nel biennio 1968-1969.</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la campagna di attentati del 1969 anteriore alla strage. Freda e Ventura furono condannati, con sentenza divenuta irrevocabile nel ciclo processuale di Catanzaro e Bari, per l'associazione sovversiva e per la serie di attentati dinamitardi che scandirono il 1969 prima del 12 dicembre, tra cui gli ordigni del 25 aprile alla Fiera e alla stazione di Milano e le bombe collocate su 8 treni nella notte tra l'8 e il 9 agosto 1969, che ferirono 12 persone; la pena definitiva fu di 15 anni di reclusione. Il registro certifica al Livello A, sul fondamento del giudicato di condanna, la responsabilità di Freda e Ventura per la campagna di attentati del 1969, e ne trae la conseguenza strutturale: la sequenza che condusse alla strage di dicembre non fu un fulmine a ciel sereno, ma il culmine di una progressione attentatoria annuale giudizialmente accertata a carico della medesima cellula cui la motivazione definitiva del 2005 avrebbe attribuito anche la strage; la progressione, dalla dimostratività ferale delle bombe sui treni all'eccidio della banca, è il dato che le sentenze consegnano alla storia.</w:t>
      </w:r>
    </w:p>
    <w:p>
      <w:pPr>
        <w:spacing w:after="120" w:line="276"/>
        <w:jc w:val="both"/>
      </w:pPr>
      <w:r>
        <w:rPr>
          <w:rFonts w:ascii="Barlow Semi Condensed" w:cs="Barlow Semi Condensed" w:eastAsia="Barlow Semi Condensed" w:hAnsi="Barlow Semi Condensed"/>
          <w:sz w:val="24"/>
          <w:szCs w:val="24"/>
        </w:rPr>
        <w:t xml:space="preserve">Il secondo pilastro è la duplice pronuncia definitiva sulla strage, che il capitolo 1 ha esposto dal lato dell'evento e che qui si espone dal lato degli uomini, nella sua interezza formale. Per la strage di piazza Fontana, Franco Freda e Giovanni Ventura furono condannati all'ergastolo in primo grado a Catanzaro nel 1979, assolti in appello nel 1981, e, dopo annullamento con rinvio, assolti per insufficienza di prove dalla Corte d'assise d'appello di Bari nel 1985, con sentenza divenuta irrevocabile nel 1987: questa è la loro condizione giuridica perpetua rispetto alla strage, che il registro riporta per esteso. La sentenza definitiva del 3 maggio 2005, conclusiva del secondo troncone processuale a carico di altri imputati, affermò in motivazione, sul fondamento del compendio probatorio complessivo, che la strage fu opera della cellula guidata da Freda e Ventura, dando atto dell'impossibilità di perseguirli nuovamente in forza del divieto del secondo giudizio. Il registro tiene ferme, senza confonderle, le 2 certificazioni di Livello A già enunciate: l'attribuzione storica in motivazione definitiva, e l'assoluzione irrevocabile nel dispositivo del 1987. Aggiunge qui la considerazione metodologica propria del nodo: la vicenda di Freda e Ventura dimostra che il sistema processuale può produrre, sul medesimo fatto e sui medesimi soggetti, esiti formalmente definitivi e sostanzialmente divergenti a distanza di decenni, e che un registro rigoroso deve rappresentare tale divergenza anziché risolverla arbitrariamente in una delle 2 direzioni; la Regola Ferrea vieta tanto di trattare i 2 quali condannati per la strage, che non sono, quanto di tacere l'attribuzione storica contenuta nel giudicato del 2005, che esiste.</w:t>
      </w:r>
    </w:p>
    <w:p>
      <w:pPr>
        <w:spacing w:after="120" w:line="276"/>
        <w:jc w:val="both"/>
      </w:pPr>
      <w:r>
        <w:rPr>
          <w:rFonts w:ascii="Barlow Semi Condensed" w:cs="Barlow Semi Condensed" w:eastAsia="Barlow Semi Condensed" w:hAnsi="Barlow Semi Condensed"/>
          <w:sz w:val="24"/>
          <w:szCs w:val="24"/>
        </w:rPr>
        <w:t xml:space="preserve">Il terzo pilastro è il reticolo di contatti della cellula con gli ambienti informativi, che salda il nodo alla Fase 2. Le indagini accertarono che Giovanni Ventura intrattenne rapporti con Guido Giannettini, la fonte del servizio militare di cui si è detto, e che attraverso tale canale la cellula veneta si trovò in contatto con l'orbita del Reparto D; la condanna definitiva di Maletti per il favoreggiamento dell'espatrio di Giannettini e per il depistaggio certifica, come esposto nella Fase 2, che il servizio intervenne a copertura di quell'ambiente. Il registro certifica al Livello A l'esistenza del canale Ventura-Giannettini quale fatto accertato nei giudicati, e mantiene al Livello C, secondo la disciplina costante, ogni inferenza che dal contatto e dalla copertura risalga a una direzione degli eventi da parte degli apparati: il contatto è provato, la copertura è provata, la regia non lo è.</w:t>
      </w:r>
    </w:p>
    <w:p>
      <w:pPr>
        <w:spacing w:after="120" w:line="276"/>
        <w:jc w:val="both"/>
      </w:pPr>
      <w:r>
        <w:rPr>
          <w:rFonts w:ascii="Barlow Semi Condensed" w:cs="Barlow Semi Condensed" w:eastAsia="Barlow Semi Condensed" w:hAnsi="Barlow Semi Condensed"/>
          <w:sz w:val="24"/>
          <w:szCs w:val="24"/>
        </w:rPr>
        <w:t xml:space="preserve">Il quarto pilastro è la dottrina della disintegrazione del sistema, che il registro censisce quale reperto ideologico necessario alla comprensione della cellula e della sua strategia di ambiguità. Freda teorizzò, nella sua produzione pubblicistica, la disintegrazione dell'ordine democratico quale obiettivo primario, da perseguire anche attraverso la saldatura tattica tra gli estremismi opposti e l'uso strumentale della manovalanza e delle insegne altrui; la dottrina non è un dato biografico accessorio, ma la chiave dichiarata della tecnica che gli accertamenti avrebbero documentato, dall'infiltrazione dell'ambiente anarchico all'attribuzione degli attentati a mani altrui. Il registro certifica al Livello A l'esistenza e il contenuto della dottrina, quale dato documentale della pubblicistica fredaiana, e ne trae l'annotazione metodologica che la Nota dell'opera prescrive: la strategia dell'ambiguità deliberata, teorizzata dall'ambiente cui la strage è storicamente attribuita, è essa stessa la ragione per cui l'accertamento della stagione fu così arduo, giacché un metodo eversivo fondato sulla falsa attribuzione produce, per costruzione, un campo probatorio inquinato alla fonte; e la consapevolezza di questo inquinamento originario è parte del corredo critico con cui il registro legge ogni fonte della stagione, secondo la logica dell'Indice di Contaminazione che vieta di assumere le apparenze immediate degli eventi quale loro verità. Il registro annota altresì, per completezza biografica, che Freda, scontate le pene definitive, è tornato in libertà proseguendo l'attività editoriale, e che la sua condizione giuridica rispetto alla strage resta quella descritta, mentre Ventura, trasferitosi in Argentina, vi è morto nel 2010.</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Freda-Ventura-attentati del 1969, è il triangolo della progressione attentatoria, certificato al Livello A dal giudicato di condanna. La seconda, Freda-Ventura-strage di piazza Fontana, è il triangolo del paradosso del giudicato, con la duplice certificazione di Livello A esposta. La terza, Ventura-Giannettini-Reparto D, è il triangolo del contatto con gli apparati, certificato al Livello A quanto al canale e alla copertura e mantenuto al Livello C quanto alla regia. Sul piano dei pattern, il nodo attiva il Pattern 6 nella sua funzione storica, quale caso in cui la competizione tra ipotesi si è protratta per 36 anni di processi producendo il più complesso esito bifronte dell'ordinamento; e il Pattern 3, giacché la progressione attentatoria del 1969 disegna, entro un solo anno, l'escalation dalla dimostratività alla strage che l'analisi temporale identifica quale firma della finestra critica inaugurale.</w:t>
      </w:r>
    </w:p>
    <w:p>
      <w:pPr>
        <w:spacing w:after="120" w:line="276"/>
        <w:jc w:val="both"/>
      </w:pPr>
      <w:r>
        <w:rPr>
          <w:rFonts w:ascii="Barlow Semi Condensed" w:cs="Barlow Semi Condensed" w:eastAsia="Barlow Semi Condensed" w:hAnsi="Barlow Semi Condensed"/>
          <w:sz w:val="24"/>
          <w:szCs w:val="24"/>
        </w:rPr>
        <w:t xml:space="preserve">La parabola dei 2 uomini si completa con il capitolo delle fughe, che appartiene alla geografia internazionale della protezione censita in questa fase. Nell'autunno 1978, nelle more del giudizio catanzarese, Freda si sottrasse al soggiorno obbligato cui era sottoposto e riparò in Costa Rica, dove fu rintracciato ed arrestato nell'agosto 1979 e donde fu ricondotto in Italia per la prosecuzione del giudizio; Ventura, evaso a sua volta, raggiunse l'Argentina, dove la richiesta estradizionale italiana non conseguì mai la consegna, Livello A quanto alle scansioni delle fughe e degli esiti. Il registro annota la biforcazione quale esperimento naturale sulla resa dei circuiti estradizionali: 2 coimputati del medesimo processo, 2 rotte latinoamericane, 2 esiti opposti, e la variabile discriminante, la diversa disponibilità cooperativa degli Stati di rifugio, appartiene alla mappa che la Fase 5 sistematizzerà sotto il titolo delle capitali-rifugio.</w:t>
      </w:r>
    </w:p>
    <w:p>
      <w:pPr>
        <w:spacing w:after="120" w:line="276"/>
        <w:jc w:val="both"/>
      </w:pPr>
      <w:r>
        <w:rPr>
          <w:rFonts w:ascii="Barlow Semi Condensed" w:cs="Barlow Semi Condensed" w:eastAsia="Barlow Semi Condensed" w:hAnsi="Barlow Semi Condensed"/>
          <w:sz w:val="24"/>
          <w:szCs w:val="24"/>
        </w:rPr>
        <w:t xml:space="preserve">Alla cellula veneta appartiene infine un esito assolutorio che la disciplina del registro impone di riportare: Massimiliano Fachini, esponente dell'ordinovismo padovano gravitante nell'orbita della cellula, imputato quale concorrente nella strage di Bologna, fu assolto in via definitiva da quell'accusa nel ciclo processuale concluso nei primi anni 90, Livello A, e la sua posizione, accusata e liberata, completa la statistica giudiziaria di un ambiente, quello veneto, che i giudicati hanno raggiunto per la campagna del 1969 e per la matrice storica di piazza Fontana, e non oltre: il perimetro esatto, né più largo né più stretto, entro il quale il registro consente a sé stesso di parlare di cellula.</w:t>
      </w:r>
    </w:p>
    <w:p>
      <w:pPr>
        <w:spacing w:after="120" w:line="276"/>
        <w:jc w:val="both"/>
      </w:pPr>
      <w:r>
        <w:rPr>
          <w:rFonts w:ascii="Barlow Semi Condensed" w:cs="Barlow Semi Condensed" w:eastAsia="Barlow Semi Condensed" w:hAnsi="Barlow Semi Condensed"/>
          <w:sz w:val="24"/>
          <w:szCs w:val="24"/>
        </w:rPr>
        <w:t xml:space="preserve">Alla campagna del 1969 anteriore alla strage va restituita la sua progressione documentata, perché in essa i giudici lessero la firma seriale della cellula: gli ordigni del 25 aprile alla Fiera campionaria ed alla stazione centrale di Milano, con decine di feriti, e quindi, nella notte tra l'8 ed il 9 agosto, la campagna dei treni, 10 ordigni collocati su convogli in viaggio lungo la dorsale, dei quali 8 esplosero provocando 12 feriti, in un crescendo che le sentenze qualificarono quale sperimentazione progressiva della tecnica e del terrore, Livello A quanto ai fatti ed alla loro attribuzione giudicata. La condanna definitiva a 15 anni per l'associazione sovversiva e per questa campagna, che il capitolo ha già certificato, si arresta esattamente sulla soglia del 12 dicembre: ed è su quella soglia che si colloca il secondo pilastro, la cui formula terminale merita ora l'analisi che la storia del diritto le deve. L'assoluzione pronunciata a Bari il 1° agosto 1985 fu resa nella formula dell'insufficienza di prove, l'istituto del codice previgente che consentiva al giudice di assolvere dubitando: una formula che non proclamava l'innocenza ma certificava l'impotenza dell'accertamento, e che il codice del 1988 avrebbe abolito proprio per la sua ambiguità costitutiva, Livello A quanto alla formula ed alla sua successiva abrogazione. Il registro annota la conseguenza permanente: i 2 uomini della cellula veneta uscirono dal processo per la strage né condannati né dichiarati innocenti, sospesi in una terra di mezzo che il diritto successivo ha soppresso senza poterla retroattivamente bonificare, e la verità storica di motivazione consacrata nel 2005 convive da allora con quel giudicato dubitativo in un equilibrio che non ha eguali nell'ordinamento: assolti per sempre con la formula del dubbio, indicati per sempre nella motivazione della certezza.</w:t>
      </w:r>
    </w:p>
    <w:p>
      <w:pPr>
        <w:spacing w:after="120" w:line="276"/>
        <w:jc w:val="both"/>
      </w:pPr>
      <w:r>
        <w:rPr>
          <w:rFonts w:ascii="Barlow Semi Condensed" w:cs="Barlow Semi Condensed" w:eastAsia="Barlow Semi Condensed" w:hAnsi="Barlow Semi Condensed"/>
          <w:sz w:val="24"/>
          <w:szCs w:val="24"/>
        </w:rPr>
        <w:t xml:space="preserve">Resta la figura professionale che accomunò i 2 uomini e che il registro censisce quale reperto di copertura: l'editoria. Freda con le sue Edizioni di Ar, officina della ristampa della testualità della destra radicale europea, Ventura con le proprie sigle e librerie trevigiane: la cellula operativa si presentò al mondo quale impresa culturale, e la copertura non fu casuale ma funzionale, giacché il commercio librario forniva insieme legittimazione intellettuale, rete di contatti interregionale e giustificazione documentale per viaggi, spedizioni e magazzini, Livello A quanto alle attività editoriali documentate, Livello B quanto alla loro lettura funzionale nelle ricostruzioni istruttorie. La fase vi riconosce una costante che ritroverà a Lisbona nel capitolo seguente: l'agenzia di stampa, la casa editrice, la libreria quali involucri d'elezione delle strutture clandestine del periodo, per la ragione strutturale che il Dominio 8 è l'unico il cui traffico ordinario, informazioni, carta, persone in movimento, coincide esattamente con il traffico che una rete cospirativa deve occultare. Dove altri seppelliscono, l'eversore colto pubblica: e la biblioteca, insegna il caso veneto, può essere un arsenale con il dorso rilegato.</w:t>
      </w:r>
    </w:p>
    <w:p>
      <w:pPr>
        <w:spacing w:after="120" w:line="276"/>
        <w:jc w:val="both"/>
      </w:pPr>
      <w:r>
        <w:rPr>
          <w:rFonts w:ascii="Barlow Semi Condensed" w:cs="Barlow Semi Condensed" w:eastAsia="Barlow Semi Condensed" w:hAnsi="Barlow Semi Condensed"/>
          <w:sz w:val="24"/>
          <w:szCs w:val="24"/>
        </w:rPr>
        <w:t xml:space="preserve">All'origine dell'intera pista veneta sta una fonte civile che il registro deve censire per nome, perché senza di essa la matrice non sarebbe mai emersa: Guido Lorenzon, insegnante trevigiano legato a Ventura da lunga amicizia, che nelle settimane successive al 12 dicembre 1969 riferì al proprio avvocato, e per suo tramite all'autorità giudiziaria, le confidenze ricevute dall'amico sulla campagna attentatoria dell'anno e sulla strage, consegnando all'istruttoria i primi fili concreti verso la cellula, Livello A quanto alla denuncia, alla sua data ed al suo contenuto agli atti. Il calvario che ne seguì appartiene alla fenomenologia del teste scomodo e il registro lo riporta nel suo esito: esposto per anni tra ritrattazioni parziali maturate sotto pressione e successive conferme, sottoposto egli stesso a procedimento per le proprie dichiarazioni e definitivamente prosciolto, Lorenzon attraversò l'intero ciclo processuale quale fonte contesa prima che le acquisizioni successive ne consolidassero il nucleo, Livello A quanto agli esiti personali. Il registro assegna alla figura la sua funzione paradigmatica: nell'economia del caso, il primo squarcio sulla matrice non venne da un apparato, da un pentito o da un archivio, ma da un cittadino che riferì ciò che sapeva per il tramite ordinario di un legale, e la sproporzione tra la semplicità civile di quel gesto e la mole delle ostruzioni che l'opera ha censito sul medesimo caso è, in sé, una misura: la verità disponibile nel dicembre 1969 impiegò 36 anni a diventare motivazione di sentenza, e non perché mancasse chi l'aveva detta.</w:t>
      </w:r>
    </w:p>
    <w:p>
      <w:pPr>
        <w:spacing w:after="120" w:line="276"/>
        <w:jc w:val="both"/>
      </w:pPr>
      <w:r>
        <w:rPr>
          <w:rFonts w:ascii="Barlow Semi Condensed" w:cs="Barlow Semi Condensed" w:eastAsia="Barlow Semi Condensed" w:hAnsi="Barlow Semi Condensed"/>
          <w:sz w:val="24"/>
          <w:szCs w:val="24"/>
        </w:rPr>
        <w:t xml:space="preserve">Il fascicolo delle protezioni istituzionali alla cellula contiene l'episodio che il registro censisce quale suo esemplare perfetto, rinviando alla fase seconda per gli esiti giudiziari sui responsabili: nel gennaio 1973 Marco Pozzan, l'uomo dell'ambiente padovano di Freda che costituiva uno dei testi potenzialmente decisivi dell'istruttoria sulla strage, fu esfiltrato in Spagna franchista con documenti di copertura predisposti dal servizio militare, in un'operazione condotta da ufficiali del reparto D che le sentenze definitive censite nella fase dedicata agli apparati avrebbero poi sanzionato quale favoreggiamento, Livello A quanto all'operazione, alle sue modalità ed ai giudicati sui suoi autori. Il registro fissa il valore sistemico dell'episodio nell'economia di questo capitolo: l'esfiltrazione Pozzan non è un depistaggio informativo, categoria di cui il corpus abbonda, ma un'operazione logistica materiale con cui un apparato dello Stato sottrasse fisicamente all'autorità giudiziaria un teste dell'istruttoria sulla più grave strage della Repubblica, trasportandolo sotto falso nome nel santuario iberico censito da quest'opera, e la sua certificazione con sentenza definitiva la rende il punto più alto e meno controvertibile dell'intera scala delle ostruzioni: qui non occorre inferire, pesare livelli o confrontare ipotesi, perché la Repubblica ha già scritto, in un giudicato, che un pezzo di sé nascose un pezzo della verità sul 12 dicembre, e tutto ciò che il metodo aggiunge è la collocazione del punto fermo dentro la serie, dove esso funziona da pietra di paragone: ogni altra ostruzione censita dal capitolo va misurata chiedendosi quanto le manchi per essere una Pozzan, e la risposta, quasi sempre, è soltanto la fortuna documentale di una condanna.</w:t>
      </w:r>
    </w:p>
    <w:p>
      <w:pPr>
        <w:spacing w:after="120" w:line="276"/>
        <w:jc w:val="both"/>
      </w:pPr>
      <w:r>
        <w:rPr>
          <w:rFonts w:ascii="Barlow Semi Condensed" w:cs="Barlow Semi Condensed" w:eastAsia="Barlow Semi Condensed" w:hAnsi="Barlow Semi Condensed"/>
          <w:sz w:val="24"/>
          <w:szCs w:val="24"/>
        </w:rPr>
        <w:t xml:space="preserve">Il paradosso terminale del caso esige il suo censimento esplicito, perché in esso l'intera fase trova la propria formula giuridica: le motivazioni conclusive dell'ultima stagione processuale milanese, confermate dal giudizio di legittimità del 2005, affermarono che la strage del 12 dicembre fu opera della cellula ordinovista veneta riconducibile ai 2 principali imputati storici, e simultaneamente ne dichiararono l'improcessabilità, essendo entrambi coperti dall'irrevocabilità delle assoluzioni pronunciate nel ciclo catanzarese-barese e divenute definitive nel 1987, per l'operare del divieto di secondo giudizio, Livello A quanto al contenuto delle motivazioni ed al loro fondamento nel ne bis in idem. Il registro isola il dispositivo logico che ne risulta, unico nell'intero corpus: la Repubblica possiede, sul proprio evento fondativo oscuro, una verità giudiziaria nominativa scritta in una sentenza definitiva, e possiede, nella stessa sentenza, la certificazione che quella verità non produrrà mai una condanna, sicché piazza Fontana è insieme il caso più risolto ed il più impunito della fase, risolto quanto alla storia ed impunito quanto al diritto, con i 2 esiti saldati per sempre nel medesimo atto. La lezione che il registro ne trae governa retrospettivamente l'intera architettura dell'opera: la distinzione metodologica tra verità processuale e responsabilità eseguibile, che il metodo ha applicato in ogni capitolo, non è una raffinatezza accademica ma la condizione reale del corpus, dove il massimo che la giustizia italiana ha saputo produrre sul proprio 12 dicembre è una sentenza che indica i colpevoli con una mano e con l'altra ne sigilla l'impunità, ed il registro, che deve fedeltà agli atti, consegna il paradosso senza attenuarlo, perché esso non è un difetto della ricostruzione, è il risultato.</w:t>
      </w:r>
    </w:p>
    <w:p>
      <w:pPr>
        <w:spacing w:after="120" w:line="276"/>
        <w:jc w:val="both"/>
      </w:pPr>
      <w:r>
        <w:rPr>
          <w:rFonts w:ascii="Barlow Semi Condensed" w:cs="Barlow Semi Condensed" w:eastAsia="Barlow Semi Condensed" w:hAnsi="Barlow Semi Condensed"/>
          <w:sz w:val="24"/>
          <w:szCs w:val="24"/>
        </w:rPr>
        <w:t xml:space="preserve">La geografia dei bersagli della stagione esige infine il suo censimento settoriale, che il registro formula quale pattern trasversale: la ferrovia fu il bersaglio strutturale ricorrente dell'intero arco stragista, dagli ordigni sui convogli del 12 dicembre 1969, coevi alla banca milanese, alla strage dell'Italicus nella galleria appenninica del 1974, sino al rapido 904 del dicembre 1984 nella medesima tratta, una persistenza di obiettivo che attraversa 15 anni, matrici giudiziariamente diverse e 3 distinte stagioni della violenza censite dal corpus, Livello A quanto alla serie degli attacchi ed ai rispettivi giudicati. Il registro consegna la persistenza alla sua lettura funzionale: il treno riunisce in un solo bersaglio le proprietà che una strategia del terrore ricerca, la concentrazione indifesa di vittime casuali, la simbologia dello Stato che connette il Paese, la vulnerabilità tecnica delle percorrenze obbligate, e la circostanza che matrici diverse, l'eversione nera giudicata per l'Italicus e la committenza mafiosa giudicata per il 904, abbiano eletto nel tempo il medesimo obiettivo sulla medesima dorsale dimostra la tesi che questa fase ha costruito capitolo per capitolo: le stagioni della violenza italiana, giudiziariamente distinte, condivisero una grammatica operativa comune, un repertorio di bersagli e di metodi che migrò tra campi diversi come migra una tecnologia, e la storia delle stragi italiane è anche la storia di questa grammatica che nessun processo poteva imputare, perché le grammatiche non hanno mandanti, hanno parlanti.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Freda-Ventura è certificato al Livello A quanto alla condanna definitiva a 15 anni per l'associazione sovversiva e per la campagna di attentati del 1969, comprese le bombe sugli 8 treni dell'agosto; quanto alla strage di piazza Fontana, la condizione giuridica dei 2 è l'assoluzione irrevocabile per insufficienza di prove del 1987, riportata per esteso, mentre l'attribuzione storica della strage alla loro cellula è affermata nella motivazione della sentenza definitiva del 2005, e le 2 certificazioni coesistono quale paradosso del giudicato; il canale Ventura-Giannettini verso il Reparto D è certificato al Livello A quanto al contatto e alla copertura, ferma l'ipoteticità della regia.</w:t>
      </w:r>
    </w:p>
    <w:p>
      <w:pPr>
        <w:pStyle w:val="Heading3"/>
        <w:spacing w:after="80" w:before="160"/>
      </w:pPr>
      <w:r>
        <w:rPr>
          <w:rFonts w:ascii="Barlow Semi Condensed" w:cs="Barlow Semi Condensed" w:eastAsia="Barlow Semi Condensed" w:hAnsi="Barlow Semi Condensed"/>
          <w:sz w:val="24"/>
          <w:szCs w:val="24"/>
        </w:rPr>
        <w:t xml:space="preserve">Capitolo 4 — ◆ Aginter Press. La centrale di Lisbona e l'internazionale della sovversione</w:t>
      </w:r>
    </w:p>
    <w:p>
      <w:pPr>
        <w:spacing w:after="120" w:line="276"/>
        <w:jc w:val="both"/>
      </w:pPr>
      <w:r>
        <w:rPr>
          <w:rFonts w:ascii="Barlow Semi Condensed" w:cs="Barlow Semi Condensed" w:eastAsia="Barlow Semi Condensed" w:hAnsi="Barlow Semi Condensed"/>
          <w:sz w:val="24"/>
          <w:szCs w:val="24"/>
        </w:rPr>
        <w:t xml:space="preserve">Aginter Press, la struttura clandestina operante a Lisbona sotto copertura di agenzia di stampa dal 1966 al 1974, diretta da Yves Guérin-Sérac, è il nodo attraverso il quale il registro apre la dimensione internazionale della fase e certifica l'esistenza di una centrale estera di formazione, propaganda e collegamento dell'eversione anticomunista con proiezioni documentate verso l'Italia. La scansione del corpus registra Aginter 875 volte in 26 documenti e Guérin 182 volte in 13: la frequenza elevatissima riflette la presenza nel corpus tanto dei documenti originali della struttura quanto di 7 monografie di approfondimento che il registro ha dedicato alle sue proiezioni geografiche, dall'Africa australe all'Asia. Il nodo salda il Dominio 7 al Dominio 3, quale struttura in rapporto con apparati di sicurezza, e al Dominio 8, quale caso paradigmatico dell'uso della copertura giornalistica come schermo dell'attività clandestina.</w:t>
      </w:r>
    </w:p>
    <w:p>
      <w:pPr>
        <w:spacing w:after="120" w:line="276"/>
        <w:jc w:val="both"/>
      </w:pPr>
      <w:r>
        <w:rPr>
          <w:rFonts w:ascii="Barlow Semi Condensed" w:cs="Barlow Semi Condensed" w:eastAsia="Barlow Semi Condensed" w:hAnsi="Barlow Semi Condensed"/>
          <w:sz w:val="24"/>
          <w:szCs w:val="24"/>
        </w:rPr>
        <w:t xml:space="preserve">La certificazione del nodo poggia su una circostanza documentale eccezionale, che lo distingue da quasi ogni altro nodo dell'opera: la caduta del regime portoghese nell'aprile 1974, con la Rivoluzione dei garofani, produsse la scoperta e il sequestro degli archivi della struttura, sicché Aginter Press è documentata non da testimonianze o da ricostruzioni, ma dalle sue stesse carte, parte delle quali è presente nel corpus. Il registro certifica al Livello A, sul fondamento della documentazione sequestrata e degli atti che la recepirono, i tratti costitutivi della struttura: la fondazione a Lisbona nel settembre 1966 ad opera di Yves Guérin-Sérac, pseudonimo di Yves Guillou, già ufficiale francese transitato per l'Organisation de l'Armée Secrète e riparato nel Portogallo salazarista; la copertura di agenzia di stampa, con corrispondenti e materiale pubblicistico; la natura reale di centro di reclutamento, addestramento e propaganda anticomunista, operante in raccordo con la polizia politica portoghese e in contatto con ambienti e apparati di più Paesi; e l'articolazione interna, documentata dalle carte, in strutture dedicate all'azione, alla formazione e alla penetrazione informativa. La conferma empirica della regolarità già codificata dal registro è qui integrale: anche questo archivio non si aprì spontaneamente, ma per effetto del collasso del regime che lo ospitava.</w:t>
      </w:r>
    </w:p>
    <w:p>
      <w:pPr>
        <w:spacing w:after="120" w:line="276"/>
        <w:jc w:val="both"/>
      </w:pPr>
      <w:r>
        <w:rPr>
          <w:rFonts w:ascii="Barlow Semi Condensed" w:cs="Barlow Semi Condensed" w:eastAsia="Barlow Semi Condensed" w:hAnsi="Barlow Semi Condensed"/>
          <w:sz w:val="24"/>
          <w:szCs w:val="24"/>
        </w:rPr>
        <w:t xml:space="preserve">Il primo pilastro probatorio è la proiezione italiana, che il registro tratta con la disciplina graduata che la materia impone. Le carte sequestrate e gli atti istruttori italiani, in particolare l'istruttoria milanese degli anni Novanta, documentarono contatti e collegamenti tra la struttura di Lisbona e gli ambienti dell'eversione nera italiana, con riferimento alla circolazione di uomini, di materiale propagandistico e di tecniche; la figura di collegamento più frequentemente indicata dagli atti è quella di esponenti dell'area di Avanguardia Nazionale e dell'ordinovismo, e la monografia del corpus dedicata al rapporto tra Stefano Delle Chiaie e Aginter Press ne ha vagliato criticamente la consistenza, concludendo per un rapporto documentato nei contatti ma controverso nella qualificazione. Il registro certifica al Livello B, sul fondamento della convergenza tra le carte sequestrate e gli atti istruttori, l'esistenza di collegamenti tra Aginter Press e ambienti dell'eversione nera italiana; e mantiene al Livello C l'attribuzione alla struttura di un ruolo operativo in specifici eventi stragisti italiani, che nessun giudicato ha accertato. La distinzione tra il collegamento documentato e l'operatività congetturata è la sostanza della disciplina, e il registro annota che Guérin-Sérac non è mai stato condannato in Italia per alcun fatto della stagione.</w:t>
      </w:r>
    </w:p>
    <w:p>
      <w:pPr>
        <w:spacing w:after="120" w:line="276"/>
        <w:jc w:val="both"/>
      </w:pPr>
      <w:r>
        <w:rPr>
          <w:rFonts w:ascii="Barlow Semi Condensed" w:cs="Barlow Semi Condensed" w:eastAsia="Barlow Semi Condensed" w:hAnsi="Barlow Semi Condensed"/>
          <w:sz w:val="24"/>
          <w:szCs w:val="24"/>
        </w:rPr>
        <w:t xml:space="preserve">Il secondo pilastro è la funzione di Aginter Press nella verifica di H1, che ne fa uno dei nodi analiticamente più preziosi della fase. La struttura di Lisbona è, per collocazione e finalità documentate, una centrale anticomunista dell'estremo campo occidentale: nacque nel Portogallo dell'Estado Novo, operò in raccordo con la sua polizia politica, arruolò reduci delle guerre coloniali e dell'Organisation de l'Armée Secrète, e la sua produzione documentale, presente nel corpus, teorizza la guerra rivoluzionaria contro la sovversione comunista. Il registro certifica al Livello A questa collocazione, e ne trae la conseguenza per il bilancio dell'ipotesi H1: la più documentata centrale internazionale collegata all'eversione nera europea è una struttura anticomunista occidentale, radicata in un regime alleato dell'Occidente, e la sua esistenza conferma, ancora una volta, che la dimensione internazionale certificata del fenomeno si colloca sul versante occidentale del confronto bipolare; nulla, nelle carte sequestrate e negli atti, documenta una convergenza con il blocco sovietico, e l'ipotesi H1 non trova nel nodo alcun sostegno.</w:t>
      </w:r>
    </w:p>
    <w:p>
      <w:pPr>
        <w:spacing w:after="120" w:line="276"/>
        <w:jc w:val="both"/>
      </w:pPr>
      <w:r>
        <w:rPr>
          <w:rFonts w:ascii="Barlow Semi Condensed" w:cs="Barlow Semi Condensed" w:eastAsia="Barlow Semi Condensed" w:hAnsi="Barlow Semi Condensed"/>
          <w:sz w:val="24"/>
          <w:szCs w:val="24"/>
        </w:rPr>
        <w:t xml:space="preserve">Il terzo pilastro è l'isomorfismo strutturale con l'organizzazione Hyperion, che il registro richiama anticipatamente quale reperto analitico codificato e rinvia, per la trattazione propria, alla Fase 4. Il registro dei nodi analitici dell'opera censisce, quale acquisizione consolidata, la comparazione tra Aginter Press e la scuola di lingue Hyperion di Parigi, la struttura gravitante nell'area opposta, quella della sinistra rivoluzionaria, che gli atti sul caso Moro hanno ripetutamente lambito: le 2 strutture presentano un isomorfismo topologico compiuto, entrambe operanti all'estero sotto copertura civile, entrambe poste all'incrocio tra militanza, informazione e apparati, entrambe circondate da un alone di sospetto investigativo mai tradotto in condanna; e presentano, al contempo, regimi probatori opposti, giacché Aginter è documentata dalle sue carte sequestrate mentre Hyperion è documentata quasi soltanto da atti investigativi esterni, e nessuna connessione operativa tra le 2 è mai stata documentata. Il registro certifica al Livello A l'isomorfismo strutturale quale dato comparativo, e certifica parimenti, quale reperto negativo formale, l'assenza di connessione operativa documentata tra le 2 strutture: è il Pattern 11 nella sua applicazione più rigorosa, che discrimina tra la somiglianza di struttura, accertata, e l'origine comune, non provata, orientando verso la spiegazione della necessità funzionale, per cui contesti speculari producono strutture speculari senza bisogno di un progettista unico.</w:t>
      </w:r>
    </w:p>
    <w:p>
      <w:pPr>
        <w:spacing w:after="120" w:line="276"/>
        <w:jc w:val="both"/>
      </w:pPr>
      <w:r>
        <w:rPr>
          <w:rFonts w:ascii="Barlow Semi Condensed" w:cs="Barlow Semi Condensed" w:eastAsia="Barlow Semi Condensed" w:hAnsi="Barlow Semi Condensed"/>
          <w:sz w:val="24"/>
          <w:szCs w:val="24"/>
        </w:rPr>
        <w:t xml:space="preserve">Il quarto pilastro è la geografia delle proiezioni internazionali della centrale, che il registro ha sottoposto a verifica sistematica attraverso 7 monografie dedicate, i cui esiti consolidati appartengono al corpus e vengono qui recepiti in forma sintetica. Le carte sequestrate e la documentazione internazionale attestano che l'attività della struttura non si esaurì nel teatro europeo: le monografie hanno vagliato le proiezioni verso l'Africa australe dei regimi coloniali e segregazionisti, verso l'Africa centrale, verso l'area del Golfo, verso l'Asia orientale e il circuito delle organizzazioni anticomuniste del Pacifico, oltre alla già esposta comparazione con Hyperion. L'esito complessivo della verifica, che il registro certifica quale acquisizione consolidata, è graduato: le proiezioni verso i teatri coloniali portoghesi e verso l'Africa australe risultano le più documentate, in coerenza con la collocazione lusitana della centrale e con la sua funzione controinsurrezionale, mentre le proiezioni più remote degradano verso livelli inferiori di riscontro; e il reperto trasversale di maggior rilievo, che il registro annota quale consegna alla Fase 5, è la posizione del Sudafrica dell'apartheid quale nodo a massima intermediazione dell'intero dossier internazionale, il punto di passaggio che connette i teatri africani, le reti dei fuoriusciti europei e i circuiti della cooperazione tra regimi assediati. Il registro certifica al Livello A l'esistenza documentale delle proiezioni extraeuropee quale dato delle carte, mantiene la certificazione dei singoli teatri ai livelli graduati che le monografie hanno stabilito, e trascrive la regola comparativa che l'esercizio ha confermato: la densità documentale decresce con la distanza dal centro sequestrato, e il registro misura l'attenzione dei documenti, non l'intensità storica dei fatti, secondo l'effetto lampione che la metodologia dell'opera ha elevato a cautela permanente.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Aginter-Guérin-Sérac-polizia politica portoghese, è il triangolo costitutivo della centrale, certificato al Livello A dalle carte sequestrate. La seconda, Aginter-eversione nera italiana, è il triangolo della proiezione, certificato al Livello B quanto ai collegamenti e mantenuto al Livello C quanto all'operatività in eventi specifici. La terza, Aginter-Hyperion, è il triangolo comparativo dell'isomorfismo senza connessione, certificato al Livello A nei suoi 2 termini, la somiglianza strutturale e l'assenza di collegamento operativo documentato. Sul piano dei pattern, il nodo è la sede propria del Pattern 11 e attiva altresì il Pattern 10, l'analisi della convergenza spaziale, giacché Lisbona si aggiunge alle capitali iberiche quale zona di addensamento dell'eversione internazionale che i capitoli successivi, con le latitanze spagnole, confermeranno.</w:t>
      </w:r>
    </w:p>
    <w:p>
      <w:pPr>
        <w:spacing w:after="120" w:line="276"/>
        <w:jc w:val="both"/>
      </w:pPr>
      <w:r>
        <w:rPr>
          <w:rFonts w:ascii="Barlow Semi Condensed" w:cs="Barlow Semi Condensed" w:eastAsia="Barlow Semi Condensed" w:hAnsi="Barlow Semi Condensed"/>
          <w:sz w:val="24"/>
          <w:szCs w:val="24"/>
        </w:rPr>
        <w:t xml:space="preserve">Attorno al direttore, le carte sequestrate censiscono il nucleo ristretto dei formatori e degli operativi, con biografie che costituiscono esse stesse un reperto sociologico: uomini di provenienza analoga alla sua, reduci del collaborazionismo bellico e delle guerre coloniali perdute, tra i quali il francese Robert Leroy, impiegati nella formazione alla guerriglia ed alla contro-guerriglia, nelle tecniche di sabotaggio e nella comunicazione clandestina che i materiali interni documentano quale repertorio didattico della centrale, Livello A quanto alle identità, alle provenienze ed al repertorio documentati dagli archivi. La composizione del nucleo consegna all'analisi la genealogia professionale dell'internazionale nera: non una generazione ideologica nuova, ma il riciclo organizzato delle competenze operative maturate nei conflitti perduti del ventennio precedente, dall'Europa occupata all'Algeria, secondo quella continuità di uomini e di tecniche che fa della centrale di Lisbona il punto di raccordo tra 2 epoche della sovversione, ed il precedente diretto della merce apolide, la competenza militante quale servizio esportabile, che il capitolo successivo ritroverà nella biografia del militante globale.</w:t>
      </w:r>
    </w:p>
    <w:p>
      <w:pPr>
        <w:spacing w:after="120" w:line="276"/>
        <w:jc w:val="both"/>
      </w:pPr>
      <w:r>
        <w:rPr>
          <w:rFonts w:ascii="Barlow Semi Condensed" w:cs="Barlow Semi Condensed" w:eastAsia="Barlow Semi Condensed" w:hAnsi="Barlow Semi Condensed"/>
          <w:sz w:val="24"/>
          <w:szCs w:val="24"/>
        </w:rPr>
        <w:t xml:space="preserve">Quanto al destino giudiziario della centrale, il registro censisce l'asimmetria che lo definisce: gli atti istruttori italiani raggiunsero la struttura ed i suoi uomini con mandati ed imputazioni, ma nessun processo poté mai celebrarsi nei confronti del suo direttore, che si rese irreperibile dopo la caduta del regime portoghese e le cui tracce si perdono nei decenni successivi senza che un accertamento pubblico ne abbia mai fissato la sorte, Livello A quanto alla mancata sottoposizione a giudizio, Livello C quanto ad ogni ricostruzione del dopo. La centrale meglio documentata della stagione è così, ad un tempo, la meno giudicata: paradosso soltanto apparente, giacché la documentazione fu resa possibile dalla caduta di uno Stato straniero e la giudicabilità avrebbe richiesto la cooperazione di molti, e la fase consegna alla Fase 5 questa forbice tra il sapere degli archivi ed il potere delle giurisdizioni quale variabile strutturale di ogni contabilità internazionale.</w:t>
      </w:r>
    </w:p>
    <w:p>
      <w:pPr>
        <w:spacing w:after="120" w:line="276"/>
        <w:jc w:val="both"/>
      </w:pPr>
      <w:r>
        <w:rPr>
          <w:rFonts w:ascii="Barlow Semi Condensed" w:cs="Barlow Semi Condensed" w:eastAsia="Barlow Semi Condensed" w:hAnsi="Barlow Semi Condensed"/>
          <w:sz w:val="24"/>
          <w:szCs w:val="24"/>
        </w:rPr>
        <w:t xml:space="preserve">Il rapporto della centrale con lo Stato ospitante va infine documentato nella sua materialità, perché esso distingue Aginter da ogni struttura semplicemente tollerata: le carte sequestrate comprendono la corrispondenza operativa con la polizia politica del regime, attestante scambi informativi, coperture documentali e cooperazioni di servizio che configurano la centrale non quale ospite ma quale appaltatore, un organismo privato integrato nel dispositivo di sicurezza dello Stato salazarista e da esso impiegato sui teatri, africani ed europei, dove la mano ufficiale non poteva mostrarsi, Livello A quanto ai rapporti documentati dalle carte. È la configurazione che la Nota metodologica denomina simbiosi ospite-apparato: qui essa giace agli atti nella forma più nuda, il carteggio tra il covo e la questura, e vale quale pietra di paragone per l'intera fase, il caso in cui l'accoppiamento tra il Dominio 3 ed il Dominio 7, altrove inferito dai comportamenti, è scritto dalle parti stesse. Che un simile grado di integrazione sia divenuto conoscibile solo per il collasso rivoluzionario dello Stato protettore chiude il ragionamento sul metodo: la simbiosi è per costruzione invisibile finché il protettore vive, e la statistica delle nostre conoscenze sui santuari è perciò una statistica dei regimi caduti, con le distorsioni prospettiche che il capitolo 9 della Fase 5 misurerà sotto il nome di effetto lampione.</w:t>
      </w:r>
    </w:p>
    <w:p>
      <w:pPr>
        <w:spacing w:after="120" w:line="276"/>
        <w:jc w:val="both"/>
      </w:pPr>
      <w:r>
        <w:rPr>
          <w:rFonts w:ascii="Barlow Semi Condensed" w:cs="Barlow Semi Condensed" w:eastAsia="Barlow Semi Condensed" w:hAnsi="Barlow Semi Condensed"/>
          <w:sz w:val="24"/>
          <w:szCs w:val="24"/>
        </w:rPr>
        <w:t xml:space="preserve">Il profilo del direttore merita la scheda biografica che le carte sequestrate e la storiografia convergente consentono, perché la centrale fu, in misura rara, l'estensione organizzativa di un solo percorso individuale. Yves Guillou, in religione operativa Guérin-Sérac, ufficiale francese formatosi nei teatri di Corea e d'Algeria, approdato all'Organisation Armée Secrète nella stagione terminale dell'Algeria francese e quindi, dopo la sconfitta, all'esilio iberico, congiunse in sé le 3 componenti che la struttura di Lisbona avrebbe istituzionalizzato: la competenza militare nella guerra non convenzionale, l'integralismo cattolico di crociata quale orizzonte dottrinale, e la disponibilità del santuario portoghese quale base territoriale, Livello A quanto al percorso documentato dalle carte e dalle fonti convergenti. Il registro ne trae la definizione morfologica del nodo: Aginter non fu una filiale di apparati altrui ma una impresa ideologica in proprio, che vendette servizi, formazione, informazione, copertura, a committenti di volta in volta diversi, e questa natura mercenaria su base dottrinale, apparentemente contraddittoria, è la chiave che spiega la trasversalità delle sue proiezioni certificate.</w:t>
      </w:r>
    </w:p>
    <w:p>
      <w:pPr>
        <w:spacing w:after="120" w:line="276"/>
        <w:jc w:val="both"/>
      </w:pPr>
      <w:r>
        <w:rPr>
          <w:rFonts w:ascii="Barlow Semi Condensed" w:cs="Barlow Semi Condensed" w:eastAsia="Barlow Semi Condensed" w:hAnsi="Barlow Semi Condensed"/>
          <w:sz w:val="24"/>
          <w:szCs w:val="24"/>
        </w:rPr>
        <w:t xml:space="preserve">Dalla medesima natura discende il metodo, che i documenti interni sequestrati consegnano con una franchezza senza equivalenti nel registro: i corsi di formazione impartiti nella base portoghese contemplavano, accanto all'addestramento tecnico, la dottrina dell'infiltrazione negli ambienti dell'estrema sinistra e della provocazione sotto falsa bandiera, l'azione compiuta in modo da essere attribuita all'avversario, teorizzata nei materiali dottrinali della centrale quale strumento ordinario della guerra rivoluzionaria rovesciata, Livello A quanto al contenuto dei documenti sequestrati. Il registro sottolinea la portata epistemologica del reperto: la falsa bandiera, che nella pubblicistica è categoria inflazionata sino all'inservibilità, esiste qui non quale ipotesi ricostruttiva ma quale voce di programma didattico scritta dagli stessi operatori, e questa autodescrizione documentale, come già il Piano di Rinascita per la loggia, vale quale certificazione della grammatica delle intenzioni, ferma restando, per ogni singolo evento italiano, la necessità del riscontro specifico che la Regola Ferrea impone. All'opposto estremo dello spettro probatorio, il corpus di verifica ha sottoposto a stress-test documentale anche la più suggestiva delle connessioni evocate dalla pubblicistica internazionale attorno alla centrale, quella con i vertici della diplomazia atlantica dell'epoca: l'esito, uno Stato Zero pieno, nessun documento, nessun atto, nessuna convergenza che sostenga il collegamento, è consegnato al registro con il medesimo rilievo delle presenze, a dimostrazione operante che il metodo qui praticato cerca le connessioni per trovarle quando esistono e per escluderle quando non esistono, e che la seconda operazione non è meno feconda della prima.</w:t>
      </w:r>
    </w:p>
    <w:p>
      <w:pPr>
        <w:spacing w:after="120" w:line="276"/>
        <w:jc w:val="both"/>
      </w:pPr>
      <w:r>
        <w:rPr>
          <w:rFonts w:ascii="Barlow Semi Condensed" w:cs="Barlow Semi Condensed" w:eastAsia="Barlow Semi Condensed" w:hAnsi="Barlow Semi Condensed"/>
          <w:sz w:val="24"/>
          <w:szCs w:val="24"/>
        </w:rPr>
        <w:t xml:space="preserve">Alla copertura giornalistica della centrale va riconosciuta la sua funzione operativa specifica, che le carte sequestrate documentano nel dettaglio: l'agenzia rilasciava ai propri operativi tesserini di corrispondente, credenziali di stampa che valevano quali lasciapassare universali negli scenari di crisi, consentendo movimenti, accessi e permanenze che nessuna copertura commerciale avrebbe garantito, e la rete dei corrispondenti dichiarati coincideva, in misura documentata, con la rete degli agenti e dei formatori, Livello A quanto al sistema delle credenziali ed alla coincidenza censita nelle carte. Il registro eleva il dettaglio a teorema del Dominio 8: la stampa non fu, per la centrale, un travestimento ma un'infrastruttura, giacché lo statuto del giornalista, nato per proteggere l'osservatore, è convertibile senza residui nella protezione dell'operatore, ed il tesserino che apre le linee del fronte all'inviato le apre, identico, all'infiltrato. La fase consegna il teorema alla Fase 4, dove la figura del giornalista quale terminale di flussi riservati tornerà al centro della scena con il caso Pecorelli: mutati i teatri, la convertibilità dello statuto resta, e con essa il problema, che il registro può censire ma non risolvere, di un dominio la cui funzione costituzionale, osservare il potere, è strutturalmente esposta alla cattura da parte dell'osservato.</w:t>
      </w:r>
    </w:p>
    <w:p>
      <w:pPr>
        <w:spacing w:after="120" w:line="276"/>
        <w:jc w:val="both"/>
      </w:pPr>
      <w:r>
        <w:rPr>
          <w:rFonts w:ascii="Barlow Semi Condensed" w:cs="Barlow Semi Condensed" w:eastAsia="Barlow Semi Condensed" w:hAnsi="Barlow Semi Condensed"/>
          <w:sz w:val="24"/>
          <w:szCs w:val="24"/>
        </w:rPr>
        <w:t xml:space="preserve">Il fascicolo italiano dell'agenzia si apre con le missioni documentate dalle carte di Lisbona, che il registro censisce quale contatto fisico tra la centrale e il teatro: tra il 1967 ed il 1968 l'archivio attesta viaggi in Italia di uomini della struttura, con il luogotenente censito nel capitolo quale principale operatore delle trasferte, incontri con esponenti degli ambienti dell'estrema destra italiana che la fase terza ha processualmente ricostruito, e relazioni di missione conservate nel fondo portoghese che documentano la mappatura dei gruppi, dei referenti e delle possibilità operative della penisola, Livello A quanto ai viaggi ed alle relazioni risultanti dalle carte, Livello B quanto alla portata operativa dei contatti quale ricostruita dalle istruttorie italiane. Il registro fissa il valore cronologico del reperto, che è il suo vero contenuto: le missioni italiane dell'agenzia precedono di mesi la stagione inaugurata il 12 dicembre 1969, collocando il contatto tra la centrale lisboeta e gli ambienti italiani prima e non dopo l'inizio della campagna, e questa priorità temporale, certificata da un archivio straniero indipendente dalle fonti italiane, è uno dei pochissimi punti dell'intero corpus internazionale in cui la sequenza contatto-evento è documentalmente ordinata nel verso che le ipotesi di preparazione richiedono, con la disciplina che il registro ribadisce: l'ordine temporale rende possibile l'inferenza, non la compie, e ciò che le carte provano è che gli uomini si conobbero prima delle bombe, non che le bombe nacquero da quella conoscenza.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Press è certificato al Livello A, sul fondamento eccezionale dei suoi archivi sequestrati nel 1974, quale centrale clandestina anticomunista operante a Lisbona dal 1966 sotto copertura di agenzia di stampa, diretta da Yves Guérin-Sérac e raccordata alla polizia politica portoghese; i collegamenti con gli ambienti dell'eversione nera italiana sono certificati al Livello B, mentre l'attribuzione di un ruolo operativo in specifici eventi stragisti resta al Livello C, non essendo mai stata giudizialmente accertata; l'isomorfismo strutturale con Hyperion, in assenza di ogni connessione operativa documentata, è recepito quale reperto comparativo di Livello A e rinviato per la trattazione alla Fase 4; la collocazione integralmente occidentale e anticomunista della struttura milita, ancora una volta, contro l'ipotesi H1.</w:t>
      </w:r>
    </w:p>
    <w:p>
      <w:pPr>
        <w:pStyle w:val="Heading3"/>
        <w:spacing w:after="80" w:before="160"/>
      </w:pPr>
      <w:r>
        <w:rPr>
          <w:rFonts w:ascii="Barlow Semi Condensed" w:cs="Barlow Semi Condensed" w:eastAsia="Barlow Semi Condensed" w:hAnsi="Barlow Semi Condensed"/>
          <w:sz w:val="24"/>
          <w:szCs w:val="24"/>
        </w:rPr>
        <w:t xml:space="preserve">Capitolo 5 — ▶ Stefano Delle Chiaie. Il militante globale e la disciplina delle assoluzioni</w:t>
      </w:r>
    </w:p>
    <w:p>
      <w:pPr>
        <w:spacing w:after="120" w:line="276"/>
        <w:jc w:val="both"/>
      </w:pPr>
      <w:r>
        <w:rPr>
          <w:rFonts w:ascii="Barlow Semi Condensed" w:cs="Barlow Semi Condensed" w:eastAsia="Barlow Semi Condensed" w:hAnsi="Barlow Semi Condensed"/>
          <w:sz w:val="24"/>
          <w:szCs w:val="24"/>
        </w:rPr>
        <w:t xml:space="preserve">Stefano Delle Chiaie, nato a Caserta il 13 settembre 1936 e morto a Roma il 10 settembre 2019, fondatore di Avanguardia Nazionale, è il nodo che riceve in questa fase la trattazione propria che le fasi precedenti gli avevano promesso, e che il registro affronta quale caso limite della propria disciplina: il militante più frequentemente nominato dell'intero corpus, presente in ogni snodo della stagione eversiva e in 3 continenti, e al contempo mai condannato per alcuna strage, assolto in via definitiva in ogni processo che lo ha visto imputato per i grandi eventi. La scansione del corpus lo registra 997 volte in 46 documenti, la massima frequenza individuale del versante eversivo. Il nodo salda il Dominio 7 alla sua proiezione internazionale, e costituisce il ponte biografico verso la Fase 5, giacché la sua traiettoria attraversa la Spagna franchista, il Cile di Pinochet e la Bolivia dei regimi militari.</w:t>
      </w:r>
    </w:p>
    <w:p>
      <w:pPr>
        <w:spacing w:after="120" w:line="276"/>
        <w:jc w:val="both"/>
      </w:pPr>
      <w:r>
        <w:rPr>
          <w:rFonts w:ascii="Barlow Semi Condensed" w:cs="Barlow Semi Condensed" w:eastAsia="Barlow Semi Condensed" w:hAnsi="Barlow Semi Condensed"/>
          <w:sz w:val="24"/>
          <w:szCs w:val="24"/>
        </w:rPr>
        <w:t xml:space="preserve">La ricostruzione biografica muove dalla fondazione di Avanguardia Nazionale, l'organizzazione della destra radicale costituita da Delle Chiaie a Roma nel 1960 e divenuta, accanto a Ordine Nuovo, il secondo polo dell'eversione nera; anche Avanguardia Nazionale fu colpita dalla normativa contro la ricostituzione del partito fascista, con condanne dei suoi dirigenti e scioglimento disposto con decreto ministeriale nel giugno 1976. Il registro certifica al Livello A la fondazione, la natura e lo scioglimento dell'organizzazione, e certifica parimenti al Livello A, quale fatto già esposto nella Fase 2, la partecipazione dell'area di Avanguardia Nazionale, con il suo fondatore quale figura di riferimento, alla notte del tentativo Borghese del dicembre 1970, nel settore operativo che avrebbe dovuto occupare il Ministero dell'interno; quanto alla posizione personale di Delle Chiaie in quel procedimento, l'esito fu assolutorio, come per la generalità degli imputati nella sentenza d'appello del 1984, e il registro lo riporta per esteso, mantenendo al Livello B la sua partecipazione materiale all'azione della notte, quale dato convergente delle ricostruzioni dibattimentali non consacrato da condanna.</w:t>
      </w:r>
    </w:p>
    <w:p>
      <w:pPr>
        <w:spacing w:after="120" w:line="276"/>
        <w:jc w:val="both"/>
      </w:pPr>
      <w:r>
        <w:rPr>
          <w:rFonts w:ascii="Barlow Semi Condensed" w:cs="Barlow Semi Condensed" w:eastAsia="Barlow Semi Condensed" w:hAnsi="Barlow Semi Condensed"/>
          <w:sz w:val="24"/>
          <w:szCs w:val="24"/>
        </w:rPr>
        <w:t xml:space="preserve">Il primo pilastro probatorio è la latitanza intercontinentale, che il registro certifica al Livello A nei suoi fatti e assume quale mappa vivente della geografia internazionale dell'eversione. Espatriato clandestinamente dopo il dicembre 1970, Delle Chiaie visse latitante per 17 anni: dapprima nella Spagna franchista, dove l'area dei fuoriusciti italiani trovò accoglienza sino alla morte di Francisco Franco nel 1975 e oltre; quindi in America Latina, con presenza documentata nel Cile del regime di Pinochet, in rapporto con ambienti della polizia segreta di quel regime, e successivamente nella Bolivia dei governi militari, negli anni del golpe del 1980, in un contesto nel quale operavano reduci e criminali di guerra della diaspora nazista. Fu arrestato a Caracas, in Venezuela, il 27 marzo 1987 ed estradato in Italia. Il registro certifica al Livello A la sequenza della latitanza, dell'arresto e dell'estradizione, quali fatti documentati; certifica al Livello B, sul fondamento delle convergenti risultanze istruttorie e documentali internazionali, i rapporti dell'area di Delle Chiaie con ambienti degli apparati cileni e con il contesto boliviano dei primi anni Ottanta; e rinvia alla Fase 5 la trattazione propria di quel teatro, limitandosi qui ad annotare che la traiettoria del nodo disegna, da sola, la rotta strutturale che collega l'eversione europea ai regimi autoritari iberici e latinoamericani, la medesima rotta che la Fase 5 percorrerà con il Pattern 4 dell'analisi dei flussi.</w:t>
      </w:r>
    </w:p>
    <w:p>
      <w:pPr>
        <w:spacing w:after="120" w:line="276"/>
        <w:jc w:val="both"/>
      </w:pPr>
      <w:r>
        <w:rPr>
          <w:rFonts w:ascii="Barlow Semi Condensed" w:cs="Barlow Semi Condensed" w:eastAsia="Barlow Semi Condensed" w:hAnsi="Barlow Semi Condensed"/>
          <w:sz w:val="24"/>
          <w:szCs w:val="24"/>
        </w:rPr>
        <w:t xml:space="preserve">Il secondo pilastro è la sequenza integrale delle assoluzioni, che il registro espone per esteso quale adempimento del suo obbligo più severo. Estradato, Delle Chiaie fu processato per la strage di piazza Fontana nel troncone catanzarese e ne fu assolto dalla Corte d'assise di Catanzaro il 20 febbraio 1989, con pronuncia divenuta definitiva; per il tentativo Borghese, la sua posizione si era chiusa con l'esito assolutorio della sentenza d'appello del 1984; per la strage di Bologna non fu mai rinviato a giudizio. Egli è dunque morto, nel settembre 2019, senza aver riportato alcuna condanna per fatti di strage, e questa è la sua condizione giuridica perpetua, che il registro certifica al Livello A e antepone a ogni considerazione. Il registro dichiara qui, con la nettezza che il caso impone, la funzione metodologica del nodo: Delle Chiaie è il banco di prova della disciplina delle assoluzioni, perché nessun altro nome del versante eversivo è stato tanto insistentemente associato, nella pubblicistica e in parte degli atti, alla regia occulta della stagione; e nessun altro nome presenta un divario altrettanto ampio tra la densità del sospetto e l'esito dei giudizi. Il registro rappresenta entrambi i termini: la centralità documentale del nodo, che è un fatto misurabile, e l'integralità delle assoluzioni, che è un fatto giuridico; e vieta a sé stesso di colmare il divario in una delle 2 direzioni, né trattando la centralità quale prova di colpevolezza sfuggita ai giudici, né trattando le assoluzioni quale prova di estraneità storica a un ambiente nel quale la presenza del nodo è documentata al massimo livello.</w:t>
      </w:r>
    </w:p>
    <w:p>
      <w:pPr>
        <w:spacing w:after="120" w:line="276"/>
        <w:jc w:val="both"/>
      </w:pPr>
      <w:r>
        <w:rPr>
          <w:rFonts w:ascii="Barlow Semi Condensed" w:cs="Barlow Semi Condensed" w:eastAsia="Barlow Semi Condensed" w:hAnsi="Barlow Semi Condensed"/>
          <w:sz w:val="24"/>
          <w:szCs w:val="24"/>
        </w:rPr>
        <w:t xml:space="preserve">Il terzo pilastro è il rapporto con Aginter Press, che il capitolo precedente ha introdotto e che la monografia dedicata del corpus ha vagliato. Gli atti istruttori e parte della documentazione internazionale collocano Delle Chiaie in contatto con la centrale di Lisbona e con il suo direttore, nel quadro della circolazione di uomini e materiali tra gli ambienti dell'eversione anticomunista europea; la qualificazione di tale rapporto, quale collaborazione organica ovvero quale contiguità di ambiente, è rimasta controversa negli stessi atti. Il registro certifica al Livello B l'esistenza di contatti tra Delle Chiaie e l'orbita di Aginter Press, e mantiene al Livello C ogni qualificazione organica del rapporto, in conformità alle conclusioni della verifica monografica.</w:t>
      </w:r>
    </w:p>
    <w:p>
      <w:pPr>
        <w:spacing w:after="120" w:line="276"/>
        <w:jc w:val="both"/>
      </w:pPr>
      <w:r>
        <w:rPr>
          <w:rFonts w:ascii="Barlow Semi Condensed" w:cs="Barlow Semi Condensed" w:eastAsia="Barlow Semi Condensed" w:hAnsi="Barlow Semi Condensed"/>
          <w:sz w:val="24"/>
          <w:szCs w:val="24"/>
        </w:rPr>
        <w:t xml:space="preserve">Il quarto pilastro è l'apparato dichiarativo del nodo, che il registro sottopone alla disciplina dell'Indice di Contaminazione della Fonte. Rientrato in Italia e definite le proprie vicende processuali, Delle Chiaie fu ripetutamente audito dalle commissioni parlamentari d'inchiesta, e sino alla morte rese dichiarazioni pubbliche, interviste e memorie nelle quali rivendicò la propria estraneità alle stragi, denunciò l'uso strumentale del suo nome quale capro espiatorio della stagione, e offrì ricostruzioni degli ambienti e degli eventi che attraversò. Il registro tratta questo apparato con la graduazione che il metodo impone. Le dichiarazioni contra se sono pressoché assenti, giacché il dichiarante ha costantemente negato ogni responsabilità, e la loro assenza priva l'apparato del suo ancoraggio di massimo valore; le dichiarazioni su terzi e sul sistema provengono da un dichiarante che fu parte in causa dell'intera stagione, portatore di un interesse difensivo e narrativo permanente, e il registro le assume quali fonti di Livello C, utilizzabili soltanto ove trovino riscontro autonomo, secondo la regola che vieta di elevare la voce di un protagonista a fonte della propria vicenda. Il registro annota nondimeno un dato che la disciplina non cancella: la coerenza pluridecennale della protesta di innocenza di un uomo che, avendo affrontato i processi dopo 17 anni di latitanza, ne uscì integralmente assolto, appartiene ai fatti del nodo al pari della densità dei sospetti che lo circondarono; e la compresenza dei 2 dati, la protesta assolta e il sospetto documentale, è la sostanza stessa del caso limite che il capitolo ha dichiarato in apertura, e che il registro consegna alla riflessione senza scioglierla in una direzione che le fonti non autorizzano.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Chiaie-Avanguardia Nazionale-tentativo Borghese, è il triangolo nazionale, certificato al Livello A quanto all'organizzazione e al fatto storico del tentativo, al Livello B quanto alla partecipazione materiale personale, con l'esito assolutorio riportato. La seconda, Delle Chiaie-Spagna-America Latina, è il triangolo della latitanza intercontinentale, certificato al Livello A nei fatti e al Livello B nei rapporti con gli apparati dei regimi ospitanti, ponte dichiarato verso la Fase 5. La terza, Delle Chiaie-Aginter Press-Guérin-Sérac, è il triangolo internazionale europeo, certificato al Livello B quanto ai contatti e al Livello C quanto all'organicità. Sul piano dei pattern, il nodo presenta la più alta betweenness del versante eversivo, quale intermediario documentato tra l'eversione italiana, quella iberica e quella latinoamericana, secondo il Pattern 1; e attiva il Pattern 7 nella variante geografica delle migrazioni tra giurisdizioni, di cui costituisce il caso più esteso dell'opera.</w:t>
      </w:r>
    </w:p>
    <w:p>
      <w:pPr>
        <w:spacing w:after="120" w:line="276"/>
        <w:jc w:val="both"/>
      </w:pPr>
      <w:r>
        <w:rPr>
          <w:rFonts w:ascii="Barlow Semi Condensed" w:cs="Barlow Semi Condensed" w:eastAsia="Barlow Semi Condensed" w:hAnsi="Barlow Semi Condensed"/>
          <w:sz w:val="24"/>
          <w:szCs w:val="24"/>
        </w:rPr>
        <w:t xml:space="preserve">La geografia della latitanza merita le sue stazioni documentate, perché i 17 anni di fuga costituiscono la più estesa mappa individuale della protezione internazionale che il registro possieda. La prima stazione fu la Spagna dell'ultimo franchismo, approdo comune dell'eversione continentale, dove il fondatore di Avanguardia Nazionale operò nel reticolo degli esuli che i capitoli precedenti hanno censito; la seconda fu il Cono Sur della stagione dei regimi militari, con la presenza documentata negli ambienti operativi cileni successivi al golpe del 1973, secondo quanto emerso dagli atti istruttori italiani e dalle carte delle giurisdizioni latinoamericane, Livello A quanto ai soggiorni, Livello B quanto ai singoli contenuti operativi, ciascuno rinviato ai rispettivi accertamenti; la terza fu l'area andina, sino alla Bolivia della svolta autoritaria del 1980, teatro nel quale le ricostruzioni collocano la sua orbita tra gli apparati del nuovo regime, Livello B. La parabola si chiuse a Caracas, con l'arresto del marzo 1987 e l'estradizione in Italia, che aprì la stagione processuale domestica il cui esito integralmente assolutorio il capitolo ha già riportato per esteso, Livello A quanto ad arresto, estradizione ed esiti. Il registro consegna la mappa alla sua funzione analitica: le 4 stazioni coincidono, una per una, con gli hub della geografia internazionale che la Fase 5 certificherà, e la biografia del latitante vale perciò quale carotaggio vivente del sistema dei santuari, l'itinerario individuale che disegna, percorrendola, la rete.</w:t>
      </w:r>
    </w:p>
    <w:p>
      <w:pPr>
        <w:spacing w:after="120" w:line="276"/>
        <w:jc w:val="both"/>
      </w:pPr>
      <w:r>
        <w:rPr>
          <w:rFonts w:ascii="Barlow Semi Condensed" w:cs="Barlow Semi Condensed" w:eastAsia="Barlow Semi Condensed" w:hAnsi="Barlow Semi Condensed"/>
          <w:sz w:val="24"/>
          <w:szCs w:val="24"/>
        </w:rPr>
        <w:t xml:space="preserve">Alla stagione del rientro appartiene infine l'ultimo strato dichiarativo, che il registro sottopone alla propria disciplina della fonte. Definite le proprie pendenze con la sequenza di assoluzioni censita, Delle Chiaie divenne negli anni 90 un deponente ricorrente delle sedi parlamentari, audito dalla Commissione stragi, e un intervistato assiduo della pubblicistica, consegnando una autonarrazione nella quale rivendicava l'autonomia dell'eversione nazionale da ogni regia di apparato e respingeva ogni addebito stragista: materiale che il registro classifica al Livello C quale fonte di parte massimamente interessata, annotando il paradosso metodologico che essa incarna. L'uomo che la giustizia non è riuscita a condannare è divenuto, negli ultimi decenni, una delle fonti orali più citate sulla stagione che lo vide imputato: sicché la memoria pubblica del periodo si è in parte costruita sulla voce del suo protagonista più controverso, ed il registro, che a quella voce non concede promozioni di livello, ne censisce tuttavia l'esistenza quale dato sociologico, l'assolto quale storico di sé stesso, ultima e più raffinata forma della centralità che la rete gli aveva assegnato.</w:t>
      </w:r>
    </w:p>
    <w:p>
      <w:pPr>
        <w:spacing w:after="120" w:line="276"/>
        <w:jc w:val="both"/>
      </w:pPr>
      <w:r>
        <w:rPr>
          <w:rFonts w:ascii="Barlow Semi Condensed" w:cs="Barlow Semi Condensed" w:eastAsia="Barlow Semi Condensed" w:hAnsi="Barlow Semi Condensed"/>
          <w:sz w:val="24"/>
          <w:szCs w:val="24"/>
        </w:rPr>
        <w:t xml:space="preserve">La parabola dell'organizzazione fondata dal nodo va chiusa con il suo atto formale terminale, che replica in fotocopia la meccanica censita per Ordine Nuovo: nel giugno 1976 il Tribunale di Roma condannò il gruppo dirigente di Avanguardia Nazionale per ricostituzione del disciolto partito fascista, ed il ministro dell'interno ne decretò contestualmente lo scioglimento con confisca dei beni, secondo il doppio atto, giudiziario ed amministrativo, che 3 anni prima aveva chiuso la parabola formale del movimento gemello, Livello A quanto alla sequenza. La duplicazione della procedura sui 2 rami maggiori della destra radicale extraparlamentare consegna al registro un dato comparativo netto: la Repubblica applicò 2 volte, nell'arco di un triennio, lo strumento massimo della dissoluzione, e 2 volte lo strumento colpì organizzazioni la cui stagione operativa era già trascolorata nella clandestinità carsica, sicché l'ordinamento dimostrò di saper sciogliere ciò che era già liquido. Il registro annota la conclusione senza sarcasmo, perché essa contiene una verità istituzionale seria: gli strumenti della democrazia protetta operano sui corpi formali, e la loro efficacia si esaurisce esattamente sulla soglia oltre la quale l'avversario rinuncia alla forma, il che definisce, in negativo, il perimetro entro cui la repressione legale può giungere e oltre il quale devono lavorare, soli, l'investigazione ed il tempo.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Delle Chiaie è certificato al Livello A quale fondatore di Avanguardia Nazionale e quale figura a massima frequenza documentale del versante eversivo, con latitanza intercontinentale di 17 anni attraverso Spagna, Cile e Bolivia conclusa dall'arresto di Caracas del 27 marzo 1987; la sua condizione giuridica, certificata al Livello A e riportata per esteso, è l'assoluzione definitiva da ogni accusa di strage, da piazza Fontana nel 1989 all'esito assolutorio del procedimento Borghese, senza alcuna condanna per gli eventi della stagione; i rapporti con gli apparati dei regimi latinoamericani e con l'orbita di Aginter Press sono certificati al Livello B; il nodo è consegnato alla Fase 5 quale ponte biografico verso il teatro internazionale.</w:t>
      </w:r>
    </w:p>
    <w:p>
      <w:pPr>
        <w:pStyle w:val="Heading3"/>
        <w:spacing w:after="80" w:before="160"/>
      </w:pPr>
      <w:r>
        <w:rPr>
          <w:rFonts w:ascii="Barlow Semi Condensed" w:cs="Barlow Semi Condensed" w:eastAsia="Barlow Semi Condensed" w:hAnsi="Barlow Semi Condensed"/>
          <w:sz w:val="24"/>
          <w:szCs w:val="24"/>
        </w:rPr>
        <w:t xml:space="preserve">Capitolo 6 — ■ Peteano. La strage confessata, il depistaggio condannato e la strada verso Gladio</w:t>
      </w:r>
    </w:p>
    <w:p>
      <w:pPr>
        <w:spacing w:after="120" w:line="276"/>
        <w:jc w:val="both"/>
      </w:pPr>
      <w:r>
        <w:rPr>
          <w:rFonts w:ascii="Barlow Semi Condensed" w:cs="Barlow Semi Condensed" w:eastAsia="Barlow Semi Condensed" w:hAnsi="Barlow Semi Condensed"/>
          <w:sz w:val="24"/>
          <w:szCs w:val="24"/>
        </w:rPr>
        <w:t xml:space="preserve">La strage di Peteano, consumata il 31 maggio 1972 nella frazione di Sagrado, in provincia di Gorizia, è il nodo-evento attraverso il quale il registro certifica la configurazione probatoria più completa dell'intera stagione: l'unica strage della sequenza ad avere, congiuntamente, un esecutore reo confesso condannato in via definitiva, un depistaggio accertato con condanne di appartenenti alle forze dell'ordine e di un perito, e una filiazione istruttoria diretta verso la rivelazione della rete Gladio. La scansione del corpus registra Peteano 272 volte in 35 documenti e il nome di Vincenzo Vinciguerra 321 volte in 34. La sera del 31 maggio 1972 una telefonata anonima segnalò ai carabinieri di Gorizia una Fiat 500 abbandonata con fori di proiettile sul parabrezza; 3 militari giunti sul posto, il brigadiere Antonio Ferraro e i carabinieri Donato Poveromo e Franco Dongiovanni, furono uccisi dall'esplosione dell'ordigno collegato al cofano, e altri 2 rimasero feriti.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il depistaggio, che il registro certifica al Livello A quale caso di scuola dell'ostruzione con condanne. Le indagini furono indirizzate dapprima verso una pista di delinquenza comune locale, che condusse all'incriminazione di 6 giovani goriziani, poi prosciolti, e furono viziate da una perizia sull'esplosivo che ne occultò la natura, redatta da un consulente, Marco Morin, che era egli stesso esponente dell'area ordinovista veneta e che fu successivamente condannato per falsa perizia; per le condotte di favoreggiamento e di inquinamento dell'accertamento riportarono condanna anche ufficiali dell'Arma dei carabinieri, tra i quali il colonnello Dino Mingarelli. Il registro certifica al Livello A, sul fondamento dei giudicati, il complesso del depistaggio di Peteano nelle sue 2 componenti, la falsa pista verso innocenti e la perizia falsata, e ne trae la qualificazione tipologica: il caso appartiene alla specie dell'ostruzione tecnico-istituzionale, nella quale l'inquinamento passa per l'atto peritale e per la condotta di appartenenti all'istituzione investigante, e la circostanza che il perito depistante provenisse dal medesimo ambiente della matrice costituisce l'anello di congiunzione, giudizialmente accertato, tra l'ambiente autore e l'apparato inquinante.</w:t>
      </w:r>
    </w:p>
    <w:p>
      <w:pPr>
        <w:spacing w:after="120" w:line="276"/>
        <w:jc w:val="both"/>
      </w:pPr>
      <w:r>
        <w:rPr>
          <w:rFonts w:ascii="Barlow Semi Condensed" w:cs="Barlow Semi Condensed" w:eastAsia="Barlow Semi Condensed" w:hAnsi="Barlow Semi Condensed"/>
          <w:sz w:val="24"/>
          <w:szCs w:val="24"/>
        </w:rPr>
        <w:t xml:space="preserve">Il secondo pilastro è la confessione e la condanna dell'esecutore. Nel 1984, nel quadro dell'istruttoria condotta dal giudice istruttore di Venezia Felice Casson, che aveva riaperto il caso rilevando le anomalie della prima inchiesta, Vincenzo Vinciguerra, militante ordinovista friulano transitato per Avanguardia Nazionale, rivendicò la strage assumendone la piena e solitaria responsabilità esecutiva, qualificandola quale atto di guerra contro lo Stato e rifiutando ogni beneficio premiale; fu condannato all'ergastolo con sentenza divenuta irrevocabile, e da allora sconta la pena senza aver mai chiesto misure alternative. Il registro certifica al Livello A, sul fondamento della confessione riscontrata e del giudicato, la responsabilità esecutiva di Vinciguerra, e tratta il suo apparato dichiarativo secondo la disciplina differenziata che l'Indice di Contaminazione della Fonte impone: le dichiarazioni contra se, culminate nella confessione, possiedono il massimo valore probatorio e sono certificate; le dichiarazioni su terzi e sul sistema, nelle quali Vinciguerra ha sostenuto per decenni che gli esecutori della stagione stragista furono protetti da una struttura di sicurezza atlantica annidata negli apparati, sono dichiarazioni di un condannato coerente ma non riscontrate nella loro estensione sistemica, e il registro le mantiene al Livello B ove convergano con accertamenti autonomi, come per la protezione di cui l'ambiente ordinovista friulano godette, e al Livello C ove restino affermazione generale non riscontrata.</w:t>
      </w:r>
    </w:p>
    <w:p>
      <w:pPr>
        <w:spacing w:after="120" w:line="276"/>
        <w:jc w:val="both"/>
      </w:pPr>
      <w:r>
        <w:rPr>
          <w:rFonts w:ascii="Barlow Semi Condensed" w:cs="Barlow Semi Condensed" w:eastAsia="Barlow Semi Condensed" w:hAnsi="Barlow Semi Condensed"/>
          <w:sz w:val="24"/>
          <w:szCs w:val="24"/>
        </w:rPr>
        <w:t xml:space="preserve">Il terzo pilastro è la filiazione istruttoria verso Gladio, che salda il nodo alla Fase 2 e costituisce uno dei reperti di connessione più netti dell'intera opera. Fu l'istruttoria Casson su Peteano che, seguendo la pista dell'esplosivo e dei depositi, giunse nel 1990 a chiedere e ottenere l'accesso agli archivi del servizio militare, e fu da quel percorso istruttorio che scaturì, il 24 ottobre 1990, la rivelazione ufficiale dell'esistenza della rete stay-behind da parte del presidente del Consiglio Andreotti, certificata nella Fase 2. Il registro certifica al Livello A la sequenza istruttoria che dal caso Peteano condusse alla rivelazione di Gladio, quale fatto storico documentato; e ne precisa i limiti con il rigore consueto: la sequenza certifica che l'indagine su una strage condusse alla scoperta della rete clandestina, non che la rete clandestina eseguì o ordinò la strage, la cui responsabilità esecutiva è attribuita dal giudicato al solo Vinciguerra; il rapporto tra la strage e la rete resta definito dai materiali, l'esplosivo e l'ambiente, e dalla protezione goduta, non da un mandato accertato, e la distinzione tra la connessione materiale-ambientale, documentata, e la connessione di mandato, non provata, è l'ultima applicazione della Regola Ferrea che il capitolo consegna.</w:t>
      </w:r>
    </w:p>
    <w:p>
      <w:pPr>
        <w:spacing w:after="120" w:line="276"/>
        <w:jc w:val="both"/>
      </w:pPr>
      <w:r>
        <w:rPr>
          <w:rFonts w:ascii="Barlow Semi Condensed" w:cs="Barlow Semi Condensed" w:eastAsia="Barlow Semi Condensed" w:hAnsi="Barlow Semi Condensed"/>
          <w:sz w:val="24"/>
          <w:szCs w:val="24"/>
        </w:rPr>
        <w:t xml:space="preserve">Il quarto pilastro è la pista dell'esplosivo, che costituisce il segmento tecnico della riapertura e la cerniera materiale tra il nodo e la scoperta della rete clandestina. La perizia falsata del primo procedimento aveva occultato la natura dell'esplosivo impiegato; la riapertura istruttoria degli anni Ottanta ripartì precisamente da lì, dalla rideterminazione tecnica del materiale esplodente e dalla ricerca della sua provenienza, e fu seguendo la catena dell'esplosivo, dei detonatori e dei depositi occultati sul territorio nordorientale che l'istruttoria veneziana giunse a interrogarsi sull'esistenza di strutture clandestine dotate di depositi di armi ed esplosivi, sino alla richiesta di accesso agli archivi del servizio militare che produsse la rivelazione dell'ottobre 1990. Il registro certifica al Livello A la sequenza tecnico-istruttoria, quale percorso documentato negli atti, e ne dichiara il valore metodologico: è l'applicazione più compiuta, nell'intera opera, del paradigma indiziario assunto a fondamento della metodologia, giacché fu il dettaglio materiale, l'incongruenza di una perizia su un composto esplodente, a costituire la traccia dalla quale l'accertamento risalì, attraverso la catena delle provenienze, sino a una struttura dello Stato rimasta occulta per 4 decenni; la traiettoria dalla traccia alla struttura, compiuta in 18 anni di lavoro istruttorio, è la dimostrazione empirica che il metodo delle tracce, applicato con ostinazione, penetra anche gli occultamenti istituzionalmente presidiati. Il registro ribadisce, a chiusura del pilastro, la delimitazione già posta: la catena materiale documenta la contiguità di ambienti e di depositi, non trasferisce il mandato della strage dalla persona del condannato alla struttura scoperta, e l'inferenza resta vietata.</w:t>
      </w:r>
    </w:p>
    <w:p>
      <w:pPr>
        <w:spacing w:after="120" w:line="276"/>
        <w:jc w:val="both"/>
      </w:pPr>
      <w:r>
        <w:rPr>
          <w:rFonts w:ascii="Barlow Semi Condensed" w:cs="Barlow Semi Condensed" w:eastAsia="Barlow Semi Condensed" w:hAnsi="Barlow Semi Condensed"/>
          <w:sz w:val="24"/>
          <w:szCs w:val="24"/>
        </w:rPr>
        <w:t xml:space="preserve">Il quinto pilastro è la latitanza spagnola di Vinciguerra, che salda il nodo al capitolo precedente e completa la mappa della protezione. Dopo la strage, Vinciguerra riparò all'estero e trascorse parte della latitanza nella Spagna degli anni Settanta, nell'ambiente dei fuoriusciti dell'eversione italiana che gravitava attorno alle figure già censite, prima di essere arrestato e di rientrare nel circuito giudiziario italiano; ed è lo stesso Vinciguerra ad aver dichiarato, nel proprio apparato dichiarativo, che la protezione goduta in quegli anni dall'ambiente dei latitanti costituiva la prova vivente dell'esistenza di una rete di copertura. Il registro certifica al Livello A il fatto della latitanza estera e della sua collocazione nell'ambiente dei fuoriusciti, quale dato documentato; certifica al Livello B la protezione ambientale goduta dai latitanti dell'area nella Spagna dell'epoca, quale dato convergente di una pluralità di fonti e di vicende, ivi compresa quella di Delle Chiaie esposta nel capitolo precedente; e mantiene la qualificazione della protezione quale prova di una rete istituzionale unitaria al livello delle dichiarazioni del suo assertore, secondo la graduazione già stabilita. L'annotazione reticolare è tuttavia dovuta: la ricorrenza della medesima destinazione iberica nelle traiettorie di latitanza dei nodi della fase, da Delle Chiaie a Vinciguerra, e prima ancora nella rotta del finanziamento franchista censito nella Fase 2 sul nodo Borghese, qualifica la Spagna dell'ultimo franchismo quale zona di convergenza spaziale del Pattern 10, il territorio nel quale l'eversione italiana trovò rifugio, ambiente e retrovia; la certificazione della zona è di Livello A quanto alla ricorrenza dei fatti, e la Fase 5 ne farà uno dei propri teatri.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Peteano-falsa pista-perizia Morin, è il triangolo del depistaggio condannato, certificato al Livello A dai giudicati a carico del perito e degli ufficiali. La seconda, Peteano-Vinciguerra-confessione, è il triangolo della responsabilità esecutiva, certificato al Livello A dalla confessione riscontrata e dal giudicato. La terza, Peteano-istruttoria Casson-rivelazione di Gladio, è il triangolo della filiazione istruttoria, certificato al Livello A quanto alla sequenza storica e rigorosamente delimitato quanto alla sua portata inferenziale. Sul piano dei pattern, il nodo attiva il Pattern 5, l'analisi dei buchi strutturali, nella sua accezione investigativa: fu l'anomalia, la perizia incongrua e la pista implausibile, a costituire il varco attraverso il quale la riapertura del caso penetrò l'intera architettura dell'occultamento, secondo il paradigma indiziario che la Nota metodologica pone a fondamento dell'opera.</w:t>
      </w:r>
    </w:p>
    <w:p>
      <w:pPr>
        <w:spacing w:after="120" w:line="276"/>
        <w:jc w:val="both"/>
      </w:pPr>
      <w:r>
        <w:rPr>
          <w:rFonts w:ascii="Barlow Semi Condensed" w:cs="Barlow Semi Condensed" w:eastAsia="Barlow Semi Condensed" w:hAnsi="Barlow Semi Condensed"/>
          <w:sz w:val="24"/>
          <w:szCs w:val="24"/>
        </w:rPr>
        <w:t xml:space="preserve">Alla coppia degli esecutori il registro aggiunge la scheda del correo, che completa la mappa della protezione già censita: Carlo Cicuttini, condannato in via definitiva quale concorrente nella strage, condusse nella Spagna che questa fase ha già censito quale santuario una latitanza protrattasi per un quarto di secolo, sino alla cattura sul finire degli anni 90 ed alla consegna alla giustizia italiana, nelle cui carceri morì nel 2010, Livello A quanto alla condanna, alla latitanza ed alla cattura. La coppia degli esecutori consegna così al registro, condensata in 2 biografie divergenti, l'intera fenomenologia dei rapporti tra l'eversione ed i suoi rifugi: il confesso che rifiutò ogni protezione e scontò per intero, ed il correo che la protezione internazionale sottrasse per 25 anni all'esecuzione della pena, sicché la medesima sentenza produsse, sui 2 condannati, effetti separati da un quarto di secolo, e la distanza tra le 2 espiazioni è la misura, ancora una volta, del peso della variabile estera nella contabilità della giustizia domestica.</w:t>
      </w:r>
    </w:p>
    <w:p>
      <w:pPr>
        <w:spacing w:after="120" w:line="276"/>
        <w:jc w:val="both"/>
      </w:pPr>
      <w:r>
        <w:rPr>
          <w:rFonts w:ascii="Barlow Semi Condensed" w:cs="Barlow Semi Condensed" w:eastAsia="Barlow Semi Condensed" w:hAnsi="Barlow Semi Condensed"/>
          <w:sz w:val="24"/>
          <w:szCs w:val="24"/>
        </w:rPr>
        <w:t xml:space="preserve">Il profilo del confesso merita l'annotazione epistemologica che lo distingue da ogni altra fonte del registro: Vincenzo Vinciguerra non negoziò. La confessione del 1984 non fu accompagnata da richiesta di benefici, dissociazione premiale o collaborazione retribuita; l'esecutore rivendicò l'atto quale gesto di guerra rivoluzionaria contro lo Stato ed i suoi apparati, rifiutò lo statuto del pentito e scontò da allora, ininterrottamente, l'ergastolo divenuto irrevocabile, Livello A quanto alla condotta processuale ed al regime detentivo. Nella disciplina dell'Indice di Contaminazione della Fonte, che il registro applica ad ogni dichiarante, questa condizione colloca Vinciguerra all'estremo puro dello spettro: una fonte priva di contropartite e perciò priva del movente ordinario della fabbricazione, il cui racconto va tuttavia maneggiato con l'avvertenza speculare, che l'assenza di interesse premiale non equivale ad assenza di interesse ideologico, giacché il confesso consegna la propria verità dentro una cornice dottrinale che seleziona ciò che illumina. Il registro ne ha tratto la regola che applica all'intero suo apparato dichiarativo: la purezza negoziale della fonte ne accresce l'attendibilità sul fatto proprio e non la estende automaticamente alle chiamate in correità ed alle ricostruzioni di sistema, che restano soggette al riscontro come ogni altra.</w:t>
      </w:r>
    </w:p>
    <w:p>
      <w:pPr>
        <w:spacing w:after="120" w:line="276"/>
        <w:jc w:val="both"/>
      </w:pPr>
      <w:r>
        <w:rPr>
          <w:rFonts w:ascii="Barlow Semi Condensed" w:cs="Barlow Semi Condensed" w:eastAsia="Barlow Semi Condensed" w:hAnsi="Barlow Semi Condensed"/>
          <w:sz w:val="24"/>
          <w:szCs w:val="24"/>
        </w:rPr>
        <w:t xml:space="preserve">Resta la morfologia del bersaglio, che fa di Peteano un unicum nella serie e che l'analisi comparata deve dichiarare: tutte le stragi della stagione colpirono civili inermi in luoghi civili, la banca, la piazza, il treno, la stazione, mentre Peteano colpì, con l'esca della telefonata e dell'auto imbottita, uomini dello Stato in uniforme, carabinieri attirati in servizio. La deviazione dal modello non è un dettaglio ma una firma: essa dichiara un'azione concepita non per produrre terrore indiscriminato da attribuire all'avversario, secondo la grammatica della provocazione che il capitolo 4 ha documentato, ma per punire l'apparato stesso, secondo una logica di ritorsione interna al campo che la confessione del 1984 avrebbe poi esplicitato. Il registro consegna la differenza al Pattern 11 quale caso di anti-isomorfismo diagnostico: nella serie delle stragi, l'evento che rompe la forma è quello che, rompendola, rivela il codice della forma stessa, e non è privo di significato che proprio dalla strage anomala, la sola che aggredì lo Stato invece di servirlo, sia germinata l'istruttoria che avrebbe disvelato la rete clandestina censita nella Fase 2.</w:t>
      </w:r>
    </w:p>
    <w:p>
      <w:pPr>
        <w:spacing w:after="120" w:line="276"/>
        <w:jc w:val="both"/>
      </w:pPr>
      <w:r>
        <w:rPr>
          <w:rFonts w:ascii="Barlow Semi Condensed" w:cs="Barlow Semi Condensed" w:eastAsia="Barlow Semi Condensed" w:hAnsi="Barlow Semi Condensed"/>
          <w:sz w:val="24"/>
          <w:szCs w:val="24"/>
        </w:rPr>
        <w:t xml:space="preserve">La scheda del nodo si completa con il secondo condannato, che il registro censisce nella sua parabola integrale: Carlo Cicuttini, l'uomo della telefonata-esca identificato anche attraverso la perizia fonica sulla voce registrata, riparò in Spagna già nel 1972 e vi trascorse 26 anni di latitanza protetta nel santuario iberico censito da quest'opera, sino alla cattura del 1998, all'estradizione ed alla condanna definitiva all'ergastolo, spegnendosi detenuto nel 2010, Livello A quanto all'identificazione, alla latitanza, agli esiti ed alla morte. Il registro affianca la traiettoria a quella del complice reo confesso censito nel capitolo: i 2 uomini di Peteano percorsero le 2 strade esattamente speculari che il corpus conosce, l'uno la confessione totale senza sconti e la detenzione perpetua rivendicata, l'altro il quarto di secolo di protezione straniera e la resa finale alla giustizia soltanto per cattura, e la circostanza che entrambe le strade siano finite nello stesso punto, l'ergastolo, con 15 anni di distanza e 2 dignità documentali opposte, consegna al registro la comparazione più nitida del corpus sul valore conoscitivo delle scelte individuali: dalla strada di Vinciguerra l'opera ha ricavato un archivio, da quella di Cicuttini soltanto un casellario, e la differenza tra i 2 lasciti misura quanto della verità storica di questa fase sia dipeso non dalle istituzioni ma dalla decisione solitaria di un uomo di parlare.</w:t>
      </w:r>
    </w:p>
    <w:p>
      <w:pPr>
        <w:spacing w:after="120" w:line="276"/>
        <w:jc w:val="both"/>
      </w:pPr>
      <w:r>
        <w:rPr>
          <w:rFonts w:ascii="Barlow Semi Condensed" w:cs="Barlow Semi Condensed" w:eastAsia="Barlow Semi Condensed" w:hAnsi="Barlow Semi Condensed"/>
          <w:sz w:val="24"/>
          <w:szCs w:val="24"/>
        </w:rPr>
        <w:t xml:space="preserve">Il caso di Peteano esige infine la dichiarazione del proprio statuto eccezionale, che il registro formula quale misura dell'intera fase: la strage del 1972 è l'unica, nell'intero corpus stragista, integralmente risolta in ogni sua componente, con gli esecutori condannati in via definitiva su confessione riscontrata, il movente accertato in sentenza, la matrice ideologica dichiarata dal suo autore, ed i depistatori istituzionali processati e condannati per esteso, sicché il caso realizza, solo, la configurazione che tutte le altre stragi hanno raggiunto in forma parziale o nulla, Livello A su ogni segmento della catena. Il registro consegna l'eccezione alla sua funzione di metro: Peteano dimostra che la soluzione integrale di una strage italiana era possibile, e le condizioni che la resero possibile, la confessione volontaria di un esecutore sottrattosi ad ogni protezione, un'istruttoria condotta fuori dai circuiti inquinati, la dimensione contenuta dell'evento che non mobilitò le coperture riservate ai grandi snodi, compongono in negativo la diagnosi delle altre, perché ciò che a Peteano ci fu ed altrove mancò, la rottura interna del campo degli autori e l'assenza di interessi superiori alla verità, è esattamente l'elenco di ciò che il corpus ha censito quale meccanica dell'impunità, sicché l'unica strage risolta non è un'anomalia consolatoria, è il gruppo di controllo dell'esperimento italiano, il caso che mostra come sarebbero potute finire tutte, e perché non finirono così.</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Peteano è certificato al Livello A quale strage dalla configurazione probatoria più completa della stagione, con le 3 vittime dell'Arma nominate, l'esecutore reo confesso Vincenzo Vinciguerra condannato all'ergastolo in via definitiva, il depistaggio accertato con condanne del perito ordinovista Morin e di ufficiali dell'Arma tra cui il colonnello Mingarelli, e la filiazione istruttoria documentata dell'inchiesta Casson verso la rivelazione della rete Gladio dell'ottobre 1990; le dichiarazioni sistemiche di Vinciguerra sulla protezione atlantica degli esecutori restano graduate tra il Livello B e il Livello C secondo il riscontro, e la connessione di mandato tra la rete e la strage non è provata e non è affermata.</w:t>
      </w:r>
    </w:p>
    <w:p>
      <w:pPr>
        <w:pStyle w:val="Heading3"/>
        <w:spacing w:after="80" w:before="160"/>
      </w:pPr>
      <w:r>
        <w:rPr>
          <w:rFonts w:ascii="Barlow Semi Condensed" w:cs="Barlow Semi Condensed" w:eastAsia="Barlow Semi Condensed" w:hAnsi="Barlow Semi Condensed"/>
          <w:sz w:val="24"/>
          <w:szCs w:val="24"/>
        </w:rPr>
        <w:t xml:space="preserve">Capitolo 7 — ■ Piazza della Loggia. La strage giudicata e la fonte condannata</w:t>
      </w:r>
    </w:p>
    <w:p>
      <w:pPr>
        <w:spacing w:after="120" w:line="276"/>
        <w:jc w:val="both"/>
      </w:pPr>
      <w:r>
        <w:rPr>
          <w:rFonts w:ascii="Barlow Semi Condensed" w:cs="Barlow Semi Condensed" w:eastAsia="Barlow Semi Condensed" w:hAnsi="Barlow Semi Condensed"/>
          <w:sz w:val="24"/>
          <w:szCs w:val="24"/>
        </w:rPr>
        <w:t xml:space="preserve">La strage di piazza della Loggia, consumata a Brescia il 28 maggio 1974 durante una manifestazione antifascista indetta dai sindacati e dal comitato unitario permanente, è il nodo-evento attraverso il quale il registro certifica il risultato giudiziario più compiuto dell'intera stagione stragista: l'unica strage della sequenza politica ad avere mandanti e concorrenti condannati in via definitiva, e, tra essi, una fonte retribuita del servizio segreto militare, sicché l'arco tra il Dominio 3 e il Dominio 7 raggiunge in questo nodo la certificazione a giudicato nella sua forma più diretta. La scansione del corpus registra il sintagma della piazza 226 volte in oltre 20 documenti e il nome di Brescia 402 volte in 38. La bomba, collocata in un cestino portarifiuti sotto i portici, esplose alle 10:12 mentre dal palco parlava un sindacalista: uccise 8 persone, Giulietta Banzi Bazoli, Livia Bottardi Milani, Clementina Calzari Trebeschi, Alberto Trebeschi, Euplo Natali, Luigi Pinto, Bartolomeo Talenti e Vittorio Zambarda, e ne ferì oltre 100.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l'inquinamento immediato della scena, che il registro certifica al Livello A quale reperto di ostruzione originaria. Poche ore dopo l'esplosione, per disposizione delle autorità locali, la piazza fu lavata con gli idranti, con la conseguente dispersione irreversibile dei reperti: un fatto pacifico, richiamato in ogni successiva ricostruzione giudiziaria quale menomazione irrimediabile del quadro probatorio. Il registro lo certifica al Livello A e lo iscrive nella tipologia dell'ostruzione quale specie della distruzione della scena sotto veste di ripristino, annotando che, come per il brillamento dell'ordigno inesploso del dicembre 1969, la menomazione del compendio probatorio avvenne per mano istituzionale nelle ore immediatamente successive all'evento, prima di ogni depistaggio deliberato: la sequenza dei 2 casi fonda la regolarità per cui l'accertamento delle stragi nacque, in entrambi gli eventi capitali del quinquennio, già amputato dei suoi reperti primari.</w:t>
      </w:r>
    </w:p>
    <w:p>
      <w:pPr>
        <w:spacing w:after="120" w:line="276"/>
        <w:jc w:val="both"/>
      </w:pPr>
      <w:r>
        <w:rPr>
          <w:rFonts w:ascii="Barlow Semi Condensed" w:cs="Barlow Semi Condensed" w:eastAsia="Barlow Semi Condensed" w:hAnsi="Barlow Semi Condensed"/>
          <w:sz w:val="24"/>
          <w:szCs w:val="24"/>
        </w:rPr>
        <w:t xml:space="preserve">Il secondo pilastro è il quarantennale ciclo processuale, che il registro espone nelle sue 3 stagioni con la disciplina integrale delle assoluzioni. La prima stagione ruotò attorno a Ermanno Buzzi, esponente della manovalanza neofascista bresciana, condannato all'ergastolo in primo grado nel 1979: trasferito nel carcere di Novara, fu strangolato il 13 aprile 1981 da Pierluigi Concutelli e Mario Tuti alla vigilia del processo d'appello, e l'appello, celebrato senza di lui, assolse gli altri imputati; il registro certifica al Livello A l'eliminazione dell'imputato quale fatto giudicato a carico degli autori, già annotato nel capitolo su Ordine Nuovo quale specie radicale dell'ostruzione, la soppressione della fonte prima della sua deposizione d'appello. La seconda stagione, incentrata su un diverso gruppo di imputati dell'area, si chiuse anch'essa con assoluzioni definitive tra la fine degli anni Ottanta e i primi Novanta. La terza stagione, aperta dalle nuove indagini degli anni Duemila sul versante ordinovista veneto, vide imputati Carlo Maria Maggi, Maurizio Tramonte, Delfo Zorzi e Pino Rauti: assolti tutti in primo grado nel 2010 e in appello nel 2012, la Cassazione, il 21 febbraio 2014, rese definitiva l'assoluzione di Zorzi, che il registro riporta per esteso unitamente a quella, già esposta, di Rauti, e annullò con rinvio quanto a Maggi e Tramonte; la Corte d'assise d'appello di Milano, in sede di rinvio, li condannò entrambi all'ergastolo il 22 luglio 2015, e la Corte di cassazione, il 20 giugno 2017, rese irrevocabili le condanne. Il registro certifica al Livello A, sul fondamento del giudicato del 2017, la responsabilità di Carlo Maria Maggi, medico veneziano e ispettore di Ordine Nuovo per il Triveneto, quale organizzatore e mandante, e di Maurizio Tramonte quale concorrente nella strage; Maggi è morto nel dicembre 2018, Tramonte, riparato in Portogallo, fu estradato nel 2017 e sconta la pena. Un ulteriore filone, a carico di soggetti all'epoca minorenni, ha prodotto in anni recentissimi una pronuncia di condanna in sede di merito, allo stato non irrevocabile per quanto consta al registro, che ne recepirà l'esito al consolidamento.</w:t>
      </w:r>
    </w:p>
    <w:p>
      <w:pPr>
        <w:spacing w:after="120" w:line="276"/>
        <w:jc w:val="both"/>
      </w:pPr>
      <w:r>
        <w:rPr>
          <w:rFonts w:ascii="Barlow Semi Condensed" w:cs="Barlow Semi Condensed" w:eastAsia="Barlow Semi Condensed" w:hAnsi="Barlow Semi Condensed"/>
          <w:sz w:val="24"/>
          <w:szCs w:val="24"/>
        </w:rPr>
        <w:t xml:space="preserve">Il terzo pilastro è la qualità soggettiva di Maurizio Tramonte, che costituisce il reperto capitale del nodo e dell'intera fase. Tramonte, militante dell'area ordinovista padovana, era, negli anni della strage, fonte informativa retribuita del Servizio informazioni difesa, registrata con il nome in codice Tritone: le sue veline del 1974, acquisite agli atti, riferivano al servizio notizie provenienti dall'interno degli ambienti ordinovisti, anche in connessione con la campagna stragista in corso; ed è il medesimo uomo che il giudicato del 2017 ha condannato quale concorrente nella strage. Il registro certifica al Livello A, sul fondamento congiunto della documentazione del servizio e del giudicato, la doppia qualità di Tramonte, fonte del SID e concorrente condannato nella strage di piazza della Loggia, e ne dichiara la portata sistemica con la precisione che il caso esige. Nella progressione degli accertamenti che il registro ha censito, questo è il punto d'arrivo: la Fase 2 aveva certificato, con Giannettini, che il servizio disponeva di una fonte negli ambienti della matrice e la sottrasse all'accertamento; il presente nodo certifica che una fonte del servizio, contestualmente attiva e retribuita, fu essa stessa concorrente in una strage. Il salto probatorio è di specie, non di grado: l'arco tra il Dominio 3 e il Dominio 7 non è più soltanto l'arco dell'ostruzione successiva, ma incorpora, nella persona della fonte, la compresenza documentata dell'apparato informativo dentro l'ambiente esecutore al momento del fatto. Il registro delimita immediatamente l'inferenza, come la Regola Ferrea impone: la condanna di Tramonte certifica la responsabilità del singolo e la sua qualità di fonte, non certifica che il servizio, quale istituzione, abbia ordinato o conosciuto preventivamente la strage; il giudicato accerta la compresenza, non il mandato, e la distanza tra le 2 proposizioni, per quanto la prima renda la seconda oggetto legittimo di ipotesi, resta probatoriamente incolmata. L'ipotesi del mandato o della scienza preventiva istituzionale resta al Livello C.</w:t>
      </w:r>
    </w:p>
    <w:p>
      <w:pPr>
        <w:spacing w:after="120" w:line="276"/>
        <w:jc w:val="both"/>
      </w:pPr>
      <w:r>
        <w:rPr>
          <w:rFonts w:ascii="Barlow Semi Condensed" w:cs="Barlow Semi Condensed" w:eastAsia="Barlow Semi Condensed" w:hAnsi="Barlow Semi Condensed"/>
          <w:sz w:val="24"/>
          <w:szCs w:val="24"/>
        </w:rPr>
        <w:t xml:space="preserve">Il quarto pilastro è il contenuto documentale delle veline della fonte Tritone, che il registro espone quale corpo del reperto capitale enunciato al pilastro precedente. Le informative trasmesse da Tramonte al centro di controspionaggio competente nella primavera e nell'estate del 1974, acquisite agli atti e valorizzate nel giudicato, riferivano dall'interno dell'ambiente ordinovista veneto notizie su riunioni operative dell'area, sugli orientamenti verso la prosecuzione della campagna eversiva e su propositi attentatori, con una velina successiva alla strage che riferiva elementi sugli ambienti e sulle responsabilità: il servizio disponeva dunque, in tempo reale, di un flusso informativo proveniente dall'interno della comunità cui il giudicato avrebbe attribuito la strage, trasmesso da un uomo che il medesimo giudicato avrebbe riconosciuto concorrente nel fatto. Il registro certifica al Livello A l'esistenza, la collocazione temporale e la provenienza delle veline, quali dati documentali acquisiti, e la loro valorizzazione nel giudicato del 2017; e dichiara la conseguenza analitica con la precisione che il punto esige. Il flusso documentale certifica che l'informazione sull'ambiente della matrice raggiunse l'apparato prima, durante e dopo l'evento: ciò che l'apparato fece di quell'informazione, e ciò che i suoi vertici ne sapessero, è questione distinta, che i giudizi hanno esplorato senza produrre condanne di appartenenti al servizio per la strage, e che il registro mantiene al livello dell'ipotesi; ma la disponibilità del flusso è un fatto, e la sua certificazione sposta definitivamente il confine del negabile, giacché dopo il giudicato del 2017 non è più sostenibile che gli apparati fossero ciechi rispetto all'ambiente bresciano, essendo provato che vi possedevano dentro una fonte retribuita, e la questione storica si è spostata, per sempre, dalla conoscenza alla condotta.</w:t>
      </w:r>
    </w:p>
    <w:p>
      <w:pPr>
        <w:spacing w:after="120" w:line="276"/>
        <w:jc w:val="both"/>
      </w:pPr>
      <w:r>
        <w:rPr>
          <w:rFonts w:ascii="Barlow Semi Condensed" w:cs="Barlow Semi Condensed" w:eastAsia="Barlow Semi Condensed" w:hAnsi="Barlow Semi Condensed"/>
          <w:sz w:val="24"/>
          <w:szCs w:val="24"/>
        </w:rPr>
        <w:t xml:space="preserve">Il quinto pilastro è il significato processuale del giudicato del 2017 nella serie complessiva, che il registro dichiara quale reperto sulla possibilità stessa dell'accertamento. La condanna irrevocabile per piazza della Loggia giunse 43 anni dopo il fatto, all'esito di 3 stagioni processuali, di 2 assoluzioni di merito nel medesimo ultimo ciclo e di un annullamento con rinvio: è l'unico caso della serie politica in cui la macchina giudiziaria, ripartendo dopo decenni su materiale in parte nuovo, le veline della fonte, le acquisizioni dell'istruttoria milanese, le dichiarazioni maturate nel tempo, è pervenuta a un giudicato di condanna per mandato e concorso. Il registro certifica al Livello A questa unicità e ne trae 2 annotazioni comparate. La prima: il caso dimostra che l'esito assolutorio dei cicli coevi non equivaleva all'inaccertabilità del vero, ma alla insufficienza del materiale allora disponibile, e che l'accertamento tardivo fu reso possibile dalla congiunzione di 3 fattori documentati, la persistenza della parte civile e della comunità bresciana, la desecretazione progressiva dei materiali degli apparati, e la maturazione delle fonti dichiarative; nessuno dei 3 fattori era nella disponibilità dei giudici degli anni Settanta e Ottanta, e la comparazione tra le stagioni misura non la diversa qualità dei giudici ma la diversa apertura degli archivi, confermando la regolarità che il registro ha elevato a legge empirica del campo. La seconda annotazione delimita: l'unicità del giudicato bresciano non autorizza a trasferirne le conclusioni agli altri eventi della serie, ciascuno dei quali conserva il proprio statuto probatorio, e l'operazione, corrente nella vulgata, di estendere la matrice giudicata di Brescia all'intera sequenza quale verità dimostrata viola la disciplina che il registro applica evento per evento.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della Loggia-idranti-menomazione probatoria, è il triangolo dell'ostruzione originaria, certificato al Livello A. La seconda, piazza della Loggia-Maggi-ordinovismo triveneto, è il triangolo della matrice giudicata, certificato al Livello A dal giudicato del 20 giugno 2017, che consegna alla sequenza stragista 1969-1974 la sua unica condanna definitiva di mandante. La terza, piazza della Loggia-Tramonte-SID, è il triangolo della fonte condannata, certificato al Livello A nella doppia qualità e mantenuto al Livello C quanto al mandato istituzionale. Sul piano dei pattern, il nodo compie il Pattern 3, chiudendo la finestra critica 1969-1974 con l'evento che ne condivide la matrice accertata con l'evento inaugurale; e attiva il Pattern 2, giacché la comunità ordinovista triveneta risulta, all'esito dei giudicati, la comunità funzionale cui sono riconducibili, in sede storica per piazza Fontana e in sede di condanna per piazza della Loggia, i 2 eccidi maggiori del quinquennio.</w:t>
      </w:r>
    </w:p>
    <w:p>
      <w:pPr>
        <w:spacing w:after="120" w:line="276"/>
        <w:jc w:val="both"/>
      </w:pPr>
      <w:r>
        <w:rPr>
          <w:rFonts w:ascii="Barlow Semi Condensed" w:cs="Barlow Semi Condensed" w:eastAsia="Barlow Semi Condensed" w:hAnsi="Barlow Semi Condensed"/>
          <w:sz w:val="24"/>
          <w:szCs w:val="24"/>
        </w:rPr>
        <w:t xml:space="preserve">La stagione intermedia del ciclo processuale esige il completamento che la disciplina delle assoluzioni impone. Tra la caduta della prima costruzione accusatoria e l'apertura dell'ultima, l'istruttoria esplorò negli anni 80 la pista dell'ambiente neofascista milanese, imperniata sulla posizione di Cesare Ferri, rinviato a giudizio quale esecutore sul fondamento di riconoscimenti e dichiarazioni: il dibattimento si concluse con l'assoluzione, divenuta irrevocabile sul finire del decennio, che il registro riporta per esteso quale ulteriore esito liberatorio della serie bresciana, Livello A. Con essa la contabilità del quarantennio assume la sua forma finale: 3 costruzioni accusatorie successive, le prime 2 dissolte in assoluzioni irrevocabili, la terza approdata alle condanne definitive che il capitolo ha certificato; e la circostanza che la costruzione vincente sia stata quella fondata non su testimoni oculari né su confessioni, ma sull'incrocio documentale tra le informative d'epoca e le acquisizioni dibattimentali, conferma alla metodologia dell'opera che, nella lunga durata, l'archivio prevale sul ricordo, ed il paradigma indiziario, che sugli archivi lavora, non è un ripiego rispetto alla prova dichiarativa ma il suo superamento, l'unico strumento che il tempo affila invece di corrompere.</w:t>
      </w:r>
    </w:p>
    <w:p>
      <w:pPr>
        <w:spacing w:after="120" w:line="276"/>
        <w:jc w:val="both"/>
      </w:pPr>
      <w:r>
        <w:rPr>
          <w:rFonts w:ascii="Barlow Semi Condensed" w:cs="Barlow Semi Condensed" w:eastAsia="Barlow Semi Condensed" w:hAnsi="Barlow Semi Condensed"/>
          <w:sz w:val="24"/>
          <w:szCs w:val="24"/>
        </w:rPr>
        <w:t xml:space="preserve">La terza stagione processuale esige la sua cronologia integrale, perché la sua parabola, dall'assoluzione generale alla condanna definitiva, è unica nella storia dello stragismo e va consegnata data per data. Rinviati a giudizio gli imputati del versante ordinovista all'esito delle nuove indagini, la Corte d'Assise di Brescia li assolse tutti il 16 novembre 2010, e la Corte d'Assise d'appello confermò le assoluzioni nell'aprile 2012; la Corte di cassazione, nel febbraio 2014, annullò con rinvio le sole posizioni di Carlo Maria Maggi e di Maurizio Tramonte, rigettando nel contempo le impugnazioni contro le assoluzioni di Delfo Zorzi e di Pino Rauti, che divennero con ciò irrevocabili e che il registro riporta per esteso in ossequio alla propria regola; il giudizio di rinvio dinanzi alla Corte d'Assise d'appello di Milano si chiuse il 22 luglio 2015 con la condanna all'ergastolo di Maggi quale organizzatore e di Tramonte quale concorrente, e la Corte di cassazione rese irrevocabili le condanne il 20 giugno 2017, Livello A sull'intera scansione. Quarantatré anni separano la piazza dal giudicato: ed il registro annota che la condanna definitiva maturò quando l'organizzatore era ultraottantenne ed infermo, sicché la pena, ancora una volta, raggiunse la verità assai più dell'uomo, secondo la forbice che la Fase 2 ha già misurato sul caso Maletti.</w:t>
      </w:r>
    </w:p>
    <w:p>
      <w:pPr>
        <w:spacing w:after="120" w:line="276"/>
        <w:jc w:val="both"/>
      </w:pPr>
      <w:r>
        <w:rPr>
          <w:rFonts w:ascii="Barlow Semi Condensed" w:cs="Barlow Semi Condensed" w:eastAsia="Barlow Semi Condensed" w:hAnsi="Barlow Semi Condensed"/>
          <w:sz w:val="24"/>
          <w:szCs w:val="24"/>
        </w:rPr>
        <w:t xml:space="preserve">Il valore sistemico della scansione sta però nel suo motore, che il registro isola quale lezione di metodo: la riapertura degli anni 2000 non nacque da una nuova fonte dichiarativa ma dal riesame integrale del già noto, la digitalizzazione ed il riordino delle carte, l'incrocio delle veline della fonte Tritone con i movimenti documentati degli uomini, la rilettura filologica di materiale che giaceva agli atti da decenni. Brescia dimostra così, in sede giudiziaria, il teorema che il capitolo 9 della Fase 2 ha enunciato in sede archivistica: il sapere che giace non è sapere perduto, e la distanza tra un'assoluzione del 2012 ed una condanna del 2017, a parità sostanziale di giacimento documentale, misura non un mutamento delle carte ma un mutamento dello sguardo. È la vittoria postuma, se così può dirsi con la sobrietà che il registro impone, del paradigma indiziario sulla rassegnazione: l'archivio attese 40 anni il proprio lettore, e quando lo trovò, la piazza ebbe il suo giudicato.</w:t>
      </w:r>
    </w:p>
    <w:p>
      <w:pPr>
        <w:spacing w:after="120" w:line="276"/>
        <w:jc w:val="both"/>
      </w:pPr>
      <w:r>
        <w:rPr>
          <w:rFonts w:ascii="Barlow Semi Condensed" w:cs="Barlow Semi Condensed" w:eastAsia="Barlow Semi Condensed" w:hAnsi="Barlow Semi Condensed"/>
          <w:sz w:val="24"/>
          <w:szCs w:val="24"/>
        </w:rPr>
        <w:t xml:space="preserve">Alla persistenza processuale del nodo corrisponde una persistenza civile che il registro censisce quale dato di lungo periodo: la comunità bresciana costruì attorno alla piazza una delle infrastrutture memoriali più solide del Paese, con l'associazione dei familiari attiva sin dai giorni successivi alla strage e, dal 2000, la Casa della Memoria, l'istituzione cittadina che raccoglie, ordina e rende consultabile l'intero giacimento documentale e processuale dell'evento, Livello A quanto all'esistenza ed alla funzione delle istituzioni memoriali. Il nesso tra questa persistenza e l'esito giudiziario del 2017 non è certificabile quale rapporto causale, ed il registro non lo certifica; è però censibile quale correlazione di sistema: dei nodi-evento della fase, quello approdato a condanna definitiva è anche quello attorno al quale la società civile mantenne, per 4 decenni, la più continua pressione documentale e conoscitiva, alimentando le riaperture con la custodia attiva delle carte. La memoria organizzata, suggerisce il caso bresciano, non è un supplemento consolatorio dell'accertamento ma una sua condizione ambientale: gli archivi attendono i lettori, come il capitolo ha detto, ma i lettori arrivano dove qualcuno ha tenuto accesa la luce.</w:t>
      </w:r>
    </w:p>
    <w:p>
      <w:pPr>
        <w:spacing w:after="120" w:line="276"/>
        <w:jc w:val="both"/>
      </w:pPr>
      <w:r>
        <w:rPr>
          <w:rFonts w:ascii="Barlow Semi Condensed" w:cs="Barlow Semi Condensed" w:eastAsia="Barlow Semi Condensed" w:hAnsi="Barlow Semi Condensed"/>
          <w:sz w:val="24"/>
          <w:szCs w:val="24"/>
        </w:rPr>
        <w:t xml:space="preserve">L'architrave testimoniale della terza stagione esige la sua scheda, che il registro censisce con lo statuto più complesso dell'intera fase: Carlo Digilio, l'armiere dell'area ordinovista veneta rientrato coattivamente da Santo Domingo all'inizio degli anni Novanta, divenne da collaboratore la fonte interna maggiore dell'istruttoria milanese e dei dibattimenti conseguenti, con dichiarazioni che coprivano la logistica degli esplosivi, le riunioni preparatorie e la catena veneta dei 2 stragi maggiori, e con la posizione personale definita dalla dichiarazione di prescrizione del concorso in strage per effetto delle attenuanti della collaborazione, esito che ne fa, paradosso documentale supremo del corpus, l'unico uomo formalmente riconosciuto concorrente nella strage di piazza Fontana da una statuizione divenuta definitiva, Livello A quanto alla parabola personale ed all'esito prescrittivo. La sorte dibattimentale delle sue dichiarazioni misura la linea di faglia delle 2 stagioni: valorizzate dall'istruttoria e dai primi gradi milanesi, ridimensionate dalla sentenza di legittimità del 2005 che ne censurò l'affidabilità su snodi decisivi, tornarono architrave, per la parte riscontrata, nel giudizio bresciano concluso con le condanne del 2015-2017, sicché il medesimo dichiarante fu insufficiente per una strage e determinante per l'altra, Livello A quanto agli esiti divergenti nei giudicati. Il registro trae dalla parabola la lezione di metodo che consegna alla fase: la fonte Digilio, morta nel 2005 prima del proprio raccolto bresciano, dimostra che nell'economia probatoria delle stragi il valore di un collaboratore non è una proprietà della persona ma della rete dei riscontri che ciascun processo riesce a costruirle attorno, e la sua doppia sorte giudiziaria, respinto a Milano e accolto a Brescia sui medesimi ambienti, è la dimostrazione sperimentale che a decidere non fu mai la voce, ma l'orecchio.</w:t>
      </w:r>
    </w:p>
    <w:p>
      <w:pPr>
        <w:spacing w:after="120" w:line="276"/>
        <w:jc w:val="both"/>
      </w:pPr>
      <w:r>
        <w:rPr>
          <w:rFonts w:ascii="Barlow Semi Condensed" w:cs="Barlow Semi Condensed" w:eastAsia="Barlow Semi Condensed" w:hAnsi="Barlow Semi Condensed"/>
          <w:sz w:val="24"/>
          <w:szCs w:val="24"/>
        </w:rPr>
        <w:t xml:space="preserve">Il 28 maggio bresciano possiede un reperto che nessun'altra strage del corpus possiede, ed il registro lo censisce quale unicum documentale assoluto: l'esplosione fu registrata, perché l'impianto di amplificazione della manifestazione sindacale incideva su nastro il comizio in corso, e la bobina conservò la voce dell'oratore, il boato, i secondi di silenzio e le prime grida, consegnando alla storia ed ai processi l'unico documento sonoro autentico di una strage italiana nel suo istante, Livello A quanto all'esistenza ed all'autenticità della registrazione acquisita agli atti. Il registro assegna al nastro la sua doppia funzione: sul piano probatorio, la registrazione ha fornito ai dibattimenti la cronologia acustica esatta dell'evento, sottraendo l'istante della deflagrazione alla plasticità della memoria testimoniale che il corpus ha imparato a temere; sul piano della memoria civile, essa ha fatto di piazza della Loggia la sola strage che il Paese può ascoltare e non soltanto ricostruire, e questa udibilità perpetua, custodita e riproposta dalla liturgia memoriale bresciana, spiega in parte la qualità particolare che la vicenda ha mantenuto nella coscienza pubblica: le altre stragi sono racconti, Brescia è un suono, e contro un suono la negazione e la rimozione, che sul racconto lavorano da sempre, non hanno mai avuto strumenti.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della Loggia è certificato al Livello A quale unica strage politica della stagione con giudicato di condanna, divenuto irrevocabile il 20 giugno 2017 a carico di Carlo Maria Maggi quale organizzatore e di Maurizio Tramonte quale concorrente; la qualità di Tramonte quale fonte retribuita Tritone del SID, contestuale alla partecipazione alla strage, è certificata al Livello A e costituisce la forma più diretta mai giudicata dell'arco Dominio 3-Dominio 7, ferma l'ipoteticità di Livello C del mandato istituzionale; il lavaggio della piazza con gli idranti e l'eliminazione in carcere dell'imputato Buzzi sono certificati al Livello A quali specie dell'ostruzione; le assoluzioni definitive di Zorzi e di Rauti sono riportate per esteso, e gli 8 nomi delle vittime sono trascritti nel registro.</w:t>
      </w:r>
    </w:p>
    <w:p>
      <w:pPr>
        <w:pStyle w:val="Heading3"/>
        <w:spacing w:after="80" w:before="160"/>
      </w:pPr>
      <w:r>
        <w:rPr>
          <w:rFonts w:ascii="Barlow Semi Condensed" w:cs="Barlow Semi Condensed" w:eastAsia="Barlow Semi Condensed" w:hAnsi="Barlow Semi Condensed"/>
          <w:sz w:val="24"/>
          <w:szCs w:val="24"/>
        </w:rPr>
        <w:t xml:space="preserve">Capitolo 8 — ■ L'Italicus. La strage senza colpevoli e l'ombra censita dalla Commissione</w:t>
      </w:r>
    </w:p>
    <w:p>
      <w:pPr>
        <w:spacing w:after="120" w:line="276"/>
        <w:jc w:val="both"/>
      </w:pPr>
      <w:r>
        <w:rPr>
          <w:rFonts w:ascii="Barlow Semi Condensed" w:cs="Barlow Semi Condensed" w:eastAsia="Barlow Semi Condensed" w:hAnsi="Barlow Semi Condensed"/>
          <w:sz w:val="24"/>
          <w:szCs w:val="24"/>
        </w:rPr>
        <w:t xml:space="preserve">La strage dell'espresso Italicus, consumata alle 1:23 del 4 agosto 1974 all'uscita della grande galleria dell'Appennino, presso San Benedetto Val di Sambro, è il nodo-evento attraverso il quale il registro affronta la figura speculare a quella del capitolo precedente: la strage rimasta, all'esito di ogni grado di giudizio, integralmente priva di condannati, e tuttavia accompagnata da una valutazione parlamentare di altissimo profilo che ne collegò l'ombra alla loggia P2, saldando il nodo al quadrilatero della Fase 1. La scansione del corpus registra Italicus 224 volte in 30 documenti. L'ordigno, collocato nella quinta vettura del treno Roma-Brennero, esplose mentre il convoglio usciva dalla galleria: uccise 12 persone e ne ferì 48; tra le vittime, il ferroviere Silver Sirotti, morto nel tentativo di soccorrere i passeggeri tra le fiamme e insignito della medaglia d'oro al valor civile, il cui nome il registro trascrive per tutti.</w:t>
      </w:r>
    </w:p>
    <w:p>
      <w:pPr>
        <w:spacing w:after="120" w:line="276"/>
        <w:jc w:val="both"/>
      </w:pPr>
      <w:r>
        <w:rPr>
          <w:rFonts w:ascii="Barlow Semi Condensed" w:cs="Barlow Semi Condensed" w:eastAsia="Barlow Semi Condensed" w:hAnsi="Barlow Semi Condensed"/>
          <w:sz w:val="24"/>
          <w:szCs w:val="24"/>
        </w:rPr>
        <w:t xml:space="preserve">Il primo pilastro probatorio è il ciclo processuale integralmente assolutorio, che il registro riporta per esteso quale sua ossatura. Le indagini si indirizzarono verso l'ambiente dell'eversione neofascista toscana, e segnatamente verso il Fronte Nazionale Rivoluzionario: Mario Tuti e Luciano Franci furono condannati all'ergastolo in primo grado dalla Corte d'assise di Bologna nel 1983, assolti in appello nel 1986, e, dopo l'annullamento con rinvio disposto dalla Cassazione, nuovamente assolti nel giudizio di rinvio; la Corte di cassazione, il 24 marzo 1992, rese irrevocabile l'assoluzione. Il registro certifica al Livello A e riporta per esteso l'assoluzione definitiva di Tuti e Franci dall'accusa di strage, e certifica conseguentemente che la strage dell'Italicus non ha, a oggi, alcun condannato, né quale esecutore né quale mandante: è, nella sistematica del registro, il caso puro della strage senza verità giudiziaria di condanna, e la sua iscrizione nel registro con questo statuto è essa stessa un dato di prima classe, che vieta ogni attribuzione assertiva e impone il linguaggio dell'ipotesi graduata. Il registro annota che Mario Tuti, condannato in via definitiva per altri gravissimi fatti, tra cui il duplice omicidio di agenti a Empoli del gennaio 1975 e l'omicidio in carcere di Ermanno Buzzi, sconta l'ergastolo per quei titoli, e che la sua posizione rispetto all'Italicus resta quella dell'assoluzione irrevocabile: la distinzione tra i titoli è obbligata e il registro la trascrive.</w:t>
      </w:r>
    </w:p>
    <w:p>
      <w:pPr>
        <w:spacing w:after="120" w:line="276"/>
        <w:jc w:val="both"/>
      </w:pPr>
      <w:r>
        <w:rPr>
          <w:rFonts w:ascii="Barlow Semi Condensed" w:cs="Barlow Semi Condensed" w:eastAsia="Barlow Semi Condensed" w:hAnsi="Barlow Semi Condensed"/>
          <w:sz w:val="24"/>
          <w:szCs w:val="24"/>
        </w:rPr>
        <w:t xml:space="preserve">Il secondo pilastro è la valutazione della Commissione parlamentare d'inchiesta sulla loggia P2, che costituisce il collegamento del nodo al quadrilatero della Fase 1 e che il registro recepisce con la qualificazione esatta della sua natura. La relazione conclusiva della Commissione presieduta da Tina Anselmi, approvata nel 1984, affrontando il capitolo delle trame eversive, formulò sulla strage dell'Italicus una valutazione di eccezionale gravità: la strage era ascrivibile agli ambienti dell'eversione di destra operanti in Toscana, e la loggia massonica P2 doveva ritenersi coinvolta quale ambiente di istigazione e di possibile sostegno, anche finanziario, di quegli ambienti, nel quadro dei rapporti tra la loggia e l'eversione che la Commissione aveva ricostruito. Il registro certifica al Livello B questa valutazione, quale pronuncia di una fonte parlamentare di alta affidabilità, e ne dichiara con la massima nettezza lo statuto: essa è una valutazione politico-parlamentare fondata sull'istruttoria della Commissione, non un accertamento penale, e non è mai stata tradotta in giudicato; la sua recezione al Livello B misura esattamente questa natura, collocandola sopra l'ipotesi ma sotto la certificazione, e il registro vieta a sé stesso di elevarla a Livello A per la suggestione della fonte, come di degradarla a mero sospetto per l'assenza di condanne. Il nodo Italicus diviene così, nella rete dell'opera, il punto in cui l'ombra della loggia sul terreno stragista è censita da una fonte istituzionale massima senza essere giudizialmente provata: un arco Dominio 4-Dominio 7 di Livello B, che si affianca, senza confondersi, all'arco di Livello A che la condanna di Gelli per il depistaggio di Bologna ha certificato sul diverso terreno dell'ostruzione.</w:t>
      </w:r>
    </w:p>
    <w:p>
      <w:pPr>
        <w:spacing w:after="120" w:line="276"/>
        <w:jc w:val="both"/>
      </w:pPr>
      <w:r>
        <w:rPr>
          <w:rFonts w:ascii="Barlow Semi Condensed" w:cs="Barlow Semi Condensed" w:eastAsia="Barlow Semi Condensed" w:hAnsi="Barlow Semi Condensed"/>
          <w:sz w:val="24"/>
          <w:szCs w:val="24"/>
        </w:rPr>
        <w:t xml:space="preserve">Il terzo pilastro è il contrappunto del rapido 904, che il registro richiama dalla Fase 1 per completare la lettura del teatro appenninico. Sulla medesima direttrice ferroviaria, 10 anni dopo, la strage del rapido 904 del 23 dicembre 1984 avrebbe trovato, a differenza dell'Italicus, i suoi condannati definitivi, e tra essi Giuseppe Calò, il cassiere di Cosa Nostra certificato nella Fase 1: il registro accosta i 2 eventi quale coppia comparativa di massimo valore analitico, giacché la medesima tecnica, l'ordigno sul treno nel medesimo tratto appenninico, riceve dai giudicati 2 matrici diverse, non accertata e neofascista nell'ipotesi per l'Italicus, mafiosa con concorso di ambienti camorristici e contigui per il 904; la comparazione certifica che la tecnica non identifica la matrice, e costituisce un monito metodologico permanente contro l'inferenza dalla morfologia dell'evento alla sua paternità, che il Pattern 11 disciplina e che la vulgata ha sistematicamente violato.</w:t>
      </w:r>
    </w:p>
    <w:p>
      <w:pPr>
        <w:spacing w:after="120" w:line="276"/>
        <w:jc w:val="both"/>
      </w:pPr>
      <w:r>
        <w:rPr>
          <w:rFonts w:ascii="Barlow Semi Condensed" w:cs="Barlow Semi Condensed" w:eastAsia="Barlow Semi Condensed" w:hAnsi="Barlow Semi Condensed"/>
          <w:sz w:val="24"/>
          <w:szCs w:val="24"/>
        </w:rPr>
        <w:t xml:space="preserve">Il quarto pilastro è la collocazione dell'evento nella finestra critica del 1974, che l'analisi temporale del registro qualifica quale culmine e insieme quale chiusura della prima stagione stragista. Tra la strage di piazza della Loggia del 28 maggio e quella dell'Italicus del 4 agosto corrono 68 giorni: la concentrazione di 2 stragi in un'estate, entro l'anno successivo allo scioglimento di Ordine Nuovo e nel pieno della campagna delle sigle clandestine, segna il massimo di densità della serie; e dopo l'agosto 1974 la sequenza delle stragi politiche si interrompe per 6 anni, sino al 1980. Il registro certifica al Livello A la scansione temporale quale dato oggettivo della serie, e ne trae, con la cautela che il metodo impone, 2 annotazioni. La prima è statistica e negativa: la sola densità temporale non autorizza inferenze di regia unitaria, e il registro rammenta che la propria verifica preregistrata sulla correlazione tra la serie stragista e le scadenze del processo di integrazione europea, condotta con modello nullo, restituì un esito non significativo, imponendo l'abbandono della tesi della densità quale prova; la finestra del 1974 si spiega, ai livelli certificabili, con le dinamiche interne documentate, la clandestinizzazione post-scioglimento e il precipitare dello scontro politico nazionale attorno al referendum di quella primavera, senza necessità di postulare cabine di regia non documentate. La seconda annotazione è comparativa: il lungo silenzio 1974-1980, seguito dalla ripresa con Bologna a opera di una generazione eversiva diversa, suggerisce che la serie stragista non fu un continuum unitario ma una successione di onde distinte, con matrici, uomini e contesti differenti, e la periodizzazione a onde, che i giudicati confermano nella diversità degli autori accertati tra le 2 finestre, è assunta dal registro quale struttura temporale dell'intero dominio, contro la vulgata del disegno unico ininterrotto.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Italicus-Tuti e Franci-assoluzione, è il triangolo del ciclo processuale, certificato al Livello A nel suo esito integralmente assolutorio riportato per esteso. La seconda, Italicus-Commissione Anselmi-loggia P2, è il triangolo dell'ombra censita, certificato al Livello B quale valutazione parlamentare non tradotta in giudicato. La terza, Italicus-rapido 904, è il triangolo comparativo delle matrici divergenti a tecnica identica, certificato al Livello A nei suoi 2 termini giudiziari e assunto quale monito del Pattern 11. Sul piano dei pattern, il nodo attiva altresì il Pattern 10, la convergenza spaziale, giacché il tratto appenninico tra Firenze e Bologna si qualifica, con l'Italicus, il 904 e la successiva memoria della galleria, quale zona di massima densità stragista ferroviaria del Paese, la cui selezione ripetuta interroga l'analisi spaziale.</w:t>
      </w:r>
    </w:p>
    <w:p>
      <w:pPr>
        <w:spacing w:after="120" w:line="276"/>
        <w:jc w:val="both"/>
      </w:pPr>
      <w:r>
        <w:rPr>
          <w:rFonts w:ascii="Barlow Semi Condensed" w:cs="Barlow Semi Condensed" w:eastAsia="Barlow Semi Condensed" w:hAnsi="Barlow Semi Condensed"/>
          <w:sz w:val="24"/>
          <w:szCs w:val="24"/>
        </w:rPr>
        <w:t xml:space="preserve">Al nome di Silver Sirotti, che il capitolo ha trascritto per tutti, il registro affianca ora, a completamento dell'atto dovuto, l'elenco intero: le 12 vittime della strage furono Nicola Buffi, Maria Santina Carraro, Elena Celli, Elena Donatini, Tsugufumi Fukuda, Raffaella Garosi, Wilhelmus Jacobus Hanema, Herbert Kontriner, Antidio Medaglia, Marco Russin, Nunzio Russo e Silver Sirotti, italiani e stranieri di 4 nazionalità sorpresi nel sonno delle carrozze o investiti dall'incendio, Livello A quanto all'elenco. La composizione internazionale del bilancio, unica nella serie sino ad allora, appartiene alla natura stessa del bersaglio, il treno a lunga percorrenza quale campione casuale d'Europa in transito sulla dorsale appenninica: e la figura del ferroviere caduto nel soccorso, che il capitolo ha già consegnato alla memoria, appartiene alla stessa classe morfologica che la Fase 1 ha nominato in Ambrosoli, quella dell'anticorpo, l'uomo comune che, posto dal caso sul punto esatto della catastrofe, sceglie la funzione contro la salvezza: figura che ricorre accanto ad ogni strage della serie, il ferroviere, il vigile, il soccorritore, e che il registro annota qui una volta per tutte, a valere per l'intera fase.</w:t>
      </w:r>
    </w:p>
    <w:p>
      <w:pPr>
        <w:spacing w:after="120" w:line="276"/>
        <w:jc w:val="both"/>
      </w:pPr>
      <w:r>
        <w:rPr>
          <w:rFonts w:ascii="Barlow Semi Condensed" w:cs="Barlow Semi Condensed" w:eastAsia="Barlow Semi Condensed" w:hAnsi="Barlow Semi Condensed"/>
          <w:sz w:val="24"/>
          <w:szCs w:val="24"/>
        </w:rPr>
        <w:t xml:space="preserve">La materialità dell'evento va fissata nei suoi elementi periziali accertati: l'ordigno a tempo, collocato nella quinta vettura del convoglio, esplose all'1:23 quando il treno, transitato per la grande galleria dell'Appennino, ne stava varcando l'uscita presso San Benedetto Val di Sambro, e la circostanza che la deflagrazione mancasse di pochi secondi il ventre della montagna fu unanimemente letta, negli atti, quale scampato aggravamento di proporzioni catastrofiche, giacché l'esplosione in galleria avrebbe moltiplicato le vittime per asfissia ed impossibilità di soccorso, Livello A quanto alla dinamica periziale. La rivendicazione giunse con volantini a firma Ordine Nero, la sigla del carsismo post-scioglimento censito nel capitolo 2, che salutavano la strage quale atto di guerra, Livello A quanto al repertamento della rivendicazione, Livello B quanto alla sua genuinità attributiva, mai consacrata da condanna. Appartiene infine al nodo una tradizione memorialistica che il registro censisce al livello che le compete: la circostanza, riferita da fonti familiari e ripresa dalla pubblicistica, secondo cui Aldo Moro avrebbe dovuto viaggiare quella notte su quel convoglio e ne sarebbe stato fatto scendere per ragioni d'ufficio poco prima della partenza, Livello C quale tradizione priva di riscontro documentale autonomo, che il registro trasmette alla Fase 4 non quale fatto ma quale esemplare della forza gravitazionale che il nodo Moro esercita, retrospettivamente, su ogni evento della stagione: la vicenda del presidente attrae le narrazioni come i grandi corpi attraggono la luce, e distinguere l'orbita documentata dalla suggestione è, precisamente, il mestiere di questo registro.</w:t>
      </w:r>
    </w:p>
    <w:p>
      <w:pPr>
        <w:spacing w:after="120" w:line="276"/>
        <w:jc w:val="both"/>
      </w:pPr>
      <w:r>
        <w:rPr>
          <w:rFonts w:ascii="Barlow Semi Condensed" w:cs="Barlow Semi Condensed" w:eastAsia="Barlow Semi Condensed" w:hAnsi="Barlow Semi Condensed"/>
          <w:sz w:val="24"/>
          <w:szCs w:val="24"/>
        </w:rPr>
        <w:t xml:space="preserve">Resta la sociologia del bersaglio, che una digressione sorvegliata può nominare. L'Italicus viaggiava nella notte tra il 3 ed il 4 agosto, gremito del popolo delle ferie e dei rientri, famiglie meridionali, emigranti, ferrovieri: la seconda classe d'agosto, l'Italia in movimento tra le 2 Italie. La strage ferroviaria d'estate, che il rapido 904 avrebbe replicato 10 anni dopo nella simmetria natalizia già censita, colpisce per costruzione il segmento più indifeso ed interclassista della popolazione, e questa scelta, che nessuna rivendicazione ha mai dovuto spiegare perché il terrore indiscriminato è la spiegazione, consegna alla serie il suo tratto più propriamente eversivo: non l'attacco al nemico, ma l'attacco al quotidiano, la dimostrazione che nessun gesto ordinario, un viaggio, una banca, una piazza, una sala d'aspetto, è al riparo. Il ferroviere Silver Sirotti, che morì rientrando nel vagone in fiamme con l'estintore, medaglia d'oro al valor civile, resta il contrappunto esatto di quella logica: nella notte in cui il quotidiano fu trasformato in bersaglio, il quotidiano rispose con il proprio eroismo di servizio, e la fase, che ha bandito la retorica, si limita a registrare che entrambe le grandezze, il terrore e il soccorso, abitarono lo stesso minuto della stessa galleria.</w:t>
      </w:r>
    </w:p>
    <w:p>
      <w:pPr>
        <w:spacing w:after="120" w:line="276"/>
        <w:jc w:val="both"/>
      </w:pPr>
      <w:r>
        <w:rPr>
          <w:rFonts w:ascii="Barlow Semi Condensed" w:cs="Barlow Semi Condensed" w:eastAsia="Barlow Semi Condensed" w:hAnsi="Barlow Semi Condensed"/>
          <w:sz w:val="24"/>
          <w:szCs w:val="24"/>
        </w:rPr>
        <w:t xml:space="preserve">Il maggio 1974 consegna al registro la sua costellazione armata, che la disciplina temporale del Pattern 3 impone di censire nella sua sequenza esatta: il 9 maggio 1974 fu arrestato in Valtellina Carlo Fumagalli, capo del Movimento di Azione Rivoluzionaria, la formazione armata che le condanne definitive avrebbero accertato quale struttura eversiva dedita ad attentati ed alla predisposizione insurrezionale, Livello A; il 28 maggio la bomba di piazza della Loggia; il 30 maggio, a 2 giorni dalla strage, il militante milanese Giancarlo Esposti cadde in conflitto a fuoco con le forze dell'ordine presso il campo armato di Pian del Rascino, sull'Appennino reatino, dove si addestrava con altri estremisti, Livello A quanto ai fatti ed alle date. La concentrazione in 3 settimane di un arresto di vertice, di una strage e di un campo armato scoperto disegna la finestra critica che il registro misura senza sovrainterpretare: le istruttorie esplorarono per decenni i possibili raccordi tra la costellazione del maggio e l'ordigno bresciano, tra le armi del MAR, gli ambienti di Esposti e la matrice poi giudicata, e questi raccordi specifici, mai consolidati in giudicato, restano al Livello B nelle convergenze istruttorie ed al Livello C nelle ricostruzioni di rete più ampie. Ciò che resta al livello del certo è la densità stessa: nel maggio 1974 l'Italia settentrionale ospitava simultaneamente una formazione armata in smantellamento, un campo paramilitare attivo ed una campagna stragista al culmine, e la compresenza documentata di 3 apparati della medesima area ideologica in armi, quale che ne fosse il coordinamento, è essa stessa il dato strutturale che il capitolo consegna alla fase: la strategia della tensione non fu un ambiente metaforico, fu un territorio fisicamente armato, di cui il maggio bresciano costituisce il rilievo cartografico più fitto.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Italicus è certificato al Livello A quale strage priva, all'esito dell'assoluzione irrevocabile di Tuti e Franci del 24 marzo 1992, riportata per esteso, di qualsiasi condannato; la valutazione della Commissione Anselmi, che ascrisse la strage agli ambienti dell'eversione toscana con la loggia P2 quale ambiente di istigazione e possibile sostegno finanziario, è recepita al Livello B quale pronuncia parlamentare di alta affidabilità non tradotta in giudicato, e costituisce l'arco Dominio 4-Dominio 7 nella sua forma censita ma non provata; la comparazione con il rapido 904 certifica che la tecnica identica ricevette matrici giudiziarie diverse, a monito permanente contro l'inferenza morfologica; il nome di Silver Sirotti è trascritto per tutte le 12 vittime.</w:t>
      </w:r>
    </w:p>
    <w:p>
      <w:pPr>
        <w:pStyle w:val="Heading3"/>
        <w:spacing w:after="80" w:before="160"/>
      </w:pPr>
      <w:r>
        <w:rPr>
          <w:rFonts w:ascii="Barlow Semi Condensed" w:cs="Barlow Semi Condensed" w:eastAsia="Barlow Semi Condensed" w:hAnsi="Barlow Semi Condensed"/>
          <w:sz w:val="24"/>
          <w:szCs w:val="24"/>
        </w:rPr>
        <w:t xml:space="preserve">Capitolo 9 — ■ La strage di Bologna. Gli esecutori giudicati, il depistaggio piduista e il quadro dei mandanti</w:t>
      </w:r>
    </w:p>
    <w:p>
      <w:pPr>
        <w:spacing w:after="120" w:line="276"/>
        <w:jc w:val="both"/>
      </w:pPr>
      <w:r>
        <w:rPr>
          <w:rFonts w:ascii="Barlow Semi Condensed" w:cs="Barlow Semi Condensed" w:eastAsia="Barlow Semi Condensed" w:hAnsi="Barlow Semi Condensed"/>
          <w:sz w:val="24"/>
          <w:szCs w:val="24"/>
        </w:rPr>
        <w:t xml:space="preserve">La strage della stazione di Bologna, consumata alle 10:25 del 2 agosto 1980 nella sala d'aspetto di seconda classe, è il nodo-evento terminale della fase e il più grave eccidio della storia repubblicana: 85 morti e oltre 200 feriti. La scansione del corpus registra il sintagma della strage 212 volte in 33 documenti, il nome della città 1.120 volte in 81, la sigla dei Nuclei Armati Rivoluzionari 953 volte in 33, e i nomi di Valerio Fioravanti e Francesca Mambro rispettivamente 171 volte in 21 e 113 volte in 12 documenti. Il nodo è quello sul quale converge il maggior numero di archi già certificati nelle fasi precedenti, il depistaggio di Gelli dalla Fase 1 e quello degli uomini del SISMI dalla Fase 2, e la sua trattazione unitaria consente al registro di comporre, per la prima volta, l'intero quadro probatorio dell'evento nei suoi 3 strati: gli esecutori, l'ostruzione, i mandanti.</w:t>
      </w:r>
    </w:p>
    <w:p>
      <w:pPr>
        <w:spacing w:after="120" w:line="276"/>
        <w:jc w:val="both"/>
      </w:pPr>
      <w:r>
        <w:rPr>
          <w:rFonts w:ascii="Barlow Semi Condensed" w:cs="Barlow Semi Condensed" w:eastAsia="Barlow Semi Condensed" w:hAnsi="Barlow Semi Condensed"/>
          <w:sz w:val="24"/>
          <w:szCs w:val="24"/>
        </w:rPr>
        <w:t xml:space="preserve">Il primo pilastro probatorio è lo strato degli esecutori, certificato al Livello A da una sequenza di giudicati che si è estesa lungo 4 decenni. Valerio Fioravanti e Francesca Mambro, esponenti di vertice dei Nuclei Armati Rivoluzionari, la formazione dello spontaneismo armato neofascista romano, furono condannati all'ergastolo quali esecutori, con sentenza resa irrevocabile dalla Corte di cassazione il 23 novembre 1995; Luigi Ciavardini, minorenne all'epoca dei fatti, fu condannato a 30 anni con sentenza divenuta definitiva nel 2007; Gilberto Cavallini fu condannato all'ergastolo quale ulteriore concorrente, con sentenza di primo grado del gennaio 2020 divenuta irrevocabile all'esito del giudizio di legittimità; e Paolo Bellini, figura proveniente dall'area di Avanguardia Nazionale, è stato condannato all'ergastolo quale ulteriore concorrente con sentenza di primo grado dell'aprile 2022, confermata in appello nel luglio 2024, dell'esito del cui giudizio di legittimità il registro darà atto in sede di aggiornamento; il processo relativo a quest'ultima posizione è documentato nel corpus da uno studio dedicato. Il registro certifica al Livello A le condanne irrevocabili di Fioravanti, Mambro, Ciavardini e Cavallini, registra la posizione di Bellini allo stato dei gradi di merito, e annota il dato che la vulgata più trascura: gli esecutori giudicati della strage hanno sempre negato, e negano, la propria responsabilità, sicché il giudicato si è formato contro la loro protesta di innocenza, sulla forza del compendio probatorio; il registro, che riporta per esteso le assoluzioni, riporta con eguale fedeltà questa protesta quale fatto, senza attribuirle valore revocatorio che l'ordinamento non le riconosce.</w:t>
      </w:r>
    </w:p>
    <w:p>
      <w:pPr>
        <w:spacing w:after="120" w:line="276"/>
        <w:jc w:val="both"/>
      </w:pPr>
      <w:r>
        <w:rPr>
          <w:rFonts w:ascii="Barlow Semi Condensed" w:cs="Barlow Semi Condensed" w:eastAsia="Barlow Semi Condensed" w:hAnsi="Barlow Semi Condensed"/>
          <w:sz w:val="24"/>
          <w:szCs w:val="24"/>
        </w:rPr>
        <w:t xml:space="preserve">Il secondo pilastro è lo strato dell'ostruzione, che le fasi precedenti hanno certificato e che qui si ricompone nella sua unità. Per il depistaggio delle indagini, consistito nella costruzione della falsa pista internazionale mediante la collocazione di una valigia di esplosivo e materiali su un treno, furono condannati in via definitiva Licio Gelli, Venerabile della loggia P2, Francesco Pazienza, faccendiere del SISMI, e gli ufficiali del medesimo servizio Pietro Musumeci e Giuseppe Belmonte: il registro, che ha certificato l'accertamento al Livello A nella Fase 1 dal lato della loggia e nella Fase 2 dal lato degli apparati, lo richiama qui quale secondo strato del nodo, e ne ribadisce la qualificazione: l'ostruzione fu opera congiunta del vertice della loggia coperta e di uomini del servizio militare diretto dal piduista Santovito, e costituisce la saldatura giudicata dei Domini 3 e 4 sul terreno del Dominio 7; la Regola Ferrea, per l'ultima volta enunciata su questo evento, vieta di inferire dal depistaggio il mandato, e ciò che oltrepassa questo limite appartiene allo strato successivo, con il suo diverso statuto probatorio.</w:t>
      </w:r>
    </w:p>
    <w:p>
      <w:pPr>
        <w:spacing w:after="120" w:line="276"/>
        <w:jc w:val="both"/>
      </w:pPr>
      <w:r>
        <w:rPr>
          <w:rFonts w:ascii="Barlow Semi Condensed" w:cs="Barlow Semi Condensed" w:eastAsia="Barlow Semi Condensed" w:hAnsi="Barlow Semi Condensed"/>
          <w:sz w:val="24"/>
          <w:szCs w:val="24"/>
        </w:rPr>
        <w:t xml:space="preserve">Il terzo pilastro è lo strato dei mandanti, che il registro affronta con la qualificazione più sorvegliata dell'intera opera, trattandosi dell'evoluzione più recente e più delicata dell'accertamento. Le motivazioni delle sentenze di merito dell'ultimo ciclo processuale, formate nei giudizi a carico di Cavallini e di Bellini, hanno ricostruito, sul fondamento tra l'altro di un appunto contabile sequestrato a Licio Gelli recante l'intestazione Bologna e la registrazione di ingenti movimenti in dollari, il quadro del finanziamento dell'operazione, indicando quali mandanti, finanziatori e organizzatori della strage Licio Gelli, Umberto Ortolani, Federico Umberto D'Amato e Mario Tedeschi, senatore e direttore di una testata dell'area: tutti defunti, e mai sottoposti in vita a giudizio per tale titolo. Il registro recepisce questa ricostruzione al Livello B, quale contenuto di motivazioni giudiziarie di merito recenti, fonte di alta affidabilità, concernente soggetti che nessun dispositivo ha condannato per quel titolo né potrà più giudicare; e dichiara le 2 conseguenze sistematiche della recezione. La prima riguarda la coerenza interna del registro: il nodo D'Amato, che la Fase 2 aveva certificato mantenendo al Livello C ogni ipotesi di regia sugli eventi stragisti, riceve dall'evoluzione giudiziaria un aggiornamento specifico, giacché quanto alla sola strage di Bologna l'indicazione del suo nome tra i mandanti ascende al Livello B in forza della fonte giudiziaria sopravvenuta, ferma restando per ogni altro evento la classificazione precedente: il registro documenta così, in atto, il proprio funzionamento quale sistema revisionabile, nel quale i livelli si muovono al mutare delle fonti e ogni movimento è dichiarato. La seconda conseguenza riguarda il quadrilatero della Fase 1: l'indicazione congiunta di Gelli e Ortolani quali mandanti-finanziatori colloca il vertice della loggia, già condannato in via definitiva per l'ostruzione, anche nello strato del mandato secondo la fonte di Livello B, e la presenza di un direttore di testata tra i soggetti indicati proietta l'evento verso il Dominio 8, che il registro annota quale filo da sviluppare. Resta infine da censire, quale ipotesi respinta, la cosiddetta pista alternativa internazionale, nelle sue varie formulazioni: il registro dà atto che le sentenze dell'ultimo ciclo l'hanno espressamente esaminata ed esclusa, sicché essa è, allo stato, un'ipotesi giudizialmente disattesa, e la sua iscrizione al Livello C reca questa qualificazione aggravata.</w:t>
      </w:r>
    </w:p>
    <w:p>
      <w:pPr>
        <w:spacing w:after="120" w:line="276"/>
        <w:jc w:val="both"/>
      </w:pPr>
      <w:r>
        <w:rPr>
          <w:rFonts w:ascii="Barlow Semi Condensed" w:cs="Barlow Semi Condensed" w:eastAsia="Barlow Semi Condensed" w:hAnsi="Barlow Semi Condensed"/>
          <w:sz w:val="24"/>
          <w:szCs w:val="24"/>
        </w:rPr>
        <w:t xml:space="preserve">Il quarto pilastro è l'antecedente immediato dell'omicidio del giudice Mario Amato, che il registro certifica al Livello A e colloca quale cerniera tra la campagna dei Nuclei Armati Rivoluzionari e la strage. Il 23 giugno 1980, 40 giorni prima della strage, il sostituto procuratore Mario Amato, che conduceva a Roma, in condizioni di isolamento istituzionale da lui stesso denunciate, le indagini sull'eversione di destra romana, fu assassinato con un colpo alla nuca a una fermata dell'autobus; l'omicidio fu opera dei Nuclei Armati Rivoluzionari, e per esso riportarono condanna definitiva esponenti dell'organizzazione, tra i quali Gilberto Cavallini. Il registro certifica al Livello A, sul fondamento del giudicato, l'omicidio di Amato quale eliminazione deliberata del magistrato che indagava sull'organizzazione, e ne dichiara il triplice rilievo per il nodo. In primo luogo, esso costituisce il secondo arco estremo tra il Dominio 7 e il Dominio 10 della fase, dopo l'omicidio Occorsio, e la reiterazione a 4 anni di distanza certifica che l'eliminazione del magistrato inquirente fu una tecnica ricorrente dell'eversione nera, non un episodio isolato. In secondo luogo, la denuncia di isolamento resa da Amato poco prima della morte davanti agli organi di autogoverno, documentata agli atti, è recepita dal registro quale reperto di Livello A sull'inadeguatezza della protezione istituzionale accordata a chi indagava su quell'ambiente in quella stagione, senza estensioni inferenziali sulla sua intenzionalità. In terzo luogo, la sequenza Amato-Bologna, con il medesimo ambiente organizzativo certificato dai giudicati su entrambi gli eventi e con la continuità personale nella figura di Cavallini, disegna l'escalation della seconda finestra critica nella sua forma più compressa: dall'eliminazione dell'inquirente all'eccidio indiscriminato in 40 giorni, la progressione che il Pattern 3 registra quale firma temporale del biennio.</w:t>
      </w:r>
    </w:p>
    <w:p>
      <w:pPr>
        <w:spacing w:after="120" w:line="276"/>
        <w:jc w:val="both"/>
      </w:pPr>
      <w:r>
        <w:rPr>
          <w:rFonts w:ascii="Barlow Semi Condensed" w:cs="Barlow Semi Condensed" w:eastAsia="Barlow Semi Condensed" w:hAnsi="Barlow Semi Condensed"/>
          <w:sz w:val="24"/>
          <w:szCs w:val="24"/>
        </w:rPr>
        <w:t xml:space="preserve">Il quinto pilastro, conclusivo, riguarda la memoria processuale e civile dell'evento, che il registro annota quale dato di lungo periodo: l'associazione dei familiari delle vittime, costituitasi nel 1981, ha operato per oltre 4 decenni quale motore civile dell'accertamento, costituendosi parte civile in ogni ciclo processuale e sostenendo la prosecuzione delle indagini sino alle sentenze più recenti; il registro certifica al Livello A questo ruolo, documentato in ogni atto dei procedimenti, e vi riconosce un reperto strutturale che l'intera opera registra in controluce: nella serie stragista italiana, la persistenza dell'accertamento oltre i depistaggi e le prescrizioni fu garantita in misura decisiva dalla parte civile organizzata, ossia da un attore esterno tanto agli apparati quanto alla politica, e la circostanza conferma la regolarità comparativa, già codificata dal registro, per cui gli archivi e le verità di questo dominio non si sono mai aperti spontaneamente.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Bologna-Nuclei Armati Rivoluzionari-esecutori, è il triangolo delle condanne irrevocabili di Fioravanti, Mambro, Ciavardini e Cavallini, certificato al Livello A. La seconda, Bologna-Gelli-uomini del SISMI, è il triangolo dell'ostruzione, certificato al Livello A dai giudicati e saldato alle Fasi 1 e 2. La terza, Bologna-appunto contabile-quadro dei mandanti, è il triangolo dello strato più recente, recepito al Livello B con la qualificazione integrale della sua natura. Sul piano dei pattern, il nodo attiva il Pattern 4, l'analisi dei flussi, nella ricostruzione contabile del finanziamento che le motivazioni recenti hanno operato, prima applicazione giudiziaria compiuta, nell'intera stagione, del principio per cui il denaro disegna la mappa che gli uomini occultano; e chiude il Pattern 3 della fase, segnando la seconda finestra critica, quella del biennio 1980, che le fasi precedenti hanno già popolato con la direzione piduista dei servizi.</w:t>
      </w:r>
    </w:p>
    <w:p>
      <w:pPr>
        <w:spacing w:after="120" w:line="276"/>
        <w:jc w:val="both"/>
      </w:pPr>
      <w:r>
        <w:rPr>
          <w:rFonts w:ascii="Barlow Semi Condensed" w:cs="Barlow Semi Condensed" w:eastAsia="Barlow Semi Condensed" w:hAnsi="Barlow Semi Condensed"/>
          <w:sz w:val="24"/>
          <w:szCs w:val="24"/>
        </w:rPr>
        <w:t xml:space="preserve">Alla contabilità delle 85 vittime, che il registro assume nella sua interezza dagli atti e dalla liturgia civile che ogni 2 agosto ne scandisce i nomi dalla piazza della stazione, appartengono gli estremi anagrafici che la memoria pubblica ha consegnato quale misura dell'indiscriminatezza: la più giovane, Angela Fresu, aveva 3 anni, ed il ventaglio delle età si stendeva da lei sino agli ottuagenari, attraversando ogni condizione, viaggiatori, ferrovieri, lavoratori della stazione, turisti stranieri, Livello A quanto alla composizione, consegnata agli atti ed al monumento. Il registro censisce il dato non quale cornice emotiva ma quale reperto morfologico terminale della serie: la sala d'aspetto di seconda classe di una stazione di snodo, in un sabato d'esodo estivo, è il bersaglio a massima entropia sociale concepibile, il punto in cui la selezione della vittima è affidata per intero al caso, e la progressione che la fase ha misurato, dalla clientela di una banca al pubblico di una manifestazione sino alla folla indistinta di agosto, tocca qui il proprio limite matematico, oltre il quale non esiste ulteriore grado di indiscriminatezza: la strage di Bologna è, in questo senso tecnico e terribile, l'evento terminale non solo della cronologia ma della logica della stagione.</w:t>
      </w:r>
    </w:p>
    <w:p>
      <w:pPr>
        <w:spacing w:after="120" w:line="276"/>
        <w:jc w:val="both"/>
      </w:pPr>
      <w:r>
        <w:rPr>
          <w:rFonts w:ascii="Barlow Semi Condensed" w:cs="Barlow Semi Condensed" w:eastAsia="Barlow Semi Condensed" w:hAnsi="Barlow Semi Condensed"/>
          <w:sz w:val="24"/>
          <w:szCs w:val="24"/>
        </w:rPr>
        <w:t xml:space="preserve">Alla persistenza civile censita dal quinto pilastro va aggiunto il suo precipitato normativo, che il registro annota quale esito di lungo periodo dell'intera stagione: la legislazione organica in favore delle vittime del terrorismo e delle stragi, approdata nella legge del 2004 sulle provvidenze e costruita nell'arco di 3 decenni sotto la pressione costante delle famiglie, con il riconoscimento di benefici, pensioni ed onorificenze che trasformarono la condizione di vittima da fatto privato in status pubblico, Livello A quanto all'impianto normativo. Il registro vi legge il compimento di un rovesciamento di lungo periodo: nella prima stagione le vittime furono, processualmente e pubblicamente, comparse dell'evento, nomi in calce alle perizie; nell'ultima esse sono divenute parte attiva dell'accertamento, motore di costituzioni di parte civile, di istanze di desecretazione, di campagne per l'accesso agli archivi, sino a costituire, nel lessico di questa opera, il primo ed unico nodo collettivo della rete che operi esclusivamente nel codice della verità: non parte in causa dell'analisi, ma condizione di possibilità della documentazione su cui l'analisi lavora, giacché una quota rilevante degli atti che questo registro cita esiste perché qualcuno, per 40 anni, non ha smesso di chiederli.</w:t>
      </w:r>
    </w:p>
    <w:p>
      <w:pPr>
        <w:spacing w:after="120" w:line="276"/>
        <w:jc w:val="both"/>
      </w:pPr>
      <w:r>
        <w:rPr>
          <w:rFonts w:ascii="Barlow Semi Condensed" w:cs="Barlow Semi Condensed" w:eastAsia="Barlow Semi Condensed" w:hAnsi="Barlow Semi Condensed"/>
          <w:sz w:val="24"/>
          <w:szCs w:val="24"/>
        </w:rPr>
        <w:t xml:space="preserve">La sequenza dei giudicati sugli esecutori va restituita nella sua interezza, perché la sua stessa tortuosità è un reperto sulla resistenza dell'accertamento: condanne in primo grado nel luglio 1988, assoluzioni per la strage nel giudizio d'appello del luglio 1990, annullamento con rinvio pronunciato dalla Corte di cassazione nel febbraio 1992, nuove condanne nel giudizio di rinvio del maggio 1994 ed irrevocabilità il 23 novembre 1995, Livello A sull'intera scansione. Sette anni e 5 pronunce separano il primo dispositivo dal giudicato, ed il punto di massima torsione, l'assoluzione d'appello del 1990 travolta dall'annullamento del 1992, consegna al registro la misura della contendibilità che il processo conobbe sino all'ultimo grado. Alla stabilità successiva del giudicato appartiene infine un dato che la disciplina della pari evidenza impone di censire: le istanze di revisione ripetutamente proposte negli anni dai condannati principali sono state dichiarate inammissibili o rigettate dalle corti competenti, sicché il giudicato del 1995 ha superato, oltre ai gradi ordinari, anche il vaglio straordinario cui i condannati lo hanno sottoposto, Livello A quanto agli esiti delle revisioni. Il registro consegna il dato nella sua doppia valenza: la richiesta di revisione è l'esercizio di un diritto e la sua reiterazione non è un indizio contro chi la propone, ma la tenuta del giudicato dinanzi ad ogni verifica sollecitata è, simmetricamente, un fatto processuale compiuto, e la contabilità del nodo deve registrare entrambi i piatti della bilancia, il diritto esercitato e l'esito costante.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infine la risposta della città, che il registro censisce quale reperto civile di pari dignità documentale: nelle ore successive alle 10:25 la macchina spontanea dei soccorsi, viaggiatori, ferrovieri, tassisti, cittadini accorsi a mani nude tra le macerie della sala d'aspetto, affiancò e in parte precedette quella istituzionale, in una mobilitazione che la documentazione fotografica e testimoniale dell'agosto 1980 ha consegnato alla memoria nazionale quale contro-immagine esatta della strage, Livello A quanto alla mobilitazione documentata. Il registro annota il dato non per concessione alla retorica, che il suo statuto vieta, ma per la sua funzione analitica precisa: la strategia che colpisce il quotidiano, censita nel capitolo 8, incontrò a Bologna la sua confutazione pratica nel quotidiano stesso che si organizzava, e la velocità della risposta civile, misurabile in minuti, contrasta punto per punto con la lentezza pluridecennale dell'accertamento, misurabile in lustri. Tra questi 2 tempi, il tempo del soccorso ed il tempo della giustizia, si distende l'intera fenomenologia che la fase ha censito: ed il registro, chiudendo il penultimo nodo, consegna la forbice alla riflessione istituzionale cui compete, annotando soltanto che una Repubblica capace del primo tempo non era condannata per natura alla durata del secondo.</w:t>
      </w:r>
    </w:p>
    <w:p>
      <w:pPr>
        <w:spacing w:after="120" w:line="276"/>
        <w:jc w:val="both"/>
      </w:pPr>
      <w:r>
        <w:rPr>
          <w:rFonts w:ascii="Barlow Semi Condensed" w:cs="Barlow Semi Condensed" w:eastAsia="Barlow Semi Condensed" w:hAnsi="Barlow Semi Condensed"/>
          <w:sz w:val="24"/>
          <w:szCs w:val="24"/>
        </w:rPr>
        <w:t xml:space="preserve">Accanto al binario penale ed a quello memoriale, il caso bolognese ha costruito il terzo pilastro della risposta civile, che il registro censisce quale lascito istituzionale della strage: sul versante associativo, la costituzione permanente dell'Associazione tra i familiari delle vittime della strage alla stazione di Bologna, che dal 1981 ha operato quale parte civile organizzata in ogni grado di ogni filone processuale, motore ininterrotto di impulso giudiziario attraverso 4 decenni, modello poi replicato dalle associazioni delle altre stragi del corpus, Livello A quanto all'esistenza, alla continuità ed al ruolo processuale documentato; sul versante legislativo, il binario riparatorio culminato nella legge 3 agosto 2004 numero 206 sulle nuove norme in favore delle vittime del terrorismo e delle stragi, che consolidò elargizioni, benefici previdenziali ed assistenziali per le vittime e per i superstiti dell'intera stagione, Livello A quanto allo strumento normativo. Il registro assegna al doppio pilastro la sua funzione sistemica: la riparazione economica e l'organizzazione permanente dei familiari sono le 2 forme con cui la Repubblica ha riconosciuto in via generale ciò che le aule hanno accertato solo in parte, ed il paradosso contabile che ne deriva, uno Stato che indennizza per legge tutte le vittime di stragi delle quali non ha giudizialmente individuato tutti i responsabili, non è un'incoerenza ma la fotografia esatta della forbice che l'intera fase misura, tra la certezza dei corpi e l'incompiutezza delle catene di comando, con l'annotazione finale che l'opera deve al caso bolognese: dove lo Stato ha camminato più lentamente, i familiari organizzati hanno camminato per lui, e la stagione dei mandanti censita nel capitolo è, in misura documentabile dagli atti, il prodotto della loro ostinazione processuale prima ancora che dell'iniziativa pubblica.</w:t>
      </w:r>
    </w:p>
    <w:p>
      <w:pPr>
        <w:spacing w:after="120" w:line="276"/>
        <w:jc w:val="both"/>
      </w:pPr>
      <w:r>
        <w:rPr>
          <w:rFonts w:ascii="Barlow Semi Condensed" w:cs="Barlow Semi Condensed" w:eastAsia="Barlow Semi Condensed" w:hAnsi="Barlow Semi Condensed"/>
          <w:sz w:val="24"/>
          <w:szCs w:val="24"/>
        </w:rPr>
        <w:t xml:space="preserve">Il fascicolo bolognese impone infine il censimento della sua controipotesi maggiore, che il registro riporta con la disciplina del Pattern 6: la tesi della matrice palestinese, la lettura che riconduce l'ordigno del 2 agosto ad una rappresaglia collegata alla rottura degli equilibri riservati mediterranei censiti nella fase quinta, riproposta in più stagioni processuali e pubblicistiche quale alternativa alla matrice neofascista giudicata, è stata esaminata e motivatamente respinta dalle sentenze dell'ultima stagione, che ne hanno vagliato gli elementi dichiarativi e documentali concludendo per la loro inidoneità a scalfire il quadro probatorio consolidato, Livello A quanto all'esistenza della controipotesi, al suo esame giudiziario ed al suo rigetto motivato nei giudicati. Il registro consegna il punto al suo statuto esatto, contro le 2 tentazioni speculari: la controipotesi non è stata ignorata, come lamenta la sua pubblicistica, ma processata e respinta nel contraddittorio, il che la colloca tra le ipotesi falsificate e non tra quelle censurate; e simmetricamente il suo ritorno ciclico ad ogni stagione, documentabile nella cronologia del caso, appartiene esso stesso ai fenomeni che il corpus studia, la persistenza delle letture alternative quale funzione del bisogno di senso più che della forza degli elementi, con l'annotazione di metodo che chiude il punto: in un caso con esecutori condannati in via definitiva e mandanti giudicati, l'onere di ogni tesi sostitutiva non è di essere suggestiva ma di spiegare meglio l'intero corpo dei fatti accertati, e questo onere, ad oggi, nessuna controipotesi bolognese lo ha assolto davanti ad un giudice.</w:t>
      </w:r>
    </w:p>
    <w:p>
      <w:pPr>
        <w:spacing w:after="120" w:line="276"/>
        <w:jc w:val="both"/>
      </w:pPr>
      <w:r>
        <w:rPr>
          <w:rFonts w:ascii="Barlow Semi Condensed" w:cs="Barlow Semi Condensed" w:eastAsia="Barlow Semi Condensed" w:hAnsi="Barlow Semi Condensed"/>
          <w:sz w:val="24"/>
          <w:szCs w:val="24"/>
        </w:rPr>
        <w:t xml:space="preserve">Il lutto bolognese ebbe infine la sua liturgia divisa, che il registro censisce quale primo verdetto della piazza: alle esequie solenni celebrate in San Petronio nei giorni successivi alla strage, davanti ad una moltitudine che gremiva la piazza, la folla riservò contestazioni e fischi ai rappresentanti del governo e delle istituzioni di partito, mentre tributò al presidente della Repubblica Pertini, giunto tra i feriti e le bare sin dalle prime ore, un'accoglienza di segno opposto, in una scena documentata da ogni cronaca e rimasta nella memoria civile quale spartiacque del rapporto tra il Paese e lo Stato dopo l'ultima strage, Livello A quanto ai fatti ed alla loro documentazione. Il registro consegna la scena alla sua funzione di reperto: la piazza del 1980 distinse pubblicamente, dentro il medesimo Stato, le istituzioni percepite quali garanti da quelle percepite quali inadempienti, emettendo a caldo, con lo strumento primitivo del fischio e dell'applauso, il medesimo giudizio differenziale che 4 decenni di processi avrebbero poi faticosamente istruito, e questa anticipazione popolare della distinzione che governa l'intera opera, lo Stato che protegge e lo Stato che manca, non è un dato folclorico ma il segno che la coscienza civile del Paese aveva già letto, nell'agosto 1980, la struttura duale che il corpus documenta, con l'annotazione che chiude il capitolo: le stragi non riuscirono mai a produrre il panico eversivo per cui erano concepite, produssero piazze che fischiavano, e la differenza tra questi 2 esiti è la ragione ultima per cui la strategia censita da questa fase, pur avendo vinto quasi tutti i suoi processi, ha perso la sua guerra.</w:t>
      </w:r>
    </w:p>
    <w:p>
      <w:pPr>
        <w:spacing w:after="120" w:line="276"/>
        <w:jc w:val="both"/>
      </w:pPr>
      <w:r>
        <w:rPr>
          <w:rFonts w:ascii="Barlow Semi Condensed" w:cs="Barlow Semi Condensed" w:eastAsia="Barlow Semi Condensed" w:hAnsi="Barlow Semi Condensed"/>
          <w:sz w:val="24"/>
          <w:szCs w:val="24"/>
        </w:rPr>
        <w:t xml:space="preserve">La stazione conserva infine la sua reliquia laica, che il registro censisce a chiusura del versante memoriale: l'orologio della facciata, fermato dalla deflagrazione sull'ora della strage, fu in seguito riparato, e quindi nuovamente arrestato per scelta memoriale sulle 10:25, l'ora che il capitolo ha censito, divenendo il segno permanente che accoglie chiunque transiti per il piazzale, Livello A quanto alla vicenda dell'oggetto ed alla sua funzione attuale. Il registro consegna la reliquia alla sua lezione: la decisione di rifermare un orologio funzionante, di sacrificare cioè l'utilità del meccanismo alla verità del segno, è l'atto memoriale più radicale del corpus, perché non aggiunge un monumento alla città ma sottrae per sempre un servizio alla stazione, imponendo alla vita quotidiana una piccola disfunzione perpetua in cambio della memoria, e questa scelta, deliberata e mantenuta, dice della strage di Bologna ciò che nessuna lapide potrebbe: che la città ha voluto un tempo pubblico spezzato in permanenza, un quadrante che dà a tutti l'ora sbagliata perché nessuno possa avere, su quel piazzale, l'ora senza la storia.</w:t>
      </w:r>
    </w:p>
    <w:p>
      <w:pPr>
        <w:spacing w:after="120" w:line="276"/>
        <w:jc w:val="both"/>
      </w:pPr>
      <w:r>
        <w:rPr>
          <w:rFonts w:ascii="Barlow Semi Condensed" w:cs="Barlow Semi Condensed" w:eastAsia="Barlow Semi Condensed" w:hAnsi="Barlow Semi Condensed"/>
          <w:sz w:val="24"/>
          <w:szCs w:val="24"/>
        </w:rPr>
        <w:t xml:space="preserve">La stagione parlamentare sulle stragi ebbe il suo presidente-simbolo, che il registro censisce a completamento del versante istituzionale: il senatore Libero Gualtieri guidò la Commissione stragi dal 1988 al 1994, gli anni delle svolte censite dall'opera, la rivelazione della rete clandestina, la riapertura dei fascicoli orientali, le grandi audizioni, imprimendo ai lavori l'impostazione documentale che le relazioni di quella stagione testimoniano e che fece della commissione, in quel sessennio, il principale motore civile di declassificazione della Repubblica, Livello A quanto alla presidenza ed agli atti prodotti. Il registro consegna la figura alla tipologia che l'opera ha costruito attraverso le fasi: accanto ai magistrati istruttori ed agli archivisti volontari, il corpus registra la funzione del presidente d'inchiesta quale terza figura della conoscenza possibile, l'uomo che non può condannare né conservare ma può costringere lo Stato a rispondere in verbale, e la stagione Gualtieri, con i suoi atti che questa fase ha citato in ogni capitolo, dimostra la resa massima dello strumento parlamentare quando smette di cercare colpevoli, che non può raggiungere, e si dedica a ciò che solo esso può fare, trasformare il segreto in atto pubblico una domanda alla volta.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Bologna è certificato nei suoi 3 strati: al Livello A le condanne irrevocabili degli esecutori Fioravanti, Mambro, Ciavardini e Cavallini, con la posizione di Bellini registrata allo stato dei gradi di merito; al Livello A il depistaggio congiunto di Gelli, Pazienza, Musumeci e Belmonte, saldatura giudicata dei Domini 3 e 4 sul terreno del Dominio 7; al Livello B il quadro dei mandanti Gelli, Ortolani, D'Amato e Tedeschi ricostruito dalle motivazioni recenti sul fondamento dell'appunto contabile, con l'aggiornamento dichiarato della posizione di D'Amato rispetto alla Fase 2 e la proiezione verso il Dominio 8; la pista alternativa internazionale è censita quale ipotesi espressamente disattesa dai giudicati.</w:t>
      </w:r>
    </w:p>
    <w:p>
      <w:pPr>
        <w:pStyle w:val="Heading3"/>
        <w:spacing w:after="80" w:before="160"/>
      </w:pPr>
      <w:r>
        <w:rPr>
          <w:rFonts w:ascii="Barlow Semi Condensed" w:cs="Barlow Semi Condensed" w:eastAsia="Barlow Semi Condensed" w:hAnsi="Barlow Semi Condensed"/>
          <w:sz w:val="24"/>
          <w:szCs w:val="24"/>
        </w:rPr>
        <w:t xml:space="preserve">Capitolo 10 — ■ L'omicidio di Piersanti Mattarella. Il mandato giudicato e l'esecuzione irrisolta</w:t>
      </w:r>
    </w:p>
    <w:p>
      <w:pPr>
        <w:spacing w:after="120" w:line="276"/>
        <w:jc w:val="both"/>
      </w:pPr>
      <w:r>
        <w:rPr>
          <w:rFonts w:ascii="Barlow Semi Condensed" w:cs="Barlow Semi Condensed" w:eastAsia="Barlow Semi Condensed" w:hAnsi="Barlow Semi Condensed"/>
          <w:sz w:val="24"/>
          <w:szCs w:val="24"/>
        </w:rPr>
        <w:t xml:space="preserve">L'omicidio di Piersanti Mattarella, presidente della Regione Siciliana, assassinato a Palermo il 6 gennaio 1980 mentre, senza scorta, si recava a messa con la famiglia, è il nodo che chiude la fase perché in esso si concentra, allo stato più puro, la questione che la Fase 1 aveva formalmente lasciato aperta e consegnato alle fasi successive: la convergenza tra il Dominio 1, la mafia, e il Dominio 7, l'eversione nera, nella stagione a cavallo del 1980. La scansione del corpus registra Mattarella 226 volte in 19 documenti. Il nodo è altresì, tra tutti quelli dell'opera, il più esigente sul piano della disciplina, giacché in esso coesistono un giudicato pieno sul mandato e un vuoto integrale, presidiato da un'assoluzione irrevocabile, sull'esecuzione.</w:t>
      </w:r>
    </w:p>
    <w:p>
      <w:pPr>
        <w:spacing w:after="120" w:line="276"/>
        <w:jc w:val="both"/>
      </w:pPr>
      <w:r>
        <w:rPr>
          <w:rFonts w:ascii="Barlow Semi Condensed" w:cs="Barlow Semi Condensed" w:eastAsia="Barlow Semi Condensed" w:hAnsi="Barlow Semi Condensed"/>
          <w:sz w:val="24"/>
          <w:szCs w:val="24"/>
        </w:rPr>
        <w:t xml:space="preserve">La ricostruzione dell'evento e del suo contesto è il primo fondamento. Piersanti Mattarella, esponente della corrente morotea della Democrazia Cristiana siciliana, conduceva da presidente della Regione una politica dichiarata di rottura del sistema degli appalti e di risanamento amministrativo, in aperto conflitto con gli interessi mafiosi e con gli equilibri interni al suo stesso partito che la Fase 1 ha documentato nel nodo Lima-Ciancimino; il suo assassinio si inserì nella sequenza degli omicidi politici palermitani che eliminò, tra il 1979 e il 1982, il segretario provinciale democristiano Michele Reina, lo stesso Mattarella e il segretario regionale comunista Pio La Torre. Il registro certifica al Livello A l'evento, il contesto politico-amministrativo del conflitto sugli appalti e l'appartenenza dell'omicidio alla sequenza politica palermitana.</w:t>
      </w:r>
    </w:p>
    <w:p>
      <w:pPr>
        <w:spacing w:after="120" w:line="276"/>
        <w:jc w:val="both"/>
      </w:pPr>
      <w:r>
        <w:rPr>
          <w:rFonts w:ascii="Barlow Semi Condensed" w:cs="Barlow Semi Condensed" w:eastAsia="Barlow Semi Condensed" w:hAnsi="Barlow Semi Condensed"/>
          <w:sz w:val="24"/>
          <w:szCs w:val="24"/>
        </w:rPr>
        <w:t xml:space="preserve">Il primo pilastro probatorio è il giudicato sul mandato, che il registro certifica al Livello A. Il processo per gli omicidi politici palermitani si concluse con la condanna all'ergastolo, quali mandanti, dei componenti della commissione provinciale di Cosa Nostra, tra cui Salvatore Riina e Giuseppe Calò, con sentenza della Corte d'assise di Palermo dell'aprile 1995 divenuta irrevocabile all'esito dei gradi successivi: il vertice dell'organizzazione mafiosa deliberò ed ordinò l'eliminazione del presidente della Regione, quale risposta alla sua politica di rottura. Il registro certifica al Livello A il mandato mafioso dell'omicidio Mattarella, e annota il richiamo interno che ne deriva: tra i mandanti condannati figura Giuseppe Calò, il nodo che la Fase 1 aveva certificato quale cassiere dell'organizzazione e quale condannato per la strage del rapido 904, sicché il medesimo uomo salda, nella propria posizione giudiziaria definitiva, il mandato dell'omicidio politico del 1980 e la strage ferroviaria del 1984: un arco interno al Dominio 1 che attraversa il Dominio 7 e che il registro iscrive quale conferma della capacità deliberativa unitaria del vertice mafioso sull'intero spettro della violenza politica.</w:t>
      </w:r>
    </w:p>
    <w:p>
      <w:pPr>
        <w:spacing w:after="120" w:line="276"/>
        <w:jc w:val="both"/>
      </w:pPr>
      <w:r>
        <w:rPr>
          <w:rFonts w:ascii="Barlow Semi Condensed" w:cs="Barlow Semi Condensed" w:eastAsia="Barlow Semi Condensed" w:hAnsi="Barlow Semi Condensed"/>
          <w:sz w:val="24"/>
          <w:szCs w:val="24"/>
        </w:rPr>
        <w:t xml:space="preserve">Il secondo pilastro è la questione degli esecutori, che il registro espone nella sua integralità formale. L'istruttoria e il dibattimento esplorarono, sul fondamento di dichiarazioni di collaboratori e di un riconoscimento fotografico, l'ipotesi che l'esecuzione materiale fosse stata affidata, in una convergenza operativa senza precedenti, a killer provenienti dall'eversione nera romana, e segnatamente a Valerio Fioravanti e Gilberto Cavallini, i medesimi nomi che il capitolo precedente ha certificato quali condannati per la strage di Bologna: la Corte d'assise di Palermo, nella sentenza dell'aprile 1995, li assolse dall'accusa di essere gli esecutori dell'omicidio Mattarella, e l'assoluzione è divenuta irrevocabile nei gradi successivi. Il registro la riporta per esteso e certifica al Livello A che l'identità degli esecutori materiali dell'omicidio Mattarella resta, all'esito di ogni giudizio, non accertata: la strage di Stato regionale, come fu definita, ha mandanti giudicati e mani ignote. L'ipotesi della convergenza esecutiva tra mafia ed eversione nera, che la Fase 1 aveva registrato al Livello C, resta al Livello C, con la qualificazione aggravata che il registro riserva alle ipotesi processate e non provate: essa fu portata in giudizio e il giudizio non la consacrò, sicché la sua permanenza nel registro è quella dell'ipotesi vagliata e rimasta tale, distinta tanto dall'ipotesi mai vagliata quanto dall'ipotesi esclusa; il registro annota che la questione ha continuato a formare oggetto di attenzione investigativa e storiografica, e che ogni suo sviluppo sarà recepito al maturare di fonti nuove.</w:t>
      </w:r>
    </w:p>
    <w:p>
      <w:pPr>
        <w:spacing w:after="120" w:line="276"/>
        <w:jc w:val="both"/>
      </w:pPr>
      <w:r>
        <w:rPr>
          <w:rFonts w:ascii="Barlow Semi Condensed" w:cs="Barlow Semi Condensed" w:eastAsia="Barlow Semi Condensed" w:hAnsi="Barlow Semi Condensed"/>
          <w:sz w:val="24"/>
          <w:szCs w:val="24"/>
        </w:rPr>
        <w:t xml:space="preserve">Il terzo pilastro è la funzione sistemica del nodo nella chiusura della fase, che il registro dichiara. L'omicidio Mattarella è il punto in cui i 2 versanti dell'opera, il quadrilatero mafioso-affaristico della Fase 1 e il versante eversivo della presente fase, si toccano nel medesimo evento senza che il contatto sia mai stato provato: il mandato appartiene con certezza giudiziaria al primo versante, l'ipotesi esecutiva evocò il secondo, e il giudizio lasciò i 2 versanti giustapposti, non congiunti. Il registro eleva questa configurazione a paradigma: la convergenza tra i domini della violenza, che la vulgata assume quale sistema permanente, è nel registro una questione empirica da accertare evento per evento, e il nodo Mattarella dimostra che essa può essere, in un medesimo evento, giudizialmente fondata quanto a un versante e giudizialmente infondata quanto all'altro; nessun altro caso dell'opera incarna con eguale purezza la differenza tra la rete certificata e la rete congetturata, ed è per questo che il nodo sigilla la fase.</w:t>
      </w:r>
    </w:p>
    <w:p>
      <w:pPr>
        <w:spacing w:after="120" w:line="276"/>
        <w:jc w:val="both"/>
      </w:pPr>
      <w:r>
        <w:rPr>
          <w:rFonts w:ascii="Barlow Semi Condensed" w:cs="Barlow Semi Condensed" w:eastAsia="Barlow Semi Condensed" w:hAnsi="Barlow Semi Condensed"/>
          <w:sz w:val="24"/>
          <w:szCs w:val="24"/>
        </w:rPr>
        <w:t xml:space="preserve">Il quarto pilastro è la sequenza unitaria degli omicidi politici palermitani, che il registro certifica al Livello A quale contesto giudicato dell'evento e quale reperto sulla capacità deliberativa del vertice mafioso. Il medesimo ciclo processuale che giudicò l'omicidio Mattarella giudicò, con esiti convergenti, l'omicidio di Michele Reina, segretario provinciale della Democrazia Cristiana palermitana, ucciso il 9 marzo 1979, e quello di Pio La Torre, segretario regionale del Partito comunista e primo firmatario della legge che avrebbe introdotto il delitto di associazione mafiosa e la confisca dei patrimoni, ucciso con il suo collaboratore Rosario Di Salvo il 30 aprile 1982: per entrambi, la condanna definitiva dei componenti della commissione provinciale di Cosa Nostra quali mandanti. Il registro certifica al Livello A l'unitarietà del giudicato sulla sequenza, e ne trae l'annotazione strutturale: nell'arco di 3 anni il vertice mafioso deliberò l'eliminazione del segretario provinciale del partito di maggioranza, del presidente della Regione e del segretario regionale del partito di opposizione, colpendo l'intero spettro politico nel punto in cui ciascuna figura minacciava, per vie diverse, gli interessi dell'organizzazione, il controllo del partito-contenitore, il sistema degli appalti, il patrimonio; la trasversalità delle vittime certifica che l'organizzazione operava quale attore politico autonomo, capace di colpire maggioranza e opposizione secondo un proprio calcolo strategico, e non quale braccio armato di una parte, e questa autonomia deliberativa giudicata è il dato che il registro oppone a ogni lettura che riduca il Dominio 1 a strumento di altri domini. La legge voluta da La Torre, approvata dopo il suo assassinio e dopo quello del generale Dalla Chiesa nel settembre 1982, appartiene ai fili che la fase consegna: il registro la annota quale cerniera verso la trattazione del versante antimafia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Mattarella-commissione di Cosa Nostra-mandato, è il triangolo del giudicato, certificato al Livello A, con il richiamo interno al nodo Calò. La seconda, Mattarella-Fioravanti e Cavallini-ipotesi esecutiva, è il triangolo dell'ipotesi processata e non provata, con l'assoluzione irrevocabile riportata per esteso e la permanenza al Livello C nella qualificazione aggravata. La terza, Mattarella-politica degli appalti-nodo Lima-Ciancimino, è il triangolo del movente amministrativo, certificato al Livello A quanto al contesto e saldato al quadrilatero della Fase 1. Sul piano dei pattern, il nodo attiva il Pattern 6 nella sua espressione terminale, quale caso in cui la competizione tra le ipotesi sull'esecuzione resta formalmente aperta dopo il vaglio giudiziario; e il Pattern 5, giacché il vuoto sull'identità degli esecutori è il buco strutturale più significativo dell'intera rete della fase, un'assenza che, secondo il metodo, vale quanto una presenza e orienta la ricerca futura.</w:t>
      </w:r>
    </w:p>
    <w:p>
      <w:pPr>
        <w:spacing w:after="120" w:line="276"/>
        <w:jc w:val="both"/>
      </w:pPr>
      <w:r>
        <w:rPr>
          <w:rFonts w:ascii="Barlow Semi Condensed" w:cs="Barlow Semi Condensed" w:eastAsia="Barlow Semi Condensed" w:hAnsi="Barlow Semi Condensed"/>
          <w:sz w:val="24"/>
          <w:szCs w:val="24"/>
        </w:rPr>
        <w:t xml:space="preserve">Sul piano esecutivo, il registro completa l'esposizione con il reperto testimoniale che l'istruttoria consegnò: la moglie del presidente, presente al momento dell'agguato, fornì dell'esecutore una descrizione circostanziata, che orientò le esplorazioni dibattimentali senza mai approdare ad un riconoscimento capace di reggere il vaglio, sicché l'identità della mano resta, all'esito delle assoluzioni irrevocabili pronunciate sulle piste esplorate, giudizialmente indeterminata, Livello A quanto all'esistenza ed al ruolo processuale della testimonianza, Livello C quanto ad ogni attribuzione ulteriore. È la configurazione che fa del nodo il sigillo perfetto della fase: il mandato certificato al massimo livello, l'esecuzione consegnata allo Stato Zero, e tra i 2 piani quella zona di sovrapposizione tra il Dominio 1 ed il Dominio 7 che le fonti dibattimentali illuminarono senza che il giudicato potesse fissarla, la terra di mezzo tra la mafia che delibera e la manovalanza che spara, sulla quale il registro, fedele alla propria legge, scrive la parola che il diritto vi ha scritto, non provato, e la consegna, intatta ed aperta, alla storia.</w:t>
      </w:r>
    </w:p>
    <w:p>
      <w:pPr>
        <w:spacing w:after="120" w:line="276"/>
        <w:jc w:val="both"/>
      </w:pPr>
      <w:r>
        <w:rPr>
          <w:rFonts w:ascii="Barlow Semi Condensed" w:cs="Barlow Semi Condensed" w:eastAsia="Barlow Semi Condensed" w:hAnsi="Barlow Semi Condensed"/>
          <w:sz w:val="24"/>
          <w:szCs w:val="24"/>
        </w:rPr>
        <w:t xml:space="preserve">La questione esecutiva esige il completamento formale che la disciplina delle assoluzioni impone. Sul fondamento delle convergenze dichiarative che indicavano nell'agguato una mano estranea alla manovalanza mafiosa ordinaria, fu processato quale esecutore materiale Valerio Fioravanti, condannato in primo grado nel 1995 e quindi assolto nel giudizio d'appello, con pronuncia divenuta irrevocabile; parimenti assolto in via definitiva fu Gilberto Cavallini, Livello A quanto agli esiti, che il registro riporta per esteso. Ne risulta la configurazione che rende il nodo speculare e complementare a quello bolognese, ed il chiasmo va dichiarato perché è la chiave analitica della chiusura di fase: a Bologna il giudicato ha consegnato gli esecutori ed ha lasciato al piano ulteriore la questione dei mandanti; a Palermo il giudicato ha consegnato i mandanti, la commissione provinciale di Cosa Nostra con le condanne irrevocabili censite, ed ha lasciato irrisolto il piano degli esecutori. Le 2 stragi terminali della stagione, il massimo eccidio e l'omicidio politico d'apice, si specchiano così l'una nell'altra come 2 metà di un medesimo teorema probatorio: ciascuna certifica esattamente il piano che l'altra non raggiunge, e la loro giustapposizione, che solo la lettura reticolare consente, disegna il perimetro completo di ciò che la giustizia repubblicana ha potuto e non potuto sui 2 versanti, l'eversivo ed il mafioso, del medesimo campo di violenza. Il registro consegna il chiasmo alla Fase 4, che del rapporto tra i piani, l'esecuzione certificata ed il mandato conteso, farà la propria architettura portante sul caso che li contiene tutti.</w:t>
      </w:r>
    </w:p>
    <w:p>
      <w:pPr>
        <w:spacing w:after="120" w:line="276"/>
        <w:jc w:val="both"/>
      </w:pPr>
      <w:r>
        <w:rPr>
          <w:rFonts w:ascii="Barlow Semi Condensed" w:cs="Barlow Semi Condensed" w:eastAsia="Barlow Semi Condensed" w:hAnsi="Barlow Semi Condensed"/>
          <w:sz w:val="24"/>
          <w:szCs w:val="24"/>
        </w:rPr>
        <w:t xml:space="preserve">Il movente amministrativo del delitto va corredato di un esempio concreto, perché la formula del risanamento rischia l'astrattezza che il registro rifugge: tra gli atti della presidenza Mattarella gli accertamenti censirono l'intervento diretto sul sistema degli appalti regionali, con il blocco ed il riesame di procedure viziate nel settore dell'edilizia scolastica, terreno storico della spartizione tra impresa protetta ed amministrazione compiacente, ed è su questo terreno, secondo le ricostruzioni consegnate agli atti parlamentari e giudiziari, che la presidenza riformatrice incise gli interessi consolidati del blocco affaristico-mafioso, Livello A quanto agli atti amministrativi, Livello B quanto alla loro selezione quale movente specifico, che le motivazioni collocano nel quadro complessivo dell'azione di governo della vittima. Il dettaglio restituisce al nodo la sua concretezza materiale: il presidente non fu ucciso per una postura ma per una condotta, atti d'ufficio con numero di protocollo, e la distanza tra il gesto amministrativo, un appalto riesaminato, e la sua sanzione, l'agguato del giorno dell'Epifania, misura il tasso di conversione tra i codici che il registro ha assunto quale sua unità di misura sin dal primo capitolo: nella Sicilia del 1980, la moneta con cui il Dominio 1 pagava l'interferenza del Dominio 2 nel proprio mercato era una sola, e Piersanti Mattarella ne conobbe il corso.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Mattarella è certificato al Livello A quanto al mandato mafioso dell'omicidio, deliberato dalla commissione provinciale di Cosa Nostra e giudicato con condanne irrevocabili tra cui quelle di Riina e di Calò, e quanto al contesto del conflitto sugli appalti che lo motivò; l'identità degli esecutori materiali resta giudizialmente non accertata, con l'assoluzione irrevocabile di Fioravanti e Cavallini riportata per esteso, e l'ipotesi della convergenza esecutiva tra mafia ed eversione nera permane al Livello C nella qualificazione aggravata dell'ipotesi processata e non provata; il nodo sigilla la fase quale paradigma della differenza tra la rete certificata e la rete congetturata, e riconsegna alla Fase 5 e agli aggiornamenti futuri il buco strutturale della mano ignota.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3</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per versanti, gli archi, le triangolazioni e gli esiti certificati nella fase, con la funzione di riferimento citabile che i repertori delle fasi precedenti hanno stabilito. La forma è quella della prosa inventariale, e ogni voce reca il livello di certificazione.</w:t>
      </w:r>
    </w:p>
    <w:p>
      <w:pPr>
        <w:spacing w:after="120" w:line="276"/>
        <w:jc w:val="both"/>
      </w:pPr>
      <w:r>
        <w:rPr>
          <w:rFonts w:ascii="Barlow Semi Condensed" w:cs="Barlow Semi Condensed" w:eastAsia="Barlow Semi Condensed" w:hAnsi="Barlow Semi Condensed"/>
          <w:sz w:val="24"/>
          <w:szCs w:val="24"/>
        </w:rPr>
        <w:t xml:space="preserve">Il primo versante è quello dell'evento inaugurale e della sua matrice. Vi appartengono: l'arco piazza Fontana-pista anarchica, certificato al Livello A quale primo depistaggio della stagione, con la morte di Pinelli e l'assoluzione definitiva di Valpreda quali esiti documentati; l'arco piazza Fontana-cellula ordinovista veneta, certificato al Livello A quale verità storica affermata nella motivazione della sentenza definitiva del 3 maggio 2005; l'arco piazza Fontana-Reparto D, certificato al Livello A dalla condanna definitiva di Maletti per il depistaggio, richiamata dalla Fase 2; e la duplice posizione di Freda e Ventura, condannati in via definitiva a 15 anni per la campagna di attentati del 1969 e irrevocabilmente assolti dall'accusa di strage nel 1987, con l'attribuzione storica in motivazione che con tale assoluzione coesiste quale paradosso del giudicato.</w:t>
      </w:r>
    </w:p>
    <w:p>
      <w:pPr>
        <w:spacing w:after="120" w:line="276"/>
        <w:jc w:val="both"/>
      </w:pPr>
      <w:r>
        <w:rPr>
          <w:rFonts w:ascii="Barlow Semi Condensed" w:cs="Barlow Semi Condensed" w:eastAsia="Barlow Semi Condensed" w:hAnsi="Barlow Semi Condensed"/>
          <w:sz w:val="24"/>
          <w:szCs w:val="24"/>
        </w:rPr>
        <w:t xml:space="preserve">Il secondo versante è quello della matrice organizzativa. Vi appartengono: l'arco Ordine Nuovo-scioglimento giudiziario, certificato al Livello A dalla sentenza del novembre 1973 e dal decreto Taviani; l'arco Ordine Nuovo-Occorsio-Concutelli, certificato al Livello A dal giudicato sull'omicidio del magistrato del 10 luglio 1976, arco estremo tra il Dominio 7 e il Dominio 10; l'arco Concutelli e Tuti-Buzzi, certificato al Livello A quale soppressione in carcere dell'imputato della strage di Brescia; e l'arco delle migrazioni tra il movimento e il partito legale, certificato al Livello A quanto ai fatti organizzativi e privo di ogni estensione di responsabilità al partito quale tale.</w:t>
      </w:r>
    </w:p>
    <w:p>
      <w:pPr>
        <w:spacing w:after="120" w:line="276"/>
        <w:jc w:val="both"/>
      </w:pPr>
      <w:r>
        <w:rPr>
          <w:rFonts w:ascii="Barlow Semi Condensed" w:cs="Barlow Semi Condensed" w:eastAsia="Barlow Semi Condensed" w:hAnsi="Barlow Semi Condensed"/>
          <w:sz w:val="24"/>
          <w:szCs w:val="24"/>
        </w:rPr>
        <w:t xml:space="preserve">Il terzo versante è quello della proiezione internazionale. Vi appartengono: la certificazione di Livello A di Aginter Press quale centrale anticomunista di Lisbona documentata dai propri archivi sequestrati nel 1974; l'arco Aginter-eversione nera italiana, certificato al Livello B quanto ai collegamenti e mantenuto al Livello C quanto all'operatività in eventi specifici; il reperto comparativo Aginter-Hyperion, certificato al Livello A nei suoi 2 termini, l'isomorfismo strutturale e l'assenza di connessione operativa documentata; la latitanza intercontinentale di Delle Chiaie, certificata al Livello A nei fatti, con i rapporti con gli apparati cileni e con il contesto boliviano al Livello B; e l'arco Delle Chiaie-Aginter, certificato al Livello B quanto ai contatti e al Livello C quanto all'organicità.</w:t>
      </w:r>
    </w:p>
    <w:p>
      <w:pPr>
        <w:spacing w:after="120" w:line="276"/>
        <w:jc w:val="both"/>
      </w:pPr>
      <w:r>
        <w:rPr>
          <w:rFonts w:ascii="Barlow Semi Condensed" w:cs="Barlow Semi Condensed" w:eastAsia="Barlow Semi Condensed" w:hAnsi="Barlow Semi Condensed"/>
          <w:sz w:val="24"/>
          <w:szCs w:val="24"/>
        </w:rPr>
        <w:t xml:space="preserve">Il quarto versante è quello di Peteano. Vi appartengono: la responsabilità esecutiva di Vinciguerra, certificata al Livello A dalla confessione riscontrata e dal giudicato; il depistaggio, certificato al Livello A dalle condanne del perito Morin e di ufficiali dell'Arma tra cui il colonnello Mingarelli; la filiazione istruttoria Casson-Gladio, certificata al Livello A quale sequenza storica che condusse alla rivelazione dell'ottobre 1990, con la connessione di mandato tra la rete e la strage non provata e non affermata; e la graduazione delle dichiarazioni sistemiche di Vinciguerra tra il Livello B e il Livello C secondo il riscontro.</w:t>
      </w:r>
    </w:p>
    <w:p>
      <w:pPr>
        <w:spacing w:after="120" w:line="276"/>
        <w:jc w:val="both"/>
      </w:pPr>
      <w:r>
        <w:rPr>
          <w:rFonts w:ascii="Barlow Semi Condensed" w:cs="Barlow Semi Condensed" w:eastAsia="Barlow Semi Condensed" w:hAnsi="Barlow Semi Condensed"/>
          <w:sz w:val="24"/>
          <w:szCs w:val="24"/>
        </w:rPr>
        <w:t xml:space="preserve">Il quinto versante è quello di Brescia. Vi appartengono: il giudicato del 20 giugno 2017, che certifica al Livello A la responsabilità di Maggi quale organizzatore e di Tramonte quale concorrente, unica condanna definitiva di mandante dell'intera sequenza politica; la doppia qualità di Tramonte, fonte Tritone del SID e concorrente condannato, certificata al Livello A quale forma più diretta mai giudicata dell'arco Dominio 3-Dominio 7, con il mandato istituzionale fermo al Livello C; l'ostruzione originaria del lavaggio della piazza, certificata al Livello A; e la posizione del filone a carico di soggetti all'epoca minorenni, registrata quale pendenza non irrevocabile.</w:t>
      </w:r>
    </w:p>
    <w:p>
      <w:pPr>
        <w:spacing w:after="120" w:line="276"/>
        <w:jc w:val="both"/>
      </w:pPr>
      <w:r>
        <w:rPr>
          <w:rFonts w:ascii="Barlow Semi Condensed" w:cs="Barlow Semi Condensed" w:eastAsia="Barlow Semi Condensed" w:hAnsi="Barlow Semi Condensed"/>
          <w:sz w:val="24"/>
          <w:szCs w:val="24"/>
        </w:rPr>
        <w:t xml:space="preserve">Il sesto versante è quello dell'Italicus. Vi appartengono: l'assoluzione irrevocabile di Tuti e Franci del 24 marzo 1992, certificata al Livello A e costitutiva dello statuto della strage senza condannati; la valutazione della Commissione Anselmi sull'istigazione e sul possibile sostegno finanziario della loggia P2, recepita al Livello B quale arco Dominio 4-Dominio 7 censito e non provato; e il triangolo comparativo con il rapido 904, certificato al Livello A nei 2 termini giudiziari quale monito contro l'inferenza morfologica.</w:t>
      </w:r>
    </w:p>
    <w:p>
      <w:pPr>
        <w:spacing w:after="120" w:line="276"/>
        <w:jc w:val="both"/>
      </w:pPr>
      <w:r>
        <w:rPr>
          <w:rFonts w:ascii="Barlow Semi Condensed" w:cs="Barlow Semi Condensed" w:eastAsia="Barlow Semi Condensed" w:hAnsi="Barlow Semi Condensed"/>
          <w:sz w:val="24"/>
          <w:szCs w:val="24"/>
        </w:rPr>
        <w:t xml:space="preserve">Il settimo versante è quello di Bologna, nei suoi 3 strati. Vi appartengono: le condanne irrevocabili degli esecutori Fioravanti, Mambro, Ciavardini e Cavallini, certificate al Livello A, con la posizione di Bellini registrata allo stato dei gradi di merito; il depistaggio di Gelli, Pazienza, Musumeci e Belmonte, certificato al Livello A e saldato alle Fasi 1 e 2; il quadro dei mandanti Gelli, Ortolani, D'Amato e Tedeschi, recepito al Livello B dalle motivazioni recenti sul fondamento dell'appunto contabile, con l'aggiornamento dichiarato della posizione di D'Amato rispetto alla Fase 2 e la proiezione verso il Dominio 8 nella persona del direttore di testata; e la pista alternativa internazionale, censita al Livello C nella qualificazione aggravata dell'ipotesi espressamente disattesa dai giudicati.</w:t>
      </w:r>
    </w:p>
    <w:p>
      <w:pPr>
        <w:spacing w:after="120" w:line="276"/>
        <w:jc w:val="both"/>
      </w:pPr>
      <w:r>
        <w:rPr>
          <w:rFonts w:ascii="Barlow Semi Condensed" w:cs="Barlow Semi Condensed" w:eastAsia="Barlow Semi Condensed" w:hAnsi="Barlow Semi Condensed"/>
          <w:sz w:val="24"/>
          <w:szCs w:val="24"/>
        </w:rPr>
        <w:t xml:space="preserve">L'ottavo versante è quello dell'omicidio Mattarella. Vi appartengono: il mandato della commissione provinciale di Cosa Nostra, certificato al Livello A dal giudicato, con il richiamo interno al nodo Calò; il vuoto sull'identità degli esecutori, certificato al Livello A quale esito di ogni giudizio; e l'ipotesi della convergenza esecutiva mafia-eversione, ferma al Livello C nella qualificazione aggravata dell'ipotesi processata e non provata, con l'assoluzione irrevocabile di Fioravanti e Cavallini riportata.</w:t>
      </w:r>
    </w:p>
    <w:p>
      <w:pPr>
        <w:spacing w:after="120" w:line="276"/>
        <w:jc w:val="both"/>
      </w:pPr>
      <w:r>
        <w:rPr>
          <w:rFonts w:ascii="Barlow Semi Condensed" w:cs="Barlow Semi Condensed" w:eastAsia="Barlow Semi Condensed" w:hAnsi="Barlow Semi Condensed"/>
          <w:sz w:val="24"/>
          <w:szCs w:val="24"/>
        </w:rPr>
        <w:t xml:space="preserve">Un versante trasversale, il nono, raccoglie gli omicidi satellite della stagione, gli eventi individuali che orbitano attorno alle stragi e ne certificano il campo di violenza: l'omicidio del commissario Calabresi del 17 maggio 1972, con le condanne definitive di Sofri, Pietrostefani e Bompressi su dichiarazioni del reo confesso Marino, certificato al Livello A con la protesta di innocenza dei condannati registrata quale fatto; l'omicidio del giudice Occorsio del 10 luglio 1976, certificato al Livello A nel giudicato a carico di Concutelli; l'omicidio del giudice Amato del 23 giugno 1980, certificato al Livello A nei giudicati a carico di esponenti dei Nuclei Armati Rivoluzionari tra cui Cavallini; e l'omicidio in carcere di Buzzi del 13 aprile 1981, certificato al Livello A. I 4 eventi, 2 magistrati, 1 funzionario di polizia e 1 imputato, disegnano il perimetro umano della stagione oltre le stragi, e i 2 omicidi di magistrati compongono l'arco Dominio 7-Dominio 10 nella sua serie completa.</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che la disciplina della fase impone di raccogliere in un solo luogo. Gli esiti assolutori definitivi riportati per esteso nella fase sono quelli di: Pietro Valpreda, per la strage di piazza Fontana; Franco Freda, Giovanni Ventura e Guido Giannettini, per la medesima strage, nel dispositivo irrevocabile del 1987; Delfo Zorzi e Carlo Maria Maggi, per la medesima strage, nel 2005; Delfo Zorzi, per la strage di piazza della Loggia, nel 2014; Pino Rauti, per la medesima strage, in via definitiva, senza alcuna condanna in vita per fatti di strage; Stefano Delle Chiaie, per la strage di piazza Fontana nel 1989 e nell'esito assolutorio del procedimento Borghese del 1984, senza alcuna condanna in vita per fatti di strage; Mario Tuti e Luciano Franci, per la strage dell'Italicus, nel 1992; Valerio Fioravanti e Gilberto Cavallini, per l'omicidio di Piersanti Mattarella. Le condanne irrevocabili certificate nella fase sono quelle di: Pierluigi Concutelli, per l'omicidio di Vittorio Occorsio; Concutelli e Mario Tuti, per l'omicidio in carcere di Ermanno Buzzi; Franco Freda e Giovanni Ventura, per l'associazione sovversiva e gli attentati del 1969; Vincenzo Vinciguerra, per la strage di Peteano; Marco Morin e gli ufficiali del depistaggio di Peteano; Carlo Maria Maggi e Maurizio Tramonte, per la strage di piazza della Loggia; Valerio Fioravanti, Francesca Mambro, Luigi Ciavardini e Gilberto Cavallini, per la strage di Bologna; Licio Gelli, Francesco Pazienza, Pietro Musumeci e Giuseppe Belmonte, per il relativo depistaggio; i componenti della commissione provinciale di Cosa Nostra, tra cui Riina e Calò, per il mandato dell'omicidio Mattarella. Le posizioni pendenti registrate sono 2: quella di Paolo Bellini, allo stato dei gradi di merito, e quella del filone bresciano a carico di soggetti all'epoca minorenni.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articolati in 8 versanti, con 14 posizioni assolutorie definitive riportate per esteso, 9 gruppi di condanne irrevocabili e 2 pendenze dichiarate; esso costituisce d'ora innanzi il riferimento citabile per ogni richiamo interno dell'opera al sottografo dello stragismo e della strategia della tensione.</w:t>
      </w:r>
    </w:p>
    <w:p>
      <w:pPr>
        <w:pStyle w:val="Heading3"/>
        <w:spacing w:after="80" w:before="160"/>
      </w:pPr>
      <w:r>
        <w:rPr>
          <w:rFonts w:ascii="Barlow Semi Condensed" w:cs="Barlow Semi Condensed" w:eastAsia="Barlow Semi Condensed" w:hAnsi="Barlow Semi Condensed"/>
          <w:sz w:val="24"/>
          <w:szCs w:val="24"/>
        </w:rPr>
        <w:t xml:space="preserve">Chiusura della Fase 3 — Lettura reticolare, tipologia dell'ostruzione e bilancio aggiornato dell'ipotesi H1</w:t>
      </w:r>
    </w:p>
    <w:p>
      <w:pPr>
        <w:spacing w:after="120" w:line="276"/>
        <w:jc w:val="both"/>
      </w:pPr>
      <w:r>
        <w:rPr>
          <w:rFonts w:ascii="Barlow Semi Condensed" w:cs="Barlow Semi Condensed" w:eastAsia="Barlow Semi Condensed" w:hAnsi="Barlow Semi Condensed"/>
          <w:sz w:val="24"/>
          <w:szCs w:val="24"/>
        </w:rPr>
        <w:t xml:space="preserve">La chiusura della fase compone i 10 nodi in una lettura reticolare unitaria e ne dichiara i risultati, secondo la funzione che le chiusure delle fasi precedenti hanno stabilito.</w:t>
      </w:r>
    </w:p>
    <w:p>
      <w:pPr>
        <w:spacing w:after="120" w:line="276"/>
        <w:jc w:val="both"/>
      </w:pPr>
      <w:r>
        <w:rPr>
          <w:rFonts w:ascii="Barlow Semi Condensed" w:cs="Barlow Semi Condensed" w:eastAsia="Barlow Semi Condensed" w:hAnsi="Barlow Semi Condensed"/>
          <w:sz w:val="24"/>
          <w:szCs w:val="24"/>
        </w:rPr>
        <w:t xml:space="preserve">Il primo risultato è l'identificazione della comunità centrale del primo stragismo. All'esito dei giudicati, la comunità funzionale cui sono riconducibili i 2 eccidi maggiori del quinquennio 1969-1974 è una sola: l'ordinovismo triveneto, cui la motivazione della sentenza definitiva del 2005 attribuisce, quale verità storica, la strage di piazza Fontana nella cellula padovana di Freda e Ventura, e cui il giudicato di condanna del 2017 attribuisce, quale responsabilità penale, la strage di piazza della Loggia nell'organizzazione di Carlo Maria Maggi con il concorso di Maurizio Tramonte. Il registro sottolinea la complementarità dei 2 titoli: per l'evento inaugurale la matrice è storica e non punitiva, per l'evento terminale della finestra è punitiva e irrevocabile, e la convergenza dei 2 accertamenti sul medesimo ambiente, raggiunta per vie processuali indipendenti a 12 anni di distanza, costituisce una consilienza che il metodo qualifica quale certificazione della comunità al massimo grado consentito dalla materia. Attorno a questa comunità centrale la fase ha censito la costellazione: la matrice organizzativa disciolta nel 1973 e rigenerata nel carsismo delle sigle, la proiezione internazionale di Lisbona, la figura a massima intermediazione di Delle Chiaie, integralmente assolto, e la manovalanza friulana e toscana dei nodi Peteano e Italicus, l'una giudicata nel suo esecutore confesso, l'altra rimasta senza colpevoli.</w:t>
      </w:r>
    </w:p>
    <w:p>
      <w:pPr>
        <w:spacing w:after="120" w:line="276"/>
        <w:jc w:val="both"/>
      </w:pPr>
      <w:r>
        <w:rPr>
          <w:rFonts w:ascii="Barlow Semi Condensed" w:cs="Barlow Semi Condensed" w:eastAsia="Barlow Semi Condensed" w:hAnsi="Barlow Semi Condensed"/>
          <w:sz w:val="24"/>
          <w:szCs w:val="24"/>
        </w:rPr>
        <w:t xml:space="preserve">Il secondo risultato è la progressione certificata dell'arco tra il Dominio 3 e il Dominio 7, che la fase consegna quale sua acquisizione probatoria più grave. La Fase 2 aveva certificato l'arco nella forma dell'ostruzione: il servizio che copre e sottrae la propria fonte, Giannettini, all'accertamento. La presente fase lo ha certificato nella forma della compresenza: la fonte retribuita del servizio, Tramonte, condannata in via definitiva quale concorrente nella strage di piazza della Loggia. La progressione dalla copertura successiva alla compresenza contestuale è un salto di specie nella qualità dell'accoppiamento documentato, e il registro la eleva a reperto strutturale della stagione, ribadendone per l'ultima volta il limite: in nessuno dei 2 casi il giudicato ha accertato il mandato istituzionale, e l'ipotesi che dall'uomo risalga all'apparato resta, in entrambi, al Livello C; ma la circostanza che, nei 2 soli casi in cui la giustizia ha potuto guardare dentro il rapporto tra una fonte del servizio e una strage, abbia trovato la prima volta la copertura e la seconda la partecipazione, è essa stessa un dato che il registro consegna, nudo, alla riflessione.</w:t>
      </w:r>
    </w:p>
    <w:p>
      <w:pPr>
        <w:spacing w:after="120" w:line="276"/>
        <w:jc w:val="both"/>
      </w:pPr>
      <w:r>
        <w:rPr>
          <w:rFonts w:ascii="Barlow Semi Condensed" w:cs="Barlow Semi Condensed" w:eastAsia="Barlow Semi Condensed" w:hAnsi="Barlow Semi Condensed"/>
          <w:sz w:val="24"/>
          <w:szCs w:val="24"/>
        </w:rPr>
        <w:t xml:space="preserve">Il terzo risultato è la tipologia consolidata dell'ostruzione, che la fase arricchisce sino a farne una tassonomia compiuta. Il registro ha censito, con certificazione di Livello A per ciascuna specie: la distruzione del reperto sotto veste tecnica, nel brillamento dell'ordigno inesploso del dicembre 1969; la distruzione della scena sotto veste di ripristino, nel lavaggio con gli idranti di piazza della Loggia; la costruzione della pista falsa verso innocenti, nella pista anarchica del 1969 e nella pista goriziana di Peteano; la falsificazione dell'atto peritale, nella perizia Morin; il favoreggiamento e la sottrazione della fonte, nell'espatrio di Giannettini; la soppressione fisica dell'imputato-testimone, nello strangolamento di Buzzi; e il depistaggio istituzionale organizzato, nella valigia di Bologna. Sette specie, tutte giudizialmente accertate, distribuite lungo 11 anni e 4 eventi: la tassonomia certifica che l'inquinamento dell'accertamento non fu un accidente ricorrente ma una costante strutturale della stagione, presente in ogni evento maggiore, e la sua sistematicità è il fatto che più di ogni altro distingue lo stragismo italiano dalle serie comparabili di altri ordinamenti. Il registro ribadisce, quale principio ormai consolidato attraverso 3 fasi, che questa costante prova la volontà diffusa di impedire l'accertamento e non prova, da sola, l'identità dei mandanti: l'ostruzione certifica sé stessa, e la Regola Ferrea presidia il confine.</w:t>
      </w:r>
    </w:p>
    <w:p>
      <w:pPr>
        <w:spacing w:after="120" w:line="276"/>
        <w:jc w:val="both"/>
      </w:pPr>
      <w:r>
        <w:rPr>
          <w:rFonts w:ascii="Barlow Semi Condensed" w:cs="Barlow Semi Condensed" w:eastAsia="Barlow Semi Condensed" w:hAnsi="Barlow Semi Condensed"/>
          <w:sz w:val="24"/>
          <w:szCs w:val="24"/>
        </w:rPr>
        <w:t xml:space="preserve">Il quarto risultato è il bilancio aggiornato dell'ipotesi H1, che la fase era chiamata a verificare sul terreno stragista. Il registro premette il richiamo del proprio precedente diagnostico: la verifica preregistrata della tesi della densità, che postulava l'addensamento statisticamente significativo degli eventi stragisti attorno alle scadenze del processo di integrazione europea, fu condotta con modello nullo di Poisson e restituì un valore di probabilità pari a 0,60, largamente superiore a ogni soglia di significatività, imponendo l'abbandono della tesi quale prova e la sua derubricazione a suggestione narrativa; la fase ha confermato quel verdetto sul piano qualitativo, mostrando che la periodizzazione a onde della serie stragista si spiega con le dinamiche interne documentate. Il bilancio si articola quindi in 3 constatazioni. La prima: la matrice accertata dello stragismo, tanto nella verità storica del 2005 quanto nei giudicati del 2017 e del 1995 bolognese, è interna, ordinovista prima e dello spontaneismo armato dei Nuclei Armati Rivoluzionari poi, e nessun giudicato ha accertato una regia straniera, di qualsivoglia campo, sugli eventi. La seconda: la dimensione internazionale documentata del fenomeno, dalla centrale di Lisbona alle latitanze iberiche e latinoamericane, si colloca integralmente sul versante occidentale e anticomunista del confronto bipolare, in continuità con quanto le Fasi 1 e 2 hanno accertato per la finanza e per gli apparati; anche in questa fase, nessun elemento di Livello A o di Livello B documenta un concorso del blocco orientale negli eventi censiti, e a fortiori nessuno documenta la convergenza dei 2 blocchi che H1 postula. La terza constatazione è il reperto di chiusura, che il registro considera il più eloquente: gli stessi atti parlamentari conclusivi sulla stagione, presenti nel corpus, contengono elaborati di segno opposto, l'uno che ricostruisce la dimensione sovranazionale della strategia della tensione in chiave atlantica, l'altro che ricostruisce l'ombra del blocco sovietico e dei suoi servizi sul terrorismo italiano; le 2 ricostruzioni, ciascuna espressione di una parte politica e nessuna consacrata da approvazione unanime né da giudicato, si escludono reciprocamente nell'attribuzione della regia, e nemmeno la più audace delle 2 ipotizza ciò che H1 richiede, ossia che i 2 blocchi abbiano agito in convergenza. Il registro ne trae la conclusione metodologica: l'ipotesi H1 esce dalla terza fase nella condizione di un'ipotesi che non solo non ha trovato riscontri, ma che non è sostenuta nemmeno dalle tesi di parte più estreme depositate negli atti dello Stato, le quali si limitano ad attribuire la regia all'uno o all'altro campo in alternativa; essa permane al Livello C quale ipotesi formalmente falsificabile e non falsificata, ma il peso cumulato di 3 fasi milita ormai uniformemente a favore del falsificatore concorrente, la lettura per cui furono le dinamiche interne, incardinate nel confronto bipolare ordinario, e non una convergenza straordinaria tra i blocchi, a produrre la stagione; la parola definitiva è rinviata, come il metodo impone, alle fasi mancanti.</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Nel sottografo della fase, la massima centralità di intermediazione del versante eversivo appartiene a Stefano Delle Chiaie, il nodo che connette l'eversione italiana, quella iberica e quella latinoamericana, e la sua condizione di assolto integrale rende la sua centralità il caso più puro di potere relazionale documentato senza responsabilità penale accertata; la massima centralità della finestra 1980 appartiene ai Nuclei Armati Rivoluzionari, i cui uomini compaiono, quali condannati a Bologna e quali assolti per Mattarella, su entrambi i versanti della violenza di quell'anno; e la saldatura complessiva con le fasi precedenti conferma la P2 quale nodo a massima intermediazione dell'intero grafo, presente ora anche nello strato dei mandanti di Bologna secondo la fonte di Livello B recepita.</w:t>
      </w:r>
    </w:p>
    <w:p>
      <w:pPr>
        <w:spacing w:after="120" w:line="276"/>
        <w:jc w:val="both"/>
      </w:pPr>
      <w:r>
        <w:rPr>
          <w:rFonts w:ascii="Barlow Semi Condensed" w:cs="Barlow Semi Condensed" w:eastAsia="Barlow Semi Condensed" w:hAnsi="Barlow Semi Condensed"/>
          <w:sz w:val="24"/>
          <w:szCs w:val="24"/>
        </w:rPr>
        <w:t xml:space="preserve">A questo censimento il registro aggiunge il raccordo con il grafo cumulato delle fasi precedenti. La saldatura dei 3 sottografi conferma e affina la topologia complessiva: la loggia P2 mantiene la massima intermediazione dell'intero grafo, presente ora su 3 terreni, il quadrilatero finanziario della Fase 1, la cattura degli apparati della Fase 2 e, per la strage di Bologna, tanto lo strato giudicato dell'ostruzione quanto lo strato recepito dei mandanti; il Dominio 3 si conferma il connettivo degli eventi, presente in ogni strage maggiore della fase attraverso le proprie fonti, Giannettini e Tramonte, o i propri depistaggi giudicati; e il versante eversivo esprime i propri intermediari specifici, Delle Chiaie verso l'estero e la comunità ordinovista triveneta all'interno, entrambi connessi al grafo cumulato attraverso gli ambienti, gli eventi e le protezioni censite. Emerge altresì, quale acquisizione della fase, la proiezione ricorrente verso il Dominio 8, il controllo dell'informazione: la copertura giornalistica di Aginter Press, la qualità di pubblicista della fonte Giannettini, la presenza di un direttore di testata nel quadro recepito dei mandanti di Bologna, e la funzione della falsa informazione in ogni depistaggio censito compongono un filo che attraversa la fase senza avervi ricevuto trattazione propria, e che il registro consegna formalmente all'economia complessiva dell'opera quale dominio da saldare.</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alle 2 fasi restanti. Alla Fase 4, dedicata al caso Moro, consegna: la struttura Hyperion, il cui isomorfismo con Aginter è stato certificato quale reperto comparativo e la cui trattazione propria appartiene al teatro moroteo; la metodologia della decomposizione per strati sperimentata su Bologna, che il caso Moro esigerà nella sua forma più rigorosa; e la figura della fonte dentro l'ambiente, che gli atti sul sequestro ripropongono in altra veste. Alla Fase 5, dedicata alla proiezione internazionale e alla sintesi reticolare, consegna: il teatro iberico e latinoamericano aperto dalla latitanza di Delle Chiaie e dalla centrale di Lisbona, con i regimi del Cile e della Bolivia e la rete continentale che li connette; il teatro sudafricano aperto dalla latitanza di Maletti; e il compito della composizione finale del grafo, con il calcolo conclusivo delle centralità e la verifica terminale delle ipotesi concorrenti.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3 certifica la comunità ordinovista triveneta quale matrice del primo stragismo, per consilienza tra la verità storica del giudicato del 2005 su piazza Fontana e la condanna irrevocabile del 2017 per piazza della Loggia; certifica la progressione dell'arco Dominio 3-Dominio 7 dalla copertura della fonte alla partecipazione della fonte, con il caso Tramonte quale forma più diretta mai giudicata; consolida la tassonomia in 7 specie dell'ostruzione, tutte accertate; registra il quadro dei mandanti di Bologna al Livello B con l'aggiornamento dichiarato del nodo D'Amato; sigilla sul nodo Mattarella la differenza tra rete certificata e rete congetturata; e consegna l'ipotesi H1, priva di sostegno tanto nei giudicati quanto negli elaborati di parte che si escludono a vicenda, al suo Livello C con bilancio cumulato di 3 fasi uniformemente contrario, rinviando alle Fasi 4 e 5 il completamento dell'opera.</w:t>
      </w:r>
    </w:p>
    <w:p>
      <w:pPr>
        <w:pStyle w:val="Heading2"/>
        <w:spacing w:after="100" w:before="200"/>
      </w:pPr>
      <w:r>
        <w:rPr>
          <w:rFonts w:ascii="Barlow Semi Condensed" w:cs="Barlow Semi Condensed" w:eastAsia="Barlow Semi Condensed" w:hAnsi="Barlow Semi Condensed"/>
          <w:sz w:val="24"/>
          <w:szCs w:val="24"/>
        </w:rPr>
        <w:t xml:space="preserve">FASE IV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caso Moro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quarto cerchio: i 55 giorni, i 3 piani e il divieto inferenziale</w:t>
      </w:r>
    </w:p>
    <w:p>
      <w:pPr>
        <w:pStyle w:val="Heading3"/>
        <w:spacing w:after="80" w:before="160"/>
      </w:pPr>
      <w:r>
        <w:rPr>
          <w:rFonts w:ascii="Barlow Semi Condensed" w:cs="Barlow Semi Condensed" w:eastAsia="Barlow Semi Condensed" w:hAnsi="Barlow Semi Condensed"/>
          <w:sz w:val="24"/>
          <w:szCs w:val="24"/>
        </w:rPr>
        <w:t xml:space="preserve">Avvertenza di fase, decomposizione in 3 piani e sospensione dichiarata della lente sistemica</w:t>
      </w:r>
    </w:p>
    <w:p>
      <w:pPr>
        <w:spacing w:after="120" w:line="276"/>
        <w:jc w:val="both"/>
      </w:pPr>
      <w:r>
        <w:rPr>
          <w:rFonts w:ascii="Barlow Semi Condensed" w:cs="Barlow Semi Condensed" w:eastAsia="Barlow Semi Condensed" w:hAnsi="Barlow Semi Condensed"/>
          <w:sz w:val="24"/>
          <w:szCs w:val="24"/>
        </w:rPr>
        <w:t xml:space="preserve">La Fase 4 è dedicata per intero a un solo caso: il sequestro e l'assassinio di Aldo Moro, dal 16 marzo al 9 maggio 1978. La concentrazione di una fase su un evento unico non è una sproporzione ma una necessità misurata dai dati: il nome di Moro ricorre nel corpus 3.428 volte in 113 documenti su 220, la massima frequenza assoluta dell'intera opera, superiore a quella di qualunque organizzazione, evento o istituzione censita; il caso è l'oggetto di 5 procedimenti giudiziari principali con esiti irrevocabili, di 3 commissioni parlamentari d'inchiesta dedicate o largamente dedicate, e di un corpus documentale, dalle lettere della prigionia al memoriale nei suoi successivi ritrovamenti, che non ha eguali nella storia repubblicana. Il caso Moro è, nella topologia dell'opera, il punto di massima densità dell'intero grafo, l'evento sul quale convergono più archi da più domini che su ogni altro; e la fase lo tratta con l'impianto consueto dei 10 nodi, applicandovi però 3 dispositivi metodologici propri, che questa avvertenza dichiara.</w:t>
      </w:r>
    </w:p>
    <w:p>
      <w:pPr>
        <w:spacing w:after="120" w:line="276"/>
        <w:jc w:val="both"/>
      </w:pPr>
      <w:r>
        <w:rPr>
          <w:rFonts w:ascii="Barlow Semi Condensed" w:cs="Barlow Semi Condensed" w:eastAsia="Barlow Semi Condensed" w:hAnsi="Barlow Semi Condensed"/>
          <w:sz w:val="24"/>
          <w:szCs w:val="24"/>
        </w:rPr>
        <w:t xml:space="preserve">Il primo dispositivo è la decomposizione in 3 piani, che la Fase 3 ha sperimentato sulla strage di Bologna e che il caso Moro esige nella forma più rigorosa. Il piano primo è quello degli esecutori e dei dirigenti dell'azione: chi rapì, custodì, interrogò e uccise Aldo Moro, e chi ne deliberò l'esecuzione all'interno dell'organizzazione. Su questo piano il registro dispone di giudicati irrevocabili formatisi in 5 procedimenti, e le certificazioni di Livello A abbondano. Il piano secondo è quello della condotta degli apparati e delle istituzioni durante i 55 giorni: le ricerche, le loro anomalie, le compresenze, i depistaggi. Su questo piano il registro dispone di accertamenti parlamentari e giudiziari di qualità disuguale, e le certificazioni si distribuiscono su tutti i livelli. Il piano terzo è quello del mandato o del condizionamento esterno: l'ipotesi che sopra o accanto all'organizzazione esecutrice abbiano operato volontà ulteriori. Su questo piano il registro non dispone di alcun giudicato, e le certificazioni non superano, salvo puntuali eccezioni dichiarate, il Livello C. Il divieto inferenziale che governa la fase è la proiezione della Regola Ferrea su questa decomposizione: nessun elemento del piano secondo, per quanto grave, trasferisce alcunché al piano terzo; le anomalie della condotta certificano sé stesse, e il passaggio dall'ostruzione al mandato resta vietato qui come in ogni fase, con l'aggravante che nel caso Moro la tentazione di quel passaggio è stata, per 4 decenni, la principale fabbrica di vulgata.</w:t>
      </w:r>
    </w:p>
    <w:p>
      <w:pPr>
        <w:spacing w:after="120" w:line="276"/>
        <w:jc w:val="both"/>
      </w:pPr>
      <w:r>
        <w:rPr>
          <w:rFonts w:ascii="Barlow Semi Condensed" w:cs="Barlow Semi Condensed" w:eastAsia="Barlow Semi Condensed" w:hAnsi="Barlow Semi Condensed"/>
          <w:sz w:val="24"/>
          <w:szCs w:val="24"/>
        </w:rPr>
        <w:t xml:space="preserve">Il secondo dispositivo è la sospensione dichiarata, per questa sola fase, della lente sistemica luhmanniana che la Nota metodologica assume quale quadro generale. La teoria dei sistemi legge i domini quali sfere operativamente chiuse che si osservano e si accoppiano; ma il materiale del caso Moro, e segnatamente il piano della condotta degli apparati, presenta una fenomenologia che quella lente non mette a fuoco: uomini delle istituzioni la cui condotta appare orientata simultaneamente da lealtà diverse, verso l'ordinamento costituzionale e verso vincoli ulteriori, di campo, di loggia o di alleanza. Per leggere questa fenomenologia il registro adotta, quale lente di fase e non quale certificazione, la categoria storiografica della doppia lealtà, elaborata dalla storiografia sul doppio Stato: non la postulazione di 2 apparati separati, che la Fase 2 ha espressamente ricusato e che resta ricusata, ma l'ipotesi di lavoro di una duplicità interna agli stessi uomini e alle stesse strutture, compatibile con tutti gli accertamenti sulla cattura piduista del vertice informativo che le fasi precedenti hanno certificato al Livello A. La sospensione è dichiarata, circoscritta e reversibile: è un cambio di lente, non un cambio di standard probatorio, e ogni certificazione della fase resta soggetta alla triangolazione consueta.</w:t>
      </w:r>
    </w:p>
    <w:p>
      <w:pPr>
        <w:spacing w:after="120" w:line="276"/>
        <w:jc w:val="both"/>
      </w:pPr>
      <w:r>
        <w:rPr>
          <w:rFonts w:ascii="Barlow Semi Condensed" w:cs="Barlow Semi Condensed" w:eastAsia="Barlow Semi Condensed" w:hAnsi="Barlow Semi Condensed"/>
          <w:sz w:val="24"/>
          <w:szCs w:val="24"/>
        </w:rPr>
        <w:t xml:space="preserve">Il terzo dispositivo è la disciplina delle dichiarazioni del prigioniero. Le lettere e il memoriale di Moro costituiscono una fonte senza analoghi: la voce di un uomo di Stato che scrive da una prigione clandestina, sotto costrizione, in un negoziato per la vita, e che al contempo conosce dall'interno, come pochi, la materia di cui scrive. Il registro le tratta secondo l'Indice di Contaminazione nella configurazione più complessa dell'opera: la costrizione impone cautela sulla spontaneità, la competenza dell'autore impone attenzione al contenuto, e la disciplina adottata, che i capitoli espliciteranno, distingue il fatto della scrittura e della consegna, certificabile, dal valore probatorio dei singoli enunciati, da vagliare uno a uno senza mai assumere né che il prigioniero mentisse perché costretto né che dicesse il vero perché morente.</w:t>
      </w:r>
    </w:p>
    <w:p>
      <w:pPr>
        <w:spacing w:after="120" w:line="276"/>
        <w:jc w:val="both"/>
      </w:pPr>
      <w:r>
        <w:rPr>
          <w:rFonts w:ascii="Barlow Semi Condensed" w:cs="Barlow Semi Condensed" w:eastAsia="Barlow Semi Condensed" w:hAnsi="Barlow Semi Condensed"/>
          <w:sz w:val="24"/>
          <w:szCs w:val="24"/>
        </w:rPr>
        <w:t xml:space="preserve">Anche questa fase prosegue la verifica dell'ipotesi H1, e lo fa sul terreno che la vulgata considera il più favorevole all'ipotesi: il progetto politico di Moro quale oggetto di avversione internazionale. La chiusura renderà il bilancio, anticipandone qui il perimetro: la fase certificherà ciò che è documentabile sulle contrarietà delle 2 superpotenze al progetto della solidarietà nazionale, distinguerà con il massimo rigore la convergenza oggettiva degli interessi dalla convergenza operativa delle condotte, e misurerà H1 su questa distinzione, che è esattamente quella che la tassonomia degli archi della Nota metodologica codifica nel quarto tipo, l'arco di convergenza. Una nota sulle fonti completa l'avvertenza. Il caso Moro è l'oggetto della più lunga stratificazione di inchieste parlamentari della storia repubblicana, e il registro ne usa i depositi distinguendone le stagioni: la prima Commissione, istituita nel 1979 e conclusa nel 1983, che operò a ridosso dei fatti, con il valore e i limiti della prossimità; la Commissione sulle stragi, che tornò sul caso negli anni Novanta entro il quadro generale della violenza politica, raccogliendo il materiale reso disponibile dalle dissociazioni e dai ritrovamenti del 1990; e la Commissione della XVII legislatura, operante dal 2014 al 2017, che ha condotto la ricognizione documentale e peritale più recente. Il registro tratta i 3 depositi quali fonti parlamentari di alta affidabilità, ciascuna figlia del proprio stato degli atti, e applica alla loro successione la medesima lezione che la Fase 3 ha tratto dal caso bresciano: le conclusioni delle stagioni successive non riflettono giudici o commissari migliori, ma archivi progressivamente più aperti, e la datazione di ogni acquisizione è parte della sua certificazione. Il corpus dell'opera comprende, accanto agli atti, i registri analitici specificamente dedicati al caso che il progetto ha stratificato in versioni successive, dei quali la presente fase costituisce la proiezione entro l'architettura dei 5 cerchi.</w:t>
      </w:r>
    </w:p>
    <w:p>
      <w:pPr>
        <w:spacing w:after="120" w:line="276"/>
        <w:jc w:val="both"/>
      </w:pPr>
      <w:r>
        <w:rPr>
          <w:rFonts w:ascii="Barlow Semi Condensed" w:cs="Barlow Semi Condensed" w:eastAsia="Barlow Semi Condensed" w:hAnsi="Barlow Semi Condensed"/>
          <w:sz w:val="24"/>
          <w:szCs w:val="24"/>
        </w:rPr>
        <w:t xml:space="preserve">Il fondamento documentale della fase merita una specificazione ulteriore, perché la sua composizione governa la qualità delle certificazioni. Il corpus comprende, per il caso Moro, 4 famiglie di fonti primarie: gli atti giudiziari dei 5 procedimenti, con le sentenze di ogni grado; gli atti delle 3 stagioni parlamentari, ivi compresi i resoconti stenografici delle audizioni, che il registro possiede in trascrizione analitica per la prima Commissione, con le deposizioni dei protagonisti istituzionali della gestione rese a ridosso dei fatti; l'edizione critica integrale delle lettere della prigionia, che consente il confronto filologico tra il recapitato, il trattenuto e l'emerso; e il corpus biografico e documentale sulla figura di Moro dal 1932 al 1978, che fonda il capitolo di apertura. A queste famiglie si aggiungono le fonti memorialistiche dei protagonisti di ogni versante, i condannati, i gestori istituzionali, i familiari, che il registro tratta uniformemente quali fonti di parte da riscontrare, e la letteratura di ricostruzione, utilizzata quale guida ai documenti e mai quale fonte autonoma di fatti. La regola di ingaggio è unica per tutte le famiglie: ogni certificazione della fase indica la natura della fonte che la sostiene, e la distanza temporale tra il fatto e la fonte è essa stessa un attributo registrato, giacché la fase maneggia dichiarazioni rese a distanze che vanno dal giorno stesso a 40 anni, e il tempo, in questa materia, non è neutro: accresce la libertà del dichiarante e insieme le occasioni di contaminazione, e il registro pesa entrambi gli effetti caso per caso.</w:t>
      </w:r>
    </w:p>
    <w:p>
      <w:pPr>
        <w:spacing w:after="120" w:line="276"/>
        <w:jc w:val="both"/>
      </w:pPr>
      <w:r>
        <w:rPr>
          <w:rFonts w:ascii="Barlow Semi Condensed" w:cs="Barlow Semi Condensed" w:eastAsia="Barlow Semi Condensed" w:hAnsi="Barlow Semi Condensed"/>
          <w:sz w:val="24"/>
          <w:szCs w:val="24"/>
        </w:rPr>
        <w:t xml:space="preserve">Sulla categoria della doppia lealtà, la cui adozione quale lente di fase è stata dichiarata, si impone la precisazione genealogica che la correttezza esige. La categoria proviene dalla storiografia italiana sul doppio Stato, e segnatamente dalla riflessione che, alla fine degli anni Ottanta, propose di leggere la storia repubblicana attraverso la compresenza, negli stessi apparati e talora negli stessi uomini, di una lealtà all'ordinamento costituzionale e di una lealtà ulteriore al vincolo di campo della guerra fredda, attivabile nelle emergenze: non 2 Stati separati, ma 1 Stato attraversato da 2 codici di fedeltà gerarchicamente ordinati dall'appartenenza al blocco. Il registro adotta la categoria in questa formulazione precisa, e ne dichiara i 3 pregi operativi per la fase: essa è compatibile con gli accertamenti delle fasi precedenti, che hanno documentato la cattura piduista degli apparati senza mai certificare un apparato parallelo separato; essa rende conto della fenomenologia tipica del piano secondo, condotte istituzionali formalmente regolari e sostanzialmente anomale, senza costringere a scegliere tra la lettura del tradimento e quella dell'errore; ed essa è, a differenza delle vulgate, falsificabile, giacché predice che le anomalie si addensino nei punti in cui il vincolo di campo era in tensione con il dovere d'ufficio, una predizione che i capitoli metteranno alla prova sui fatti certificati. Il limite, parimenti dichiarato, è che la categoria descrive e non prova: essa ordina i fatti del piano secondo, non li trasferisce al piano terzo, e ogni suo uso nella fase resta sotto il divieto inferenziale che governa l'insieme.</w:t>
      </w:r>
    </w:p>
    <w:p>
      <w:pPr>
        <w:spacing w:after="120" w:line="276"/>
        <w:jc w:val="both"/>
      </w:pPr>
      <w:r>
        <w:rPr>
          <w:rFonts w:ascii="Barlow Semi Condensed" w:cs="Barlow Semi Condensed" w:eastAsia="Barlow Semi Condensed" w:hAnsi="Barlow Semi Condensed"/>
          <w:sz w:val="24"/>
          <w:szCs w:val="24"/>
        </w:rPr>
        <w:t xml:space="preserve">Una disciplina particolare governa il trattamento delle persone viventi. Diversi protagonisti del caso, tra gli esecutori giudicati e i dirigenti dell'organizzazione, sono in vita nel momento in cui il registro è redatto, e alcuni hanno reso, nei decenni, dichiarazioni pubbliche, memorie e interviste che costituiscono esse stesse fonti. Il registro tratta costoro secondo una regola unica e dichiarata: riporta i fatti a loro carico accertati in via definitiva dai giudicati, riporta gli esiti processuali che li riguardano nella loro esattezza, comprese le assoluzioni, e riporta le loro dichiarazioni pubbliche quali documenti, senza aggiungervi inferenza associativa alcuna né attribuire loro condotte che il giudicato non abbia accertato. Il principio che il registro applica è che la persona vivente ha diritto a che di lei si affermi ciò che è stato provato e null'altro, e che la disciplina degli esiti, la quale segue il giudicato in ogni direzione, è insieme una regola di metodo e una regola di rispetto: il registro non costruisce, sul nome di chi è in vita, coerenze che i documenti non autorizzano, e mantiene su ogni lettura eccedente il livello ipotetico che le compete, con la stessa fermezza con cui certifica i fatti provati.</w:t>
      </w:r>
    </w:p>
    <w:p>
      <w:pPr>
        <w:spacing w:after="120" w:line="276"/>
        <w:jc w:val="both"/>
      </w:pPr>
      <w:r>
        <w:rPr>
          <w:rFonts w:ascii="Barlow Semi Condensed" w:cs="Barlow Semi Condensed" w:eastAsia="Barlow Semi Condensed" w:hAnsi="Barlow Semi Condensed"/>
          <w:sz w:val="24"/>
          <w:szCs w:val="24"/>
        </w:rPr>
        <w:t xml:space="preserve">Una nota sulle scelte terminologiche chiude l'avvertenza. Il registro adotta un lessico deliberatamente sobrio e giuridicamente cauto, che evita tanto l'enfasi commemorativa quanto la freddezza burocratica: designa l'organizzazione responsabile del sequestro quale organizzazione, senza gli aggettivi celebrativi o denigratori che la pubblicistica ha impiegato; designa Aldo Moro nei 55 giorni quale prigioniero, il termine che ne registra la condizione materiale senza pronunciarsi sulla qualificazione politica che l'organizzazione pretendeva; designa gli atti dell'organizzazione con i nomi che gli atti processuali hanno consacrato, sequestro, esecuzione, comunicati, senza adottare né il lessico rivendicativo dei carcerieri né quello puramente emotivo delle cronache. La scelta non è neutralità di comodo ma condizione del metodo: un registro che certifica fatti a livelli di prova deve adottare un lessico che non anticipi, con la connotazione delle parole, le conclusioni che spettano ai fatti, e ogni termine di questa avvertenza e dei capitoli che seguono è scelto per dire esattamente ciò che è provato, al grado in cui è provato, e nulla di più.</w:t>
      </w:r>
    </w:p>
    <w:p>
      <w:pPr>
        <w:spacing w:after="120" w:line="276"/>
        <w:jc w:val="both"/>
      </w:pPr>
      <w:r>
        <w:rPr>
          <w:rFonts w:ascii="Barlow Semi Condensed" w:cs="Barlow Semi Condensed" w:eastAsia="Barlow Semi Condensed" w:hAnsi="Barlow Semi Condensed"/>
          <w:sz w:val="24"/>
          <w:szCs w:val="24"/>
        </w:rPr>
        <w:t xml:space="preserve">Una nota di edizione precisa infine lo statuto del presente testo. La fase è qui consegnata nella propria edizione integrale, che porta l'apparato documentale del caso alla massima estensione compatibile con lo stato certificato degli atti: la struttura, l'avvertenza, i 10 capitoli nodali, il repertorio unitario e la chiusura reticolare, resta quella dell'impianto originario, e l'ampliamento ha investito esclusivamente la densità dei pilastri, portati a oltre 130, l'articolazione dei versanti del repertorio e il bilancio dei risultati, senza che un solo criterio, un solo livello o una sola regola siano stati modificati; ogni pilastro aggiunto risponde ai medesimi requisiti dei pilastri originari, il fatto datato, la fonte qualificata, il livello dichiarato, la separazione tra il certificato e l'ipotetico, e l'edizione integrale va perciò letta non quale revisione ma quale saturazione documentale della fase, l'adempimento del principio per cui il registro deve contenere tutto ciò che è certificabile e nulla che non lo sia, nella misura in cui lo stato degli atti alla data della redazione lo consente.</w:t>
      </w:r>
    </w:p>
    <w:p>
      <w:pPr>
        <w:spacing w:after="120" w:line="276"/>
        <w:jc w:val="both"/>
      </w:pPr>
      <w:r>
        <w:rPr>
          <w:rFonts w:ascii="Barlow Semi Condensed" w:cs="Barlow Semi Condensed" w:eastAsia="Barlow Semi Condensed" w:hAnsi="Barlow Semi Condensed"/>
          <w:sz w:val="24"/>
          <w:szCs w:val="24"/>
        </w:rPr>
        <w:t xml:space="preserve">L'ordine espositivo muove dall'uomo e dal progetto, attraversa l'evento, l'organizzazione esecutrice, i 55 giorni, il corpus documentale e l'epilogo, quindi i nodi satellite, Hyperion, Pecorelli e Dalla Chiesa, e si chiude sul piano del mandato con il sigillo del divieto inferenziale. Le vittime sono nominate, a cominciare dai 5 uomini della scorta, quale atto dovuto.</w:t>
      </w:r>
    </w:p>
    <w:p>
      <w:pPr>
        <w:pStyle w:val="Heading3"/>
        <w:spacing w:after="80" w:before="160"/>
      </w:pPr>
      <w:r>
        <w:rPr>
          <w:rFonts w:ascii="Barlow Semi Condensed" w:cs="Barlow Semi Condensed" w:eastAsia="Barlow Semi Condensed" w:hAnsi="Barlow Semi Condensed"/>
          <w:sz w:val="24"/>
          <w:szCs w:val="24"/>
        </w:rPr>
        <w:t xml:space="preserve">Capitolo 1 — ▶ Aldo Moro. L'uomo, il progetto e il movente politico</w:t>
      </w:r>
    </w:p>
    <w:p>
      <w:pPr>
        <w:spacing w:after="120" w:line="276"/>
        <w:jc w:val="both"/>
      </w:pPr>
      <w:r>
        <w:rPr>
          <w:rFonts w:ascii="Barlow Semi Condensed" w:cs="Barlow Semi Condensed" w:eastAsia="Barlow Semi Condensed" w:hAnsi="Barlow Semi Condensed"/>
          <w:sz w:val="24"/>
          <w:szCs w:val="24"/>
        </w:rPr>
        <w:t xml:space="preserve">Aldo Moro, nato a Maglie il 23 settembre 1916, giurista, 5 volte presidente del Consiglio, presidente della Democrazia Cristiana al momento del sequestro, è il nodo-persona attorno al quale l'intera fase si costruisce, e il registro apre da lui perché la comprensione dell'evento esige la comprensione preliminare del progetto politico che l'evento troncò. Il corpus dell'opera comprende una ricostruzione documentale integrale della sua biografia politica dal 1932 al 1978, dalla quale il registro attinge i tratti certificati.</w:t>
      </w:r>
    </w:p>
    <w:p>
      <w:pPr>
        <w:spacing w:after="120" w:line="276"/>
        <w:jc w:val="both"/>
      </w:pPr>
      <w:r>
        <w:rPr>
          <w:rFonts w:ascii="Barlow Semi Condensed" w:cs="Barlow Semi Condensed" w:eastAsia="Barlow Semi Condensed" w:hAnsi="Barlow Semi Condensed"/>
          <w:sz w:val="24"/>
          <w:szCs w:val="24"/>
        </w:rPr>
        <w:t xml:space="preserve">Il primo pilastro è il profilo del costruttore di equilibri, certificato al Livello A dalla documentazione biografica e istituzionale. Moro fu, lungo 3 decenni, l'artefice delle 2 grandi operazioni di allargamento della base dello Stato repubblicano: l'apertura a sinistra dei primi anni Sessanta, che portò il Partito socialista nell'area di governo, da lui guidata quale segretario del partito e poi quale presidente del Consiglio dei governi organici di centrosinistra; e la strategia dell'attenzione verso il Partito comunista, maturata negli anni Settanta e culminata nella stagione della solidarietà nazionale, con i governi sostenuti dall'astensione e poi dal voto favorevole comunista, il secondo dei quali avrebbe ottenuto la fiducia esattamente il 16 marzo 1978. Il registro certifica al Livello A la titolarità morotea di entrambe le operazioni e la circostanza, di portata simbolica misurabile, che il sequestro avvenne nelle ore in cui il Parlamento votava la fiducia al primo governo della Repubblica nato con il concorso determinante del Partito comunista: la coincidenza tra l'agguato e il voto è un fatto di calendario, certificato, e la sua lettura quale scelta deliberata di data appartiene alla dichiarata strategia comunicativa dell'organizzazione esecutrice, che rivendicò l'attacco al cuore dello Stato nel giorno del suo nuovo equilibrio.</w:t>
      </w:r>
    </w:p>
    <w:p>
      <w:pPr>
        <w:spacing w:after="120" w:line="276"/>
        <w:jc w:val="both"/>
      </w:pPr>
      <w:r>
        <w:rPr>
          <w:rFonts w:ascii="Barlow Semi Condensed" w:cs="Barlow Semi Condensed" w:eastAsia="Barlow Semi Condensed" w:hAnsi="Barlow Semi Condensed"/>
          <w:sz w:val="24"/>
          <w:szCs w:val="24"/>
        </w:rPr>
        <w:t xml:space="preserve">Il secondo pilastro è il sistema delle opposizioni al progetto, che il registro censisce su 3 cerchi con la graduazione dovuta. Il cerchio interno è quello delle resistenze dentro la Democrazia Cristiana e dentro il sistema politico italiano, documentate al Livello A dalla dialettica congressuale e parlamentare della stagione: la linea morotea non era la linea di tutto il partito, e la sua prevalenza fu il frutto di una mediazione permanente. Il cerchio intermedio è quello dell'avversione del terrorismo di entrambi i segni al compromesso in costruzione: per l'estrema sinistra armata, la solidarietà nazionale era il tradimento definitivo che consegnava il movimento operaio allo Stato borghese, e l'attacco a Moro fu rivendicato precisamente quale attacco alla mente di quel disegno; il registro lo certifica al Livello A sul fondamento della documentazione dell'organizzazione. Il cerchio esterno è quello delle contrarietà internazionali, che il registro tratta con la disciplina che l'avvertenza ha annunciato: la contrarietà degli Stati Uniti all'ingresso del Partito comunista nell'area di governo di un Paese fondatore dell'Alleanza atlantica è documentata da atti pubblici della diplomazia americana della stagione e da convergenti testimonianze dirette su avvertimenti ricevuti da Moro nei suoi viaggi transatlantici, che collaboratori del presidente riferirono in sede giudiziaria e parlamentare; il registro la certifica al Livello B, quale convergenza di fonti dirette e documentali. La contrarietà sovietica all'eurocomunismo e alla prospettiva di un partito comunista occidentale legittimato al governo fuori dal campo, erosiva del primato di Mosca sul movimento, è documentata dalle prese di posizione pubbliche della stampa di partito sovietica contro la linea eurocomunista; il registro la certifica al Livello B. La compresenza delle 2 contrarietà è dunque certificata; la loro natura, parallela o coordinata, è la questione che la chiusura di fase affronterà quale banco di prova terminale di H1, e che nessun capitolo anticipa.</w:t>
      </w:r>
    </w:p>
    <w:p>
      <w:pPr>
        <w:spacing w:after="120" w:line="276"/>
        <w:jc w:val="both"/>
      </w:pPr>
      <w:r>
        <w:rPr>
          <w:rFonts w:ascii="Barlow Semi Condensed" w:cs="Barlow Semi Condensed" w:eastAsia="Barlow Semi Condensed" w:hAnsi="Barlow Semi Condensed"/>
          <w:sz w:val="24"/>
          <w:szCs w:val="24"/>
        </w:rPr>
        <w:t xml:space="preserve">Il terzo pilastro è il movente politico dell'evento, che il registro formula nella sola forma certificabile: l'uomo sequestrato il 16 marzo 1978 era il costruttore e il garante dell'equilibrio politico più conteso della storia repubblicana, avversato dal terrorismo interno per ragioni dichiarate e sgradito, per ragioni opposte e speculari, a entrambe le superpotenze; la sua eliminazione produsse oggettivamente la fine di quel progetto, che non sopravvisse alla sua morte, e la certificazione di questo esito, al Livello A quale dato storico, non contiene né presuppone alcuna attribuzione di intenzione a soggetti diversi dagli esecutori giudicati, secondo il divieto che governa la fase.</w:t>
      </w:r>
    </w:p>
    <w:p>
      <w:pPr>
        <w:spacing w:after="120" w:line="276"/>
        <w:jc w:val="both"/>
      </w:pPr>
      <w:r>
        <w:rPr>
          <w:rFonts w:ascii="Barlow Semi Condensed" w:cs="Barlow Semi Condensed" w:eastAsia="Barlow Semi Condensed" w:hAnsi="Barlow Semi Condensed"/>
          <w:sz w:val="24"/>
          <w:szCs w:val="24"/>
        </w:rPr>
        <w:t xml:space="preserve">Il quarto pilastro è il fondamento documentale biografico, che il registro dichiara. Il corpus dell'opera comprende la ricostruzione integrale della traiettoria di Moro dal 1932 al 1978: la formazione nella Federazione universitaria cattolica, di cui fu presidente nazionale negli anni della guerra; l'elezione alla Costituente nel 1946 e il contributo, da giurista, alla scrittura della prima parte della Carta; la carriera di governo e di partito, dai ministeri della giustizia e dell'istruzione alla segreteria del 1959, sino alle 5 presidenze del Consiglio e alla presidenza del partito assunta nel 1976; e l'elaborazione dottrinale, consegnata ai discorsi congressuali, di una concezione della democrazia quale processo inclusivo per fasi, nella quale l'allargamento della base dello Stato ai partiti esclusi non era una tattica ma il compimento del disegno costituzionale. Il registro certifica al Livello A questa traiettoria, quale materia documentale, e ne trae l'annotazione che governa la fase: l'uomo sequestrato non era un mediatore occasionale ma il teorico e il pratico più coerente dell'inclusione democratica, e la continuità quarantennale del disegno, dalla Costituente alla solidarietà nazionale, è essa stessa un dato certificato che misura la posta dell'evento; chi colpì Moro colpì una funzione storica documentata, non una congiuntura. Il registro annota altresì, per l'economia delle fasi, che la biografia attraversa tutti gli snodi che l'opera ha censito: Moro fu presidente del Consiglio negli anni del Piano Solo, ministro degli esteri nella stagione della crisi mediterranea, e il suo nome ricorre negli atti di ogni commissione trattata; la sua posizione rispetto a tali snodi appartiene ai singoli accertamenti richiamati, e il registro la mantiene, per ciascuno, entro i livelli propri.</w:t>
      </w:r>
    </w:p>
    <w:p>
      <w:pPr>
        <w:spacing w:after="120" w:line="276"/>
        <w:jc w:val="both"/>
      </w:pPr>
      <w:r>
        <w:rPr>
          <w:rFonts w:ascii="Barlow Semi Condensed" w:cs="Barlow Semi Condensed" w:eastAsia="Barlow Semi Condensed" w:hAnsi="Barlow Semi Condensed"/>
          <w:sz w:val="24"/>
          <w:szCs w:val="24"/>
        </w:rPr>
        <w:t xml:space="preserve">Il quinto pilastro precisa le fonti del cerchio esterno, quale fondamento della certificazione di Livello B enunciata. Sul versante americano, gli avvertimenti a Moro sono documentati da una convergenza che il registro elenca: le testimonianze rese in sede giudiziaria e parlamentare da collaboratori diretti del presidente, tra cui Corrado Guerzoni, sul turbamento con cui Moro riferì le pressioni ricevute durante il viaggio negli Stati Uniti del settembre 1974, sino al proposito, poi rientrato, di ritirarsi dalla vita politica; i riferimenti dello stesso prigioniero, nel memoriale, alle rigidità del vincolo atlantico e ai richiami ricevuti; e il quadro documentale della diplomazia americana della stagione, ostile per atti pubblici all'ingresso comunista nei governi dell'Europa occidentale, dalla dottrina enunciata nei vertici alleati ai comunicati del Dipartimento di Stato del gennaio 1978, in piena crisi di governo italiana. Sul versante sovietico, la contrarietà è documentata dalla polemica pubblica del Partito comunista dell'Unione Sovietica contro l'eurocomunismo, condotta sugli organi ufficiali del partito negli anni 1976-1978 con attacchi diretti alle tesi dei partiti occidentali sulla democrazia pluralista, e dalla letteratura documentale sul gelo tra Mosca e la linea del segretario comunista italiano. Il registro, componendo le fonti, conferma la certificazione al Livello B di entrambe le contrarietà e la loro qualificazione quale coppia speculare: ciascuna potenza avversava il medesimo progetto per la ragione opposta, l'una perché portava i comunisti al governo, l'altra perché legittimava un comunismo fuori controllo; e questa specularità documentata, che la chiusura riprenderà, è il dato che vieta di trattare le 2 contrarietà quale fronte unico senza prova di coordinamento.</w:t>
      </w:r>
    </w:p>
    <w:p>
      <w:pPr>
        <w:spacing w:after="120" w:line="276"/>
        <w:jc w:val="both"/>
      </w:pPr>
      <w:r>
        <w:rPr>
          <w:rFonts w:ascii="Barlow Semi Condensed" w:cs="Barlow Semi Condensed" w:eastAsia="Barlow Semi Condensed" w:hAnsi="Barlow Semi Condensed"/>
          <w:sz w:val="24"/>
          <w:szCs w:val="24"/>
        </w:rPr>
        <w:t xml:space="preserve">Il sesto pilastro distende la traiettoria istituzionale nei suoi passaggi datati, quale ossatura documentale del profilo. Presidente nazionale della Federazione universitaria cattolica italiana dal 1939 al 1942, negli anni in cui assistente ecclesiastico dell'organizzazione era Giovanni Battista Montini, il futuro Paolo VI, con il quale strinse il legame personale che l'epilogo della vicenda renderà pubblico; eletto all'Assemblea Costituente nel 1946, a 29 anni, e attivo nella Commissione dei 75 sui principi fondamentali e sui rapporti civili, con contributi documentati alla formulazione della prima parte della Carta; sottosegretario agli esteri nel 1948, ministro della giustizia nel 1955, ministro della pubblica istruzione dal 1957 al 1959, con l'introduzione dell'educazione civica nelle scuole quale atto d'indirizzo rimasto associato al suo nome; segretario nazionale della Democrazia Cristiana dall'ottobre 1959 al gennaio 1964, l'arco nel quale condusse il partito all'apertura a sinistra attraverso i congressi di Firenze e di Napoli; presidente del Consiglio di 3 governi organici di centrosinistra dal dicembre 1963 al giugno 1968; ministro degli esteri, con brevi soluzioni di continuità, dal 1969 al 1974, la stagione della distensione, della firma dell'atto finale del processo di Helsinki e dell'apertura mediterranea della diplomazia italiana; nuovamente presidente del Consiglio dal novembre 1974 al luglio 1976, alla guida del quarto e del quinto governo del suo ciclo; presidente del Consiglio nazionale della Democrazia Cristiana dall'ottobre 1976, la carica che rivestiva al momento del sequestro. Il registro certifica al Livello A la sequenza, quale materia documentale non controversa, e ne evidenzia il dato strutturale: in 40 anni di vita pubblica, Moro attraversò tutte le stagioni della Repubblica occupando posizioni apicali in 3 domini dell'opera, il partito, il governo e la diplomazia, e la sua rete di relazioni personali, dalla Costituente al Quirinale, dal Vaticano alle cancellerie, era, alla data del 16 marzo 1978, tra le più estese del sistema: la centralità che il Pattern 1 gli assegna non è una metafora ma la descrizione di una posizione misurabile.</w:t>
      </w:r>
    </w:p>
    <w:p>
      <w:pPr>
        <w:spacing w:after="120" w:line="276"/>
        <w:jc w:val="both"/>
      </w:pPr>
      <w:r>
        <w:rPr>
          <w:rFonts w:ascii="Barlow Semi Condensed" w:cs="Barlow Semi Condensed" w:eastAsia="Barlow Semi Condensed" w:hAnsi="Barlow Semi Condensed"/>
          <w:sz w:val="24"/>
          <w:szCs w:val="24"/>
        </w:rPr>
        <w:t xml:space="preserve">Il settimo pilastro censisce il biennio terminale 1977-1978, il contesto immediato del sequestro, nei suoi 3 passaggi documentati. Il primo è la vicenda Lockheed: lo scandalo delle commissioni versate dalla società americana per le forniture aeronautiche investì il sistema politico italiano dal 1976, condusse alla messa in stato d'accusa di 2 ministri e lambì, nelle carte americane, un presidente del Consiglio designato con il nome in codice Antelope Cobbler, la cui identificazione fu oggetto di congetture pubbliche che coinvolsero anche il nome di Moro; il registro certifica al Livello A l'esistenza dello scandalo, dei procedimenti e della congettura, e certifica al medesimo livello che nessun accertamento, parlamentare o giudiziario, ha mai identificato Moro quale titolare di quel nome in codice né gli ha mai attribuito responsabilità nella vicenda, sicché la congettura è censita quale contaminazione documentata dell'ambiente e non quale addebito; in quel contesto Moro pronunciò alla Camera, il 9 marzo 1977, il discorso in difesa del partito dalla richiesta di processare la Democrazia Cristiana nelle piazze, uno dei testi politici più citati del suo ultimo periodo, che il registro certifica quale documento al Livello A. Il secondo passaggio è l'ultimo grande discorso, pronunciato il 28 febbraio 1978 all'assemblea dei gruppi parlamentari democristiani riuniti per decidere sulla formula di governo: un intervento non verbalizzato integralmente, ricostruito dagli appunti dei presenti e dalle cronache, nel quale Moro argomentò la necessità dell'accordo con il Partito comunista quale passaggio obbligato della fase, prefigurando tempi lunghi e insidie; il registro certifica al Livello A l'esistenza, la data e la funzione politica del discorso, e al Livello B la sua ricostruzione testuale, per la natura derivata delle fonti. Il terzo passaggio è la crisi di governo del gennaio-marzo 1978: la caduta del monocolore della non sfiducia, la trattativa condotta da Moro quale mediatore tra il proprio partito e la richiesta comunista di ingresso nella maggioranza, la soluzione del governo monocolore sostenuto dal voto favorevole comunista, e la composizione della lista dei ministri, accolta con delusione dallo stesso Partito comunista, che Moro si adoperò a ricomporre nei giorni immediatamente precedenti il 16 marzo; il registro certifica al Livello A la sequenza e la funzione di garanzia personale che Moro vi esercitò, quale contesto immediato che misura, ancora una volta, l'esatta posta dell'agguato: la mattina del sequestro, l'uomo era atteso alla Camera per il dibattito sulla fiducia al governo che egli solo aveva reso possibile.</w:t>
      </w:r>
    </w:p>
    <w:p>
      <w:pPr>
        <w:spacing w:after="120" w:line="276"/>
        <w:jc w:val="both"/>
      </w:pPr>
      <w:r>
        <w:rPr>
          <w:rFonts w:ascii="Barlow Semi Condensed" w:cs="Barlow Semi Condensed" w:eastAsia="Barlow Semi Condensed" w:hAnsi="Barlow Semi Condensed"/>
          <w:sz w:val="24"/>
          <w:szCs w:val="24"/>
        </w:rPr>
        <w:t xml:space="preserve">L'ottavo pilastro articola i livelli delle contrarietà internazionali, precisando la certificazione del secondo pilastro con la distinzione tra le manifestazioni pubbliche e quelle riservate, che i documenti impongono. Sul versante americano, la posizione ufficiale è consegnata a un atto pubblico datato: la dichiarazione del Dipartimento di Stato del 12 gennaio 1978, emessa nel pieno della crisi di governo italiana, con la quale gli Stati Uniti affermarono di non favorire la partecipazione comunista ai governi dell'Europa occidentale e di auspicarne la riduzione dell'influenza; il registro certifica al Livello A questa posizione pubblica, quale documento ufficiale della diplomazia americana, e mantiene al Livello B il versante riservato, gli avvertimenti personali ricevuti da Moro, documentati dalle testimonianze convergenti dei collaboratori sul viaggio del settembre 1974 e dai riferimenti dello stesso prigioniero nel memoriale, fonti dirette ma non documentali. Sul versante sovietico, la posizione pubblica è parimenti documentata da atti editoriali ufficiali: la polemica condotta dagli organi del Partito comunista dell'Unione Sovietica contro le tesi eurocomuniste tra il 1976 e il 1978, aperta all'indomani della conferenza dei partiti comunisti europei di Berlino Est del giugno 1976, nella quale i partiti occidentali avevano consacrato l'autonomia dal centro sovietico, e proseguita con attacchi diretti alle formulazioni dei dirigenti italiani sul pluralismo; il registro certifica al Livello A questa ostilità pubblica, quale dato della documentazione ufficiale di partito, e mantiene al Livello B ogni sua traduzione operativa. La composizione dei livelli è dunque la seguente, e la chiusura la recepirà: le 2 contrarietà, nelle loro manifestazioni pubbliche e ufficiali, sono certificate al Livello A; nelle loro componenti riservate e nelle loro eventuali traduzioni operative restano al Livello B; e la loro qualificazione congiunta quale convergenza oggettiva si colloca al Livello B, quale composizione prudente dei rami, con il coordinamento fermo, come sempre, al Livello C.</w:t>
      </w:r>
    </w:p>
    <w:p>
      <w:pPr>
        <w:spacing w:after="120" w:line="276"/>
        <w:jc w:val="both"/>
      </w:pPr>
      <w:r>
        <w:rPr>
          <w:rFonts w:ascii="Barlow Semi Condensed" w:cs="Barlow Semi Condensed" w:eastAsia="Barlow Semi Condensed" w:hAnsi="Barlow Semi Condensed"/>
          <w:sz w:val="24"/>
          <w:szCs w:val="24"/>
        </w:rPr>
        <w:t xml:space="preserve">Il nono pilastro espone la dottrina, il corpo di pensiero che il progetto traduceva. La riflessione morotea dell'ultimo decennio ruota attorno a 3 nuclei documentati nei discorsi e negli scritti: la lettura della società italiana quale società in trasformazione accelerata, cui il sistema politico doveva rispondere con l'allargamento e non con l'irrigidimento, consegnata alla formula dei tempi nuovi che si annunciano; la teoria della terza fase, la prospettiva, enunciata negli ultimi anni, di un approdo successivo tanto al centrismo quanto al centrosinistra, nel quale la democrazia italiana avrebbe raggiunto la propria compiutezza con la piena legittimazione reciproca di tutte le forze popolari, comunisti inclusi, e con la possibilità fisiologica dell'alternanza; e la distinzione, che il registro sottolinea per il suo rilievo analitico, tra la strategia morotea dell'attenzione e la proposta berlingueriana del compromesso storico, formulata dal segretario comunista negli articoli dell'autunno 1973 scritti alla luce del colpo di Stato cileno: il compromesso storico postulava un governo organico e durevole delle 2 grandi forze quale assicurazione contro l'eversione, la linea morotea configurava invece un percorso di legittimazione graduale che preservava la distinzione dei ruoli e preparava, nel tempo, la normalità democratica dell'alternanza. Il registro certifica al Livello A l'esistenza e il contenuto delle 2 elaborazioni, quali dati testuali, e la loro non coincidenza, documentata dagli stessi protagonisti; e ne trae l'annotazione che corregge una semplificazione della vulgata: l'uomo sequestrato non era l'artefice del compromesso storico, formula altrui, ma di un disegno più lungo e, negli esiti, più radicale, la piena omologazione democratica del maggiore partito comunista d'occidente; ed è questo disegno, non la contingenza di un governo, che le contrarietà internazionali censite avversavano, ciascuna leggendovi la propria minaccia, l'una lo scardinamento della disciplina di blocco in un Paese di frontiera, l'altra la nascita di un modello comunista occidentale sottratto al centro.</w:t>
      </w:r>
    </w:p>
    <w:p>
      <w:pPr>
        <w:spacing w:after="120" w:line="276"/>
        <w:jc w:val="both"/>
      </w:pPr>
      <w:r>
        <w:rPr>
          <w:rFonts w:ascii="Barlow Semi Condensed" w:cs="Barlow Semi Condensed" w:eastAsia="Barlow Semi Condensed" w:hAnsi="Barlow Semi Condensed"/>
          <w:sz w:val="24"/>
          <w:szCs w:val="24"/>
        </w:rPr>
        <w:t xml:space="preserve">Il decimo pilastro censisce il rapporto pregresso tra Moro e gli apparati, i precedenti che la biografia consegna alla fase. Il primo è la stagione del Piano Solo: Moro era presidente del Consiglio nell'estate 1964, quando maturò la vicenda che la Fase 2 ha certificato, e la gestione morotea della crisi, la mediazione che chiuse la partita politica senza rottura istituzionale e senza pubblicità, appartiene agli accertamenti di quella fase; il registro richiama il precedente quale primo incrocio documentato tra il nodo e il dominio degli apparati, annotando che Moro conobbe da presidente, 14 anni prima del sequestro, la realtà delle pressioni extracostituzionali sul sistema, e che il memoriale della prigionia sarebbe tornato su quella stagione con la competenza del testimone diretto. Il secondo precedente è la titolarità degli esteri negli anni 1969-1974, la stagione nella quale maturò la prassi di salvaguardia con le organizzazioni palestinesi che gli atti designano con il nome stesso del ministro, il lodo censito nel capitolo dell'organizzazione: il registro certifica al Livello A la titolarità del dicastero nella stagione della prassi e al Livello B, quale convergenza delle fonti già dichiarate, la riconducibilità dell'indirizzo alla politica mediterranea del ministro, annotando il paradosso storico che ne discende, e che la fase consegna senza scioglierlo: l'uomo che fu sequestrato con armi transitate per canali mediorientali era il titolare della politica che quei canali aveva regolato, e la circostanza, priva di ogni valenza probatoria sul sequestro, misura la densità delle interconnessioni del campo che l'opera studia. Il terzo precedente è il rapporto con il sistema dei servizi riformato nel 1977: la legge di riforma, approvata nella stagione della solidarietà nazionale, ridisegnò gli apparati nei 2 servizi e nel comitato di coordinamento, e gli uomini che ne assunsero i vertici, quelli che i capitoli della gestione censiscono, furono nominati in quella cornice; il registro certifica la sequenza quale contesto istituzionale, rinviando alla Fase 2 per la qualità piduista di quelle nomine.</w:t>
      </w:r>
    </w:p>
    <w:p>
      <w:pPr>
        <w:spacing w:after="120" w:line="276"/>
        <w:jc w:val="both"/>
      </w:pPr>
      <w:r>
        <w:rPr>
          <w:rFonts w:ascii="Barlow Semi Condensed" w:cs="Barlow Semi Condensed" w:eastAsia="Barlow Semi Condensed" w:hAnsi="Barlow Semi Condensed"/>
          <w:sz w:val="24"/>
          <w:szCs w:val="24"/>
        </w:rPr>
        <w:t xml:space="preserve">L'undicesimo pilastro censisce le opposizioni interne, il cerchio che il secondo pilastro ha enunciato e che qui riceve il suo dettaglio. La linea morotea prevalse nel partito attraverso una mediazione documentata e mai definitiva: le resistenze della destra interna e di parte dell'area dorotea alla legittimazione comunista attraversano gli atti congressuali e la pubblicistica del biennio, la storica competizione con Amintore Fanfani, l'altro grande leader della generazione, conobbe in quella stagione l'ennesima riconfigurazione, e la stessa composizione del governo del 16 marzo fu, come censito, il prodotto di una fatica di mediazione condotta sino alla vigilia; il registro certifica al Livello A l'esistenza e la documentazione del dissenso interno, quale dato della dialettica di partito, e ne dichiara la funzione nella fase: essa priva di fondamento la rappresentazione, corrente in entrambe le vulgate, di un partito unanime dietro il proprio presidente, e restituisce il dato reale, un leader che stava vincendo una partita interna non conclusa, la cui rimozione fisica risolse, quale effetto oggettivo certificato, anche quella partita; l'annotazione, come ogni enunciato di effetto, non contiene attribuzioni di intenzione, e il registro la consegna al piano dei fatti.</w:t>
      </w:r>
    </w:p>
    <w:p>
      <w:pPr>
        <w:spacing w:after="120" w:line="276"/>
        <w:jc w:val="both"/>
      </w:pPr>
      <w:r>
        <w:rPr>
          <w:rFonts w:ascii="Barlow Semi Condensed" w:cs="Barlow Semi Condensed" w:eastAsia="Barlow Semi Condensed" w:hAnsi="Barlow Semi Condensed"/>
          <w:sz w:val="24"/>
          <w:szCs w:val="24"/>
        </w:rPr>
        <w:t xml:space="preserve">Il dodicesimo pilastro censisce la fonte familiare, il canale attraverso cui il cerchio esterno entrò negli atti. Eleonora Chiavarelli Moro, deposta dinanzi alla prima Commissione parlamentare, riferì l'episodio che il marito le aveva confidato al ritorno dal viaggio americano del settembre 1974: l'ammonimento ricevuto da un altissimo esponente dell'amministrazione, nella formulazione riferita l'intimazione a desistere dal proprio disegno politico di collaborazione con tutte le forze del Paese, pena il pagamento di un prezzo elevato; la deposizione, resa sotto vincolo di verità in sede parlamentare, si aggiunse alle testimonianze convergenti dei collaboratori già censite, e costituisce il fondamento principale della certificazione del versante riservato americano. Il registro certifica al Livello A l'esistenza e il contenuto della deposizione, quale atto parlamentare, e mantiene al Livello B il fatto riferito, quale testimonianza de relato di elevata attendibilità soggettiva non consacrata da riscontro documentale; e annota la struttura probatoria del punto, che è la stessa dell'intero cerchio esterno: la conoscenza degli avvertimenti riposa interamente su una catena testimoniale familiare e fiduciaria, coerente, reiterata e mai smentita, ma priva del documento, e il registro la trascrive con questa esatta qualità, rifiutando tanto la degradazione a diceria quanto la promozione a prova.</w:t>
      </w:r>
    </w:p>
    <w:p>
      <w:pPr>
        <w:spacing w:after="120" w:line="276"/>
        <w:jc w:val="both"/>
      </w:pPr>
      <w:r>
        <w:rPr>
          <w:rFonts w:ascii="Barlow Semi Condensed" w:cs="Barlow Semi Condensed" w:eastAsia="Barlow Semi Condensed" w:hAnsi="Barlow Semi Condensed"/>
          <w:sz w:val="24"/>
          <w:szCs w:val="24"/>
        </w:rPr>
        <w:t xml:space="preserve">Il tredicesimo pilastro censisce la dimensione europea del profilo, la radice che salda il nodo alla verifica conclusiva dell'opera. La politica estera morotea, negli anni della titolarità della Farnesina e delle presidenze del Consiglio, si mosse lungo 2 direttrici documentate: la partecipazione attiva al processo di distensione paneuropea culminato nella firma italiana dell'atto finale di Helsinki nel 1975, con Moro presidente del Consiglio e firmatario, e l'apertura mediterranea, la costruzione di una proiezione italiana autonoma verso il mondo arabo, di cui la prassi censita quale lodo fu la declinazione riservata; a queste si aggiunge la costante europeista, la concezione, ricorrente nei discorsi, dell'integrazione comunitaria quale destino e quale spazio di autonomia del Paese entro il vincolo di campo. Il registro certifica al Livello A le direttrici, quali dati della documentazione diplomatica e dei testi, e ne dichiara il rilievo per l'architettura dell'opera: il progetto interno censito nei primi pilastri, la piena integrazione democratica del maggiore partito comunista occidentale, e la proiezione esterna qui censita, l'autonomia mediterranea ed europea entro l'alleanza, sono le 2 facce documentate di una medesima politica di allargamento dei margini nazionali, ed è questa politica composita, non una sua singola componente, l'oggetto delle contrarietà speculari certificate; la formalizzazione appartiene ai fatti e la fase la consegna, quale materiale già disciplinato, alla verifica delle macro-ipotesi.</w:t>
      </w:r>
    </w:p>
    <w:p>
      <w:pPr>
        <w:spacing w:after="120" w:line="276"/>
        <w:jc w:val="both"/>
      </w:pPr>
      <w:r>
        <w:rPr>
          <w:rFonts w:ascii="Barlow Semi Condensed" w:cs="Barlow Semi Condensed" w:eastAsia="Barlow Semi Condensed" w:hAnsi="Barlow Semi Condensed"/>
          <w:sz w:val="24"/>
          <w:szCs w:val="24"/>
        </w:rPr>
        <w:t xml:space="preserve">Il quattordicesimo pilastro registra il quadro continentale della settimana del sequestro, il contesto europeo che il Pattern 3 impone di censire. Il 16 marzo 1978 cade tra i 2 turni delle elezioni legislative francesi, il 12 e il 19 marzo, la consultazione nella quale l'unione delle sinistre, data in vantaggio per mesi, mancò la conquista della maggioranza dopo la rottura programmatica tra socialisti e comunisti; la contestualità tra la settimana in cui la Francia decideva dell'ingresso comunista nell'area di governo e il giorno in cui l'Italia vedeva rapito l'artefice dell'operazione parallela è un dato di calendario che la letteratura ha variamente caricato e che il registro tratta con la disciplina delle coincidenze: certifica al Livello A la contestualità, quale fatto cronologico, mantiene al Livello C ogni lettura di collegamento, nessun elemento documentando un nesso tra i 2 teatri, e annota il dato strutturale che la coincidenza comunque illumina: nella primavera del 1978 la questione dell'ingresso comunista al governo era aperta simultaneamente nei 2 maggiori Paesi latini dell'alleanza, l'attenzione dei campi su quel processo era, per gli atti pubblici censiti, massima, e l'Italia ne costituiva il caso più avanzato; il sequestro colpì dunque il punto più avanzato del processo più osservato del continente, e questa collocazione, che è un fatto e non una tesi, è la ragione per cui il caso appartiene di diritto al perimetro internazionale dell'opera e non alla sola cronaca nazionale.</w:t>
      </w:r>
    </w:p>
    <w:p>
      <w:pPr>
        <w:spacing w:after="120" w:line="276"/>
        <w:jc w:val="both"/>
      </w:pPr>
      <w:r>
        <w:rPr>
          <w:rFonts w:ascii="Barlow Semi Condensed" w:cs="Barlow Semi Condensed" w:eastAsia="Barlow Semi Condensed" w:hAnsi="Barlow Semi Condensed"/>
          <w:sz w:val="24"/>
          <w:szCs w:val="24"/>
        </w:rPr>
        <w:t xml:space="preserve">Il quindicesimo pilastro censisce la dimensione universitaria, il cerchio personale che la vicenda avrebbe drammaticamente convocato. Moro mantenne per l'intera carriera politica la cattedra romana di diritto e procedura penale, con la didattica del sabato mattina difesa contro ogni impegno di governo, il rapporto diretto con gli studenti attraversato indenne dagli anni della contestazione, che egli affrontò con l'ascolto e non con la rottura, e il cerchio degli assistenti e degli allievi quale sfera di lealtà personale distinta da quella politica; il registro certifica al Livello A questa dimensione, quale dato biografico documentato, e ne dichiara la pertinenza analitica, che non è ornamentale: fu a un allievo, Franco Tritto, che l'organizzazione indirizzò, per bocca di Morucci, la telefonata delle 12:13 del 9 maggio con l'indicazione di via Caetani, la scelta dell'interlocutore terminale cadendo non su un'istituzione ma sull'ultimo cerchio fiduciario dell'uomo, quello accademico; e la circostanza, certificata dagli atti, che l'annuncio della fine sia transitato per la sfera universitaria e familiare anziché per quella politica o istituzionale appartiene alla semantica documentata dell'operazione, l'organizzazione avendo negato sino all'ultimo gesto ogni interlocuzione con lo Stato e avendo scelto, quale destinatario della propria comunicazione finale, l'unico cerchio del prigioniero che essa non considerava nemico. Il registro trascrive il dato e la sua lettura interna documentata, e annota che la geografia dei cerchi di Moro, il partito, le istituzioni, la famiglia, l'università, è essa stessa una mappa che la vicenda ha percorso in senso inverso, dall'esterno politico verso l'intimo personale, sino a consegnare l'ultimo atto al più interno dei cerchi.</w:t>
      </w:r>
    </w:p>
    <w:p>
      <w:pPr>
        <w:spacing w:after="120" w:line="276"/>
        <w:jc w:val="both"/>
      </w:pPr>
      <w:r>
        <w:rPr>
          <w:rFonts w:ascii="Barlow Semi Condensed" w:cs="Barlow Semi Condensed" w:eastAsia="Barlow Semi Condensed" w:hAnsi="Barlow Semi Condensed"/>
          <w:sz w:val="24"/>
          <w:szCs w:val="24"/>
        </w:rPr>
        <w:t xml:space="preserve">Il sedicesimo pilastro censisce il cerchio familiare, il più interno dei cerchi e l'ultimo destinatario della vicenda. Aldo Moro aveva sposato nel 1945 Eleonora Chiavarelli, e dal matrimonio erano nati i 4 figli, Maria Fida, Agnese, Anna e Giovanni; al momento del sequestro la famiglia comprendeva il nipote Luca, il bambino che le lettere della prigionia avrebbero reso il destinatario più ricorrente dei pensieri del prigioniero; la casa di via del Forte Trionfale e il rifugio di Torrita Tiberina erano i 2 poli della geografia privata che la vicenda avrebbe trasformato, la prima nel luogo dell'attesa dei 55 giorni, il secondo nel luogo della sepoltura. Il registro certifica al Livello A la composizione del cerchio, quale dato biografico, e ne dichiara la funzione documentale nella fase, che è triplice: la famiglia fu la destinataria del corpus epistolare privato censito nel capitolo del memoriale; fu l'interlocutrice dell'unica comunicazione vocale dell'organizzazione, la telefonata del 30 aprile a Eleonora; e fu, dopo la morte, la custode e l'esecutrice delle disposizioni, con il rifiuto dei funerali di Stato, nonché la fonte delle testimonianze che le Commissioni avrebbero raccolto, la deposizione della vedova sull'avvertimento americano costituendo, come censito, il fondamento del versante riservato del cerchio esterno. Il registro annota il dato strutturale che questa triplice funzione consegna: nella vicenda Moro il cerchio familiare non è sfondo ma fonte, uno dei canali documentali primari della fase, e la circostanza che una parte rilevante della conoscenza del caso, dalle lettere alle testimonianze, sia transitata per la famiglia anziché per le istituzioni è essa stessa un dato certificato sulla dislocazione della fiducia dell'uomo negli ultimi 55 giorni della sua vita.</w:t>
      </w:r>
    </w:p>
    <w:p>
      <w:pPr>
        <w:spacing w:after="120" w:line="276"/>
        <w:jc w:val="both"/>
      </w:pPr>
      <w:r>
        <w:rPr>
          <w:rFonts w:ascii="Barlow Semi Condensed" w:cs="Barlow Semi Condensed" w:eastAsia="Barlow Semi Condensed" w:hAnsi="Barlow Semi Condensed"/>
          <w:sz w:val="24"/>
          <w:szCs w:val="24"/>
        </w:rPr>
        <w:t xml:space="preserve">Il diciassettesimo pilastro censisce il rapporto tra i 2 architetti, l'asse Moro-Berlinguer che sorresse la costruzione politica colpita. La maggioranza della solidarietà nazionale fu il prodotto della convergenza, documentata dagli atti e dalle memorie delle 2 parti, tra la strategia dell'attenzione morotea e la linea del segretario comunista, perseguita attraverso la stagione di incontri riservati e di mediazioni parlamentari del biennio 1976-1978 che preparò il passaggio del marzo; i 2 uomini, divisi dalla collocazione e dalle culture, condividevano per convergenza documentata la lettura della necessità storica dell'operazione e la consapevolezza delle sue resistenze interne e internazionali, e il rapporto personale tra loro, sobrio e non confidenziale, fu il canale fiduciario minimo su cui la costruzione poggiò. Il registro certifica al Livello A l'esistenza e la funzione dell'asse, quali dati della documentazione politica della stagione, e ne registra il destino, che appartiene ai fatti della fase: colpito l'uno il 16 marzo, l'altro sostenne per l'intera crisi la linea della fermezza nella forma più rigida, per le ragioni di affidabilità di Stato che il capitolo della gestione ha censito, e dopo il 9 maggio la costruzione comune si dissolse nei tempi certificati, sino all'uscita comunista dalla maggioranza del gennaio 1979 e alla successiva stagione della rottura; il registro annota il dato strutturale che la parabola consegna: l'operazione politica più ambiziosa della storia repubblicana riposava sull'asse personale di 2 uomini, e l'eliminazione di uno dei 2 fu sufficiente a dissolverla, una fragilità di architettura che la fase certifica quale fatto e che ogni lettura della razionalità dell'attacco, interna o eccedente, incorpora quale premessa: il sistema colpito nel marzo 1978 aveva un solo punto di rottura, e fu esattamente quello a essere colpito.</w:t>
      </w:r>
    </w:p>
    <w:p>
      <w:pPr>
        <w:spacing w:after="120" w:line="276"/>
        <w:jc w:val="both"/>
      </w:pPr>
      <w:r>
        <w:rPr>
          <w:rFonts w:ascii="Barlow Semi Condensed" w:cs="Barlow Semi Condensed" w:eastAsia="Barlow Semi Condensed" w:hAnsi="Barlow Semi Condensed"/>
          <w:sz w:val="24"/>
          <w:szCs w:val="24"/>
        </w:rPr>
        <w:t xml:space="preserve">Il diciottesimo pilastro censisce la fonte primaria del profilo, il corpus pubblico degli scritti e dei discorsi. La ricostruzione del progetto politico condotta nei pilastri precedenti poggia su un corpus documentale di prima mano che il registro dichiara: i discorsi parlamentari e congressuali dell'intera carriera, editi e citabili atto per atto, dalla Costituente all'ultimo intervento ai gruppi del 28 febbraio 1978; gli scritti giuridici e accademici della cattedra; gli articoli e gli interventi pubblici della stagione matura; e la documentazione diplomatica degli anni della Farnesina. Il registro certifica al Livello A l'esistenza, l'edizione e la citabilità di questo corpus, quale base documentale del capitolo, e ne dichiara la funzione metodologica terminale: il pensiero di Moro è ricostruibile integralmente da fonti pubbliche, datate e verificabili, prodotte dall'uomo libero lungo 3 decenni, e questa disponibilità distingue il primo capitolo della fase da tutti i successivi, giacché il profilo del progetto colpito non dipende in nulla dalle carte della prigionia, che documentano l'uomo sotto costrizione, né da testimonianze postume; la separazione tra le 2 fonti dell'uomo, il corpus libero del capitolo primo e il corpus della prigionia del capitolo quinto, è un'architettura deliberata del registro, che consente di misurare la continuità tra il pensiero libero e il pensiero prigioniero, la misura che la falsificazione della tesi della coartazione ha impiegato, e di fondare il bersaglio della fase, il progetto politico, esclusivamente su ciò che l'uomo disse e scrisse quando nessuno lo costringeva.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Moro-apertura a sinistra-solidarietà nazionale, è il triangolo del progetto, certificato al Livello A. La seconda, Moro-terrorismo-attacco al cuore dello Stato, è il triangolo del movente dichiarato dagli esecutori, certificato al Livello A dalla loro documentazione e dai giudicati. La terza, Moro-Washington-Mosca, è il triangolo delle contrarietà internazionali, certificato al Livello B in ciascuno dei 2 rami e consegnato alla chiusura per la qualificazione del loro rapporto. Sul piano dei pattern, il nodo attiva il Pattern 1 in una forma inversa e istruttiva: Moro possedeva la massima centralità del sistema politico legale, quale intermediario unico tra i 2 maggiori partiti, e la sua eliminazione fu la rimozione del broker nel senso più tecnico, l'atto che disconnesse i 2 blocchi che soltanto attraverso di lui comunicavano; l'analisi dei buchi strutturali del Pattern 5 registra nel dopo-Moro esattamente il vuoto che la teoria prevede.</w:t>
      </w:r>
    </w:p>
    <w:p>
      <w:pPr>
        <w:spacing w:after="120" w:line="276"/>
        <w:jc w:val="both"/>
      </w:pPr>
      <w:r>
        <w:rPr>
          <w:rFonts w:ascii="Barlow Semi Condensed" w:cs="Barlow Semi Condensed" w:eastAsia="Barlow Semi Condensed" w:hAnsi="Barlow Semi Condensed"/>
          <w:sz w:val="24"/>
          <w:szCs w:val="24"/>
        </w:rPr>
        <w:t xml:space="preserve">Il movente politico esige la sua genealogia testuale, che il registro fissa nei documenti fondativi delle 2 strategie convergenti. Sul versante comunista, la svolta porta una data editoriale: nelle settimane successive al golpe cileno dell'11 settembre 1973, Enrico Berlinguer pubblicò sul settimanale teorico del partito, in 3 puntate autunnali, le riflessioni sull'Italia dopo i fatti del Cile, nelle quali traeva dalla tragedia di Santiago la lezione che una sinistra al 51% non governa se il restante 49% le viene mobilitato contro, e ne deduceva la necessità della collaborazione tra le grandi forze popolari, comunista, socialista e cattolica: è l'atto di nascita pubblico della proposta che la vulgata avrebbe chiamato compromesso storico, Livello A quanto ai testi ed alla loro data. Sul versante democristiano, il registro deve al lettore una precisione che la pubblicistica trascura: Moro non fu il teorico del compromesso, formula che non gli appartenne e verso la quale mantenne riserve esplicite, ma l'architetto di un disegno proprio e più graduale, la strategia dell'attenzione prima e la prospettiva della terza fase poi, l'idea di un ampliamento della base dello Stato che passasse per l'emergenza della solidarietà nazionale senza consegnare al patto tra i 2 maggiori partiti la forma definitiva del sistema, Livello A quanto alla distinzione, documentata dai testi e dagli interventi del presidente democristiano. La distinzione non è erudizione: essa definisce l'esatto bersaglio politico che il sequestro colpì, non un'alleanza compiuta ma una mediazione in cammino, ed il mediatore, non il patto, era l'elemento insostituibile, come la storia successiva, che vide il disegno dissolversi con il suo artefice, avrebbe verificato per sottrazione.</w:t>
      </w:r>
    </w:p>
    <w:p>
      <w:pPr>
        <w:spacing w:after="120" w:line="276"/>
        <w:jc w:val="both"/>
      </w:pPr>
      <w:r>
        <w:rPr>
          <w:rFonts w:ascii="Barlow Semi Condensed" w:cs="Barlow Semi Condensed" w:eastAsia="Barlow Semi Condensed" w:hAnsi="Barlow Semi Condensed"/>
          <w:sz w:val="24"/>
          <w:szCs w:val="24"/>
        </w:rPr>
        <w:t xml:space="preserve">All'ultimo miglio della mediazione appartiene il documento orale conclusivo, che il registro censisce quale testamento politico involontario: l'intervento pronunciato da Moro il 28 febbraio 1978 dinanzi ai gruppi parlamentari democristiani riuniti, per persuadere il partito riluttante ad accettare l'appoggio esterno comunista al nuovo governo. In quel discorso, di cui restano i resoconti e le testimonianze convergenti dei presenti, Moro difese la scelta quale passaggio obbligato di un tempo nuovo, evocando la necessità di capire ciò che accade e di non farsi trovare fermi mentre la storia si muove, Livello A quanto all'intervento ed al suo tenore complessivo, secondo i resoconti coevi. Sedici giorni separano quell'aula da via Fani: ed il registro, che diffida delle coincidenze quanto le censisce, annota che l'agguato cadde nell'esatta finestra in cui la mediazione, vinte le resistenze interne, stava per tradursi in prassi parlamentare, il che colloca il movente politico non nella sfera delle intenzioni attribuite ma nella cronologia documentata dei fatti compiuti: chi colpì, colpì un processo in atto, alla sua ora più fecondа e perciò più vulnerabile.</w:t>
      </w:r>
    </w:p>
    <w:p>
      <w:pPr>
        <w:spacing w:after="120" w:line="276"/>
        <w:jc w:val="both"/>
      </w:pPr>
      <w:r>
        <w:rPr>
          <w:rFonts w:ascii="Barlow Semi Condensed" w:cs="Barlow Semi Condensed" w:eastAsia="Barlow Semi Condensed" w:hAnsi="Barlow Semi Condensed"/>
          <w:sz w:val="24"/>
          <w:szCs w:val="24"/>
        </w:rPr>
        <w:t xml:space="preserve">Alla vigilia dell'agguato appartiene infine il dossier della protezione, che gli atti parlamentari hanno ricostruito e che il registro fissa quale reperto sulle condizioni materiali del bersaglio: nei mesi precedenti il 16 marzo, a fronte di un quadro di minaccia che l'escalation brigatista contro uomini dello Stato rendeva conclamato, la dotazione della scorta di Moro rimase quella ordinaria, 5 uomini su 2 vetture prive di blindatura, e le sollecitazioni per l'assegnazione di un'auto protetta, documentate nelle testimonianze rese dai collaboratori e dagli uffici alle sedi d'inchiesta, non ebbero seguito prima dell'agguato, Livello A quanto alla dotazione effettiva ed alle sollecitazioni documentate, nei limiti delle rispettive fonti. Il registro consegna il dato alla sua funzione: esso non fonda, da solo, alcuna inferenza sulla volontarietà dell'esposizione, che nessun accertamento ha consacrato e che la Regola Ferrea vieta di dedurre dalla mera inadeguatezza, ma stabilisce la condizione materiale di partenza del piano primo, un obiettivo di primissimo rango protetto secondo standard che la minaccia coeva aveva già reso obsoleti, e questa forbice tra il rango del bersaglio ed il livello della protezione è il primo dei fatti non spiegati che il piano secondo censisce, certificato nella sua materialità e consegnato, quanto alle ragioni, al vaglio che le Commissioni hanno condotto senza chiuderlo.</w:t>
      </w:r>
    </w:p>
    <w:p>
      <w:pPr>
        <w:spacing w:after="120" w:line="276"/>
        <w:jc w:val="both"/>
      </w:pPr>
      <w:r>
        <w:rPr>
          <w:rFonts w:ascii="Barlow Semi Condensed" w:cs="Barlow Semi Condensed" w:eastAsia="Barlow Semi Condensed" w:hAnsi="Barlow Semi Condensed"/>
          <w:sz w:val="24"/>
          <w:szCs w:val="24"/>
        </w:rPr>
        <w:t xml:space="preserve">Attorno al presidente operava infine il cerchio dei collaboratori diretti, che il registro censisce quale fonte di prima prossimità sul clima della vigilia: il segretario amministrativo Sereno Freato, l'assistente Nicola Rana ed il portavoce Corrado Guerzoni, auditi ripetutamente nei cicli giudiziari e dinanzi alle Commissioni, consegnarono un quadro convergente sulla percezione del pericolo nell'ultimo Moro, fatta di segnali registrati, preoccupazioni espresse e cautele sollecitate, ivi comprese quelle sulla protezione che il capitolo ha già certificato, Livello A quanto alle audizioni ed alla convergenza dei racconti, Livello B quanto ai singoli episodi riferiti da fonte unica. Il registro assegna al cerchio la sua funzione documentale propria: i collaboratori furono, per il caso, ciò che gli archivi sono per le organizzazioni, la memoria esterna dell'uomo, e le loro testimonianze, attraversate negli anni da verifiche, riscontri ed anche da vicende personali distinte che non appartengono a questo nodo, restano il principale giacimento sulla dimensione privata della vigilia, quella in cui il mediatore misurava, insieme al peso della manovra politica, il prezzo che essa avrebbe potuto chiedergli. Che quella misura fosse presente all'uomo prima che al Paese è, all'esito delle convergenze censite, un dato: e la sua consapevolezza documentata è l'ultimo tratto del profilo che il capitolo consegna, il bersaglio che conosceva di esserlo.</w:t>
      </w:r>
    </w:p>
    <w:p>
      <w:pPr>
        <w:spacing w:after="120" w:line="276"/>
        <w:jc w:val="both"/>
      </w:pPr>
      <w:r>
        <w:rPr>
          <w:rFonts w:ascii="Barlow Semi Condensed" w:cs="Barlow Semi Condensed" w:eastAsia="Barlow Semi Condensed" w:hAnsi="Barlow Semi Condensed"/>
          <w:sz w:val="24"/>
          <w:szCs w:val="24"/>
        </w:rPr>
        <w:t xml:space="preserve">La giornata inaugurale va restituita anche nella sua cronaca parlamentare, perché l'aula fu il secondo teatro del 16 marzo e la sua sequenza oraria è un reperto istituzionale: la Camera era convocata per il dibattito sulla fiducia al nuovo governo quando, a metà mattina, la notizia dell'agguato raggiunse Montecitorio; la seduta fu sospesa nello sgomento, le direzioni dei partiti si riunirono in permanenza, e nel pomeriggio le Camere ripresero i lavori deliberando di procedere immediatamente, sicché entro la sera del giorno stesso il governo ottenne la fiducia con una maggioranza amplissima, nella quale il voto comunista si sommò per la prima volta dal 1947 a quello democristiano, Livello A quanto alla sequenza ed all'esito. Il registro fissa il paradosso documentale della giornata: l'operazione concepita per impedire l'approdo della mediazione lo accelerò nelle forme, consegnando in poche ore, sotto la spinta dell'emergenza, il risultato parlamentare che mesi di trattativa avevano preparato, e la solidarietà nazionale nacque così nel modo esattamente contrario al disegno del suo artefice, non quale esito maturo di un processo politico ma quale riflesso di autodifesa dello Stato aggredito. La distinzione non è oziosa: il voto del 16 marzo saldò il quadro politico e insieme lo svuotò della sua gradualità costitutiva, ed il registro consegna alla storiografia, senza deciderla, la domanda che ne discende, se la creatura nata quel pomeriggio sotto shock fosse ancora, in senso proprio, la creatura che il prigioniero aveva progettato, o già la sua maschera funeraria.</w:t>
      </w:r>
    </w:p>
    <w:p>
      <w:pPr>
        <w:spacing w:after="120" w:line="276"/>
        <w:jc w:val="both"/>
      </w:pPr>
      <w:r>
        <w:rPr>
          <w:rFonts w:ascii="Barlow Semi Condensed" w:cs="Barlow Semi Condensed" w:eastAsia="Barlow Semi Condensed" w:hAnsi="Barlow Semi Condensed"/>
          <w:sz w:val="24"/>
          <w:szCs w:val="24"/>
        </w:rPr>
        <w:t xml:space="preserve">Alla filologia del nodo appartiene infine l'apocrifo che ne è divenuto l'emblema: la formula delle convergenze parallele, universalmente attribuita a Moro quale cifra del suo metodo, non risulta rintracciabile, in quella esatta veste, negli scritti né nei discorsi del presidente democristiano, e la ricerca filologica ne ha ricostruito la genesi giornalistica, una sintesi redazionale coeva che condensò in ossimoro la strategia morotea della metà degli anni Sessanta e che l'uso pubblico saldò per sempre al suo presunto autore, Livello A quanto alla circolazione ed alla consolidata attribuzione, Livello C quanto alla paternità morotea diretta, mai documentata. Il registro censisce l'apocrifo perché esso è, in miniatura, la storia della ricezione dell'uomo: a Moro fu attribuita la formula che il linguaggio comune giudicava impossibile, 2 parallele che convergono, e l'attribuzione attecchì perché descriveva perfettamente ciò che il Paese vedeva, un politico che faceva incontrare ciò che la geometria del sistema dichiarava inconciliabile. Che la definizione più celebre del mediatore sia una frase che egli non pronunciò è il sigillo filologico del caso: anche sul piano delle parole, come su quello delle carte, il nodo Moro è consegnato alla storia attraverso testi di paternità incerta, e la disciplina che l'opera applica al memoriale vale, in scala minima, anche per le 2 parole che tutti gli attribuiscono.</w:t>
      </w:r>
    </w:p>
    <w:p>
      <w:pPr>
        <w:spacing w:after="120" w:line="276"/>
        <w:jc w:val="both"/>
      </w:pPr>
      <w:r>
        <w:rPr>
          <w:rFonts w:ascii="Barlow Semi Condensed" w:cs="Barlow Semi Condensed" w:eastAsia="Barlow Semi Condensed" w:hAnsi="Barlow Semi Condensed"/>
          <w:sz w:val="24"/>
          <w:szCs w:val="24"/>
        </w:rPr>
        <w:t xml:space="preserve">L'ultimo Moro pubblico consegna al registro il documento che smentisce in radice l'iconografia remissiva: il discorso pronunciato al seminario nazionale democristiano di Benevento il 18 novembre 1977, l'intervento programmatico estremo della sua elaborazione, nel quale il presidente del partito rivendicò la storia della DC contro la stagione dei processi mediatici, rifiutando che il partito si lasciasse processare nelle piazze e rilanciando la prospettiva della terza fase quale approdo di sistema, Livello A quanto al discorso, alla data ed ai contenuti editi. Il registro censisce il testo per la sua funzione correttiva: a 4 mesi da via Fani, l'uomo che la vulgata avrebbe consegnato alla storia quale mediatore crepuscolare parlava da capo politico in attacco, e la continuità documentale tra il combattente di Benevento, il negoziatore dottrinale della prigione censito nel quadrilatero epistolare e l'estensore lucido del memoriale è la spina dorsale biografica che il capitolo consegna alle fasi successive: il corpus moroteo dei suoi ultimi 6 mesi, dal palco alla cella, è l'opera di una sola intelligenza politica in piena funzione, e ogni lettura che ne frammenti la coerenza per neutralizzarne un segmento, il Moro di Benevento contro il Moro delle lettere, deve prima spiegare perché la scrittura non registri alcuna frattura.</w:t>
      </w:r>
    </w:p>
    <w:p>
      <w:pPr>
        <w:spacing w:after="120" w:line="276"/>
        <w:jc w:val="both"/>
      </w:pPr>
      <w:r>
        <w:rPr>
          <w:rFonts w:ascii="Barlow Semi Condensed" w:cs="Barlow Semi Condensed" w:eastAsia="Barlow Semi Condensed" w:hAnsi="Barlow Semi Condensed"/>
          <w:sz w:val="24"/>
          <w:szCs w:val="24"/>
        </w:rPr>
        <w:t xml:space="preserve">L'arco politico del nodo si chiude infine 21 mesi dopo via Caetani, con l'atto congressuale che il registro censisce quale certificato di morte della politica morotea: al congresso democristiano del febbraio 1980 l'approvazione del documento preambolare della maggioranza interna precluse formalmente la prosecuzione della solidarietà nazionale e la prospettiva di collaborazione con il partito comunista, riportando la DC all'alleanza preferenziale con i socialisti e chiudendo la stagione che il rapimento aveva colpito al suo primo giorno, Livello A quanto all'esito congressuale ed ai suoi effetti di sistema. Il registro consegna la data alla contabilità dell'opera: la politica per la quale Moro fu sequestrato sopravvisse al suo autore un tempo brevissimo e morì non per mano armata ma per voto di congresso, e questa doppia estinzione, l'uomo per esecuzione e la strategia per deliberazione, obbliga l'analisi alla distinzione che il capitolo consegna: l'attentato uccise il garante, ma fu il sistema politico, con i propri strumenti ordinari, a seppellire la garanzia, sicché la domanda storica corretta non è se il sequestro abbia fermato la terza fase, ma perché nessuno, dopo, abbia più potuto o voluto riprenderla, ed a questa seconda domanda le aule non erano competenti a rispondere.</w:t>
      </w:r>
    </w:p>
    <w:p>
      <w:pPr>
        <w:spacing w:after="120" w:line="276"/>
        <w:jc w:val="both"/>
      </w:pPr>
      <w:r>
        <w:rPr>
          <w:rFonts w:ascii="Barlow Semi Condensed" w:cs="Barlow Semi Condensed" w:eastAsia="Barlow Semi Condensed" w:hAnsi="Barlow Semi Condensed"/>
          <w:sz w:val="24"/>
          <w:szCs w:val="24"/>
        </w:rPr>
        <w:t xml:space="preserve">La cronologia politica della vigilia esige la misura della sua durata, che il registro fissa quale cornice temporale dell'intero disegno: la crisi apertasi il 16 gennaio 1978 con le dimissioni del terzo governo Andreotti si protrasse per 2 mesi esatti, la più laboriosa gestazione ministeriale del decennio, condotta da Moro attraverso la resistenza convergente delle ali interne ed esterne sino al giuramento dell'11 marzo ed al debutto parlamentare del 16, Livello A quanto alla scansione. Il registro consegna la durata alla sua funzione analitica: per 60 giorni l'intero Paese, e chiunque nel Paese pianificasse, conobbe pubblicamente l'esistenza, la posta e l'artefice della partita in corso, mentre la sua data terminale, il giorno della fiducia, si definì solo nell'ultima settimana, sicché l'agguato consumato nell'ora esatta del compimento presuppone un dispositivo tenuto in preallarme prolungato e attivabile con preavviso breve, ed è questa elasticità operativa, più ancora della precisione balistica censita nel capitolo seguente, la vera firma professionale del 16 marzo: non l'abilità di colpire, che si addestra, ma la capacità organizzativa di attendere armati per settimane una data altrui, che si finanzia, si copre e si comanda, e che il registro consegna ai capitoli processuali quale domanda sulla profondità logistica dell'organizzazione che i giudicati hanno misurato.</w:t>
      </w:r>
    </w:p>
    <w:p>
      <w:pPr>
        <w:spacing w:after="120" w:line="276"/>
        <w:jc w:val="both"/>
      </w:pPr>
      <w:r>
        <w:rPr>
          <w:rFonts w:ascii="Barlow Semi Condensed" w:cs="Barlow Semi Condensed" w:eastAsia="Barlow Semi Condensed" w:hAnsi="Barlow Semi Condensed"/>
          <w:sz w:val="24"/>
          <w:szCs w:val="24"/>
        </w:rPr>
        <w:t xml:space="preserve">Il ritratto del protagonista esige infine il suo registro civile meno noto, che l'opera censisce per completezza biografica: per l'intera carriera politica Moro mantenne la cattedra universitaria, ordinario di istituzioni di diritto e procedura penale nell'ateneo romano, e continuò a tenervi personalmente lezione, tra studenti e assistenti, sino alle ultime settimane prima del sequestro, unico caso tra i vertici della Repubblica di una docenza effettiva mai ridotta a titolo onorifico, Livello A quanto alla continuità dell'insegnamento. Il registro consegna il dato alla sua funzione ermeneutica: l'uomo che il corpus ha censito quale architetto delle mediazioni impossibili trascorreva le proprie mattine accademiche a spiegare ai ventenni le garanzie del processo penale, e questa doppia vita documentata, il potere e la cattedra, illumina retrospettivamente tanto la qualità giuridica delle lettere dalla prigione, scritte da un processualista che conosceva per mestiere la differenza tra giustizia e procedura, quanto la scelta brigatista di sottoporlo ad un simulacro di processo, che colpiva, con precisione forse inconsapevole, l'uomo nel punto esatto della sua competenza, costringendo il professore della procedura a subire la parodia della materia che insegnava.</w:t>
      </w:r>
    </w:p>
    <w:p>
      <w:pPr>
        <w:spacing w:after="120" w:line="276"/>
        <w:jc w:val="both"/>
      </w:pPr>
      <w:r>
        <w:rPr>
          <w:rFonts w:ascii="Barlow Semi Condensed" w:cs="Barlow Semi Condensed" w:eastAsia="Barlow Semi Condensed" w:hAnsi="Barlow Semi Condensed"/>
          <w:sz w:val="24"/>
          <w:szCs w:val="24"/>
        </w:rPr>
        <w:t xml:space="preserve">Il profilo istituzionale del protagonista esige la sua scheda di servizio, che il registro premette quale misura della posta: Aldo Moro guidò 5 governi della Repubblica, i 3 esecutivi organici di centrosinistra tra il 1963 ed il 1968 ed i 2 governi della metà degli anni Settanta, e tenne nei 3 decenni i dicasteri di vertice, la Giustizia, la Pubblica istruzione, gli Esteri per stagioni prolungate, oltre alla segreteria del partito negli anni della svolta e la presidenza del Consiglio nazionale democristiano sino al sequestro, curriculum che ne fa, per durata ed ampiezza cumulativa degli incarichi, uno dei 2 o 3 uomini di governo più longevi dell'intera storia repubblicana, Livello A quanto alla carriera istituzionale. Il registro consegna la scheda alla sua funzione nel capitolo: il 16 marzo 1978 non fu colpito un leader di partito ma un archivio vivente dello Stato, l'uomo che aveva attraversato da ministro o da premier ogni stagione critica del corpus, dal Piano Solo vissuto da presidente del Consiglio in carica alle gestioni riservate mediterranee dirette da ministro degli esteri, e questa densità biografica, unica tra i possibili bersagli dell'epoca, appartiene alla valutazione del bersaglio che ogni ipotesi sul caso, da quella giudicata a quelle concorrenti, deve incorporare: chiunque decise o lasciò decidere la sorte del prigioniero sapeva che nella prigione del popolo non c'era soltanto il garante di una maggioranza, c'era la memoria operativa di 30 anni di Repubblica, con tutto ciò che una memoria simile poteva, scrivendo, ricordare.</w:t>
      </w:r>
    </w:p>
    <w:p>
      <w:pPr>
        <w:spacing w:after="120" w:line="276"/>
        <w:jc w:val="both"/>
      </w:pPr>
      <w:r>
        <w:rPr>
          <w:rFonts w:ascii="Barlow Semi Condensed" w:cs="Barlow Semi Condensed" w:eastAsia="Barlow Semi Condensed" w:hAnsi="Barlow Semi Condensed"/>
          <w:sz w:val="24"/>
          <w:szCs w:val="24"/>
        </w:rPr>
        <w:t xml:space="preserve">Il capitolo della cornice politica esige il suo bilancio terminale, che il registro formula quale misura del prezzo pagato: la politica di solidarietà nazionale non sopravvisse al suo garante, poiché il partito comunista, logorato dal sostegno ad un governo che non lo compensava e privato dell'interlocutore che aveva costruito il percorso, uscì dalla maggioranza nel gennaio 1979, a 8 mesi da via Caetani, chiudendo per sempre la stagione dell'avvicinamento e riconsegnando il sistema politico alla contrapposizione che l'operazione di Moro aveva tentato di superare, Livello A quanto alla cronologia della rottura. Il registro consegna la sequenza alla sua lettura strutturale, che prescinde da ogni ipotesi sui mandanti e vale per tutte: qualunque cosa il sequestro fosse stato nelle intenzioni, nei risultati fu l'atto che uccise insieme l'uomo ed il suo disegno, perché la solidarietà nazionale, nata per gestire l'emergenza, si consumò nell'emergenza stessa, ed il sistema politico italiano tornò, dopo la parentesi, esattamente alla geometria bipolare bloccata che le 2 superpotenze censite nella fase quinta avevano sempre preferito, sicché il registro può formulare l'unico enunciato che la disciplina consente sul piano degli effetti: il 9 maggio 1978 non morì soltanto un uomo di Stato, morì l'unico esperimento di superamento della conventio ad excludendum che la Repubblica del corpus abbia mai condotto sino alla soglia del governo, e gli effetti, a differenza delle intenzioni, non sono un'ipotesi ma un calendario.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Moro è certificato al Livello A quale artefice delle 2 operazioni di allargamento della base dello Stato e quale intermediario a massima centralità del sistema politico, sequestrato il giorno della fiducia al primo governo della solidarietà nazionale; le contrarietà internazionali al suo progetto sono certificate al Livello B su entrambi i versanti, americano e sovietico, quali contrarietà documentate e speculari, con la qualificazione del loro rapporto rinviata alla chiusura; il movente politico dell'evento è certificato nella sola forma del dato oggettivo, la fine del progetto con la morte del suo garante, senza alcuna attribuzione eccedente i giudicati.</w:t>
      </w:r>
    </w:p>
    <w:p>
      <w:pPr>
        <w:pStyle w:val="Heading3"/>
        <w:spacing w:after="80" w:before="160"/>
      </w:pPr>
      <w:r>
        <w:rPr>
          <w:rFonts w:ascii="Barlow Semi Condensed" w:cs="Barlow Semi Condensed" w:eastAsia="Barlow Semi Condensed" w:hAnsi="Barlow Semi Condensed"/>
          <w:sz w:val="24"/>
          <w:szCs w:val="24"/>
        </w:rPr>
        <w:t xml:space="preserve">Capitolo 2 — ■ Via Fani, 16 marzo 1978. L'agguato, la scorta, i giudicati</w:t>
      </w:r>
    </w:p>
    <w:p>
      <w:pPr>
        <w:spacing w:after="120" w:line="276"/>
        <w:jc w:val="both"/>
      </w:pPr>
      <w:r>
        <w:rPr>
          <w:rFonts w:ascii="Barlow Semi Condensed" w:cs="Barlow Semi Condensed" w:eastAsia="Barlow Semi Condensed" w:hAnsi="Barlow Semi Condensed"/>
          <w:sz w:val="24"/>
          <w:szCs w:val="24"/>
        </w:rPr>
        <w:t xml:space="preserve">L'agguato di via Mario Fani, eseguito a Roma la mattina del 16 marzo 1978 poco dopo le 9, è il nodo-evento inaugurale della fase: 90 secondi di fuoco nei quali fu annientata la scorta di Aldo Moro e il presidente fu sequestrato. La scansione del corpus registra il toponimo 262 volte in 37 documenti. Caddero il maresciallo dei carabinieri Oreste Leonardi, capo scorta e ombra di Moro da 15 anni, l'appuntato dei carabinieri Domenico Ricci, alla guida della vettura del presidente, il vicebrigadiere di pubblica sicurezza Francesco Zizzi e le guardie Giulio Rivera e Raffaele Iozzino, sull'auto di scorta; Iozzino fu l'unico che riuscì a scendere e a esplodere colpi contro gli aggressori. Il registro ne trascrive i 5 nomi quale atto dovuto e primo contenuto del nodo.</w:t>
      </w:r>
    </w:p>
    <w:p>
      <w:pPr>
        <w:spacing w:after="120" w:line="276"/>
        <w:jc w:val="both"/>
      </w:pPr>
      <w:r>
        <w:rPr>
          <w:rFonts w:ascii="Barlow Semi Condensed" w:cs="Barlow Semi Condensed" w:eastAsia="Barlow Semi Condensed" w:hAnsi="Barlow Semi Condensed"/>
          <w:sz w:val="24"/>
          <w:szCs w:val="24"/>
        </w:rPr>
        <w:t xml:space="preserve">Il primo pilastro è la dinamica giudizialmente accertata, che il registro certifica al Livello A sul fondamento dei giudicati formatisi nei 5 procedimenti. L'azione fu eseguita da un commando delle Brigate Rosse secondo uno schema di blocco e fuoco incrociato: la vettura civetta che tagliò la strada al corteo all'incrocio con via Stresa, il gruppo di fuoco appostato in uniformi da personale di volo dell'Alitalia lungo la siepe, i ruoli di copertura e di recupero; il presidente fu trasbordato e portato via nel giro di pochi minuti attraverso un percorso di cambi d'auto. I giudicati hanno identificato e condannato in via irrevocabile i componenti del commando e i dirigenti dell'azione, nella composizione che il capitolo successivo espone nominativamente, e hanno ricostruito la pianificazione, i sopralluoghi e la catena di comando interna. Il registro certifica al Livello A la dinamica, la composizione giudicata del commando e la riferibilità dell'azione alla direzione strategica dell'organizzazione, quali contenuti dei giudicati; e registra al medesimo livello il dato quantitativo dell'azione, il volume di fuoco concentrato sulla scorta, rinviando alle tavole armiere di cui il registro dispone il censimento analitico delle armi accertate e dei bossoli repertati, con l'annotazione che la distribuzione dei colpi tra le armi, come accertata dalle perizie, attribuì a una sola arma automatica la maggioranza assoluta dei colpi esplosi: un dato tecnico certificato che ha alimentato, nei decenni, la questione della perizia esecutiva del tiratore principale, la quale, nei limiti in cui eccede il dato peritale, appartiene al piano delle ipotesi.</w:t>
      </w:r>
    </w:p>
    <w:p>
      <w:pPr>
        <w:spacing w:after="120" w:line="276"/>
        <w:jc w:val="both"/>
      </w:pPr>
      <w:r>
        <w:rPr>
          <w:rFonts w:ascii="Barlow Semi Condensed" w:cs="Barlow Semi Condensed" w:eastAsia="Barlow Semi Condensed" w:hAnsi="Barlow Semi Condensed"/>
          <w:sz w:val="24"/>
          <w:szCs w:val="24"/>
        </w:rPr>
        <w:t xml:space="preserve">Il secondo pilastro è il perimetro delle presenze, che il registro tratta con la decomposizione dei piani dichiarata in avvertenza. Il piano primo, quello giudicato, fissa le presenze condannate. Il piano secondo registra le presenze ulteriori accertate ma non appartenenti al commando: tra esse, il registro certifica al Livello A, quale fatto ammesso ed emerso negli anni Novanta, la presenza nelle immediate vicinanze del luogo e dell'ora dell'agguato di un ufficiale del servizio segreto militare, il colonnello Camillo Guglielmi, appartenente alla struttura addestrativa collegata alla rete clandestina certificata nella Fase 2; la spiegazione fornita, un invito a pranzo da un collega residente in zona, in orario mattutino, è agli atti, e la sua congruità è stata oggetto di valutazioni critiche nelle sedi parlamentari. Il registro certifica la presenza quale fatto e mantiene al Livello C ogni attribuzione di significato operativo, dichiarando che questo è il caso di scuola del divieto inferenziale: una presenza anomala certificata non è una partecipazione, e la distanza tra i 2 enunciati può essere colmata soltanto da prove che non esistono. Al medesimo piano appartengono le questioni delle presenze e dei veicoli non identificati discusse nelle perizie e nelle inchieste parlamentari successive, compresa la motocicletta segnalata da testimoni: il registro le censisce quali questioni aperte di Livello C, documentate quanto alla loro esistenza di questioni, non risolte quanto al loro contenuto.</w:t>
      </w:r>
    </w:p>
    <w:p>
      <w:pPr>
        <w:spacing w:after="120" w:line="276"/>
        <w:jc w:val="both"/>
      </w:pPr>
      <w:r>
        <w:rPr>
          <w:rFonts w:ascii="Barlow Semi Condensed" w:cs="Barlow Semi Condensed" w:eastAsia="Barlow Semi Condensed" w:hAnsi="Barlow Semi Condensed"/>
          <w:sz w:val="24"/>
          <w:szCs w:val="24"/>
        </w:rPr>
        <w:t xml:space="preserve">Il terzo pilastro è la qualificazione dell'evento nella serie dell'opera. Via Fani è, per tecnica ed esito, un'operazione militare urbana senza precedenti né repliche nella storia del terrorismo italiano: la combinazione di intelligence preparatoria, sincronizzazione e volume di fuoco la distingue da ogni altra azione della medesima organizzazione, e questa eccezionalità tecnica, certificata al Livello A quale dato comparativo interno alla serie delle azioni giudicate, è stata l'argomento ricorrente delle letture che postulano addestramenti o concorsi esterni; il registro registra l'argomento e lo qualifica: l'eccezionalità è un fatto, l'inferenza dall'eccezionalità al concorso esterno è un'ipotesi di Livello C, che i giudicati hanno escluso di poter elevare, avendo ritenuto l'azione interamente riferibile all'organizzazione, e che le inchieste parlamentari successive hanno riproposto senza poterla consolidare.</w:t>
      </w:r>
    </w:p>
    <w:p>
      <w:pPr>
        <w:spacing w:after="120" w:line="276"/>
        <w:jc w:val="both"/>
      </w:pPr>
      <w:r>
        <w:rPr>
          <w:rFonts w:ascii="Barlow Semi Condensed" w:cs="Barlow Semi Condensed" w:eastAsia="Barlow Semi Condensed" w:hAnsi="Barlow Semi Condensed"/>
          <w:sz w:val="24"/>
          <w:szCs w:val="24"/>
        </w:rPr>
        <w:t xml:space="preserve">Il quarto pilastro è il censimento armiero, che il registro espone quale contenuto tecnico proprio, disponendo di tavole dedicate all'armamento dell'agguato e dell'esecuzione. Le risultanze peritali consolidate nei giudicati fissano il quadro: sul luogo dell'agguato furono repertati 93 bossoli, la cui distribuzione tra le armi attribuì la maggioranza assoluta dei colpi, 49, a una sola mitraglietta FNAB-43, arma automatica di produzione italiana bellica e di provenienza clandestina, affiancata da altre armi lunghe automatiche in parte inceppatesi durante l'azione e dalle armi corte del commando; l'esecuzione del 9 maggio avvenne con la mitraglietta Skorpion munita di silenziatore e con arma corta, e le perizie sul corpo e sulla vettura ne fissarono modalità e colpi. Il registro certifica al Livello A il quadro peritale recepito nei giudicati, ivi compreso il dato della concentrazione del fuoco su una sola arma, e disciplina le 2 questioni che il dato ha alimentato. La prima è la questione della perizia esecutiva: la concentrazione dei colpi in un tiratore principale, unita alla gestione degli inceppamenti altrui, ha fondato la lettura del professionista esterno; il registro la mantiene al Livello C, annotando che i giudicati attribuirono il fuoco ai componenti condannati del commando e che il dato tecnico, di per sé, misura una distribuzione e non una provenienza. La seconda è la questione della provenienza delle armi: gli accertamenti collocarono le armi lunghe in circuiti clandestini di provenienza eterogenea, e il tema della filiera internazionale degli armamenti dell'organizzazione, che il capitolo successivo riprende, trova qui il suo aggancio materiale; il registro certifica al Livello A l'eterogeneità e la clandestinità della provenienza quale dato peritale, e rinvia la filiera al capitolo dell'organizzazione. L'annotazione metodologica chiude il pilastro: il registro tratta il dato balistico secondo il paradigma indiziario della Nota, quale traccia materiale a massimo valore discriminante, e precisamente per questo ne vieta l'uso suggestivo, giacché la traccia discrimina soltanto entro le ipotesi che è tecnicamente idonea a distinguere, e la distribuzione dei colpi non distingue il brigatista addestrato dal professionista esterno, come 4 decenni di perizie hanno confermato.</w:t>
      </w:r>
    </w:p>
    <w:p>
      <w:pPr>
        <w:spacing w:after="120" w:line="276"/>
        <w:jc w:val="both"/>
      </w:pPr>
      <w:r>
        <w:rPr>
          <w:rFonts w:ascii="Barlow Semi Condensed" w:cs="Barlow Semi Condensed" w:eastAsia="Barlow Semi Condensed" w:hAnsi="Barlow Semi Condensed"/>
          <w:sz w:val="24"/>
          <w:szCs w:val="24"/>
        </w:rPr>
        <w:t xml:space="preserve">Il registro annota infine, entro il pilastro, la questione della protezione: gli atti documentano che nella stagione precedente l'agguato la minaccia sulla persona di Moro era segnalata, che la richiesta di dotare il presidente di una vettura blindata era stata avanzata e non soddisfatta, e che la scorta operava con mezzi ordinari e senza equipaggiamento protettivo adeguato al livello della minaccia; il registro certifica al Livello A la sproporzione tra la minaccia segnalata e la protezione accordata, quale fatto documentale ricostruito dalle inchieste, e mantiene al Livello C, in forza del divieto, ogni lettura intenzionale della sproporzione, annotando che essa appartiene alla serie delle inadeguatezze certificate che il piano secondo cumula e che la comparazione con la protezione dei pari grado della stagione rende misurabile.</w:t>
      </w:r>
    </w:p>
    <w:p>
      <w:pPr>
        <w:spacing w:after="120" w:line="276"/>
        <w:jc w:val="both"/>
      </w:pPr>
      <w:r>
        <w:rPr>
          <w:rFonts w:ascii="Barlow Semi Condensed" w:cs="Barlow Semi Condensed" w:eastAsia="Barlow Semi Condensed" w:hAnsi="Barlow Semi Condensed"/>
          <w:sz w:val="24"/>
          <w:szCs w:val="24"/>
        </w:rPr>
        <w:t xml:space="preserve">Il quinto pilastro è il primo vuoto documentale della vicenda, le borse del presidente. Moro viaggiava, la mattina del 16 marzo, con le borse di lavoro contenenti documenti, appunti e materiali, in numero di 5 secondo le ricostruzioni consolidate: nessuna di esse fu rinvenuta sul luogo dell'agguato né mai recuperata, e il loro contenuto non è mai stato accertato, salvo che per le indicazioni frammentarie di fonti interne all'organizzazione sul prelievo e sulla sorte dei materiali. Il registro certifica al Livello A la scomparsa delle borse quale fatto, primo anello della catena dei vuoti documentali che accompagnerà l'intera vicenda, e mantiene al Livello C ogni ricostruzione del loro contenuto e della loro destinazione; l'annotazione è che la vicenda documentale del caso si apre nel suo stesso primo minuto, con la sottrazione contestuale all'agguato dell'archivio portatile della vittima, e che il registro censirà i vuoti successivi quale serie unitaria nella chiusura di fase.</w:t>
      </w:r>
    </w:p>
    <w:p>
      <w:pPr>
        <w:spacing w:after="120" w:line="276"/>
        <w:jc w:val="both"/>
      </w:pPr>
      <w:r>
        <w:rPr>
          <w:rFonts w:ascii="Barlow Semi Condensed" w:cs="Barlow Semi Condensed" w:eastAsia="Barlow Semi Condensed" w:hAnsi="Barlow Semi Condensed"/>
          <w:sz w:val="24"/>
          <w:szCs w:val="24"/>
        </w:rPr>
        <w:t xml:space="preserve">Il sesto pilastro ricostruisce la preparazione dell'azione e i suoi segni premonitori, quali gli accertamenti li hanno consegnati. La pianificazione, per le risultanze processuali, durò mesi: i pedinamenti del percorso quotidiano di Moro, dall'abitazione di via del Forte Trionfale alla chiesa di Santa Chiara, dove il presidente si fermava ogni mattina, sino a Montecitorio, iniziarono nell'autunno del 1977 e fissarono la scelta del punto, l'incrocio tra via Fani e via Stresa, dove il corteo rallentava per lo stop; l'organizzazione acquisì le vetture, tra cui la Fiat 128 bianca con targa del corpo diplomatico contraffatta che avrebbe tagliato la strada, predispose le uniformi dell'Alitalia quale copertura del gruppo di fuoco in attesa, e collaudò la sincronizzazione dei 3 gruppi, il blocco, il fuoco, il recupero. Il registro certifica al Livello A questa ricostruzione, quale contenuto dei giudicati e delle ammissioni riscontrate, e vi aggiunge il segno premonitore materiale che gli atti documentano: nella notte tra il 15 e il 16 marzo, gli pneumatici del furgone del fioraio Antonio Spiriticchio, che stazionava ogni mattina all'angolo dell'incrocio, furono squarciati, sicché l'unico osservatore fisso del punto fu rimosso dalla scena poche ore prima dell'azione; il registro certifica al Livello A il fatto, emerso sin dalle prime indagini, e lo qualifica quale indice della qualità professionale della preparazione, un dettaglio di bonifica preventiva del campo che le perizie comparate hanno registrato tra gli elementi distintivi dell'operazione. Alla medesima serie appartiene il dato, già annotato, della sproporzione tra la minaccia segnalata e la protezione accordata: il registro vi aggiunge la specificazione documentale che le armi lunghe in dotazione alla scorta, 2 mitra, viaggiavano custodite nel bagagliaio dell'Alfetta di scorta, secondo la prassi dell'epoca, e furono perciò inutilizzabili nei 90 secondi dell'azione; la circostanza, certificata al Livello A dagli atti, misura la distanza tra la minaccia effettiva e l'assetto difensivo, e appartiene alla serie delle inadeguatezze strutturali che il piano secondo cumula.</w:t>
      </w:r>
    </w:p>
    <w:p>
      <w:pPr>
        <w:spacing w:after="120" w:line="276"/>
        <w:jc w:val="both"/>
      </w:pPr>
      <w:r>
        <w:rPr>
          <w:rFonts w:ascii="Barlow Semi Condensed" w:cs="Barlow Semi Condensed" w:eastAsia="Barlow Semi Condensed" w:hAnsi="Barlow Semi Condensed"/>
          <w:sz w:val="24"/>
          <w:szCs w:val="24"/>
        </w:rPr>
        <w:t xml:space="preserve">Il settimo pilastro censisce la scena, i testimoni e le code materiali dell'azione. La testimonianza più discussa è quella dell'ingegner Alessandro Marini, che sopraggiunse in motorino sul luogo nei secondi dell'azione e riferì della presenza di una motocicletta Honda di grossa cilindrata con 2 uomini a bordo, 1 dei quali avrebbe esploso colpi verso di lui, infrangendo il parabrezza del motorino: la motocicletta non è mai stata identificata, la sua funzione non è mai stata chiarita, e le versioni del testimone hanno conosciuto oscillazioni nel tempo, sino alle revisioni tarde; il registro certifica al Livello A l'esistenza e il contenuto originario della testimonianza, quale atto documentale coevo, mantiene al Livello C l'identificazione e la funzione del mezzo, e registra la questione della motocicletta quale la più longeva delle code aperte della scena, oggetto di accertamenti sino all'ultima Commissione. La seconda coda materiale è la sorte delle vetture della fuga: le auto utilizzate dal commando furono rinvenute in via Licinio Calvo, una traversa a breve distanza dal luogo dell'agguato, in 3 riprese successive scaglionate tra il 16 marzo e il 13 aprile, con i rinvenimenti tardivi avvenuti in una strada già battuta dalle ricerche; il registro certifica al Livello A la sequenza dei rinvenimenti, quale dato di verbale, e censisce al Livello C le sue letture, dalla spola dei sequestratori sotto il dispositivo di ricerca alla ricollocazione tardiva dei mezzi, annotando che la sequenza appartiene, quale che ne sia la spiegazione, alla serie delle anomalie certificate della fase. La terza coda è l'esercizio commerciale all'angolo, il bar dell'incrocio, chiuso quella mattina, la cui titolarità e le cui frequentazioni sono state oggetto degli approfondimenti dell'ultima Commissione, con acquisizioni sulle cointeressenze della gestione che il registro recepisce al Livello B quanto ai fatti documentali e al Livello C quanto a ogni lettura funzionale, entro la disciplina già dichiarata per la zona di convergenza.</w:t>
      </w:r>
    </w:p>
    <w:p>
      <w:pPr>
        <w:spacing w:after="120" w:line="276"/>
        <w:jc w:val="both"/>
      </w:pPr>
      <w:r>
        <w:rPr>
          <w:rFonts w:ascii="Barlow Semi Condensed" w:cs="Barlow Semi Condensed" w:eastAsia="Barlow Semi Condensed" w:hAnsi="Barlow Semi Condensed"/>
          <w:sz w:val="24"/>
          <w:szCs w:val="24"/>
        </w:rPr>
        <w:t xml:space="preserve">L'ottavo pilastro completa il censimento armiero con i dati di contesto che le tavole del registro consegnano. La mitraglietta FNAB-43, l'arma cui le perizie attribuiscono 49 dei 93 colpi, è un'arma automatica italiana prodotta in serie limitata negli anni 1943-1944, circolante nei decenni successivi nei soli canali clandestini dei residuati e dei traffici: la sua presenza in via Fani, accanto ad altre armi automatiche di provenienza eterogenea, parte delle quali si inceppò durante l'azione, è certificata al Livello A dalle perizie, e la composizione dell'arsenale, armi datate, di provenienza irregolare, con difettosità manifestatesi nell'uso, è stata valorizzata nei giudizi quale indice della natura artigianale della logistica dell'organizzazione, in contrasto con la professionalità della pianificazione: il registro certifica al Livello A questa duplicità documentata, l'eccellenza tattica e la precarietà logistica, e la consegna quale dato alla competizione tra le ipotesi, annotando che essa è stata invocata da entrambe le letture, quale prova di autosufficienza dall'una e quale firma di un apporto esterno selettivo dall'altra, e che il dato, in sé, non discrimina. Le perizie disposte dall'ultima Commissione, con le tecniche di analisi contemporanee, hanno rimodulato la ricostruzione delle posizioni di tiro e della distribuzione dei colpi senza modificare le attribuzioni giudicate: il registro certifica al Livello A l'esito confermativo, quale dato peritale, e chiude il pilastro con la regola già enunciata, per cui la traccia balistica discrimina soltanto entro le ipotesi che è tecnicamente idonea a distinguere.</w:t>
      </w:r>
    </w:p>
    <w:p>
      <w:pPr>
        <w:spacing w:after="120" w:line="276"/>
        <w:jc w:val="both"/>
      </w:pPr>
      <w:r>
        <w:rPr>
          <w:rFonts w:ascii="Barlow Semi Condensed" w:cs="Barlow Semi Condensed" w:eastAsia="Barlow Semi Condensed" w:hAnsi="Barlow Semi Condensed"/>
          <w:sz w:val="24"/>
          <w:szCs w:val="24"/>
        </w:rPr>
        <w:t xml:space="preserve">Il nono pilastro restituisce i profili degli uomini della scorta, quale atto dovuto che la disciplina delle vittime impone e quale dato analitico sulla struttura della protezione. Il maresciallo Oreste Leonardi, capo della scorta, era al fianco di Moro da oltre 15 anni: non un assegnato di turno ma l'uomo di fiducia della famiglia, il custode delle abitudini e degli itinerari, la memoria vivente del dispositivo; l'appuntato Domenico Ricci, alla guida della berlina presidenziale, era l'autista personale di Moro da quasi 2 decenni, selezionato per perizia di guida e riservatezza; il vicebrigadiere di pubblica sicurezza Francesco Zizzi, capo equipaggio dell'auto di scorta, era al primo giorno di servizio in quella specifica assegnazione, la circostanza più citata della composizione di quella mattina; gli agenti Giulio Rivera, alla guida dell'Alfetta, e Raffaele Iozzino completavano l'equipaggio, e Iozzino fu, per le risultanze, l'unico che riuscì a scendere dal veicolo e a esplodere colpi con l'arma d'ordinanza prima di essere abbattuto. Il registro certifica al Livello A i profili e le circostanze, quali dati degli atti, e ne trae 2 annotazioni analitiche: la prima è che l'eliminazione di Leonardi e Ricci comportò la distruzione, nel primo minuto, della memoria operativa del dispositivo di protezione, gli unici 2 uomini che conoscevano integralmente consuetudini, percorsi e relazioni del protetto, una perdita informativa che gravò sulle indagini immediate; la seconda è che la composizione mista dell'equipaggio, carabinieri storici e agenti di pubblica sicurezza di recente o recentissima assegnazione, riflette l'assenza di una dottrina unitaria della protezione personale nell'Italia del 1978, un dato di sistema che la legislazione successiva avrebbe corretto e che il registro certifica quale contesto, non quale addebito.</w:t>
      </w:r>
    </w:p>
    <w:p>
      <w:pPr>
        <w:spacing w:after="120" w:line="276"/>
        <w:jc w:val="both"/>
      </w:pPr>
      <w:r>
        <w:rPr>
          <w:rFonts w:ascii="Barlow Semi Condensed" w:cs="Barlow Semi Condensed" w:eastAsia="Barlow Semi Condensed" w:hAnsi="Barlow Semi Condensed"/>
          <w:sz w:val="24"/>
          <w:szCs w:val="24"/>
        </w:rPr>
        <w:t xml:space="preserve">Il decimo pilastro registra la giornata del 16 marzo nel Paese, il contesto immediato della reazione. Nelle ore successive all'agguato, mentre scattava il dispositivo di ricerca, le confederazioni sindacali proclamarono lo sciopero generale e le piazze delle città maggiori si riempirono di manifestazioni unitarie; il Parlamento, convocato per il dibattito sulla fiducia al nuovo governo, votò la fiducia in giornata, con una accelerazione procedurale senza precedenti e con il discorso volutamente asciutto del presidente del Consiglio Andreotti, che chiese e ottenne il voto quale risposta istituzionale all'attacco; la maggioranza della non sfiducia divenne, nel fuoco dell'emergenza, maggioranza politica effettiva, e il governo che Moro aveva costruito nacque, per paradosso certificato dalla cronologia, nel giorno e per effetto del suo sequestro. Il registro certifica al Livello A la sequenza della giornata, quale materia documentale, e ne dichiara il rilievo per la competizione tra le ipotesi: l'effetto politico immediato dell'azione fu il consolidamento, non la rottura, della formula della solidarietà nazionale, un esito che la letteratura ha valorizzato in direzioni opposte, quale prova del fallimento politico dell'organizzazione ovvero quale primo tempo di una strategia di logoramento che avrebbe prodotto i suoi effetti disgregativi nei mesi successivi; il registro certifica l'effetto e data la sua inversione, giacché la formula di governo nata il 16 marzo 1978 si esaurì entro il gennaio 1979, quando il Partito comunista uscì dalla maggioranza, e la stagione della solidarietà nazionale si chiuse per sempre a 8 mesi dal ritrovamento di via Caetani: la sequenza sequestro-consolidamento-dissoluzione è il dato temporale certificato che ogni lettura del piano terzo deve spiegare.</w:t>
      </w:r>
    </w:p>
    <w:p>
      <w:pPr>
        <w:spacing w:after="120" w:line="276"/>
        <w:jc w:val="both"/>
      </w:pPr>
      <w:r>
        <w:rPr>
          <w:rFonts w:ascii="Barlow Semi Condensed" w:cs="Barlow Semi Condensed" w:eastAsia="Barlow Semi Condensed" w:hAnsi="Barlow Semi Condensed"/>
          <w:sz w:val="24"/>
          <w:szCs w:val="24"/>
        </w:rPr>
        <w:t xml:space="preserve">L'undicesimo pilastro censisce gli atti immediati dell'inchiesta e il dato del percorso. La direzione delle indagini fu assunta dalla procura di Roma con il coordinamento investigativo dei reparti territoriali e, dalla sera stessa, con l'attivazione dei comitati che il capitolo della gestione censisce; i rilievi sulla scena, condotti nelle condizioni di affollamento e concitazione che gli atti documentano, con la presenza simultanea di autorità, operatori e stampa sul perimetro non ancora integralmente delimitato, consegnarono il quadro dei bossoli, dei veicoli e delle tracce su cui le perizie di ogni stagione successiva hanno lavorato; il registro certifica al Livello A le condizioni documentate dei primi rilievi, quale dato degli atti e delle immagini coeve, e le registra tra i fattori che hanno reso necessarie le reiterate perizie integrative dei decenni seguenti. Al medesimo pilastro appartiene il dato strutturale della prevedibilità: gli accertamenti hanno documentato che il percorso mattutino del presidente non veniva variato, che la sosta quotidiana nella chiesa di Santa Chiara era abitudine nota e che la sequenza degli itinerari era, per un osservatore sistematico, integralmente ricostruibile; il registro certifica al Livello A la fissità documentata del percorso, la condizione che rese possibile la pianificazione censita nel sesto pilastro, e la registra, accanto alla mancata blindatura e alla custodia delle armi lunghe nel bagagliaio, quale terzo elemento della serie delle vulnerabilità strutturali certificate, la cui composizione descrive un obiettivo di massimo valore protetto secondo procedure ordinarie: il differenziale tra il valore e la protezione è il dato che il registro consegna, quale fatto, a ogni piano della decomposizione.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composizione giudicata del nucleo operativo e le sue code aperte. I giudicati hanno fissato in 9 i componenti accertati dell'azione di via Fani, distribuiti tra il blocco stradale, il gruppo di fuoco lungo la siepe, la copertura ai margini dell'incrocio e il recupero del prigioniero, con Moretti alla guida della vettura che tagliò la strada al corteo; la composizione emerse per stratificazioni successive, dalle prime identificazioni sino alle versioni interne del 1990, e 2 posizioni presentano la peculiarità che il registro trascrive: Alessio Casimirri, condannato in via definitiva per la partecipazione all'azione, riparò in Nicaragua, dove ha vissuto da allora senza che alcuna richiesta di estradizione sia mai giunta a esecuzione, e Alvaro Lojacono, parimenti condannato, si sottrasse all'esecuzione della pena avvalendosi della cittadinanza svizzera e dell'ordinamento elvetico; il registro certifica al Livello A le condanne, le latitanze e la loro perpetuità, quali dati processuali e di fatto, e ne dichiara il rilievo: i 2 uomini di via Fani mai raggiunti dall'esecuzione penale sono, per la letteratura del piano terzo, i 2 testimoni potenziali mai escussi in condizioni di libertà negoziale, e la geografia delle loro protezioni, l'America centrale sandinista per l'uno e la neutralità elvetica per l'altro, è un dato censito del Pattern 10 che la fase consegna, con gli altri fili internazionali, alla ricognizione conclusiva.</w:t>
      </w:r>
    </w:p>
    <w:p>
      <w:pPr>
        <w:spacing w:after="120" w:line="276"/>
        <w:jc w:val="both"/>
      </w:pPr>
      <w:r>
        <w:rPr>
          <w:rFonts w:ascii="Barlow Semi Condensed" w:cs="Barlow Semi Condensed" w:eastAsia="Barlow Semi Condensed" w:hAnsi="Barlow Semi Condensed"/>
          <w:sz w:val="24"/>
          <w:szCs w:val="24"/>
        </w:rPr>
        <w:t xml:space="preserve">Il tredicesimo pilastro registra il dato delle munizioni, il reperto tecnico minore che le perizie consegnano. Le analisi sui bossoli di via Fani accertarono che parte delle cartucce impiegate era stata ricaricata artigianalmente, con la sostituzione manuale di componenti su bossoli già esplosi, una pratica di economia di guerra tipica degli arsenali clandestini e incompatibile con un approvvigionamento di canale statale o industriale; il registro certifica al Livello A il dato peritale e ne dichiara la funzione nella competizione tra le ipotesi: la ricarica artigianale appartiene alla medesima serie della precarietà logistica censita nell'ottavo pilastro, le armi datate e gli inceppamenti, e costituisce uno degli elementi tecnici che la lettura dell'autosufficienza dell'organizzazione valorizza con maggiore fondamento, giacché un concorso esterno qualificato avrebbe reso superflua, per definizione, l'economia del bossolo ricaricato; il registro annota che il dato, come ogni elemento tecnico della scena, non chiude la questione ma la vincola, escludendo le varianti dell'ipotesi di concorso che postulano una fornitura esterna integrale e lasciando in piedi le sole varianti selettive, e che questa capacità di potatura delle ipotesi, propria dei reperti materiali, è la ragione del rilievo che il metodo dell'opera assegna alla balistica quale disciplina ausiliaria della storia.</w:t>
      </w:r>
    </w:p>
    <w:p>
      <w:pPr>
        <w:spacing w:after="120" w:line="276"/>
        <w:jc w:val="both"/>
      </w:pPr>
      <w:r>
        <w:rPr>
          <w:rFonts w:ascii="Barlow Semi Condensed" w:cs="Barlow Semi Condensed" w:eastAsia="Barlow Semi Condensed" w:hAnsi="Barlow Semi Condensed"/>
          <w:sz w:val="24"/>
          <w:szCs w:val="24"/>
        </w:rPr>
        <w:t xml:space="preserve">Il quattordicesimo pilastro censisce i veicoli del corteo e la questione della blindatura, il dato materiale della protezione. Il corteo del 16 marzo era composto dalla berlina Fiat 130 blu, con Moro sul sedile posteriore, Ricci alla guida e Leonardi al suo fianco, e dall'Alfetta bianca di scorta con Zizzi, Rivera e Iozzino: 2 vetture di serie, prive di qualsiasi protezione balistica, i cui cristalli e le cui lamiere non opposero resistenza alcuna al fuoco del commando, secondo quanto le perizie documentarono; e gli atti delle Commissioni hanno accertato che la questione della vettura blindata era stata posta prima dei fatti, con le segnalazioni del maresciallo Leonardi sull'accresciuto rischio e sulle esigenze del dispositivo, senza che l'assegnazione fosse mai disposta, nel quadro di una dotazione nazionale di veicoli protetti allora esigua e riservata a un novero ristretto di cariche. Il registro certifica al Livello A la composizione del corteo, l'assenza di protezione balistica e l'esistenza delle segnalazioni inevase, quali dati documentali, e compone il pilastro con la serie già certificata: la mancata blindatura si aggiunge alla custodia delle armi lunghe nel bagagliaio e alla fissità del percorso quale terzo termine della configurazione di vulnerabilità che il registro ha fissato, e il quadro complessivo, un obiettivo la cui esposizione era stata segnalata dal suo stesso dispositivo di protezione e la cui protezione non fu adeguata, è certificato quale fatto amministrativo documentato; il registro annota che la spiegazione ordinaria, la scarsità delle risorse e l'ordinarietà delle procedure di un'epoca che non aveva ancora conosciuto l'attacco a un presidente di partito, è documentata e sufficiente, che la lettura del piano terzo vi ha storicamente innestato l'ipotesi della predisposizione, priva di ogni elemento, e che la distanza tra le 2 letture del medesimo fatto amministrativo è, ancora una volta, l'esatta materia su cui il metodo dell'opera esercita la propria disciplina.</w:t>
      </w:r>
    </w:p>
    <w:p>
      <w:pPr>
        <w:spacing w:after="120" w:line="276"/>
        <w:jc w:val="both"/>
      </w:pPr>
      <w:r>
        <w:rPr>
          <w:rFonts w:ascii="Barlow Semi Condensed" w:cs="Barlow Semi Condensed" w:eastAsia="Barlow Semi Condensed" w:hAnsi="Barlow Semi Condensed"/>
          <w:sz w:val="24"/>
          <w:szCs w:val="24"/>
        </w:rPr>
        <w:t xml:space="preserve">Il quindicesimo pilastro censisce le perizie dell'ultima stagione sulla scena di via Fani. La Commissione della XVII legislatura dispose accertamenti tecnici integrativi sull'agguato, con la rilettura dei rilievi originari mediante gli strumenti contemporanei, la ricostruzione tridimensionale della scena, la revisione della distribuzione dei colpi tra le armi e dei punti di sparo, e l'esame dei reperti superstiti; gli esiti, documentati negli atti, confermarono l'impianto giudicato della dinamica, il blocco, il fuoco concentrato sui 2 veicoli, il prelevamento, precisando la distribuzione dei colpi tra le armi del commando rispetto alle sintesi delle prime perizie e sciogliendo alcune delle questioni tecniche che la letteratura aveva accumulato, senza introdurre elementi incompatibili con la ricostruzione processuale; il registro certifica al Livello A l'esistenza, gli strumenti e l'esito confermativo degli accertamenti, quali dati degli atti parlamentari, e ne trae la formalizzazione che vale per l'intera fase: la scena di via Fani, come quella di via Caetani, è stata sottoposta a revisione tecnica integrale a distanza di quasi 4 decenni con tecnologie non disponibili all'epoca, e la revisione ha restituito il nucleo giudicato, un esito che il registro trascrive quale certificazione di stabilità del piano primo, la più solida che il metodo conosca, giacché una ricostruzione che sopravvive al progresso degli strumenti ha superato la prova più severa cui una ricostruzione possa essere sottoposta; le code tecniche residue, censite nei pilastri della scena, restano censite, e il registro ribadisce per esse la regola già fissata, che la loro eventuale soluzione dovrà venire da fonti nuove e non da nuove letture del già noto.</w:t>
      </w:r>
    </w:p>
    <w:p>
      <w:pPr>
        <w:spacing w:after="120" w:line="276"/>
        <w:jc w:val="both"/>
      </w:pPr>
      <w:r>
        <w:rPr>
          <w:rFonts w:ascii="Barlow Semi Condensed" w:cs="Barlow Semi Condensed" w:eastAsia="Barlow Semi Condensed" w:hAnsi="Barlow Semi Condensed"/>
          <w:sz w:val="24"/>
          <w:szCs w:val="24"/>
        </w:rPr>
        <w:t xml:space="preserve">Il sedicesimo pilastro censisce la geografia dell'agguato, l'applicazione del Pattern 10 alla scena iniziale. L'incrocio tra via Mario Fani e via Stresa, nel quartiere residenziale della Camilluccia, apparteneva al tratto obbligato del percorso mattutino, a poche centinaia di metri dall'abitazione di via del Forte Trionfale e in prossimità della chiesa di Santa Chiara, la sosta quotidiana censita; la scelta del punto rispose, per le ricostruzioni giudicate, a criteri tecnici precisi: la discesa che rallentava i veicoli in avvicinamento all'incrocio, lo stop che imponeva l'arresto, la conformazione della strada che consentiva il posizionamento del gruppo di fuoco lungo la siepe del bar d'angolo e il blocco frontale con la vettura di traverso, e la molteplicità delle vie di deflusso verso la rete stradale collinare; il registro certifica al Livello A la topografia e i criteri della scelta, quali risultanze processuali, e ne trae le annotazioni del pattern. La prima è tattica: l'agguato fu costruito sul punto in cui la geografia stessa lavorava per l'attaccante, la pendenza, lo stop, la siepe, e la qualità della lettura del terreno documentata dalla scelta appartiene al quadro delle competenze militari dell'organizzazione che il dibattito sul concorso ha variamente pesato. La seconda è strutturale: l'intera vicenda romana del caso si svolse entro un perimetro urbano sorprendentemente compatto, l'agguato alla Camilluccia, le basi di via Gradoli e di via Montalcini sui quadranti nord e sud, l'epilogo nel centro storico, e la mappa complessiva, che il registro consegna al Pattern 10 dell'opera, documenta un'organizzazione capace di operare per 55 giorni dentro la capitale presidiata, spostando il prigioniero una sola volta, la mattina del prelevamento, e vivendo per il resto della crisi nella immobilità totale che la compartimentazione consentiva: la geografia del caso Moro è la geografia di un assedio rovesciato, nel quale l'assediato invisibile stava al centro e l'assediante impotente occupava tutto il resto della città.</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Fani-commando-direzione strategica, è il triangolo del piano primo, certificato al Livello A dai giudicati. La seconda, via Fani-presenze ulteriori-colonnello Guglielmi, è il triangolo del piano secondo, certificato al Livello A quanto alla presenza e fermo al Livello C quanto al significato. La terza, via Fani-eccezionalità tecnica-ipotesi di concorso, è il triangolo del piano terzo, integralmente di Livello C. Sul piano dei pattern, il nodo attiva il Pattern 10 nella scala minima: l'incrocio di via Fani con via Stresa, la chiesa, il bar all'angolo divenuto oggetto di approfondimenti parlamentari per la ricostruzione delle frequentazioni della zona, compongono la zona di convergenza spaziale più analizzata della storia giudiziaria italiana, sulla quale il registro mantiene la distinzione tra le frequentazioni documentate e i significati congetturati.</w:t>
      </w:r>
    </w:p>
    <w:p>
      <w:pPr>
        <w:spacing w:after="120" w:line="276"/>
        <w:jc w:val="both"/>
      </w:pPr>
      <w:r>
        <w:rPr>
          <w:rFonts w:ascii="Barlow Semi Condensed" w:cs="Barlow Semi Condensed" w:eastAsia="Barlow Semi Condensed" w:hAnsi="Barlow Semi Condensed"/>
          <w:sz w:val="24"/>
          <w:szCs w:val="24"/>
        </w:rPr>
        <w:t xml:space="preserve">Alla dinamica certificata il registro aggiunge la sua misura temporale, che le perizie e le testimonianze consegnano con approssimazione minima: l'azione si aprì alle 9:02 del mattino e si consumò in un arco stimato attorno ai 3 minuti, dal blocco della colonna all'allontanamento dei veicoli del commando con il prigioniero, Livello A quanto alla collocazione oraria ed alla durata stimata negli atti. Il dato temporale non è ornamento cronachistico ma reperto tecnico di prima grandezza: 3 minuti per neutralizzare 5 uomini armati, prelevare illeso l'obiettivo e disimpegnarsi nel traffico mattutino di un quartiere residenziale misurano un livello di pianificazione, sincronizzazione ed addestramento che le sentenze avrebbero assunto quale indice della lunga preparazione dell'agguato, con i sopralluoghi, le esercitazioni ed il pedinamento sistematico del percorso che l'istruttoria documentò, Livello A nei limiti dei giudicati. Il registro consegna la misura alla sua funzione comparativa: nella serie storica delle azioni brigatiste, via Fani rappresenta il massimo assoluto di complessità esecutiva riuscita, un salto di qualità che i processi attribuirono alla concentrazione in un solo punto delle migliori risorse operative dell'organizzazione, e che il piano terzo del capitolo 10 registrerà quale uno dei fatti-base attorno ai quali le ipotesi di concorso ulteriore si sono addensate, senza mai convertire, per il registro, l'eccellenza esecutiva in prova di mano esterna: l'abilità non è un indizio, è una constatazione.</w:t>
      </w:r>
    </w:p>
    <w:p>
      <w:pPr>
        <w:spacing w:after="120" w:line="276"/>
        <w:jc w:val="both"/>
      </w:pPr>
      <w:r>
        <w:rPr>
          <w:rFonts w:ascii="Barlow Semi Condensed" w:cs="Barlow Semi Condensed" w:eastAsia="Barlow Semi Condensed" w:hAnsi="Barlow Semi Condensed"/>
          <w:sz w:val="24"/>
          <w:szCs w:val="24"/>
        </w:rPr>
        <w:t xml:space="preserve">Ai 5 nomi trascritti il registro deve infine la persistenza: il luogo dell'eccidio è divenuto, nei decenni, uno spazio memoriale presidiato, con il cippo che reca i nomi di Oreste Leonardi, Domenico Ricci, Francesco Zizzi, Giulio Rivera e Raffaele Iozzino e la commemorazione che ogni 16 marzo vi si rinnova alla presenza delle istituzioni, mentre le famiglie dei caduti hanno mantenuto, attraverso le associazioni della memoria delle vittime del terrorismo, una presenza costante nei processi e nelle sedi parlamentari, costituendosi custodi di un punto che il registro fa proprio: la vicenda giudiziaria e storiografica del caso, con le sue vertigini interpretative, non può retrocedere i 5 uomini della scorta a comparse del dramma altrui, Livello A quanto alla persistenza memoriale documentata. Nella grammatica del registro essi sono vittime primarie alla pari, ed ogni economia narrativa che li comprima è una distorsione del reperto: via Fani fu, prima che l'inizio di un sequestro, il massacro di 5 servitori dello Stato, e l'ordine delle parole, insegna il metodo, è già un giudizio.</w:t>
      </w:r>
    </w:p>
    <w:p>
      <w:pPr>
        <w:spacing w:after="120" w:line="276"/>
        <w:jc w:val="both"/>
      </w:pPr>
      <w:r>
        <w:rPr>
          <w:rFonts w:ascii="Barlow Semi Condensed" w:cs="Barlow Semi Condensed" w:eastAsia="Barlow Semi Condensed" w:hAnsi="Barlow Semi Condensed"/>
          <w:sz w:val="24"/>
          <w:szCs w:val="24"/>
        </w:rPr>
        <w:t xml:space="preserve">Alla dinamica appartiene una posizione testimoniale che il registro censisce con la disciplina delle fonti oscillanti: quella dell'ingegnere che, a bordo del proprio motorino, sopraggiunse sulla scena nei secondi dell'azione e riferì della presenza di una motocicletta Honda con 2 uomini a bordo, dal cui passeggero sarebbero partiti colpi che attinsero il parabrezza del suo mezzo. La materialità del danneggiamento fu riscontrata, la presenza della moto trovò conferme parziali in altre testimonianze, ma la collocazione del mezzo dentro o fuori il perimetro del commando giudicato non fu mai risolta: i dissociati la negarono, i giudicati non la incorporarono, le dichiarazioni del teste conobbero nel tempo oscillazioni che le sedi d'inchiesta hanno verbalizzato, e la Commissione della XVII legislatura vi è tornata con nuovi accertamenti senza approdare a certificazione, Livello A quanto al danneggiamento riscontrato ed alle testimonianze quali fatti processuali, Livello C quanto ad ogni collocazione della moto nell'organigramma dell'azione. Il registro assume l'episodio quale esemplare della categoria che governa l'intero piano secondo: il fatto certificato senza spiegazione certificata, il reperto che non entra nel quadro giudicato e non ne esce, e che la disciplina impone di custodire in questo stato di sospensione dichiarata, senza la promozione a prova della presenza estranea che una parte della pubblicistica ne ha tratto e senza la degradazione a abbaglio che la lettura opposta preferirebbe: la moto Honda resta agli atti come vi restò il parabrezza, colpita e irrisolta.</w:t>
      </w:r>
    </w:p>
    <w:p>
      <w:pPr>
        <w:spacing w:after="120" w:line="276"/>
        <w:jc w:val="both"/>
      </w:pPr>
      <w:r>
        <w:rPr>
          <w:rFonts w:ascii="Barlow Semi Condensed" w:cs="Barlow Semi Condensed" w:eastAsia="Barlow Semi Condensed" w:hAnsi="Barlow Semi Condensed"/>
          <w:sz w:val="24"/>
          <w:szCs w:val="24"/>
        </w:rPr>
        <w:t xml:space="preserve">Alla contabilità della scena appartiene infine il reperto delle borse, che il registro fissa nella sua doppia componente: il presidente recava con sé, quella mattina, secondo le ricostruzioni convergenti dei collaboratori, 5 borse contenenti carte di lavoro, documenti riservati ed effetti personali, ed all'esito dell'agguato soltanto una parte di esse risultò rinvenuta sulle vetture, mentre le restanti, asportate dal commando con il prigioniero, non furono mai ritrovate né risultano tra i materiali dei covi successivamente scoperti, Livello A quanto alla presenza riferita ed al mancato ritrovamento, Livello B quanto all'esatto contenuto di ciascuna, noto solo per testimonianza. Il reperto inaugura la serie che attraversa l'intero caso e che il registro ha già incontrato sul memoriale: la catena delle carte mancanti, che da via Fani a via Monte Nevoso disegna una costante documentale senza eguali nella storia giudiziaria della Repubblica, il caso in cui ad ogni snodo la componente cartacea risulta sistematicamente più incompleta della componente umana. Gli uomini furono giudicati, le carte no: e questa asimmetria, che il piano secondo censisce quale suo filo conduttore, comincia esattamente qui, tra le lamiere di via Fani, con le borse che salirono su un'auto del commando ed uscirono, per sempre, dal perimetro dell'accertabile.</w:t>
      </w:r>
    </w:p>
    <w:p>
      <w:pPr>
        <w:spacing w:after="120" w:line="276"/>
        <w:jc w:val="both"/>
      </w:pPr>
      <w:r>
        <w:rPr>
          <w:rFonts w:ascii="Barlow Semi Condensed" w:cs="Barlow Semi Condensed" w:eastAsia="Barlow Semi Condensed" w:hAnsi="Barlow Semi Condensed"/>
          <w:sz w:val="24"/>
          <w:szCs w:val="24"/>
        </w:rPr>
        <w:t xml:space="preserve">Alla fisica dei primi minuti appartiene infine l'assenza che il registro censisce quale dato operativo autonomo: nessun mezzo aereo si levò sulla città nella prima ora, e la fuga del commando attraverso il reticolo urbano si svolse senza alcuna osservazione dall'alto, con i varchi di deflusso mai battuti in tempo utile, Livello A quanto al quadro operativo risultante dagli atti delle inchieste amministrative e parlamentari. Il registro consegna l'assenza alla sua misura: nel 1978 la capitale della Repubblica non disponeva di un protocollo di reazione immediata che integrasse la terza dimensione, e la circostanza che il più imponente apparato di sicurezza dell'Europa meridionale inseguisse al suolo, per radio e posti di blocco, un commando che si dissolse in 15 minuti, appartiene alla stessa contabilità del ritardo strutturale che il capitolo ha censito nella scorta disarmata rispetto alla minaccia: lo Stato del marzo 1978 era dimensionato sulla criminalità del decennio precedente, e l'agguato di via Fani fu anche, sul piano tecnico, l'incontro tra una guerriglia di terza generazione ed un ordine pubblico di seconda.</w:t>
      </w:r>
    </w:p>
    <w:p>
      <w:pPr>
        <w:spacing w:after="120" w:line="276"/>
        <w:jc w:val="both"/>
      </w:pPr>
      <w:r>
        <w:rPr>
          <w:rFonts w:ascii="Barlow Semi Condensed" w:cs="Barlow Semi Condensed" w:eastAsia="Barlow Semi Condensed" w:hAnsi="Barlow Semi Condensed"/>
          <w:sz w:val="24"/>
          <w:szCs w:val="24"/>
        </w:rPr>
        <w:t xml:space="preserve">Il fascicolo testimoniale dell'incrocio contiene infine il suo caso di scuola minore, che il registro censisce per il valore di metodo: sull'esercizio commerciale d'angolo affacciato sulla scena, il bar della via, gli atti registrano versioni divergenti e mai composte circa la sua stessa operatività in quella mattina, con dichiarazioni contrastanti sull'apertura, sulla presenza di avventori e su ciò che dall'interno si sarebbe potuto vedere, divergenza che le sedi d'inchiesta hanno documentato senza poterla sciogliere, Livello A quanto all'esistenza del contrasto testimoniale agli atti, Livello C quanto ad ogni ricostruzione che dal contrasto pretenda di inferire presenze, osservatori o funzioni della scena. Il registro consegna il micro-caso alla sua funzione epistemologica: a differenza dei reperti balistici e documentali che il capitolo ha censito, qui l'oggetto del contendere non è un fatto ma la cornice di un fatto, se un punto di osservazione fosse attivo, e l'incapacità quarantennale di stabilire una circostanza tanto elementare in una via di città alle 9 di mattina è la dimostrazione più economica che il corpus possieda di una legge che governa l'intera opera: la memoria testimoniale non è un archivio che si consulta ma un terreno che frana, e ogni ricostruzione che poggi su di essa sola, senza l'ancoraggio dei reperti, costruisce sull'orlo della frana, ragione per cui il metodo ha riservato alle testimonianze non riscontrate, per quanto suggestive, il livello più basso della propria scala e l'ultima parola a nessuna di esse.</w:t>
      </w:r>
    </w:p>
    <w:p>
      <w:pPr>
        <w:spacing w:after="120" w:line="276"/>
        <w:jc w:val="both"/>
      </w:pPr>
      <w:r>
        <w:rPr>
          <w:rFonts w:ascii="Barlow Semi Condensed" w:cs="Barlow Semi Condensed" w:eastAsia="Barlow Semi Condensed" w:hAnsi="Barlow Semi Condensed"/>
          <w:sz w:val="24"/>
          <w:szCs w:val="24"/>
        </w:rPr>
        <w:t xml:space="preserve">La preparazione della scorta esige il suo censimento negativo, che il registro riporta dagli accertamenti parlamentari: nessuno dei 5 uomini aveva ricevuto addestramento specifico di guida evasiva o di reazione ad imboscata, secondo gli standard che le unità di protezione estere andavano adottando dopo la stagione tedesca, né il servizio di protezione italiano dell'epoca prevedeva cicli addestrativi dedicati per le scorte dei politici, Livello A quanto al quadro formativo risultante dalle inchieste. Il registro salda il dato alla serie che il capitolo ha costruito: la blindata negata, l'assenza di copertura aerea, la scorta priva di addestramento anti-imboscata compongono il ritratto coerente di un sistema di protezione concepito contro la minaccia del decennio precedente, l'attentato individuale e il rapimento criminale, e mai aggiornato alla guerriglia urbana che il 1977 europeo aveva già dimostrato, sicché il giudizio tecnico complessivo che gli atti autorizzano non riguarda gli uomini, che fecero ciò che potevano nei 15 secondi che ebbero, ma l'istituzione che li mandò, per anni, a proteggere il bersaglio più politico d'Italia con la dottrina di un servizio d'onore, e la distanza tra i 90 colpi del commando ed i 2 colpi esplosi dalla scorta è la misura balistica di quel ritardo dottrinale, non del valore dei caduti.</w:t>
      </w:r>
    </w:p>
    <w:p>
      <w:pPr>
        <w:spacing w:after="120" w:line="276"/>
        <w:jc w:val="both"/>
      </w:pPr>
      <w:r>
        <w:rPr>
          <w:rFonts w:ascii="Barlow Semi Condensed" w:cs="Barlow Semi Condensed" w:eastAsia="Barlow Semi Condensed" w:hAnsi="Barlow Semi Condensed"/>
          <w:sz w:val="24"/>
          <w:szCs w:val="24"/>
        </w:rPr>
        <w:t xml:space="preserve">La scena di via Fani possiede infine la propria storia peritale, che il registro censisce quale meta-reperto: la ricostruzione tecnica dell'agguato è stata rifatta almeno 4 volte in 40 anni, dai rilievi e sopralluoghi del 1978, condotti con gli standard dell'epoca e gravati dalle contaminazioni della scena che gli atti documentano, alle perizie balistiche dei processi, sino alle ricostruzioni strumentali della seconda commissione, con rilievi laser e simulazioni tridimensionali del 2015-2016, che hanno rimisurato traiettorie e posizioni a distanza di 2 generazioni dai fatti, Livello A quanto alla sequenza delle campagne peritali ed ai loro esiti agli atti. Il registro consegna la stratigrafia alla sua lezione di metodo: ogni generazione tecnica ha interrogato la stessa scena con strumenti migliori ottenendo risposte più precise a domande sempre più vecchie, ed il guadagno reale, che il corpus registra senza enfasi, è consistito nel restringimento progressivo dei margini delle ipotesi, non nel loro capovolgimento, sicché via Fani è divenuta il laboratorio italiano della verità balistica postuma, il luogo dove si è dimostrato che la tecnica può raffinare per sempre la conoscenza di un evento senza mai, da sola, mutarne il significato, perché le traiettorie dicono da dove si sparò, e solo gli uomini, che le perizie non raggiungono, avrebbero potuto dire perché.</w:t>
      </w:r>
    </w:p>
    <w:p>
      <w:pPr>
        <w:spacing w:after="120" w:line="276"/>
        <w:jc w:val="both"/>
      </w:pPr>
      <w:r>
        <w:rPr>
          <w:rFonts w:ascii="Barlow Semi Condensed" w:cs="Barlow Semi Condensed" w:eastAsia="Barlow Semi Condensed" w:hAnsi="Barlow Semi Condensed"/>
          <w:sz w:val="24"/>
          <w:szCs w:val="24"/>
        </w:rPr>
        <w:t xml:space="preserve">Il capitolo dell'agguato registra infine il proprio riscontro parlamentare maggiore, che l'edizione definitiva recepisce dalla triangolazione compiuta: l'elaborato sul sequestro e sull'omicidio redatto per la Commissione stragi dal senatore Athos De Luca e datato 29 settembre 2000, con la sua cronologia essenziale e la sua ricostruzione documentale della dinamica, della protezione e delle prime ore, costituisce la fonte parlamentare di sintesi contro la quale gli enunciati di questo capitolo sono stati verificati voce per voce, senza che emergesse una sola divergenza fattuale, Livello A quale atto parlamentare e quale esito del riscontro. Il registro consegna il recepimento alla sua funzione di metodo: la convergenza tra la ricostruzione dell'opera, condotta sui giudicati, e l'elaborato del 2000, condotto sugli atti d'inchiesta, realizza la triangolazione tra fonti eterogenee indipendenti che lo standard probatorio esige, e la circostanza che 2 percorsi documentali distinti, a distanza di un quarto di secolo l'uno dall'altro, restituiscano la medesima scena senza attriti è la forma più solida di stabilità che un fatto storico possa raggiungere: non l'assenza di domande, che restano ai loro gradi, ma l'identità delle risposte su tutto ciò che è rispondibile.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Fani è certificato al Livello A nella dinamica, nella composizione giudicata del commando e nella riferibilità dell'azione alla direzione dell'organizzazione, con i nomi dei 5 caduti della scorta, Leonardi, Ricci, Zizzi, Rivera e Iozzino, trascritti nel registro; la presenza del colonnello Guglielmi nelle vicinanze è certificata al Livello A quale fatto ammesso, con significato fermo al Livello C quale caso di scuola del divieto inferenziale; le questioni delle presenze ulteriori e dell'inferenza dall'eccezionalità tecnica al concorso esterno sono censite al Livello C quali ipotesi documentate e non risolte.</w:t>
      </w:r>
    </w:p>
    <w:p>
      <w:pPr>
        <w:pStyle w:val="Heading3"/>
        <w:spacing w:after="80" w:before="160"/>
      </w:pPr>
      <w:r>
        <w:rPr>
          <w:rFonts w:ascii="Barlow Semi Condensed" w:cs="Barlow Semi Condensed" w:eastAsia="Barlow Semi Condensed" w:hAnsi="Barlow Semi Condensed"/>
          <w:sz w:val="24"/>
          <w:szCs w:val="24"/>
        </w:rPr>
        <w:t xml:space="preserve">Capitolo 3 — ◆ Le Brigate Rosse e la colonna romana. L'organizzazione esecutrice e i 5 giudicati</w:t>
      </w:r>
    </w:p>
    <w:p>
      <w:pPr>
        <w:spacing w:after="120" w:line="276"/>
        <w:jc w:val="both"/>
      </w:pPr>
      <w:r>
        <w:rPr>
          <w:rFonts w:ascii="Barlow Semi Condensed" w:cs="Barlow Semi Condensed" w:eastAsia="Barlow Semi Condensed" w:hAnsi="Barlow Semi Condensed"/>
          <w:sz w:val="24"/>
          <w:szCs w:val="24"/>
        </w:rPr>
        <w:t xml:space="preserve">Le Brigate Rosse, l'organizzazione armata della sinistra rivoluzionaria che rivendicò, condusse e concluse il sequestro, sono il nodo organizzativo del piano primo, e il registro le tratta nella configurazione specifica dell'operazione: la direzione strategica che deliberò, la colonna romana che eseguì, gli uomini e le donne che i giudicati hanno identificato. La scansione del corpus registra l'organizzazione 359 volte in 48 documenti e il nome di Mario Moretti 657 volte in 28, la seconda frequenza individuale della fase dopo quella della vittima.</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dei giudicati, che il registro espone quale ossatura del piano primo. Il caso Moro è stato giudicato in 5 procedimenti principali, celebrati tra il 1982 e la fine degli anni Novanta, i cui esiti irrevocabili hanno progressivamente completato il quadro delle responsabilità: il primo processo, concluso in primo grado nel gennaio 1983 con 32 condanne all'ergastolo, e i successivi, sino al procedimento degli anni Novanta che identificò l'ultimo custode della prigione. All'esito complessivo, il registro certifica al Livello A: la deliberazione dell'operazione da parte della direzione strategica dell'organizzazione; la direzione esecutiva di Mario Moretti, capo della colonna romana, condannato a plurimi ergastoli, unico brigatista che condusse gli interrogatori del prigioniero e che ne gestì la detenzione dall'inizio alla fine; la partecipazione all'agguato di via Fani del commando giudicato, nelle persone condannate in via irrevocabile tra cui Valerio Morucci, Raffaele Fiore, Franco Bonisoli, Prospero Gallinari, Bruno Seghetti, con i ruoli di copertura e supporto parimenti giudicati tra cui quelli di Adriana Faranda e Barbara Balzerani; la custodia del prigioniero nell'appartamento di via Camillo Montalcini 8, nella disponibilità di Anna Laura Braghetti, che vi risiedeva quale copertura, con Germano Maccari, il quarto uomo della prigione, identificato soltanto nel 1993 e condannato in via definitiva, morto in carcere nel 2001, e con Moretti e Gallinari quali presenze operative; e l'esecuzione finale, il 9 maggio, nella ricostruzione che il capitolo dedicato all'epilogo espone. Il registro annota che il quadro giudicato si è formato per strati successivi lungo 15 anni, con l'apporto decisivo delle dissociazioni e delle collaborazioni maturate nel tempo, e che la completezza attuale del piano primo è essa stessa un prodotto storico, non un dato originario.</w:t>
      </w:r>
    </w:p>
    <w:p>
      <w:pPr>
        <w:spacing w:after="120" w:line="276"/>
        <w:jc w:val="both"/>
      </w:pPr>
      <w:r>
        <w:rPr>
          <w:rFonts w:ascii="Barlow Semi Condensed" w:cs="Barlow Semi Condensed" w:eastAsia="Barlow Semi Condensed" w:hAnsi="Barlow Semi Condensed"/>
          <w:sz w:val="24"/>
          <w:szCs w:val="24"/>
        </w:rPr>
        <w:t xml:space="preserve">Il secondo pilastro è l'apparato dichiarativo dell'organizzazione, che il registro sottopone all'Indice di Contaminazione nella configurazione peculiare del caso. Gli esponenti condannati hanno prodotto, nei decenni, una vasta memorialistica e una lunga serie di dichiarazioni processuali e pubbliche, il cui nucleo costante è duplice: la rivendicazione integrale dell'operazione quale atto autonomo dell'organizzazione, e la negazione recisa di ogni eterodirezione, infiltrazione o concorso esterno, riassunta nella formula ricorrente per cui nessun burattinaio mosse i fili. Il registro tratta questo apparato con la disciplina differenziata: le dichiarazioni contra se, le ammissioni di responsabilità che hanno consolidato il piano primo, possiedono alto valore e sono state recepite dai giudicati; le dichiarazioni di esclusione, quelle che negano concorsi esterni, provengono da dichiaranti portatori di un interesse identitario permanente, giacché l'autonomia dell'azione è il patrimonio politico che i dichiaranti difendono, e il registro le assume quali fonti da riscontrare, non quali certificazioni: la circostanza che i giudicati abbiano ritenuto l'operazione riferibile all'organizzazione converge con quelle dichiarazioni, ma la convergenza certifica il perimetro del provato, non l'inesistenza del non provato, e il registro distingue, qui come sempre, tra l'assenza di prova del concorso esterno, che è un dato, e la prova dell'assenza, che non esiste.</w:t>
      </w:r>
    </w:p>
    <w:p>
      <w:pPr>
        <w:spacing w:after="120" w:line="276"/>
        <w:jc w:val="both"/>
      </w:pPr>
      <w:r>
        <w:rPr>
          <w:rFonts w:ascii="Barlow Semi Condensed" w:cs="Barlow Semi Condensed" w:eastAsia="Barlow Semi Condensed" w:hAnsi="Barlow Semi Condensed"/>
          <w:sz w:val="24"/>
          <w:szCs w:val="24"/>
        </w:rPr>
        <w:t xml:space="preserve">Il terzo pilastro è la genealogia dell'organizzazione, che il registro censisce per il rilievo che assume nel nodo successivo dedicato a Hyperion. Le Brigate Rosse nacquero all'inizio degli anni Settanta dalla confluenza di gruppi della sinistra extraparlamentare, tra cui il Collettivo politico metropolitano milanese e l'esperienza di Sinistra proletaria; da quell'ambiente originario si separò precocemente la componente facente capo a Corrado Simioni, che alcuni protagonisti della fase fondativa hanno descritto quale fautore di una struttura più compartimentata ed elitaria, e che si trasferì a Parigi dando vita alle iniziative da cui sarebbe nata la scuola di lingue Hyperion. Il registro certifica al Livello A la genealogia comune e la separazione precoce, quali fatti della storia dell'organizzazione documentati dalle fonti processuali e memorialistiche convergenti, e rinvia al capitolo dedicato ogni valutazione sul seguito parigino, annotando sin d'ora che la contiguità genetica tra l'organizzazione esecutrice e i fondatori della struttura parigina è un fatto certificato, mentre ogni ruolo di quest'ultima nell'operazione del 1978 appartiene a un livello diverso.</w:t>
      </w:r>
    </w:p>
    <w:p>
      <w:pPr>
        <w:spacing w:after="120" w:line="276"/>
        <w:jc w:val="both"/>
      </w:pPr>
      <w:r>
        <w:rPr>
          <w:rFonts w:ascii="Barlow Semi Condensed" w:cs="Barlow Semi Condensed" w:eastAsia="Barlow Semi Condensed" w:hAnsi="Barlow Semi Condensed"/>
          <w:sz w:val="24"/>
          <w:szCs w:val="24"/>
        </w:rPr>
        <w:t xml:space="preserve">Il quarto pilastro è la dimensione internazionale dell'organizzazione, che il registro censisce nei suoi elementi accertati per la rilevanza che assume tanto nel piano terzo quanto nel bilancio di fase. Gli accertamenti giudiziari e parlamentari documentarono, lungo la storia dell'organizzazione, canali internazionali di approvvigionamento e di relazione: la provenienza mediorientale di partite d'armi giunte all'organizzazione, accertata in procedimenti sui traffici, con il canale palestinese quale filiera documentata; i rapporti con organizzazioni armate europee, e in particolare con la Rote Armee Fraktion tedesca, documentati quanto ai contatti e alla solidarietà dichiarata; e la frequentazione, da parte di militanti dell'area, di campi di addestramento mediorientali, riferita da collaboratori e riscontrata in singole posizioni. Il registro certifica al Livello B questi elementi, quale convergenza di accertamenti giudiziari e parlamentari plurimi, e li distingue rigorosamente dalla questione del sequestro: la filiera internazionale documenta la logistica e le relazioni dell'organizzazione, non un concorso esterno nell'operazione del 1978, che nessun accertamento ha stabilito. In questo perimetro il registro censisce altresì, quale fatto di contesto certificato al Livello B dalle convergenti acquisizioni parlamentari e testimoniali, l'esistenza della prassi di non belligeranza tra apparati italiani e organizzazioni palestinesi, nota quale lodo, in forza della quale il territorio nazionale fu tenuto, per una stagione, fuori dal bersaglio in cambio di margini di transito: la prassi, il cui perimetro esatto resta discusso, appartiene alla storia degli apparati e non a quella del sequestro, e il registro la annota qui perché documenta, al livello certificabile, che il campo delle relazioni internazionali clandestine della stagione era popolato e regolato da intese inconfessate, il contesto entro cui ogni ipotesi del piano terzo va misurata senza esserne dedotta.</w:t>
      </w:r>
    </w:p>
    <w:p>
      <w:pPr>
        <w:spacing w:after="120" w:line="276"/>
        <w:jc w:val="both"/>
      </w:pPr>
      <w:r>
        <w:rPr>
          <w:rFonts w:ascii="Barlow Semi Condensed" w:cs="Barlow Semi Condensed" w:eastAsia="Barlow Semi Condensed" w:hAnsi="Barlow Semi Condensed"/>
          <w:sz w:val="24"/>
          <w:szCs w:val="24"/>
        </w:rPr>
        <w:t xml:space="preserve">Il quinto pilastro è la figura di Mario Moretti, che il registro tratta quale nodo individuale dentro il nodo organizzativo, per la posizione senza equivalenti che i giudicati gli assegnano. Marchigiano, formatosi tecnicamente e impiegato nell'industria milanese, Moretti aderì all'organizzazione dalle origini e ne assunse la direzione effettiva dopo gli arresti dei fondatori nel 1974-1975, guidandone la trasformazione nella macchina compartimentata della seconda metà del decennio; nell'operazione Moro fu, per giudicato, il pianificatore, il capo della colonna esecutrice, l'unico interlocutore del prigioniero negli interrogatori, il gestore dei comunicati e, da ultimo, l'esecutore materiale; fu arrestato a Milano il 4 aprile 1981, e sconta i plurimi ergastoli avendo fruito, nel tempo, del regime di semilibertà secondo l'ordinamento penitenziario. Il registro certifica al Livello A questa posizione integrale, quale risultanza dei giudicati, e ne dichiara il rilievo analitico: nella rete del caso, Moretti è il nodo per il quale passa ogni arco del piano primo, l'uomo che congiunse da solo la deliberazione, l'esecuzione, la custodia, l'interrogatorio e la conclusione, una concentrazione di funzioni che non ha eguali in alcun altro evento dell'opera e che spiega, in termini di teoria della rete, perché 4 decenni di ipotesi sul piano terzo si siano addensati attorno alla sua figura, ai suoi silenzi e alle sue parole: chi controlla tutti gli archi del piano provato è, inevitabilmente, il candidato di ogni congettura sul piano non provato. Il registro registra le sue dichiarazioni pubbliche, consegnate in particolare al libro-intervista del 1994, quale fonte primaria della versione interna, e le sottopone alla disciplina già enunciata per l'apparato dichiarativo dell'organizzazione, senza eccezioni per il rango del dichiarante.</w:t>
      </w:r>
    </w:p>
    <w:p>
      <w:pPr>
        <w:spacing w:after="120" w:line="276"/>
        <w:jc w:val="both"/>
      </w:pPr>
      <w:r>
        <w:rPr>
          <w:rFonts w:ascii="Barlow Semi Condensed" w:cs="Barlow Semi Condensed" w:eastAsia="Barlow Semi Condensed" w:hAnsi="Barlow Semi Condensed"/>
          <w:sz w:val="24"/>
          <w:szCs w:val="24"/>
        </w:rPr>
        <w:t xml:space="preserve">Il sesto pilastro distende la storia dell'organizzazione dal 1970 al 1977, quale contesto necessario del nodo. Le Brigate Rosse si costituirono tra il 1970 e il 1971 dall'ambiente milanese del Collettivo politico metropolitano e di Sinistra proletaria, con i fondatori Renato Curcio, Margherita Cagol e Alberto Franceschini, e attraversarono una prima stagione di propaganda armata, sabotaggi e sequestri dimostrativi; la prima disarticolazione giunse l'8 settembre 1974, con la cattura di Curcio e Franceschini a Pinerolo, resa possibile dall'infiltrazione di Silvano Girotto, l'ex religioso noto quale frate mitra, agente dei carabinieri del nucleo antiterrorismo costituito dal generale Dalla Chiesa: il registro certifica al Livello A l'operazione, quale primo incrocio documentato tra i 2 protagonisti che la fase riunisce, l'organizzazione e il generale, e ne annota la natura, un'infiltrazione riuscita che dimostrò la penetrabilità della prima struttura. Seguirono l'evasione di Curcio dal carcere di Casale Monferrato nel febbraio 1975, condotta da un commando guidato dalla Cagol, la morte della Cagol nel conflitto a fuoco della cascina Spiotta il 5 giugno 1975, la definitiva ricattura di Curcio nel gennaio 1976, e il passaggio della direzione effettiva a Mario Moretti, sotto il quale l'organizzazione operò la ristrutturazione che i documenti interni consegnano: la compartimentazione in colonne territoriali e fronti funzionali, il reclutamento selettivo, l'innalzamento del livello militare. L'escalation della violenza è scandita dai giudicati: l'8 giugno 1976, a Genova, l'uccisione del procuratore generale Francesco Coco con i 2 uomini della scorta, l'appuntato Giovanni Saponara e l'agente Antioco Deiana, primo omicidio deliberato dell'organizzazione e primo magistrato assassinato; il 16 novembre 1977, a Torino, il ferimento del vicedirettore della Stampa Carlo Casalegno, morto il 29 novembre, primo giornalista colpito a morte; e la serie dei ferimenti mirati contro dirigenti d'azienda, medici penitenziari e uomini dei partiti che preparò, nella dottrina dichiarata dell'attacco al cuore dello Stato, l'operazione del 1978. Il registro certifica al Livello A la sequenza, nomina le vittime quale atto dovuto, e ne trae il dato strutturale: l'organizzazione che rapì Moro non era quella penetrata nel 1974, ma il prodotto di una selezione darwiniana di 4 anni, compartimentata al punto che, come il capitolo dell'epilogo documenta, l'identità completa dei suoi uomini sarebbe rimasta ignota per 15 anni.</w:t>
      </w:r>
    </w:p>
    <w:p>
      <w:pPr>
        <w:spacing w:after="120" w:line="276"/>
        <w:jc w:val="both"/>
      </w:pPr>
      <w:r>
        <w:rPr>
          <w:rFonts w:ascii="Barlow Semi Condensed" w:cs="Barlow Semi Condensed" w:eastAsia="Barlow Semi Condensed" w:hAnsi="Barlow Semi Condensed"/>
          <w:sz w:val="24"/>
          <w:szCs w:val="24"/>
        </w:rPr>
        <w:t xml:space="preserve">Il settimo pilastro ricostruisce la deliberazione e la preparazione del sequestro, e la scansione dei 5 procedimenti che l'hanno giudicata. Per le risultanze convergenti dei giudicati e delle memorie riscontrate, la decisione di colpire il vertice della Democrazia Cristiana maturò nella direzione strategica tra il 1977 e l'inverno 1978, entro la campagna di primavera pianificata dall'organizzazione; le ricostruzioni memorialistiche dei protagonisti, recepite dagli atti parlamentari, riferiscono che la rosa iniziale degli obiettivi comprese anche Giulio Andreotti, presidente del Consiglio in carica, accantonato per la maggiore difficoltà del dispositivo di protezione, e che la scelta cadde su Moro per la combinazione di valore politico e accessibilità: il registro certifica al Livello B questa genesi della scelta, quale convergenza di fonti interne riscontrate, e al Livello A la pianificazione esecutiva quale accertata nei giudizi. La scansione processuale, che il registro fissa quale apparato della fase, è la seguente: il primo procedimento, celebrato dinanzi alla Corte d'assise di Roma dal 1982, si concluse in primo grado il 24 gennaio 1983 con 32 condanne all'ergastolo, confermate nei gradi successivi sino alla definitività del 1985; il secondo, negli anni 1986-1987, giudicò le posizioni emerse dalle successive identificazioni; il terzo, sul finire del decennio, consolidò il quadro della direzione con i plurimi ergastoli a Moretti; il quarto, nella prima metà degli anni Novanta, giudicò le posizioni residue alla luce delle dissociazioni; e il quinto, tra il 1996 e il 1998, giudicò Germano Maccari, il quarto uomo della prigione, con la condanna definitiva a 26 anni che chiuse, sul piano esecutivo, la vicenda. Il registro certifica al Livello A la scansione e la progressione, e ne ribadisce il senso già dichiarato: la verità del piano primo è una costruzione quindicennale, il cui ultimo mattone porta la data del 1998.</w:t>
      </w:r>
    </w:p>
    <w:p>
      <w:pPr>
        <w:spacing w:after="120" w:line="276"/>
        <w:jc w:val="both"/>
      </w:pPr>
      <w:r>
        <w:rPr>
          <w:rFonts w:ascii="Barlow Semi Condensed" w:cs="Barlow Semi Condensed" w:eastAsia="Barlow Semi Condensed" w:hAnsi="Barlow Semi Condensed"/>
          <w:sz w:val="24"/>
          <w:szCs w:val="24"/>
        </w:rPr>
        <w:t xml:space="preserve">L'ottavo pilastro specifica il canale internazionale con il caso documentale che lo certifica, la vicenda dei missili di Ortona. Il 7 novembre 1979, a Ortona, furono arrestati 3 esponenti dell'area dell'Autonomia romana, tra cui Daniele Pifano, e un cittadino giordano, sorpresi a trasportare 2 lanciamissili terra-aria di fabbricazione sovietica; nel procedimento che ne seguì, il Fronte popolare per la liberazione della Palestina rivendicò formalmente la proprietà dei missili chiedendone la restituzione, e la vicenda fece emergere, negli atti e nelle testimonianze, il ruolo del colonnello Stefano Giovannone, capocentro del servizio militare italiano a Beirut, quale terminale della relazione riservata tra gli apparati italiani e le organizzazioni palestinesi: la prassi di non belligeranza già censita quale lodo. Il registro certifica al Livello A i fatti processuali di Ortona, l'arresto, la rivendicazione di proprietà, le condanne, quali risultanze giudiziarie, e certifica al Livello B il quadro complessivo della relazione riservata gestita dal capocentro di Beirut, quale convergenza degli atti parlamentari che, sino all'ultima Commissione, hanno acquisito la documentazione del carteggio Giovannone; e delimita, ancora, il perimetro: il canale documenta il transito di armamenti mediorientali nell'area della sinistra armata italiana e l'esistenza della prassi di salvaguardia, non documenta alcun ruolo di quegli attori nel sequestro, e la sua funzione nella fase è di contesto certificato, non di spiegazione.</w:t>
      </w:r>
    </w:p>
    <w:p>
      <w:pPr>
        <w:spacing w:after="120" w:line="276"/>
        <w:jc w:val="both"/>
      </w:pPr>
      <w:r>
        <w:rPr>
          <w:rFonts w:ascii="Barlow Semi Condensed" w:cs="Barlow Semi Condensed" w:eastAsia="Barlow Semi Condensed" w:hAnsi="Barlow Semi Condensed"/>
          <w:sz w:val="24"/>
          <w:szCs w:val="24"/>
        </w:rPr>
        <w:t xml:space="preserve">Il nono pilastro censisce la prigione, quale i giudicati e le fonti interne la consegnano. L'appartamento di via Camillo Montalcini 8, al piano rialzato di un condominio della zona della Magliana amministrativa, era stato acquistato nel 1977 e intestato ad Anna Laura Braghetti, impiegata incensurata e militante clandestina non schedata, che vi abitava quale copertura, dalla primavera del 1978 in convivenza simulata con Prospero Gallinari; all'interno era stato ricavato, dietro una parete attrezzata, il vano insonorizzato nel quale il prigioniero fu custodito per l'intera durata del sequestro, secondo la ricostruzione giudicata che il quinto procedimento ha consolidato. Gli interrogatori del processo proletario furono condotti, per le convergenti risultanze, dal solo Moretti, in sedute delle quali le fonti interne hanno riferito l'esistenza di registrazioni su nastro: quelle bobine non sono mai state rinvenute, e la versione interna ne afferma la distruzione; il registro certifica al Livello A l'assetto della prigione e la conduzione unipersonale degli interrogatori, quali risultanze giudicate, certifica al Livello B l'esistenza delle registrazioni, quale convergenza di fonti interne su un fatto contro il proprio interesse, e registra la loro sparizione quale estensione del vuoto documentale già censito: al novero delle assenze della fase appartengono, in unica voce, gli originali manoscritti del memoriale e le registrazioni degli interrogatori, i 2 supporti primari della voce del prigioniero, entrambi riferiti ed entrambi mai emersi, sicché l'intera conoscenza di ciò che Moro disse nella prigione riposa su trascrizioni, fotocopie e memorie, mai su un supporto originale.</w:t>
      </w:r>
    </w:p>
    <w:p>
      <w:pPr>
        <w:spacing w:after="120" w:line="276"/>
        <w:jc w:val="both"/>
      </w:pPr>
      <w:r>
        <w:rPr>
          <w:rFonts w:ascii="Barlow Semi Condensed" w:cs="Barlow Semi Condensed" w:eastAsia="Barlow Semi Condensed" w:hAnsi="Barlow Semi Condensed"/>
          <w:sz w:val="24"/>
          <w:szCs w:val="24"/>
        </w:rPr>
        <w:t xml:space="preserve">Il decimo pilastro censisce la scissione interna e il caso documentale che vi si annida, il più rilevante arco orientale della fase. Valerio Morucci e Adriana Faranda, i due dirigenti della colonna romana contrari alla soluzione terminale, uscirono dall'organizzazione nei mesi successivi al 9 maggio, consumando la rottura politica sulla conduzione del sequestro; furono arrestati il 29 maggio 1979 a Roma, nell'appartamento di viale Giulio Cesare che li ospitava, la casa di Giuliana Conforto, e nell'occasione fu sequestrata, tra le armi, la mitraglietta Skorpion che le perizie balistiche identificarono quale arma dell'esecuzione di via Caetani: il registro certifica al Livello A l'arresto, il luogo e l'identificazione balistica, quali risultanze processuali. Il dato che eleva l'episodio a reperto della fase è l'identità del padrone di casa mediato: Giorgio Conforto, padre di Giuliana, risulta dalle carte dell'archivio orientale trasferite in occidente negli anni Novanta, il compendio noto quale dossier Impedian o archivio Mitrokhin, recepito dalla Commissione parlamentare dedicata, schedato quale agente di lungo corso del servizio sovietico, attivo per decenni con il nome in codice Dario; il registro certifica al Livello B questa qualità, quale risultanza di documentazione d'archivio di servizio recepita in sede parlamentare e non consacrata da giudicato, e mantiene al Livello C ogni lettura del nesso, dalla mera coincidenza abitativa alla rete di protezione consapevole, annotando la ragione per cui il reperto è censito con questo rilievo: esso è l'unico punto dell'intera fase in cui la variante orientale del piano terzo tocca un fatto materiale documentato, l'arma dell'esecuzione custodita sotto il tetto della figlia di un agente sovietico schedato, e la disciplina del registro consiste esattamente nel trascrivere il fatto con questa precisione e nel rifiutare il passo ulteriore che nessun documento sostiene.</w:t>
      </w:r>
    </w:p>
    <w:p>
      <w:pPr>
        <w:spacing w:after="120" w:line="276"/>
        <w:jc w:val="both"/>
      </w:pPr>
      <w:r>
        <w:rPr>
          <w:rFonts w:ascii="Barlow Semi Condensed" w:cs="Barlow Semi Condensed" w:eastAsia="Barlow Semi Condensed" w:hAnsi="Barlow Semi Condensed"/>
          <w:sz w:val="24"/>
          <w:szCs w:val="24"/>
        </w:rPr>
        <w:t xml:space="preserve">L'undicesimo pilastro censisce il documento programmatico che incornicia l'operazione, la Risoluzione della direzione strategica del febbraio 1978. Il testo, elaborato dal vertice dell'organizzazione e diffuso nelle settimane immediatamente precedenti il sequestro, costituisce la piattaforma dottrinale della campagna: vi si teorizza l'attacco al cuore dello Stato, si identifica nella Democrazia Cristiana il perno del regime e nello Stato imperialista delle multinazionali il quadro strutturale del nemico, e si annuncia l'innalzamento del livello dello scontro; il registro certifica al Livello A l'esistenza, la datazione e il contenuto del documento, quale testo acquisito agli atti e pubblicato prima dell'azione, e ne dichiara il duplice rilievo: sul piano probatorio, la Risoluzione documenta che l'operazione fu annunciata nella sua logica, se non nel suo obiettivo specifico, dal medesimo soggetto che l'avrebbe eseguita, un elemento che i giudizi hanno valorizzato quale riscontro della matrice; sul piano analitico, essa consegna il lessico con cui l'organizzazione lesse la propria azione, e il registro annota che l'intera produzione documentale interna, dalla Risoluzione ai comunicati, esibisce una coerenza dottrinale continua, senza fratture stilistiche o concettuali, un dato filologico che le perizie sui testi hanno confermato e che appartiene, quale fatto, alla competizione tra le ipotesi sulla direzione dell'operazione.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campagna contestuale, le azioni che l'organizzazione condusse durante i 55 giorni sugli altri fronti, e nomina le vittime quale atto dovuto. Il sequestro non sospese l'attività militare delle colonne: il 10 marzo 1978, 6 giorni prima di via Fani, era stato ucciso a Torino il maresciallo di pubblica sicurezza Rosario Berardi; l'11 aprile 1978, a Torino, fu assassinato l'agente di custodia Lorenzo Cutugno; il 20 aprile 1978, a Milano, il maresciallo degli agenti di custodia Francesco Di Cataldo; e la serie dei ferimenti proseguì nelle città delle colonne per l'intera durata della crisi. Il registro certifica al Livello A la sequenza, quale materia dei giudicati delle rispettive sedi, nomina Rosario Berardi, Lorenzo Cutugno e Francesco Di Cataldo tra le vittime collegate della fase, e ne trae il dato analitico: la campagna contestuale, condotta prevalentemente contro il personale dell'amministrazione penitenziaria negli stessi giorni in cui i comunicati ponevano la questione dei detenuti, documenta che l'organizzazione gestì il sequestro quale operazione centrale di un dispositivo a più fronti e non quale azione isolata, con una capacità di fuoco simultanea su 3 città che le stime sulla consistenza numerica dell'organizzazione, poche centinaia di militanti irregolari nel Paese, rendono il vero dato dimensionale della stagione: mai così pochi uomini tennero sotto pressione contemporanea un apparato statale di quelle dimensioni, e la sproporzione, certificata dai numeri di entrambi i lati, appartiene alla fisionomia storica del fenomeno.</w:t>
      </w:r>
    </w:p>
    <w:p>
      <w:pPr>
        <w:spacing w:after="120" w:line="276"/>
        <w:jc w:val="both"/>
      </w:pPr>
      <w:r>
        <w:rPr>
          <w:rFonts w:ascii="Barlow Semi Condensed" w:cs="Barlow Semi Condensed" w:eastAsia="Barlow Semi Condensed" w:hAnsi="Barlow Semi Condensed"/>
          <w:sz w:val="24"/>
          <w:szCs w:val="24"/>
        </w:rPr>
        <w:t xml:space="preserve">Il tredicesimo pilastro censisce l'elenco dei 13 e il processo parallelo, i 2 termini dello scambio negato. Il comunicato numero 8 del 24 aprile elencò nominativamente i 13 detenuti di cui l'organizzazione chiedeva la liberazione, con in testa Renato Curcio e gli altri capi storici allora a giudizio; e la richiesta cadde nel pieno della circostanza processuale che il registro certifica quale dato strutturale della crisi: il processo ai fondatori dell'organizzazione si stava celebrando in quelle stesse settimane dinanzi alla Corte d'assise di Torino, ripreso nel marzo 1978 dopo i rinvii degli anni precedenti, segnati dall'assassinio del presidente dell'ordine degli avvocati torinese e dalle difficoltà di composizione della giuria, e si sarebbe concluso con la sentenza del 23 giugno 1978, a 6 settimane da via Caetani, con le condanne dei capi storici. Il registro certifica al Livello A l'elenco, la contestualità processuale e la sequenza, quali dati documentali, e ne dichiara la funzione interpretativa certificabile: il sequestro si svolse mentre lo Stato processava la prima generazione dell'organizzazione, la richiesta di scambio investì esattamente gli imputati di quel processo, e la fermezza dello Stato si misurò, materialmente, sulla tenuta di quel dibattimento, che proseguì e si concluse; la saldatura tra i 2 teatri, l'aula di Torino e la prigione di Roma, è la struttura portante della cronologia della crisi, e il registro la fissa quale fatto, annotando che essa fornisce alla deliberazione del sequestro la sua cornice razionale interna documentata, l'operazione di massima pressione nel momento del massimo attacco giudiziario, senza necessità di postulare razionalità ulteriori.</w:t>
      </w:r>
    </w:p>
    <w:p>
      <w:pPr>
        <w:spacing w:after="120" w:line="276"/>
        <w:jc w:val="both"/>
      </w:pPr>
      <w:r>
        <w:rPr>
          <w:rFonts w:ascii="Barlow Semi Condensed" w:cs="Barlow Semi Condensed" w:eastAsia="Barlow Semi Condensed" w:hAnsi="Barlow Semi Condensed"/>
          <w:sz w:val="24"/>
          <w:szCs w:val="24"/>
        </w:rPr>
        <w:t xml:space="preserve">Il quattordicesimo pilastro censisce la struttura della colonna romana, lo strumento organizzativo dell'operazione. La colonna fu costituita a partire dal 1976 per decisione della direzione, che considerava la capitale il teatro obbligato del salto strategico e vi trasferì quadri sperimentati dalle colonne settentrionali, affiancandoli ai reclutamenti locali; alla vigilia del sequestro essa disponeva, per le ricostruzioni giudicate, di poche decine di militanti tra regolari clandestini e irregolari insospettabili, articolati in brigate di zona, di una rete di basi tra cui via Gradoli e via Montalcini, e di una compartimentazione che riservò la conoscenza dell'operazione a un nucleo ristretto sino all'esecuzione; il registro certifica al Livello A la genesi, la consistenza e l'articolazione della colonna, quali risultanze dei giudicati, e ne trae le 2 annotazioni che il metodo impone. La prima è dimensionale: l'operazione più devastante della storia repubblicana fu concepita e condotta da una struttura urbana di poche decine di persone, e la sproporzione tra la dimensione dell'organo e la dimensione dell'effetto, certificata dai numeri di entrambi i lati, è il dato che ogni teoria della necessità del concorso esterno deve preliminarmente superare, giacché essa dimostra che la scala dell'effetto non implica la scala dell'apparato. La seconda è strutturale: la colonna romana operò per l'intera crisi senza subire una sola perdita, un solo arresto, una sola identificazione, e questa tenuta, che i giudicati attribuiscono alla compartimentazione e alla qualità degli irregolari, le intestazioni pulite di Braghetti e degli altri insospettabili, è il fatto tecnico che spiega, dal lato dell'organizzazione, il fallimento delle ricerche che il capitolo della gestione ha censito dal lato dello Stato: il registro salda i 2 lati del medesimo fatto e lo consegna, quale spiegazione interna completa e documentata, al confronto con le letture eccedenti che il piano terzo custodisce.</w:t>
      </w:r>
    </w:p>
    <w:p>
      <w:pPr>
        <w:spacing w:after="120" w:line="276"/>
        <w:jc w:val="both"/>
      </w:pPr>
      <w:r>
        <w:rPr>
          <w:rFonts w:ascii="Barlow Semi Condensed" w:cs="Barlow Semi Condensed" w:eastAsia="Barlow Semi Condensed" w:hAnsi="Barlow Semi Condensed"/>
          <w:sz w:val="24"/>
          <w:szCs w:val="24"/>
        </w:rPr>
        <w:t xml:space="preserve">Il quindicesimo pilastro distende la parabola terminale dell'organizzazione, il dopo che chiude il profilo del soggetto esecutore. La stagione successiva al caso Moro fu, per l'organizzazione, quella del massimo sforzo e della dissoluzione: il sequestro del magistrato Giovanni D'Urso tra il dicembre 1980 e il gennaio 1981, concluso con la liberazione; il sequestro del generale americano James Lee Dozier, sottratto a Verona il 17 dicembre 1981 e liberato dal blitz dei reparti speciali a Padova il 28 gennaio 1982, la prima sconfitta operativa diretta, maturata per via di intelligence e irruzione, che dimostrò il rovesciamento del rapporto di forze; la frammentazione in tronconi rivali; e la coda lunga degli anni Ottanta, sino all'assassinio del professor Roberto Ruffilli, il costituzionalista consigliere della presidenza del Consiglio, ucciso a Forlì il 16 aprile 1988 dall'ultima sigla, il delitto che chiuse la serie ventennale degli omicidi dell'organizzazione e delle sue derivazioni. Il registro certifica al Livello A la sequenza, nomina Roberto Ruffilli tra le vittime collegate della fase quale termine finale della serie, e ne trae il bilancio strutturale che il capitolo deve al soggetto: l'organizzazione che nel 1978 aveva tenuto in scacco lo Stato fu militarmente sconfitta entro 4 anni, per effetto congiunto della legislazione premiale, delle dissociazioni e della ricostruita capacità investigativa censita nel capitolo nono, e la parabola completa, dalla fondazione del 1970 all'ultimo delitto del 1988, si chiuse senza che l'organizzazione avesse conseguito uno solo dei propri obiettivi strategici dichiarati; il registro trascrive l'esito quale fatto storico certificato e lo consegna alla competizione delle ipotesi con l'annotazione dovuta: la sconfitta integrale del soggetto esecutore è un dato che ogni lettura del piano terzo deve incorporare, giacché qualunque regia esterna si voglia ipotizzare avrebbe abbandonato il proprio strumento alla distruzione completa, e la circostanza, di per sé non probante in alcuna direzione, delimita nondimeno lo spazio logico delle ipotesi di strumentalizzazione durevole.</w:t>
      </w:r>
    </w:p>
    <w:p>
      <w:pPr>
        <w:spacing w:after="120" w:line="276"/>
        <w:jc w:val="both"/>
      </w:pPr>
      <w:r>
        <w:rPr>
          <w:rFonts w:ascii="Barlow Semi Condensed" w:cs="Barlow Semi Condensed" w:eastAsia="Barlow Semi Condensed" w:hAnsi="Barlow Semi Condensed"/>
          <w:sz w:val="24"/>
          <w:szCs w:val="24"/>
        </w:rPr>
        <w:t xml:space="preserve">Il sedicesimo pilastro censisce il finanziamento dell'operazione, il versante economico che i giudicati hanno ricostruito. L'organizzazione si finanziava per autosufficienza dichiarata e documentata, con le rapine di autofinanziamento e con i sequestri di persona a scopo estorsivo della prima stagione, e il capitolo economico dell'operazione Moro ha negli atti la propria fonte identificata: il riscatto del sequestro dell'armatore genovese Pietro Costa, condotto dall'organizzazione nel 1977, fornì la provvista che le ricostruzioni giudiziarie indicano quale copertura dei costi della campagna romana, ivi compreso l'acquisto dell'appartamento di via Montalcini, l'immobile della prigione, pagato con denaro riconducibile a quella provvista e intestato all'insospettabile Braghetti; il registro certifica al Livello A il sequestro Costa, il riscatto e la destinazione della provvista alla logistica romana, quali risultanze dei giudicati, e ne dichiara la funzione capitale nella competizione delle ipotesi: il capitolo economico dell'operazione più costosa della storia dell'organizzazione è integralmente ricostruito per via giudiziaria entro il perimetro dell'autofinanziamento criminale interno, senza che alcun flusso esterno sia mai emerso, e questa tracciabilità completa, rara nel campo studiato dall'opera, è uno degli argomenti più solidi della lettura dell'autosufficienza, giacché il denaro, il vettore che nelle altre fasi dell'opera ha rivelato le reti, qui documenta un circuito chiuso; il registro annota che l'assenza di flussi esterni documentati non prova l'assenza di apporti non monetari, informazioni, coperture, omissioni, che il piano terzo custodisce quali ipotesi, ma certifica che sul terreno dove il metodo dell'opera è più forte, il tracciamento dei flussi del Pattern 4, il caso Moro restituisce un esito univoco, e lo trascrive quale reperto del pattern con il rango che gli compete.</w:t>
      </w:r>
    </w:p>
    <w:p>
      <w:pPr>
        <w:spacing w:after="120" w:line="276"/>
        <w:jc w:val="both"/>
      </w:pPr>
      <w:r>
        <w:rPr>
          <w:rFonts w:ascii="Barlow Semi Condensed" w:cs="Barlow Semi Condensed" w:eastAsia="Barlow Semi Condensed" w:hAnsi="Barlow Semi Condensed"/>
          <w:sz w:val="24"/>
          <w:szCs w:val="24"/>
        </w:rPr>
        <w:t xml:space="preserve">Il diciassettesimo pilastro censisce l'organo deliberante, l'Esecutivo dell'organizzazione nella stagione del sequestro. Al vertice della struttura, sotto la direzione strategica quale organo allargato di elaborazione, operava l'Esecutivo, l'organismo ristretto di conduzione che nella primavera del 1978 risultava composto, per le risultanze giudiziarie, da Mario Moretti, Rocco Micaletto, Lauro Azzolini e Franco Bonisoli, i 4 dirigenti nei quali si concentrava la decisione operativa corrente; fu questo organo a governare la campagna, con Moretti distaccato sulla conduzione romana e gli altri sui fronti settentrionali, e fu la sua composizione a determinare la traiettoria successiva del materiale, giacché Azzolini e Bonisoli furono catturati nella base milanese di via Monte Nevoso il 1 ottobre 1978, nell'operazione che portò al primo ritrovamento delle carte, e Micaletto cadde nelle retate successive, sicché entro pochi anni l'intero Esecutivo del sequestro, Moretti ultimo con l'arresto del 4 aprile 1981, fu consegnato ai processi che avrebbero ricostruito la vicenda. Il registro certifica al Livello A la composizione dell'organo e le catture, quali risultanze dei giudicati, e ne trae l'annotazione strutturale: la concentrazione della decisione in 4 uomini, tutti catturati vivi e tutti processati, è la ragione tecnica per cui il piano primo del caso ha potuto raggiungere la saturazione che la fase certifica, l'organo deliberante essendo integralmente sopravvissuto alla propria sconfitta e avendo perciò potuto essere giudicato, a differenza di quanto l'opera ha documentato per altri teatri, dove l'eliminazione fisica dei detentori della decisione ha precluso per sempre l'accertamento; la comparazione tra i campi, il terrorismo rosso giudicabile perché catturato e altri mondi dell'opera inaccertabili perché falcidiati, è un dato di struttura che il registro consegna alla riflessione conclusiva sulla conoscibilità differenziale del proprio oggetto.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direzione strategica-colonna romana-via Montalcini, è il triangolo del piano primo, certificato al Livello A dai 5 giudicati. La seconda, organizzazione-apparato dichiarativo-autonomia rivendicata, è il triangolo della fonte interessata, con le ammissioni recepite e le esclusioni da riscontrare. La terza, Brigate Rosse-ambiente fondativo-componente Simioni, è il triangolo genealogico, certificato al Livello A quanto ai fatti e consegnato al capitolo su Hyperion. Sul piano dei pattern, il nodo attiva il Pattern 2 nella identificazione della colonna romana quale comunità operativa compartimentata, la cui azione coordinata è confermata dall'evento secondo il criterio di validazione; e il Pattern 7, nelle traiettorie dei militanti dalla militanza legale alla clandestinità, di cui la biografia di Moretti, operaio e tecnico transitato per l'ambiente milanese sino alla direzione militare, è l'esemplare più documentato.</w:t>
      </w:r>
    </w:p>
    <w:p>
      <w:pPr>
        <w:spacing w:after="120" w:line="276"/>
        <w:jc w:val="both"/>
      </w:pPr>
      <w:r>
        <w:rPr>
          <w:rFonts w:ascii="Barlow Semi Condensed" w:cs="Barlow Semi Condensed" w:eastAsia="Barlow Semi Condensed" w:hAnsi="Barlow Semi Condensed"/>
          <w:sz w:val="24"/>
          <w:szCs w:val="24"/>
        </w:rPr>
        <w:t xml:space="preserve">La formazione del quadro in 5 procedimenti irrevocabili, che la sintesi certifica, esige la fisionomia di ciascun ciclo, perché la serie non fu ripetizione ma stratificazione progressiva dell'accertamento. Il primo ciclo, chiuso in primo grado dalla Corte d'Assise di Roma il 24 gennaio 1983 con 32 ergastoli e decine di condanne ulteriori, fissò l'impianto: la dinamica di via Fani, la responsabilità della direzione dell'organizzazione, la riferibilità dell'esecuzione alla colonna romana rinforzata. Il secondo ciclo integrò il quadro giovandosi della stagione della dissociazione, ed in particolare della ricostruzione analitica consegnata da Valerio Morucci ed Adriana Faranda, che consentì di ridefinire ruoli e presenze con una granularità che il primo dibattimento non aveva raggiunto. Il terzo ciclo, culminato nella sentenza del 1988, aggredì la struttura larga, la rete logistica, le basi, le coperture ed il perimetro della colonna. I cicli successivi chiusero le posizioni residue, sino al quinto, che negli anni 90 raggiunse l'ultimo custode sino ad allora ignoto della prigione di via Montalcini, Germano Maccari, completando la mappa degli uomini del covo, Livello A sull'intera progressione, nei limiti dei rispettivi giudicati. Il registro consegna la serie alla sua lettura epistemologica: 5 cicli in 2 decenni non misurano l'incertezza dell'accertamento ma la sua profondità crescente, ed il piano primo del caso, l'esecuzione, risulta all'esito il fatto di terrorismo più compiutamente giudicato della storia repubblicana, il che rende tanto più nitido, per contrasto, il perimetro dei piani che i medesimi 2 decenni non hanno saturato.</w:t>
      </w:r>
    </w:p>
    <w:p>
      <w:pPr>
        <w:spacing w:after="120" w:line="276"/>
        <w:jc w:val="both"/>
      </w:pPr>
      <w:r>
        <w:rPr>
          <w:rFonts w:ascii="Barlow Semi Condensed" w:cs="Barlow Semi Condensed" w:eastAsia="Barlow Semi Condensed" w:hAnsi="Barlow Semi Condensed"/>
          <w:sz w:val="24"/>
          <w:szCs w:val="24"/>
        </w:rPr>
        <w:t xml:space="preserve">Alla coppia dei dissociati il registro dedica l'annotazione di metodo che il loro statuto impone. Morucci e Faranda, usciti dall'organizzazione nel dissenso sull'esito del sequestro e divenuti, dal carcere, la fonte interna più organica sulla meccanica dei 55 giorni, consegnarono una ricostruzione che i giudici sottoposero a riscontro e largamente recepirono, e che resta il principale reticolo dichiarativo interno sul caso: fonte preziosa e, per costruzione, perimetrata, giacché il dissociato attesta ciò che ha visto dal proprio segmento e la compartimentazione brigatista faceva del segmento la misura di ogni sguardo, Livello A quanto al recepimento giudiziale riscontrato, Livello B quanto alle porzioni di racconto non autonomamente riscontrate. Su questa perimetrazione il registro fonda la sua regola di lettura del caso: l'organizzazione fu processualmente trasparente sino al confine delle sue paratie interne, e ciò che le paratie separavano, chi decise cosa, chi sapeva quanto, resta materia in cui la voce dei protagonisti vale come reperto e non come mappa, secondo la disciplina della fonte che l'intera opera osserva.</w:t>
      </w:r>
    </w:p>
    <w:p>
      <w:pPr>
        <w:spacing w:after="120" w:line="276"/>
        <w:jc w:val="both"/>
      </w:pPr>
      <w:r>
        <w:rPr>
          <w:rFonts w:ascii="Barlow Semi Condensed" w:cs="Barlow Semi Condensed" w:eastAsia="Barlow Semi Condensed" w:hAnsi="Barlow Semi Condensed"/>
          <w:sz w:val="24"/>
          <w:szCs w:val="24"/>
        </w:rPr>
        <w:t xml:space="preserve">La parabola della direzione esecutiva si chiuse con una data che il registro fissa quale spartiacque della guerra brigatista: il 4 aprile 1981 Mario Moretti fu catturato a Milano, dopo 9 anni di latitanza ininterrotta che ne avevano fatto il più longevo dirigente clandestino dell'organizzazione, e con il suo arresto si spense la continuità di comando che aveva attraversato l'intera parabola, dalla fondazione della colonna milanese alla gestione diretta del sequestro e della prigione, Livello A quanto alla cattura ed alla sua collocazione. Sulle responsabilità, i cicli processuali censiti consegnarono al capo brigatista una pluralità di ergastoli irrevocabili, comprensivi della direzione dell'operazione di via Fani e dell'esecuzione materiale del 9 maggio che il capitolo 6 certifica, Livello A. Alla voce delle fonti appartiene infine la produzione memorialistica del prigioniero di lungo corso: il libro-intervista consegnato nei primi anni 90 a 2 interlocutrici della sinistra intellettuale, nel quale Moretti rivendicò l'integrale autonomia dell'operazione e dell'organizzazione da ogni regia o infiltrazione esterna, costituisce la controparte simmetrica delle narrazioni dei dissociati, e la disciplina dell'Indice di Contaminazione della Fonte gli assegna lo statuto che merita: fonte di parte massimamente interessata alla tesi dell'autosufficienza, il cui valore è documentale quanto alla posizione rivendicata e nullo quanto alla certificazione dei fatti negati, Livello C, giacché, come il registro ha già annotato per l'assolto divenuto storico di sé stesso, l'ultima parola del protagonista è un reperto sul protagonista, non sul mondo.</w:t>
      </w:r>
    </w:p>
    <w:p>
      <w:pPr>
        <w:spacing w:after="120" w:line="276"/>
        <w:jc w:val="both"/>
      </w:pPr>
      <w:r>
        <w:rPr>
          <w:rFonts w:ascii="Barlow Semi Condensed" w:cs="Barlow Semi Condensed" w:eastAsia="Barlow Semi Condensed" w:hAnsi="Barlow Semi Condensed"/>
          <w:sz w:val="24"/>
          <w:szCs w:val="24"/>
        </w:rPr>
        <w:t xml:space="preserve">La deliberazione va corredata del suo documento programmatico, che il registro censisce quale atto fondativo della campagna: la risoluzione della Direzione strategica approvata nel febbraio 1978, il testo dottrinale che l'organizzazione diffuse alla vigilia dell'operazione e che teorizzava l'attacco al cuore dello Stato, individuando nella Democrazia cristiana il perno del sistema da disarticolare e nella fase politica in corso, la solidarietà nazionale, il momento della massima vulnerabilità dell'avversario, Livello A quanto al documento, alla sua data ed al suo contenuto, acquisiti agli atti dei processi. Il registro sottolinea il valore probatorio che i giudicati assegnarono al testo: la risoluzione dimostra che la scelta del bersaglio discese da un'analisi politica formalizzata prima dell'azione, non da un'improvvisazione né da una commissione esterna documentata, e costituisce perciò uno dei pilastri della ricostruzione dell'autonomia deliberativa che il piano primo certifica, ferma restando, sui piani ulteriori, la distinzione che il capitolo 10 governa. Nella grammatica documentale del caso, il febbraio 1978 consegna così il suo chiasmo: mentre la Direzione strategica metteva per iscritto le ragioni dell'attacco alla mediazione, il mediatore metteva a punto, per l'aula del 28 febbraio, le ragioni della mediazione, e i 2 testi, la risoluzione ed il discorso, si fronteggiano negli archivi come i 2 programmi incompatibili di cui via Fani fu, 16 giorni dopo, il punto di collisione.</w:t>
      </w:r>
    </w:p>
    <w:p>
      <w:pPr>
        <w:spacing w:after="120" w:line="276"/>
        <w:jc w:val="both"/>
      </w:pPr>
      <w:r>
        <w:rPr>
          <w:rFonts w:ascii="Barlow Semi Condensed" w:cs="Barlow Semi Condensed" w:eastAsia="Barlow Semi Condensed" w:hAnsi="Barlow Semi Condensed"/>
          <w:sz w:val="24"/>
          <w:szCs w:val="24"/>
        </w:rPr>
        <w:t xml:space="preserve">Alla logistica dell'organizzazione appartiene il cedimento postumo che il registro data con precisione: il 17 maggio 1978, a 8 giorni da via Caetani, le indagini individuarono in via Pio Foà, a Roma, la tipografia clandestina che aveva stampato i comunicati della campagna, con il sequestro delle attrezzature e l'arresto del tipografo, primo squarcio nella struttura logistica romana cui seguirono, nelle settimane successive, ulteriori cadute di basi e copertura, Livello A quanto alla scoperta, alla data ed ai sequestri. La collocazione temporale è il dato analitico: la macchina investigativa che nei 55 giorni non aveva raggiunto un solo gangli della rete cominciò a smontarla a epilogo consumato, e questa asimmetria tra il prima ed il dopo, che il piano secondo registra senza spiegarla, alimentò già nei contemporanei la domanda che le Commissioni avrebbero formalizzato: se la penetrabilità dimostrata dal poi fosse la misura di una possibilità mancata nel durante, o se, al contrario, fosse stato proprio l'epilogo, con il rilassamento delle paratie e la dispersione degli uomini, a rendere penetrabile ciò che prima non lo era. Il registro custodisce la domanda nella sua forma aperta, che è l'unica certificabile, ed annota il solo teorema che i fatti autorizzano: la rete che resse 55 giorni non resse 55 giorni più 8.</w:t>
      </w:r>
    </w:p>
    <w:p>
      <w:pPr>
        <w:spacing w:after="120" w:line="276"/>
        <w:jc w:val="both"/>
      </w:pPr>
      <w:r>
        <w:rPr>
          <w:rFonts w:ascii="Barlow Semi Condensed" w:cs="Barlow Semi Condensed" w:eastAsia="Barlow Semi Condensed" w:hAnsi="Barlow Semi Condensed"/>
          <w:sz w:val="24"/>
          <w:szCs w:val="24"/>
        </w:rPr>
        <w:t xml:space="preserve">Alla contabilità giudiziaria della colonna appartiene infine la coda perpetua delle contumacie, che il registro censisce quale eccezione permanente all'esecuzione dei giudicati: tra i condannati in via definitiva per il sequestro e l'eccidio figurano Alessio Casimirri, riparato in Nicaragua prima della stagione degli arresti e mai raggiunto dall'esecuzione, protetto da uno status consolidato nel Paese centroamericano che ogni iniziativa estradizionale italiana ha trovato inespugnabile, ed Alvaro Lojacono, sottratto all'esecuzione italiana dalla cittadinanza elvetica e dalle regole di quell'ordinamento sulla non estradizione dei propri nazionali, Livello A quanto alle condanne definitive ed alla condizione di inesecuzione, nei limiti degli atti. Il registro consegna le 2 posizioni alla loro funzione sistemica: esse dimostrano che la geografia della protezione censita per il versante nero nella Fase 3, i santuari iberici e latinoamericani delle latitanze ordinoviste, ebbe il proprio speculare sul versante rosso, con approdi diversi e meccanica identica, la frontiera quale ultimo grado di giudizio, e che la mappa internazionale dell'impunità, cui la Fase 5 dedicherà il proprio teatro, è bipartisan per costruzione: i codici ideologici dividono gli uomini, i rifugi li accomunano.</w:t>
      </w:r>
    </w:p>
    <w:p>
      <w:pPr>
        <w:spacing w:after="120" w:line="276"/>
        <w:jc w:val="both"/>
      </w:pPr>
      <w:r>
        <w:rPr>
          <w:rFonts w:ascii="Barlow Semi Condensed" w:cs="Barlow Semi Condensed" w:eastAsia="Barlow Semi Condensed" w:hAnsi="Barlow Semi Condensed"/>
          <w:sz w:val="24"/>
          <w:szCs w:val="24"/>
        </w:rPr>
        <w:t xml:space="preserve">Alla contabilità dei giudicati appartiene, per completezza documentale, la loro esecuzione nel tempo, che il registro censisce quale dato di ordinamento: le condanne all'ergastolo irrevocabili per via Fani e per il sequestro sono transitate, nei decenni, attraverso gli istituti dell'esecuzione penale ordinaria, la liberazione condizionale, la semilibertà, i benefici della legislazione premiale e dell'ordinamento penitenziario riformato, sicché nessuno dei condannati del nucleo storico sconta oggi detenzione in forma piena, Livello A quanto al quadro complessivo degli esiti esecutivi, quale risulta dagli atti pubblici. Il registro riporta il dato spoglio di ogni valutazione, che non gli compete, e ne fissa la sola funzione analitica: la parabola esecutiva documenta che lo Stato applicò agli autori del fatto più grave della sua storia repubblicana l'ordinamento comune, senza regimi d'eccezione perpetui, e questa normalità dell'esecuzione, qualunque giudizio se ne dia, è essa stessa un reperto sul sistema, la controprova per fatti concludenti che la Repubblica uscita dai 55 giorni scelse di vincere la propria guerra dentro le regole che l'avversario aveva dichiarato di voler abbattere. La circostanza che i protagonisti liberi della vicenda ne siano divenuti, come i capitoli hanno censito, i narratori pubblici appartiene alla medesima parabola: il registro l'ha già disciplinata sul piano delle fonti, e qui la chiude sul piano dei fatti.</w:t>
      </w:r>
    </w:p>
    <w:p>
      <w:pPr>
        <w:spacing w:after="120" w:line="276"/>
        <w:jc w:val="both"/>
      </w:pPr>
      <w:r>
        <w:rPr>
          <w:rFonts w:ascii="Barlow Semi Condensed" w:cs="Barlow Semi Condensed" w:eastAsia="Barlow Semi Condensed" w:hAnsi="Barlow Semi Condensed"/>
          <w:sz w:val="24"/>
          <w:szCs w:val="24"/>
        </w:rPr>
        <w:t xml:space="preserve">La genealogia operativa dell'azione del 1978 ha il suo antecedente maggiore nel sequestro del giudice Mario Sossi, che il registro censisce quale matrice sperimentale di ogni grammatica successiva: il sostituto procuratore genovese fu sequestrato dall'organizzazione il 18 aprile 1974 e detenuto per 35 giorni, sottoposto al primo processo proletario della storia brigatista, con comunicati numerati, fotografia del prigioniero sotto l'insegna e richiesta di scambio con i detenuti di un gruppo armato genovese; la Corte d'appello concesse la libertà provvisoria richiesta, il procuratore generale Francesco Coco ne bloccò l'esecuzione con il ricorso, e l'organizzazione rilasciò unilateralmente il prigioniero il 23 maggio, incassando la dimostrazione politica e rinviando il conto, che 2 anni dopo, con l'agguato al medesimo procuratore generale già censito, avrebbe saldato nel sangue, Livello A sull'intera vicenda giudicata. Il registro fissa la funzione del precedente: il 1974 genovese contiene, in scala ridotta e con esito incruento per l'ostaggio, l'intero repertorio del 1978, il processo, i comunicati, la foto, lo scambio, la contesa tra i poteri dello Stato sulla trattabilità, e la distanza tra i 2 epiloghi, il rilascio di Sossi e via Caetani, misura esattamente il cammino compiuto dall'organizzazione nel quadriennio, dalla propaganda armata che restituisce l'ostaggio alla guerra dichiarata che lo giustizia.</w:t>
      </w:r>
    </w:p>
    <w:p>
      <w:pPr>
        <w:spacing w:after="120" w:line="276"/>
        <w:jc w:val="both"/>
      </w:pPr>
      <w:r>
        <w:rPr>
          <w:rFonts w:ascii="Barlow Semi Condensed" w:cs="Barlow Semi Condensed" w:eastAsia="Barlow Semi Condensed" w:hAnsi="Barlow Semi Condensed"/>
          <w:sz w:val="24"/>
          <w:szCs w:val="24"/>
        </w:rPr>
        <w:t xml:space="preserve">Al medesimo quadriennio appartiene il teatro giudiziario parallelo che accompagnò i 55 giorni e che il registro censisce quale loro specchio istituzionale: il processo al nucleo storico dell'organizzazione, apertosi a Torino dopo anni di rinvii imposti dall'intimidazione sistematica, l'uccisione nel 1977 del presidente dell'ordine degli avvocati torinesi Fulvio Croce, incaricato delle difese d'ufficio, e la renitenza di massa dei cittadini estratti quali giurati, si celebrò infine, in aula blindata, negli stessi mesi del sequestro, sicché la primavera del 1978 vide la Repubblica e l'organizzazione processarsi reciprocamente in simultanea, lo Stato a Torino con i fondatori alla sbarra, l'organizzazione nella prigione del popolo con il presidente della Democrazia cristiana, e la sentenza torinese di condanna giunse il 23 giugno 1978, a 45 giorni da via Caetani, Livello A quanto alla scansione ed agli esiti. Il registro consegna la simultaneità alla sua lettura documentale: il sequestro fu anche, per dichiarazione della stessa organizzazione nei comunicati censiti, la risposta di piazza al processo di Torino, ed il duello delle 2 aule, quella dello Stato e quella sedicente del popolo, con i loro 2 verdetti sfalsati di poche settimane, è la messa in scena più nitida che la stagione abbia prodotto del conflitto tra i 2 ordinamenti che si contendevano, nel 1978, il monopolio della giustizia.</w:t>
      </w:r>
    </w:p>
    <w:p>
      <w:pPr>
        <w:spacing w:after="120" w:line="276"/>
        <w:jc w:val="both"/>
      </w:pPr>
      <w:r>
        <w:rPr>
          <w:rFonts w:ascii="Barlow Semi Condensed" w:cs="Barlow Semi Condensed" w:eastAsia="Barlow Semi Condensed" w:hAnsi="Barlow Semi Condensed"/>
          <w:sz w:val="24"/>
          <w:szCs w:val="24"/>
        </w:rPr>
        <w:t xml:space="preserve">La campagna di avvicinamento al sequestro ebbe infine il suo bersaglio funzionale più eloquente, che il registro aggiunge ai caduti già censiti delle settimane precedenti: il 14 febbraio 1978, un mese e 2 giorni prima di via Fani, fu assassinato a Roma il magistrato Riccardo Palma, addetto alla direzione generale competente sull'edilizia penitenziaria, colpito quale responsabile tecnico del programma delle carceri speciali, Livello A quanto al fatto ed alla rivendicazione. La selezione del bersaglio è il reperto: l'organizzazione che si apprestava a catturare il massimo prigioniero politico della propria storia colpì, alla vigilia, l'uomo dello Stato che costruiva le prigioni destinate ai suoi militanti, in una simmetria carceraria che i documenti interni della campagna avrebbero reso esplicita e che il registro annota quale ulteriore prova della pianificazione lunga: la primavera del 1978 fu preparata colpendo, uno per uno, i gangli funzionali della risposta dello Stato, il maresciallo dell'antiterrorismo torinese, il magistrato delle carceri, secondo una progressione che i giudicati avrebbero ricostruito e che priva retrospettivamente l'agguato di via Fani di ogni carattere di fulmine a ciel sereno: il cielo era annunciato da mesi, e la contabilità dei caduti dell'inverno ne è l'archivio.</w:t>
      </w:r>
    </w:p>
    <w:p>
      <w:pPr>
        <w:spacing w:after="120" w:line="276"/>
        <w:jc w:val="both"/>
      </w:pPr>
      <w:r>
        <w:rPr>
          <w:rFonts w:ascii="Barlow Semi Condensed" w:cs="Barlow Semi Condensed" w:eastAsia="Barlow Semi Condensed" w:hAnsi="Barlow Semi Condensed"/>
          <w:sz w:val="24"/>
          <w:szCs w:val="24"/>
        </w:rPr>
        <w:t xml:space="preserve">Alla nomenclatura interna dell'operazione appartiene infine il reperto onomastico che la memorialistica dei protagonisti e le acquisizioni convergenti consegnano: nel lessico cifrato dell'organizzazione l'operazione ed il prigioniero furono designati con il nome in codice Fritz, l'etichetta che ricorre nelle ricostruzioni interne della gestione dei 55 giorni, Livello B quanto al dato, fondato sulla convergenza delle fonti dichiarative interne. Il registro censisce il nome per la sua funzione documentale minima e lo consegna senza sovrainterpretazioni: la scelta di un nome tedesco per il prigioniero italiano appartiene alla fenomenologia del gergo clandestino, che il metodo registra quale traccia e non decifra quale messaggio, e la sua utilità per l'opera sta altrove, nel fornire la chiave lessicale con cui riconoscere, nelle fonti interne citate lungo la fase, i riferimenti all'operazione quando i documenti evitano il nome vero.</w:t>
      </w:r>
    </w:p>
    <w:p>
      <w:pPr>
        <w:spacing w:after="120" w:line="276"/>
        <w:jc w:val="both"/>
      </w:pPr>
      <w:r>
        <w:rPr>
          <w:rFonts w:ascii="Barlow Semi Condensed" w:cs="Barlow Semi Condensed" w:eastAsia="Barlow Semi Condensed" w:hAnsi="Barlow Semi Condensed"/>
          <w:sz w:val="24"/>
          <w:szCs w:val="24"/>
        </w:rPr>
        <w:t xml:space="preserve">La dissoluzione dell'organizzazione ebbe infine il suo strumento decisivo, che il registro censisce quale contrappunto istituzionale dell'intera parabola: la legislazione premiale, inaugurata dal decreto antiterrorismo del dicembre 1979 convertito nella legge del febbraio 1980 e compiuta dalla legge del 29 maggio 1982 numero 304 sulla dissociazione e la collaborazione, che scambiò riduzioni di pena con la rottura del vincolo clandestino e produsse, nel triennio, l'emorragia di collaboratori che i processi censiti in questo capitolo incorporarono, Livello A quanto agli strumenti normativi ed ai loro effetti processuali documentati. Il registro fissa la lettura strutturale che la sequenza impone: l'organizzazione che aveva retto militarmente all'urto dei 55 giorni e delle stagioni successive fu dissolta non da un'operazione ma da un istituto giuridico, che ne aggredì il fondamento antropologico, l'irreversibilità della scelta clandestina, offrendo a ciascun militante un prezzo individuale per l'uscita; e la rapidità del crollo, misurabile nella progressione delle catture e dei covi caduti tra il 1980 ed il 1982 su indicazione dei collaboratori, dimostra che la compartimentazione censita quale forza dei 55 giorni era anche la debolezza speculare del sistema, poiché ogni nodo che si arrendeva consegnava per intero il proprio comparto. Nella contabilità della fase, la legge premiale è perciò la vera vincitrice del duello che il capitolo ha ricostruito: lo Stato che non aveva trovato la prigione di via Montalcini in 55 giorni di caccia smantellò l'intera organizzazione in 36 mesi di codice, e la sproporzione tra i 2 esiti è la misura esatta della differenza, che l'intera opera documenta, tra la forza degli apparati e la forza degli ordinamenti.</w:t>
      </w:r>
    </w:p>
    <w:p>
      <w:pPr>
        <w:spacing w:after="120" w:line="276"/>
        <w:jc w:val="both"/>
      </w:pPr>
      <w:r>
        <w:rPr>
          <w:rFonts w:ascii="Barlow Semi Condensed" w:cs="Barlow Semi Condensed" w:eastAsia="Barlow Semi Condensed" w:hAnsi="Barlow Semi Condensed"/>
          <w:sz w:val="24"/>
          <w:szCs w:val="24"/>
        </w:rPr>
        <w:t xml:space="preserve">La diaspora dei latitanti si chiude con l'ultima cattura, che il registro censisce quale sigillo cronologico della vicenda giudiziaria: Rita Algranati, presente sulla scena di via Fani secondo i giudicati e condannata in via definitiva all'ergastolo, fu arrestata al Cairo nel gennaio 2004 e consegnata all'Italia, ultima dei protagonisti dell'agguato ad essere ripresa, 26 anni dopo i fatti, Livello A quanto alla cattura, alla data ed al titolo esecutivo. Il registro annota la misura temporale che il caso consegna: tra il primo arresto della rete del sequestro e l'ultimo corrono oltre 25 anni, un quarto di secolo di esecuzione penale diluita che colloca il caso Moro, anche sotto questo profilo, nella fisiologia patologica dell'intero corpus, dove nessuna resa dei conti è mai stata simultanea e la giustizia ha raggiunto i responsabili per generazioni successive, con l'effetto strutturale che l'opera registra in ogni fase: quando l'ultimo esecutore entra in aula, i mandanti eventuali della prima ora sono ormai, nella migliore delle ipotesi, testimoni anziani, e nella peggiore, lapidi.</w:t>
      </w:r>
    </w:p>
    <w:p>
      <w:pPr>
        <w:spacing w:after="120" w:line="276"/>
        <w:jc w:val="both"/>
      </w:pPr>
      <w:r>
        <w:rPr>
          <w:rFonts w:ascii="Barlow Semi Condensed" w:cs="Barlow Semi Condensed" w:eastAsia="Barlow Semi Condensed" w:hAnsi="Barlow Semi Condensed"/>
          <w:sz w:val="24"/>
          <w:szCs w:val="24"/>
        </w:rPr>
        <w:t xml:space="preserve">La parabola dell'organizzazione esige la sua scheda genetica, che il registro premette ai giudicati: il nucleo fondativo si aggregò tra il 1969 ed il 1970 dalla confluenza tra il collettivo politico metropolitano milanese e l'area emiliana proveniente dalla dissidenza giovanile comunista, con il passaggio attraverso la formazione di Sinistra proletaria e l'adozione della sigla nel corso del 1970, quando le prime azioni firmate colpirono con sabotaggi ed incendi dimostrativi i quadri intermedi della Sit-Siemens e della Pirelli, le 2 fabbriche-laboratorio della militanza originaria, Livello A quanto alla genealogia ed alle prime azioni documentate. Il registro fissa la traiettoria che i giudicati avrebbero poi scandito: dalla propaganda armata di fabbrica del biennio 1970-72, ai sequestri dimostrativi brevi del 1972-74, al salto del 1974 con la prima uccisione e la campagna contro lo Stato, sino alla militarizzazione integrale del 1976-78 che il capitolo censisce, l'organizzazione percorse in 8 anni l'intera scala dell'escalation, e la lettura strutturale che il registro ne trae appartiene al metodo dell'opera: ogni gradino fu superato dopo che il precedente non aveva prodotto la repressione risolutiva, sicché la curva ascendente della violenza brigatista è anche, in negativo, la curva discendente della capacità di risposta tempestiva dello Stato, ed il 16 marzo 1978 sta in cima ad entrambe.</w:t>
      </w:r>
    </w:p>
    <w:p>
      <w:pPr>
        <w:spacing w:after="120" w:line="276"/>
        <w:jc w:val="both"/>
      </w:pPr>
      <w:r>
        <w:rPr>
          <w:rFonts w:ascii="Barlow Semi Condensed" w:cs="Barlow Semi Condensed" w:eastAsia="Barlow Semi Condensed" w:hAnsi="Barlow Semi Condensed"/>
          <w:sz w:val="24"/>
          <w:szCs w:val="24"/>
        </w:rPr>
        <w:t xml:space="preserve">La deliberazione dell'azione esige la mappa dell'organo che la assunse, ed il registro la censisce dai giudicati: al vertice operativo dell'organizzazione sedeva nel 1978 il Comitato esecutivo, l'organo ristretto di 4 membri, Moretti, Bonisoli, Azzolini e Micaletto, che deliberò e sovrintese la campagna di primavera, interfaccia tra la Direzione strategica, sede della linea politica già censita, e le colonne territoriali incaricate dell'esecuzione, Livello A quanto alla composizione ed alle attribuzioni accertate nei processi. Il registro annota la geometria che la mappa consegna alla storia giudiziaria del caso: dei 4 deliberanti, 2 furono catturati con il covo milanese dell'ottobre 1978 ed il terzo nel 1980, sicché a 30 mesi dall'agguato i 3 quarti dell'organo che lo aveva deciso erano detenuti, mentre il quarto, il capo, resse la clandestinità sino all'aprile 1981, e questa velocità di decapitazione, che contrasta con la durata generazionale delle latitanze dei gregari censita nel capitolo, rivela la struttura del prezzo pagato dall'organizzazione: la campagna del 1978 bruciò il vertice che l'aveva concepita nel giro di una stagione militare, e la storia successiva della sigla, le scissioni, la deriva, la dissoluzione premiale, è la storia di un corpo che sopravvisse 4 anni alla propria testa.</w:t>
      </w:r>
    </w:p>
    <w:p>
      <w:pPr>
        <w:spacing w:after="120" w:line="276"/>
        <w:jc w:val="both"/>
      </w:pPr>
      <w:r>
        <w:rPr>
          <w:rFonts w:ascii="Barlow Semi Condensed" w:cs="Barlow Semi Condensed" w:eastAsia="Barlow Semi Condensed" w:hAnsi="Barlow Semi Condensed"/>
          <w:sz w:val="24"/>
          <w:szCs w:val="24"/>
        </w:rPr>
        <w:t xml:space="preserve">La logistica romana dell'operazione esige la sua mappa unitaria, che il registro compone dai giudicati: la campagna poggiò su una costellazione di basi nella capitale, l'appartamento di via Gradoli quale covo direttivo della colonna, la prigione di via Montalcini, la tipografia di via Pio Foà quale officina dei comunicati, oltre agli appoggi minori censiti dalle istruttorie, una rete immobiliare acquisita e gestita con identità di copertura nei mesi e negli anni precedenti l'azione, Livello A quanto alla costellazione accertata nei processi. Il registro consegna la mappa alla sua lettura d'insieme, che le trattazioni per singolo indirizzo disperdono: la geografia delle basi disegna un dispositivo urbano completo, direzione, detenzione, comunicazione, distribuito su quadranti diversi della città e mai interamente caduto durante i 55 giorni, e la sua preesistenza documentata all'agguato, con acquisizioni immobiliari che risalgono a stagioni precedenti, è la prova materiale più solida che il corpus possieda della pianificazione lunga, perché le parole si improvvisano ed i contratti no, sicché la vera data d'inizio dell'operazione Fritz non è il 16 marzo 1978 ma il giorno, mesi ed anni prima, in cui l'organizzazione cominciò a comprare ed affittare la propria Roma parallela, ed è su quel calendario immobiliare, non su quello balistico, che si misura la profondità della decisione.</w:t>
      </w:r>
    </w:p>
    <w:p>
      <w:pPr>
        <w:spacing w:after="120" w:line="276"/>
        <w:jc w:val="both"/>
      </w:pPr>
      <w:r>
        <w:rPr>
          <w:rFonts w:ascii="Barlow Semi Condensed" w:cs="Barlow Semi Condensed" w:eastAsia="Barlow Semi Condensed" w:hAnsi="Barlow Semi Condensed"/>
          <w:sz w:val="24"/>
          <w:szCs w:val="24"/>
        </w:rPr>
        <w:t xml:space="preserve">La prosopografia della colonna esige il suo bilancio generazionale, che il registro formula sui dati anagrafici dei condannati: gli uomini e le donne che condussero l'operazione appartenevano quasi per intero alla generazione nata tra la fine della guerra ed i primi anni Cinquanta, giovani adulti tra i 25 ed i 35 anni al momento dei fatti, di estrazione mista operaia, impiegatizia e studentesca, formatisi politicamente nel decennio 1968-1977 e transitati alla clandestinità attraverso i percorsi che le sentenze ricostruiscono, Livello A quanto ai profili anagrafici dei giudicati. Il registro consegna il dato alla sua lettura storica: l'organizzazione che sequestrò l'uomo della generazione costituente era interamente composta dai figli dell'Italia repubblicana, nati dentro lo Stato che dichiaravano di combattere, e lo scarto anagrafico tra il prigioniero, classe 1916, formato nel regime e protagonista della Costituente, ed i suoi custodi, cresciuti nella democrazia che egli aveva contribuito a fondare, fa del sequestro anche un fatto generazionale estremo, il processo armato che una parte minuscola e perduta dei figli istruì al padre della Repubblica, e questa dimensione, che nessuna aula poteva giudicare, appartiene alla comprensione storica del caso quanto le traiettorie balistiche, perché spiega ciò che i processi non dovevano spiegare, la temperatura del decennio che rese pensabile l'impensabile.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Brigate Rosse è certificato al Livello A quanto alla deliberazione, alla direzione esecutiva di Moretti, alla composizione giudicata del commando di via Fani, alla custodia di via Montalcini con Braghetti, Maccari, Gallinari e Moretti, e alla formazione del quadro in 5 procedimenti irrevocabili lungo 15 anni; l'apparato dichiarativo dell'organizzazione è disciplinato distinguendo le ammissioni recepite dalle esclusioni da riscontrare, con la formula per cui l'assenza di prova del concorso esterno non è prova dell'assenza; la genealogia comune con la componente Simioni, poi parigina, è certificata al Livello A e consegnata al nodo Hyperion.</w:t>
      </w:r>
    </w:p>
    <w:p>
      <w:pPr>
        <w:pStyle w:val="Heading3"/>
        <w:spacing w:after="80" w:before="160"/>
      </w:pPr>
      <w:r>
        <w:rPr>
          <w:rFonts w:ascii="Barlow Semi Condensed" w:cs="Barlow Semi Condensed" w:eastAsia="Barlow Semi Condensed" w:hAnsi="Barlow Semi Condensed"/>
          <w:sz w:val="24"/>
          <w:szCs w:val="24"/>
        </w:rPr>
        <w:t xml:space="preserve">Capitolo 4 — ■ I 55 giorni. La condotta dello Stato, le anomalie e i depistaggi</w:t>
      </w:r>
    </w:p>
    <w:p>
      <w:pPr>
        <w:spacing w:after="120" w:line="276"/>
        <w:jc w:val="both"/>
      </w:pPr>
      <w:r>
        <w:rPr>
          <w:rFonts w:ascii="Barlow Semi Condensed" w:cs="Barlow Semi Condensed" w:eastAsia="Barlow Semi Condensed" w:hAnsi="Barlow Semi Condensed"/>
          <w:sz w:val="24"/>
          <w:szCs w:val="24"/>
        </w:rPr>
        <w:t xml:space="preserve">I 55 giorni tra l'agguato e il ritrovamento del corpo sono il nodo-evento del piano secondo: la condotta delle istituzioni e degli apparati durante il sequestro, che il registro ricostruisce nei suoi fatti certificati, nelle sue anomalie documentate e nei suoi depistaggi accertati, mantenendo su ogni elemento la decomposizione dei piani. Il quadro istituzionale è certificato al Livello A: il governo tenne la linea della fermezza, il rifiuto di ogni trattativa ufficiale con l'organizzazione, sostenuta dai 2 maggiori partiti e contrastata, nel sistema politico, dall'area socialista favorevole all'esplorazione umanitaria; presso il Ministero dell'interno, retto da Francesco Cossiga, operarono i comitati di crisi, tecnico-operativo e informativo, che coordinarono le ricerche; e le ricerche, condotte con uno spiegamento di forze senza precedenti, decine di migliaia di uomini, centinaia di migliaia di perquisizioni e controlli, non individuarono mai né la prigione né i sequestratori.</w:t>
      </w:r>
    </w:p>
    <w:p>
      <w:pPr>
        <w:spacing w:after="120" w:line="276"/>
        <w:jc w:val="both"/>
      </w:pPr>
      <w:r>
        <w:rPr>
          <w:rFonts w:ascii="Barlow Semi Condensed" w:cs="Barlow Semi Condensed" w:eastAsia="Barlow Semi Condensed" w:hAnsi="Barlow Semi Condensed"/>
          <w:sz w:val="24"/>
          <w:szCs w:val="24"/>
        </w:rPr>
        <w:t xml:space="preserve">Il primo pilastro è la compresenza piduista nei comitati di crisi, che il registro certifica al Livello A sul fondamento degli accertamenti della Commissione Anselmi e salda alle acquisizioni della Fase 2. I vertici dei servizi che sedevano negli organismi di gestione della crisi, il direttore del servizio militare Santovito, il direttore del servizio civile Grassini, il prefetto Pelosi al coordinamento, risulteranno iscritti alla loggia P2, come la Fase 2 ha certificato quale cattura del vertice informativo; e negli elenchi sequestrati nel 1981 figureranno ulteriori funzionari e ufficiali con ruoli nella stagione. Il registro certifica al Livello A la compresenza, quale fatto documentale incontrovertibile: gli organismi che gestirono la ricerca di Moro erano diretti, nelle loro componenti informative, da uomini appartenenti alla loggia coperta. E applica immediatamente il divieto: la compresenza certificata non prova che la loggia abbia orientato la gestione, né che l'esito delle ricerche sia stato deliberato; essa colloca la gestione della crisi dentro il perimetro della cattura piduista già certificata, e consegna al piano terzo, quale ipotesi, ogni lettura finalistica. La lente della doppia lealtà, dichiarata in avvertenza, trova qui il suo primo oggetto: la condotta di uomini simultaneamente vincolati all'istituzione e alla loggia è il fenomeno che quella lente mette a fuoco, senza per questo trasformare la messa a fuoco in prova.</w:t>
      </w:r>
    </w:p>
    <w:p>
      <w:pPr>
        <w:spacing w:after="120" w:line="276"/>
        <w:jc w:val="both"/>
      </w:pPr>
      <w:r>
        <w:rPr>
          <w:rFonts w:ascii="Barlow Semi Condensed" w:cs="Barlow Semi Condensed" w:eastAsia="Barlow Semi Condensed" w:hAnsi="Barlow Semi Condensed"/>
          <w:sz w:val="24"/>
          <w:szCs w:val="24"/>
        </w:rPr>
        <w:t xml:space="preserve">Il secondo pilastro è la sequenza delle anomalie documentate, che il registro censisce nelle 3 principali con la qualificazione propria di ciascuna. La prima è la vicenda di via Gradoli: il covo della colonna romana, base di Moretti e Balzerani, al civico 96 di via Gradoli a Roma, fu scoperto il 18 aprile per una perdita d'acqua segnalata dai vicini, dopo che, nelle settimane precedenti, il nome Gradoli era emerso in una circostanza tanto documentata quanto singolare, una seduta spiritica tenuta il 2 aprile presso docenti universitari bolognesi, a seguito della quale le verifiche si erano dirette sul comune di Gradoli nel Viterbese e non sulla via romana, che pure esisteva nello stradario; il registro certifica al Livello A l'intera sequenza fattuale, quale risultanza degli atti parlamentari, e la registra senza attribuirle significato ulteriore, annotando che essa documenta, quale che ne sia la spiegazione, la qualità della circolazione informativa attorno alle ricerche. La seconda anomalia è il falso comunicato del lago della Duchessa: il 18 aprile, lo stesso giorno della scoperta del covo, fu diffuso un falso comunicato numero 7 dell'organizzazione, che annunciava l'avvenuta esecuzione del prigioniero e l'occultamento del corpo nel lago della Duchessa, sull'Appennino reatino, innescando imponenti e vane operazioni di ricerca; le perizie e gli accertamenti successivi attribuirono la confezione del falso a Antonio Chichiarelli, falsario romano gravitante nell'orbita della banda della Magliana, mai processato per il fatto perché assassinato nel 1984. Il registro certifica al Livello A la falsità del comunicato e il suo effetto diversivo, e al Livello B l'attribuzione a Chichiarelli, quale convergenza di accertamenti tecnici non consacrata da giudicato; e dichiara il rilievo reticolare dell'attribuzione: essa introduce nel caso Moro, attraverso il falsario, l'orbita della banda della Magliana certificata nella Fase 1, e costituisce l'arco documentato tra il quadrilatero criminale romano e la gestione comunicativa del sequestro, la cui direzione e il cui scopo, depistaggio a beneficio di chi, restano al Livello C. La terza anomalia è il complesso delle segnalazioni non sviluppate, censite dalle commissioni: indicazioni pervenute durante i 55 giorni e non adeguatamente riscontrate, che il registro registra cumulativamente al Livello A quanto alla loro esistenza documentale e al Livello C quanto a ogni lettura intenzionale.</w:t>
      </w:r>
    </w:p>
    <w:p>
      <w:pPr>
        <w:spacing w:after="120" w:line="276"/>
        <w:jc w:val="both"/>
      </w:pPr>
      <w:r>
        <w:rPr>
          <w:rFonts w:ascii="Barlow Semi Condensed" w:cs="Barlow Semi Condensed" w:eastAsia="Barlow Semi Condensed" w:hAnsi="Barlow Semi Condensed"/>
          <w:sz w:val="24"/>
          <w:szCs w:val="24"/>
        </w:rPr>
        <w:t xml:space="preserve">Il terzo pilastro è la questione della trattativa e dei canali, che il registro tratta per la sua rilevanza sul piano della condotta. Accanto alla linea ufficiale della fermezza, gli atti documentano l'attivazione di canali non ufficiali: le esplorazioni dell'area socialista attraverso intermediari verso l'ambiente dell'organizzazione, documentate al Livello A dalle testimonianze convergenti dei protagonisti; e i sondaggi verso ambienti della criminalità organizzata per la localizzazione della prigione, riferiti da una pluralità di collaboratori di giustizia e di atti parlamentari, secondo cui esponenti della malavita romana e di organizzazioni meridionali furono interpellati, con esiti nulli o interrotti; il registro certifica al Livello B l'esistenza di tali sondaggi, quale convergenza di fonti dichiarative plurime di diversa provenienza, e mantiene al Livello C ogni ricostruzione dei loro sviluppi e delle ragioni della loro sterilità. L'annotazione sistemica è dovuta: la circostanza che lo Stato, nel suo momento di massima emergenza, abbia sondato il Dominio 1 quale possessore di capacità informativa territoriale superiore alla propria è, nei limiti della certificazione, un reperto sulla distribuzione reale della conoscenza del territorio che l'intera opera registra.</w:t>
      </w:r>
    </w:p>
    <w:p>
      <w:pPr>
        <w:spacing w:after="120" w:line="276"/>
        <w:jc w:val="both"/>
      </w:pPr>
      <w:r>
        <w:rPr>
          <w:rFonts w:ascii="Barlow Semi Condensed" w:cs="Barlow Semi Condensed" w:eastAsia="Barlow Semi Condensed" w:hAnsi="Barlow Semi Condensed"/>
          <w:sz w:val="24"/>
          <w:szCs w:val="24"/>
        </w:rPr>
        <w:t xml:space="preserve">Il registro chiude il quadro istituzionale con il dato della responsabilità politica assunta: la mattina del 9 maggio, alla notizia del ritrovamento del corpo, il ministro dell'interno Francesco Cossiga, titolare della gestione della crisi e dei comitati, rassegnò le dimissioni, motivandole con il fallimento dell'azione di ricerca e protezione; il registro certifica al Livello A le dimissioni quale unico atto formale di assunzione di responsabilità istituzionale dell'intera vicenda, e annota che il nome di Cossiga ricorre nel corpus 343 volte in 40 documenti, misura della centralità della sua posizione in ogni successiva ricostruzione dei 55 giorni, incluse le sue stesse dichiarazioni pubbliche dei decenni seguenti, che il registro tratta quale apparato di fonte protagonista, ricco, mutevole e da riscontrare enunciato per enunciato.</w:t>
      </w:r>
    </w:p>
    <w:p>
      <w:pPr>
        <w:spacing w:after="120" w:line="276"/>
        <w:jc w:val="both"/>
      </w:pPr>
      <w:r>
        <w:rPr>
          <w:rFonts w:ascii="Barlow Semi Condensed" w:cs="Barlow Semi Condensed" w:eastAsia="Barlow Semi Condensed" w:hAnsi="Barlow Semi Condensed"/>
          <w:sz w:val="24"/>
          <w:szCs w:val="24"/>
        </w:rPr>
        <w:t xml:space="preserve">Il quarto pilastro è la presenza del consulente americano, che il registro certifica nei fatti e disciplina nelle dichiarazioni. Nei primi giorni del sequestro giunse a Roma, su richiesta italiana al governo degli Stati Uniti, un esperto del Dipartimento di Stato in gestione di crisi e negoziazione, Steve Pieczenik, che operò per alcune settimane presso il Ministero dell'interno a supporto del comitato di crisi, ripartendo prima della conclusione della vicenda. Il registro certifica al Livello A la presenza, la collocazione e la durata della consulenza, quali fatti documentati negli atti parlamentari; e disciplina l'apparato dichiarativo successivo del consulente, che a distanza di decenni ha reso, in sedi giornalistiche e in audizioni, ricostruzioni del proprio ruolo di crescente drammaticità, sino ad attribuire alla gestione della crisi strategie deliberate di sacrificio dell'ostaggio: il registro le assume quali dichiarazioni tardive, mutevoli nelle versioni e prive di riscontro documentale coevo, e le mantiene al Livello C, certificando al Livello A soltanto ciò che la presenza documenta di per sé, l'esistenza di un canale consultivo diretto tra la gestione italiana della crisi e l'apparato della potenza alleata, attivo nelle settimane centrali del sequestro: un arco di Livello A tra il piano secondo e la dimensione atlantica, il cui contenuto operativo resta ai livelli inferiori.</w:t>
      </w:r>
    </w:p>
    <w:p>
      <w:pPr>
        <w:spacing w:after="120" w:line="276"/>
        <w:jc w:val="both"/>
      </w:pPr>
      <w:r>
        <w:rPr>
          <w:rFonts w:ascii="Barlow Semi Condensed" w:cs="Barlow Semi Condensed" w:eastAsia="Barlow Semi Condensed" w:hAnsi="Barlow Semi Condensed"/>
          <w:sz w:val="24"/>
          <w:szCs w:val="24"/>
        </w:rPr>
        <w:t xml:space="preserve">Il quinto pilastro è la questione delle intestazioni di via Gradoli, che completa il censimento delle anomalie. Le inchieste parlamentari accertarono che nello stabile del civico 96, e in immobili contigui della medesima strada, una quota cospicua di appartamenti risultava riconducibile, attraverso intestazioni societarie e fiduciarie, ad ambienti collegati ai servizi di sicurezza, che ne avevano fatto un'area di appoggi riservati; la base della colonna romana operò dunque, per mesi, in un contesto immobiliare frequentato dagli apparati. Il registro certifica al Livello B questa configurazione, quale risultanza delle ricognizioni parlamentari sulle intestazioni, e applica il divieto nella forma più stretta: la coabitazione topografica tra il covo e gli appoggi degli apparati è un dato di convergenza spaziale del Pattern 10, certificato quale configurazione; ogni inferenza di conoscenza o tolleranza resta al Livello C, e il registro annota che questo caso, la più stretta convergenza spaziale non spiegata dell'opera, è il luogo dove la distinzione tra il pattern e la prova va tenuta con la massima fermezza, giacché la suggestione topografica è qui al suo massimo e la documentazione del nesso al suo minimo.</w:t>
      </w:r>
    </w:p>
    <w:p>
      <w:pPr>
        <w:spacing w:after="120" w:line="276"/>
        <w:jc w:val="both"/>
      </w:pPr>
      <w:r>
        <w:rPr>
          <w:rFonts w:ascii="Barlow Semi Condensed" w:cs="Barlow Semi Condensed" w:eastAsia="Barlow Semi Condensed" w:hAnsi="Barlow Semi Condensed"/>
          <w:sz w:val="24"/>
          <w:szCs w:val="24"/>
        </w:rPr>
        <w:t xml:space="preserve">Il sesto pilastro scandisce la sequenza dei comunicati dell'organizzazione, l'ossatura comunicativa dei 55 giorni, che il registro fissa con le date quale apparato certificato al Livello A. Il comunicato numero 1, del 18 marzo, rivendicò l'azione e recò la prima fotografia del prigioniero davanti alla bandiera dell'organizzazione, annunciando il processo; il numero 2, del 25 marzo, e il numero 3, del 29 marzo, svilupparono la cornice del processo al regime, e con il terzo giunse la prima lettera, quella al ministro dell'interno; il numero 4, del 4 aprile, e il numero 5, del 10 aprile, proseguirono la scansione, respingendo le letture riduttive della prigionia; il numero 6, del 15 aprile, annunciò la conclusione del processo e la condanna a morte del prigioniero, portando la crisi alla soglia terminale; il 18 aprile circolò il falso comunicato numero 7, l'annuncio della morte al lago della Duchessa, cui l'organizzazione rispose il 20 aprile con il comunicato numero 7 autentico, accompagnato dalla fotografia del prigioniero con la prima pagina di un quotidiano del 19 aprile, prova di vita e smentita del falso, e con un ultimatum di 48 ore; il numero 8, del 24 aprile, formulò la richiesta di scambio nella sua forma esplicita, la liberazione di 13 detenuti nominativamente elencati; il numero 9, del 5 maggio, annunciò l'esecuzione della sentenza con la formula della conclusione della battaglia, cui seguirono, il 9 maggio, la telefonata e il ritrovamento. Il registro certifica la sequenza quale spina documentale della crisi e ne trae 2 annotazioni: la simmetria informativa rovesciata, per cui durante i 55 giorni l'organizzazione clandestina dettò i tempi della comunicazione pubblica mentre lo Stato inseguiva, è un dato strutturale della vicenda che il Dominio 8 dell'opera registra; e l'inserzione del falso comunicato esattamente tra l'annuncio della condanna e la prova di vita, nel punto di massima tensione della sequenza, misura la precisione chirurgica dell'operazione diversiva, quale che ne sia stata la regia.</w:t>
      </w:r>
    </w:p>
    <w:p>
      <w:pPr>
        <w:spacing w:after="120" w:line="276"/>
        <w:jc w:val="both"/>
      </w:pPr>
      <w:r>
        <w:rPr>
          <w:rFonts w:ascii="Barlow Semi Condensed" w:cs="Barlow Semi Condensed" w:eastAsia="Barlow Semi Condensed" w:hAnsi="Barlow Semi Condensed"/>
          <w:sz w:val="24"/>
          <w:szCs w:val="24"/>
        </w:rPr>
        <w:t xml:space="preserve">Il settimo pilastro ricostruisce la trama dei canali di trattativa, quale gli atti la consegnano. L'iniziativa più strutturata fu quella socialista: il segretario Bettino Craxi, con il coordinamento di Claudio Signorile, costruì un canale verso l'organizzazione attraverso intermediari dell'area dell'autonomia romana, Lanfranco Pace e Franco Piperno, in contatto con l'ala della colonna romana rappresentata da Valerio Morucci e Adriana Faranda, contraria alla soluzione terminale; l'obiettivo dichiarato era un atto autonomo di clemenza dello Stato, sganciato dallo scambio, e la candidata individuata fu la detenuta Paola Besuschio, la cui posizione giuridica avrebbe consentito una grazia, ipotesi che si arenò sugli ostacoli tecnici e sull'opposizione politica della maggioranza; il registro certifica al Livello A l'esistenza, gli attori e l'oggetto del canale, quali risultanze convergenti degli atti parlamentari e delle testimonianze dei protagonisti di ogni versante, e al Livello B la ricostruzione dei suoi passaggi interni. Parallelamente operarono gli appelli: quello pubblico del segretario generale delle Nazioni Unite Waldheim, quello del Pontefice del 21 aprile, censito nel capitolo dell'epilogo, e la posizione della famiglia, che dai comunicati e dalle lettere sollecitò lo Stato alla trattativa dissociandosi progressivamente dalla linea ufficiale, sino alla rottura consumata nelle disposizioni finali del prigioniero. L'ultimo movimento documentato è quello del 9 maggio: per convergenti testimonianze di dirigenti democristiani, la direzione del partito convocata per quella mattina avrebbe dovuto registrare l'apertura di Amintore Fanfani a un gesto umanitario, maturata nei giorni precedenti; la notizia del ritrovamento del corpo giunse prima che la riunione deliberasse. Il registro certifica al Livello B questa ricostruzione dell'ultimo giorno, quale convergenza testimoniale non consacrata da atti, e la registra senza inferenze sulla sequenza, annotando soltanto il dato cronologico certificato: l'esecuzione precedette di ore l'unico spiraglio politico documentato dell'intera crisi.</w:t>
      </w:r>
    </w:p>
    <w:p>
      <w:pPr>
        <w:spacing w:after="120" w:line="276"/>
        <w:jc w:val="both"/>
      </w:pPr>
      <w:r>
        <w:rPr>
          <w:rFonts w:ascii="Barlow Semi Condensed" w:cs="Barlow Semi Condensed" w:eastAsia="Barlow Semi Condensed" w:hAnsi="Barlow Semi Condensed"/>
          <w:sz w:val="24"/>
          <w:szCs w:val="24"/>
        </w:rPr>
        <w:t xml:space="preserve">L'ottavo pilastro censisce il comitato di esperti e ne integra la compresenza già certificata. Accanto ai comitati operativi, il ministro dell'interno istituì, nei primi giorni di aprile, un comitato di consulenza composto da specialisti di criminologia, psichiatria, analisi dei testi e gestione delle crisi, incaricato di valutare i comunicati, le lettere e lo stato del prigioniero: ne fecero parte, tra gli altri, il criminologo Franco Ferracuti e, quale consulente esterno, l'esperto americano già censito. Il registro certifica al Livello A l'istituzione, la composizione e la funzione del comitato, quali risultanze degli atti, e certifica al Livello A, sul fondamento degli elenchi sequestrati nel 1981 e degli accertamenti della Commissione Anselmi, che il nome di Ferracuti figura tra gli iscritti alla loggia P2: la compresenza piduista nella gestione della crisi, già certificata per i vertici dei servizi, si estende dunque, per documento, anche all'organo di consulenza, e il registro la registra quale ampliamento del medesimo reperto, sotto il medesimo divieto inferenziale. La funzione analitica del comitato, le cui valutazioni sulla condizione del prigioniero alimentarono la tesi pubblica della coartazione totale, appartiene alla vicenda delle lettere che il capitolo successivo disciplina, e il registro vi rinvia annotando sin d'ora il punto di saldatura: l'organo che certificò pubblicamente la non attendibilità della voce del prigioniero era, nella sua composizione, parte del sistema di compresenze che il piano secondo documenta.</w:t>
      </w:r>
    </w:p>
    <w:p>
      <w:pPr>
        <w:spacing w:after="120" w:line="276"/>
        <w:jc w:val="both"/>
      </w:pPr>
      <w:r>
        <w:rPr>
          <w:rFonts w:ascii="Barlow Semi Condensed" w:cs="Barlow Semi Condensed" w:eastAsia="Barlow Semi Condensed" w:hAnsi="Barlow Semi Condensed"/>
          <w:sz w:val="24"/>
          <w:szCs w:val="24"/>
        </w:rPr>
        <w:t xml:space="preserve">Il nono pilastro fissa i numeri della macchina delle ricerche, quali i consuntivi ministeriali riportati dagli atti parlamentari li consegnano. Nei 55 giorni furono effettuati oltre 72.000 posti di blocco, condotte circa 37.000 perquisizioni domiciliari, controllate oltre 6 milioni di persone e centinaia di migliaia di veicoli, con l'impiego quotidiano di decine di migliaia di uomini delle forze di polizia e, per i controlli del territorio, di reparti delle forze armate; il registro certifica al Livello A questi ordini di grandezza, quali dati ufficiali, e li compone con l'esito già certificato, la mancata individuazione della prigione, del prigioniero e di alcun componente dell'organizzazione per l'intera durata della crisi. La composizione produce il reperto quantitativo della fase: il più imponente dispiegamento di forze della storia repubblicana per un singolo obiettivo produsse un risultato investigativo nullo, e questa sproporzione certificata tra input e output è il fatto che ogni lettura del piano secondo deve spiegare; il registro annota le 2 spiegazioni compatibili con i dati, l'efficienza della compartimentazione avversaria unita all'inefficienza strutturale di un apparato privo di coordinamento e di intelligence sul terrorismo, documentata dagli atti sulla dissoluzione dei nuclei specializzati alla vigilia della crisi, e la lettura del condizionamento, che il divieto mantiene al suo livello, e osserva che la prima spiegazione, integralmente documentabile, è sufficiente a rendere conto del dato senza residui logici, il che non prova la sua verità ma misura, secondo il metodo delle ipotesi concorrenti, la non necessità della seconda.</w:t>
      </w:r>
    </w:p>
    <w:p>
      <w:pPr>
        <w:spacing w:after="120" w:line="276"/>
        <w:jc w:val="both"/>
      </w:pPr>
      <w:r>
        <w:rPr>
          <w:rFonts w:ascii="Barlow Semi Condensed" w:cs="Barlow Semi Condensed" w:eastAsia="Barlow Semi Condensed" w:hAnsi="Barlow Semi Condensed"/>
          <w:sz w:val="24"/>
          <w:szCs w:val="24"/>
        </w:rPr>
        <w:t xml:space="preserve">Il decimo pilastro censisce il quadro normativo e politico dei 55 giorni. Sul versante normativo, il governo rispose con la decretazione d'urgenza: il decreto-legge del 21 marzo 1978, convertito nelle settimane successive, ampliò i poteri di fermo e di perquisizione, introdusse la possibilità di interrogatorio urgente senza le garanzie ordinarie in casi di sequestro e autorizzò le intercettazioni preventive, disegnando la legislazione emergenziale che sarebbe rimasta, con gli sviluppi del 1979-1980, la cornice del decennio; il registro certifica al Livello A il provvedimento e i suoi contenuti, quale dato normativo. Sul versante politico, le posizioni dei partiti si distribuirono secondo la geometria documentata: la Democrazia Cristiana e il Partito comunista sostennero la linea della fermezza, il secondo con la rigidità maggiore, per la necessità, dichiarata dai suoi dirigenti, di certificare la propria affidabilità di Stato nel momento dell'ingresso in maggioranza; il Partito socialista assunse, dalla metà di aprile, la linea umanitaria censita nel pilastro dei canali; le forze minori si distribuirono tra i 2 poli; il registro certifica al Livello A la geometria, quale materia degli atti parlamentari e congressuali, e ne annota il portato strutturale: la fermezza fu la politica di una maggioranza reale, non di un apparato, e ogni ipotesi sul piano terzo che postuli una gestione contro la volontà politica deve misurarsi con il dato che la volontà politica documentata, maggioritaria e bipartisan, coincise con l'esito.</w:t>
      </w:r>
    </w:p>
    <w:p>
      <w:pPr>
        <w:spacing w:after="120" w:line="276"/>
        <w:jc w:val="both"/>
      </w:pPr>
      <w:r>
        <w:rPr>
          <w:rFonts w:ascii="Barlow Semi Condensed" w:cs="Barlow Semi Condensed" w:eastAsia="Barlow Semi Condensed" w:hAnsi="Barlow Semi Condensed"/>
          <w:sz w:val="24"/>
          <w:szCs w:val="24"/>
        </w:rPr>
        <w:t xml:space="preserve">L'undicesimo pilastro registra l'ultima interlocuzione diretta, la telefonata del 30 aprile 1978. Quel pomeriggio Mario Moretti chiamò l'abitazione di Moro e parlò a lungo con la moglie Eleonora: la conversazione, intercettata e registrata, è l'unico contatto vocale documentato tra il capo dell'operazione e la famiglia, e in essa Moretti, senza declinare la propria identità ma parlando quale portavoce dei carcerieri, rappresentò che soltanto un intervento immediato e pubblico della Democrazia Cristiana nel senso dello scambio avrebbe potuto salvare la vita del prigioniero, definendo esaurito ogni margine ulteriore; il registro certifica al Livello A l'esistenza, la data, la registrazione e il contenuto della telefonata, quale documento sonoro agli atti, e ne dichiara il rilievo duplice: essa è, sul piano primo, la prova diretta della gestione unipersonale della comunicazione da parte di Moretti sino alla soglia finale, e, sul piano della cronologia politica, essa fissa al 30 aprile la formulazione esplicita dell'alternativa che i 9 giorni successivi avrebbero sciolto nel senso certificato; il registro annota che la famiglia trasmise il contenuto ai vertici del partito, e che la sequenza documentata telefonata-comunicato finale-esecuzione-spiraglio fanfaniano compone il calendario terminale della crisi nella forma che il settimo pilastro ha fissato.</w:t>
      </w:r>
    </w:p>
    <w:p>
      <w:pPr>
        <w:spacing w:after="120" w:line="276"/>
        <w:jc w:val="both"/>
      </w:pPr>
      <w:r>
        <w:rPr>
          <w:rFonts w:ascii="Barlow Semi Condensed" w:cs="Barlow Semi Condensed" w:eastAsia="Barlow Semi Condensed" w:hAnsi="Barlow Semi Condensed"/>
          <w:sz w:val="24"/>
          <w:szCs w:val="24"/>
        </w:rPr>
        <w:t xml:space="preserve">Il dodicesimo pilastro censisce lo stato dell'apparato antiterrorismo alla vigilia, il dato istituzionale che governa la lettura dell'inefficienza. Nei mesi immediatamente precedenti il sequestro, nel quadro della riorganizzazione seguita alla riforma dei servizi del 1977, l'Ispettorato generale per la lotta al terrorismo diretto dal questore Emilio Santillo, la struttura specializzata che aveva condotto la stagione investigativa della metà del decennio, fu disciolto e il suo patrimonio di uomini, archivi e conoscenze disperso tra le nuove articolazioni, sicché il 16 marzo 1978 lo Stato affrontò la massima crisi terroristica della propria storia nell'esatto momento di minima capacità specialistica, con i nuclei antiterrorismo dell'Arma parimenti riassorbiti dal 1975 e i nuovi servizi operativi da poche settimane sotto i vertici che la fase ha censito; il registro certifica al Livello A lo scioglimento, la sua collocazione temporale e la dispersione delle competenze, quali dati ordinamentali documentati dagli atti parlamentari, e ne dichiara la funzione capitale nella competizione delle ipotesi: la sincronia tra lo smantellamento della capacità specialistica e l'attacco che quella capacità avrebbe dovuto fronteggiare è il fatto che la lettura dell'inefficienza strutturale pone a proprio fondamento, giacché documenta una causa sufficiente del fallimento delle ricerche interna all'ordinamento, e che la lettura del condizionamento rilegge quale predisposizione, al prezzo del divieto; il registro certifica la sincronia, quale fatto datato, e la consegna, con questa doppia valenza dichiarata, al piano delle ipotesi.</w:t>
      </w:r>
    </w:p>
    <w:p>
      <w:pPr>
        <w:spacing w:after="120" w:line="276"/>
        <w:jc w:val="both"/>
      </w:pPr>
      <w:r>
        <w:rPr>
          <w:rFonts w:ascii="Barlow Semi Condensed" w:cs="Barlow Semi Condensed" w:eastAsia="Barlow Semi Condensed" w:hAnsi="Barlow Semi Condensed"/>
          <w:sz w:val="24"/>
          <w:szCs w:val="24"/>
        </w:rPr>
        <w:t xml:space="preserve">Il tredicesimo pilastro distende il dettaglio di via Gradoli, la sequenza che il quinto pilastro ha censito nelle intestazioni e che qui riceve la sua meccanica. L'appartamento di via Gradoli 96, base operativa romana di Moretti e della Balzerani, condotto in locazione sotto il falso nome dell'ingegner Borghi, attraversò indenne le prime settimane delle ricerche: gli atti documentano che nei controlli a tappeto del condominio, nei giorni immediatamente successivi al sequestro, l'appartamento non fu aperto, non avendo gli operanti forzato l'uscio dinanzi al mancato riscontro, secondo la prassi allora seguita per le abitazioni senza elementi specifici; la scoperta giunse il 18 aprile per la via non investigativa che gli atti certificano, l'allagamento dell'appartamento sottostante provocato dal getto della doccia lasciato aperto contro una fessura della parete, l'intervento idraulico condominiale e l'apertura conseguente, che rivelò il covo abbandonato con armi, documenti e materiali; e la data della scoperta coincide, nel calendario certificato, con il giorno della diffusione del falso comunicato del lago della Duchessa. Il registro certifica al Livello A l'intera sequenza, la mancata apertura originaria, la meccanica idraulica della scoperta, il contenuto del covo e la coincidenza di calendario, quali dati di verbale; mantiene al Livello C ogni lettura unificante, dalla segnalazione occulta mascherata da guasto alla pura convergenza casuale, e annota che la giornata del 18 aprile 1978, con la compresenza certificata del più efficace depistaggio della crisi e della più anomala scoperta della crisi, è la finestra critica di massima densità dell'intero Pattern 3 della fase, il punto del calendario in cui il registro conta il maggior numero di fatti certificati non spiegati per unità di tempo.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condotta del sistema informativo, l'arco della fase verso il Dominio 8 nella sua dimensione strutturale. Durante i 55 giorni i quotidiani pubblicarono integralmente i comunicati dell'organizzazione e riprodussero le fotografie del prigioniero, trasformando ogni recapito in un evento informativo nazionale entro poche ore; il dibattito sull'opportunità di un contenimento informativo, il cosiddetto black-out, attraversò le redazioni e le sedi politiche senza mai tradursi in misure, e la crisi si svolse perciò in condizioni di amplificazione integrale, con l'organizzazione in grado di raggiungere l'intera opinione pubblica alla velocità della stampa; il registro certifica al Livello A la condotta del sistema e l'assenza di misure di contenimento, quali dati documentali della collezione giornalistica e degli atti, e ne trae la formalizzazione reticolare: nella struttura della crisi, il sistema informativo operò quale moltiplicatore involontario della strategia comunicativa dell'organizzazione, un ruolo funzionale certificato negli effetti e non nelle intenzioni, che si somma al monopolio iconografico censito nel capitolo dell'epilogo e completa il quadro del Dominio 8 nella fase: un dominio attraversato, nei 55 giorni, da 3 flussi distinti e certificati, l'amplificazione strutturale della stampa ordinaria, l'inquinamento mirato del falso comunicato e l'alimentazione riservata della testata censita nel capitolo ottavo, la compresenza dei quali in un unico teatro è, per il registro, il ritratto compiuto del sistema informativo italiano della stagione.</w:t>
      </w:r>
    </w:p>
    <w:p>
      <w:pPr>
        <w:spacing w:after="120" w:line="276"/>
        <w:jc w:val="both"/>
      </w:pPr>
      <w:r>
        <w:rPr>
          <w:rFonts w:ascii="Barlow Semi Condensed" w:cs="Barlow Semi Condensed" w:eastAsia="Barlow Semi Condensed" w:hAnsi="Barlow Semi Condensed"/>
          <w:sz w:val="24"/>
          <w:szCs w:val="24"/>
        </w:rPr>
        <w:t xml:space="preserve">Il quindicesimo pilastro censisce la questione dei verbali, l'ultima assenza documentale della gestione. Le Commissioni parlamentari hanno accertato che i comitati di crisi operanti al Viminale durante i 55 giorni, gli organismi nei quali sedettero i vertici degli apparati e i consulenti censiti, non produssero verbalizzazione sistematica delle proprie riunioni: delle sedute quotidiane della cabina della più grave crisi della storia repubblicana non esiste un corpus di verbali, ordini del giorno e decisioni tracciate, e la ricostruzione dell'attività dei comitati è dovuta procedere, nelle sedi parlamentari, per testimonianze postume dei partecipanti, spesso divergenti tra loro; il registro certifica al Livello A l'assenza di verbalizzazione sistematica, quale dato accertato dagli atti parlamentari, e la classifica con la precisione che la propria tassonomia consente: essa non appartiene alla serie dei 5 buchi strutturali del repertorio, che riguardano materiali esistiti e scomparsi o esistenti e inaccessibili, ma alla specie distinta della documentazione mai prodotta, l'assenza per omissione originaria e non per sottrazione successiva, che la Fase 3 ha già incontrato nelle prassi degli apparati e che qui raggiunge il vertice dell'ordinamento civile; e ne dichiara il portato analitico, che è severo per ogni lettura: per la lettura ordinaria, l'omessa verbalizzazione documenta l'improvvisazione amministrativa di un apparato senza dottrina della crisi, ed è essa stessa una spiegazione dell'inefficienza; per la lettura del condizionamento, essa è la condizione di possibilità di ogni condotta non tracciata, e il divieto inferenziale, che il registro ribadisce, vieta di derivarne alcunché oltre il fatto; per il metodo dell'opera, essa è la ragione per cui il piano secondo del caso Moro è destinato a restare, in parte, strutturalmente inaccertabile, giacché la storia di una gestione che non si è scritta può essere ricostruita soltanto per testimonianze, e le testimonianze, il registro lo ha documentato, divergono.</w:t>
      </w:r>
    </w:p>
    <w:p>
      <w:pPr>
        <w:spacing w:after="120" w:line="276"/>
        <w:jc w:val="both"/>
      </w:pPr>
      <w:r>
        <w:rPr>
          <w:rFonts w:ascii="Barlow Semi Condensed" w:cs="Barlow Semi Condensed" w:eastAsia="Barlow Semi Condensed" w:hAnsi="Barlow Semi Condensed"/>
          <w:sz w:val="24"/>
          <w:szCs w:val="24"/>
        </w:rPr>
        <w:t xml:space="preserve">Il sedicesimo pilastro censisce gli esiti amministrativi e disciplinari della gestione, il dato in negativo che chiude il capitolo. All'esito del fallimento certificato, il più grave della storia dell'ordine pubblico repubblicano, l'ordinamento non produsse alcuna sanzione: nessun dirigente degli apparati di sicurezza fu rimosso, sospeso o sottoposto a procedimento disciplinare per le condotte dei 55 giorni, nessuna inchiesta amministrativa interna approdò a rilievi individuali, e le carriere dei responsabili della gestione proseguirono nei percorsi ordinari, in taluni casi con avanzamenti, sino agli approdi che le vicende successive, dallo scandalo della loggia in poi, avrebbero autonomamente determinato; l'unico atto di responsabilità dell'intera vicenda restò quello politico e volontario, le dimissioni del ministro dell'interno la mattina del 9 maggio. Il registro certifica al Livello A l'assenza di sanzioni e di rilievi disciplinari, quale fatto amministrativo documentato dagli atti parlamentari che invano lo censirono, e ne dichiara il valore di reperto strutturale: la mancata attivazione di qualsiasi circuito di responsabilità amministrativa dopo il massimo fallimento operativo dello Stato è un dato che il registro trascrive senza inferenze e che ciascuna lettura del piano secondo incorpora nel proprio senso, l'inefficienza strutturale leggendovi la conferma dell'assenza di una cultura della responsabilità negli apparati dell'epoca, il condizionamento leggendovi la protezione degli esecutori di una gestione voluta; il registro annota che il dato, quale che ne sia la lettura, produsse una conseguenza certificata sulla storia successiva, la permanenza ai vertici, sino allo scandalo del 1981, degli uomini della gestione, sicché la stagione che va dal caso Moro alla scoperta degli elenchi di Castiglion Fibocchi fu amministrata, negli apparati, dalla medesima classe dirigente che il caso aveva visto all'opera, una continuità che la Fase 2 ha documentato dal proprio versante e che la fase qui certifica dal proprio.</w:t>
      </w:r>
    </w:p>
    <w:p>
      <w:pPr>
        <w:spacing w:after="120" w:line="276"/>
        <w:jc w:val="both"/>
      </w:pPr>
      <w:r>
        <w:rPr>
          <w:rFonts w:ascii="Barlow Semi Condensed" w:cs="Barlow Semi Condensed" w:eastAsia="Barlow Semi Condensed" w:hAnsi="Barlow Semi Condensed"/>
          <w:sz w:val="24"/>
          <w:szCs w:val="24"/>
        </w:rPr>
        <w:t xml:space="preserve">Il diciassettesimo pilastro censisce il canale telefonico dell'organizzazione, l'ultimo versante tecnico della gestione. I comunicati furono recapitati per l'intera crisi con la tecnica documentata delle telefonate brevissime alle redazioni dei quotidiani, che annunciavano il luogo del deposito, cabine pubbliche e cestini della città, con conversazioni di durata calcolatamente inferiore ai tempi tecnici di localizzazione dell'epoca; il sistema funzionò senza fallo per 9 comunicati e sino alla telefonata finale del 9 maggio, e nessuna delle chiamate fu mai tracciata in tempo utile né ricondotta a un'utenza identificata, con la sola eccezione documentale della telefonata del 30 aprile alla famiglia, registrata in entrata sull'utenza sorvegliata di via del Forte Trionfale ma parimenti non localizzata in partenza; il registro certifica al Livello A la tecnica, la sua costanza e il suo integrale successo, quali dati degli atti, e ne trae la doppia annotazione che il metodo impone. Sul piano del soggetto, la disciplina telefonica dell'organizzazione, mai una chiamata di troppo, mai un secondo di troppo, appartiene alla serie delle competenze di sicurezza che la fase ha censito, la compartimentazione, le intestazioni pulite, l'immobilità del prigioniero, e compone il ritratto tecnico di un avversario che non commise, in 55 giorni, un solo errore di comunicazione. Sul piano dello Stato, il fallimento integrale del tracciamento documenta il divario tecnologico e organizzativo dell'apparato del 1978, privo delle capacità di intercettazione dinamica che la stagione successiva avrebbe costruito, e la circostanza che la prima e unica registrazione utile sia venuta dalla sorveglianza statica dell'utenza familiare, non dalla ricerca attiva del chiamante, è la misura esatta di quel divario; il registro salda i 2 piani nel dato unico che essi compongono, l'asimmetria tecnica integrale tra le 2 parti della crisi, e lo consegna quale ulteriore fondamento documentato della spiegazione ordinaria del fallimento delle ricerche.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comitati di crisi-vertici dei servizi-loggia P2, è il triangolo della compresenza, certificato al Livello A con divieto inferenziale dichiarato. La seconda, Gradoli-lago della Duchessa-Chichiarelli, è il triangolo delle anomalie e del depistaggio, certificato al Livello A nei fatti, al Livello B nell'attribuzione del falso, al Livello C nella direzione. La terza, fermezza-canali non ufficiali-sondaggi verso la criminalità, è il triangolo della condotta duale, certificato al Livello A e al Livello B secondo i rami. Sul piano dei pattern, il nodo attiva il Pattern 8 nella sua forma istituzionale, la crisi quale evento che rese porosi i confini tra i domini, con lo Stato che si rivolge alla criminalità e la loggia dentro i comitati; e il Pattern 5, giacché il fallimento integrale di ricerche di quella scala è, esso stesso, il buco strutturale del piano secondo, un'assenza che il registro certifica quale fatto e consegna, quanto alla spiegazione, alla competizione tra le ipotesi, l'efficienza della compartimentazione brigatista contro ogni lettura ulteriore, che il metodo mantiene aperta.</w:t>
      </w:r>
    </w:p>
    <w:p>
      <w:pPr>
        <w:spacing w:after="120" w:line="276"/>
        <w:jc w:val="both"/>
      </w:pPr>
      <w:r>
        <w:rPr>
          <w:rFonts w:ascii="Barlow Semi Condensed" w:cs="Barlow Semi Condensed" w:eastAsia="Barlow Semi Condensed" w:hAnsi="Barlow Semi Condensed"/>
          <w:sz w:val="24"/>
          <w:szCs w:val="24"/>
        </w:rPr>
        <w:t xml:space="preserve">Tra le anomalie della caccia il registro deve censire, con la disciplina che il suo statuto impone alle fonti aberranti, l'episodio del 2 aprile 1978: la seduta spiritica tenutasi in una casa di campagna del Bolognese, alla presenza di un gruppo di docenti universitari, nel corso della quale, secondo le testimonianze poi rese anche in sede parlamentare, il piattino compose tra gli altri il nome Gradoli; la segnalazione, trasmessa per canali accademici ed istituzionali, orientò una perquisizione nel comune di Gradoli, nel Viterbese, condotta il 6 aprile con esito negativo, mentre la via Gradoli di Roma, dove l'appartamento brigatista era operativo, rimase estranea a quella verifica sino alla scoperta del 18 aprile per la via idraulica che il capitolo ha certificato, Livello A quanto alla materialità dell'episodio, delle testimonianze e della perquisizione, Livello C quale valore conoscitivo della fonte medianica in sé, che il registro esclude per statuto. L'episodio vale, nella contabilità del nodo, quale reperto doppio: sulla qualità del setaccio, che processò una segnalazione paranormale con maggior sollecitudine di quanta ne ricevettero convergenze ordinarie agli atti, e sulla sociologia della disperazione istituzionale, che nella terza settimana del sequestro accoglieva ogni voce. Il registro, che non pratica l'ironia, si limita a fissare la geometria: tra il tavolino e il tubo dell'acqua, i 2 canali che condussero il nome e il luogo, non figura, negli atti, il canale che avrebbe dovuto, l'investigazione ordinaria, ed è questa assenza, non la stranezza degli altri 2, il dato che la fase consegna.</w:t>
      </w:r>
    </w:p>
    <w:p>
      <w:pPr>
        <w:spacing w:after="120" w:line="276"/>
        <w:jc w:val="both"/>
      </w:pPr>
      <w:r>
        <w:rPr>
          <w:rFonts w:ascii="Barlow Semi Condensed" w:cs="Barlow Semi Condensed" w:eastAsia="Barlow Semi Condensed" w:hAnsi="Barlow Semi Condensed"/>
          <w:sz w:val="24"/>
          <w:szCs w:val="24"/>
        </w:rPr>
        <w:t xml:space="preserve">Al perimetro dei comitati appartiene infine la componente consulenziale esterna, che il registro censisce nella sua materialità documentata: nelle prime settimane operò a Roma, su richiesta del Ministero dell'interno, un esperto di gestione delle crisi e di guerra psicologica proveniente dal Dipartimento di Stato americano, Steve Pieczenik, la cui presenza nei circuiti della gestione è attestata dagli atti e dalle ricostruzioni parlamentari, e la cui consulenza si interruppe prima dell'epilogo, Livello A quanto alla presenza ed alla sua finestra temporale. Le narrazioni che il consulente avrebbe consegnato a distanza di decenni, in interviste e memorie, circa gli orientamenti maturati nei comitati, appartengono al genere della fonte tardiva di parte e restano al Livello C, prive di riscontro documentale autonomo: il registro le censisce per completezza e le sigilla, annotando il paradosso ormai familiare, l'esperto di guerra psicologica divenuto, a babbo morto, il narratore più citato della guerra psicologica altrui. Quanto al fronte politico interno, il quadro della fermezza già certificato va integrato con la sua eccezione organizzata: il Partito socialista assunse, dalla metà di aprile, una linea di iniziativa umanitaria esplorando canali verso l'area dell'autonomia e della dissidenza brigatista, per sondare uno scambio limitato che non ebbe esito, Livello A quanto all'iniziativa politica dichiarata e documentata, Livello B quanto alla consistenza operativa dei singoli canali, e questa asimmetria tra i 2 maggiori azionisti della solidarietà nazionale, la fermezza democristiano-comunista e l'esplorazione socialista, appartiene alla mappa politica dei 55 giorni quale suo terzo lato, meno illuminato e non meno documentato.</w:t>
      </w:r>
    </w:p>
    <w:p>
      <w:pPr>
        <w:spacing w:after="120" w:line="276"/>
        <w:jc w:val="both"/>
      </w:pPr>
      <w:r>
        <w:rPr>
          <w:rFonts w:ascii="Barlow Semi Condensed" w:cs="Barlow Semi Condensed" w:eastAsia="Barlow Semi Condensed" w:hAnsi="Barlow Semi Condensed"/>
          <w:sz w:val="24"/>
          <w:szCs w:val="24"/>
        </w:rPr>
        <w:t xml:space="preserve">La caccia va infine misurata nei suoi ordini di grandezza, che gli atti parlamentari consegnano e che il registro riporta quale reperto sulla forma dello sforzo: nei 55 giorni furono eseguiti, secondo le rendicontazioni acquisite dalla prima Commissione, decine di migliaia di posti di blocco, nell'ordine delle 70.000 unità, e decine di migliaia di perquisizioni domiciliari, nell'ordine delle 37.000, con l'impiego cumulato di centinaia di migliaia di uomini delle forze dell'ordine e dell'esercito nel più imponente dispositivo di ricerca della storia repubblicana, Livello A quanto agli ordini di grandezza rendicontati. Il registro giustappone al volume l'esito, che è il dato analitico: il dispositivo non individuò la prigione, non intercettò un solo trasferimento, non produsse un solo arresto risolutivo, e la sproporzione tra la massa dello sforzo e la nullità del risultato costituisce, nella lettura del piano secondo, un reperto a doppia faccia, leggibile tanto quale misura dell'efficienza della compartimentazione brigatista quanto quale sintomo di una macchina che setacciava in estensione ciò che andava cercato in profondità. La scelta tra le 2 letture, o la loro composizione, non appartiene al registro, che si limita a fissare il teorema quantitativo: 55 giorni, 70.000 sbarramenti, nessun varco, e la prigione a 4 chilometri dal luogo dell'agguato, dentro il perimetro che ogni cerchio concentrico della caccia aveva, per costruzione, già attraversato.</w:t>
      </w:r>
    </w:p>
    <w:p>
      <w:pPr>
        <w:spacing w:after="120" w:line="276"/>
        <w:jc w:val="both"/>
      </w:pPr>
      <w:r>
        <w:rPr>
          <w:rFonts w:ascii="Barlow Semi Condensed" w:cs="Barlow Semi Condensed" w:eastAsia="Barlow Semi Condensed" w:hAnsi="Barlow Semi Condensed"/>
          <w:sz w:val="24"/>
          <w:szCs w:val="24"/>
        </w:rPr>
        <w:t xml:space="preserve">Ai fronti censiti il registro aggiunge quello intellettuale, che appartiene al Dominio 8 e che i 55 giorni videro schierarsi con una nettezza senza precedenti: il dibattito pubblico sulla linea da tenere attraversò i giornali e le firme maggiori del Paese, contrapponendo gli argomenti della fermezza, sostenuti dalla gran parte della stampa d'opinione quale difesa dello Stato democratico, alle voci che sollevarono la questione del primato della vita, e la vicenda produsse, già nell'anno stesso, una letteratura di riflessione il cui esemplare capitale resta il saggio che Leonardo Sciascia dedicò all'affaire, lettura filologica delle lettere e requisitoria contro la rimozione in atto, Livello A quanto all'esistenza ed alla fisionomia del dibattito coevo, Livello C quanto alle singole ricostruzioni saggistiche in esso prodotte, che il registro censisce quali fonti interpretative e non documentali. Il reperto ha per la fase un valore preciso: i 55 giorni furono anche il primo grande caso italiano in cui la linea di condotta dello Stato si formò in diretta sotto osservazione mediatica totale, e la compattezza del fronte giornalistico della fermezza, misurabile nelle collezioni dei quotidiani, costituisce un dato di sistema del Dominio 8 che il piano secondo registra accanto agli altri: non quale prova di direzione occulta, che nessun accertamento ha consacrato, ma quale condizione ambientale documentata entro cui ogni decisione dei comitati venne assunta, il clima che non ordina e tuttavia orienta, la cornice che non è mai imputabile e non è mai neutra.</w:t>
      </w:r>
    </w:p>
    <w:p>
      <w:pPr>
        <w:spacing w:after="120" w:line="276"/>
        <w:jc w:val="both"/>
      </w:pPr>
      <w:r>
        <w:rPr>
          <w:rFonts w:ascii="Barlow Semi Condensed" w:cs="Barlow Semi Condensed" w:eastAsia="Barlow Semi Condensed" w:hAnsi="Barlow Semi Condensed"/>
          <w:sz w:val="24"/>
          <w:szCs w:val="24"/>
        </w:rPr>
        <w:t xml:space="preserve">La voce pubblica dell'organizzazione nei 55 giorni fu la serie dei comunicati, che il registro scandisce quale corpus unitario nella sua architettura a 3 movimenti, Livello A quanto a date, recapiti e contenuti documentali dell'intera serie. Il primo movimento è quello del processo: il comunicato numero 1, diffuso il 18 marzo con la prima fotografia del prigioniero sotto l'insegna dell'organizzazione, rivendicò l'operazione ed annunciò il processo politico al presidente democristiano dinanzi al tribunale del popolo; i comunicati numero 2 del 25 marzo e numero 3 del 29 marzo, quest'ultimo accompagnato dalla prima lettera a Cossiga, svilupparono la requisitoria contro il regime democristiano dichiarando che l'interrogatorio procedeva; il numero 4 del 4 aprile ed il numero 5 del 10 aprile proseguirono la narrazione processuale respingendo le letture della stampa sul prigioniero condizionato; il numero 6 del 15 aprile chiuse il movimento annunciando che il processo era concluso e che Aldo Moro era stato condannato a morte. Il secondo movimento è quello della verifica, aperto dal diversivo del 18 aprile che il capitolo ha già certificato nella sua falsità e chiuso dal comunicato numero 7 autentico del 20 aprile, con la seconda fotografia ed il quotidiano del giorno precedente quale prova di vita, e con l'ultimatum delle 48 ore che trasformò la condanna annunciata in negoziato a termine. Il terzo movimento è quello dello scambio negato: il comunicato numero 8 del 24 aprile formalizzò la richiesta, la liberazione di 13 detenuti indicati nominativamente, ponendo lo Stato dinanzi alla scelta binaria che la linea della fermezza aveva già sciolto in anticipo, ed il comunicato numero 9 del 5 maggio dichiarò conclusa la battaglia iniziata il 16 marzo annunciando l'esecuzione della sentenza, cui i 4 giorni successivi diedero adempimento.</w:t>
      </w:r>
    </w:p>
    <w:p>
      <w:pPr>
        <w:spacing w:after="120" w:line="276"/>
        <w:jc w:val="both"/>
      </w:pPr>
      <w:r>
        <w:rPr>
          <w:rFonts w:ascii="Barlow Semi Condensed" w:cs="Barlow Semi Condensed" w:eastAsia="Barlow Semi Condensed" w:hAnsi="Barlow Semi Condensed"/>
          <w:sz w:val="24"/>
          <w:szCs w:val="24"/>
        </w:rPr>
        <w:t xml:space="preserve">Il registro consegna la serie alla sua lettura strutturale, che la scansione rende possibile: i 9 comunicati non furono un bollettino ma una drammaturgia, costruita sulla forma-processo con la sua sequenza canonica, istruttoria, requisitoria, sentenza, esecuzione, ed il calco della liturgia giudiziaria dello Stato, rovesciata in tribunale del popolo, costituisce il reperto semiotico maggiore della campagna: l'organizzazione che negava la legittimità dello Stato ne mimava, per legittimarsi, esattamente le forme. Dentro questa architettura, la funzione di ciascun movimento è leggibile a posteriori con nettezza documentale: il primo costruì il tempo, dilatando in un mese la finzione istruttoria per capitalizzare l'attesa; il secondo verificò il mercato, saggiando con il diversivo e con l'ultimatum la disponibilità reale della controparte; il terzo chiuse i conti, scaricando sulla controparte immobile la responsabilità formale dell'esito. Che questa macchina retorica perfettamente coerente non abbia prodotto il risultato politico perseguito, il riconoscimento, lo scambio, la spaccatura del fronte, è il paradosso terminale che il registro annota: la campagna di comunicazione più studiata della storia del terrorismo europeo vinse tutte le proprie battaglie formali e perse la guerra, e l'organizzazione uscì dai 55 giorni militarmente intatta e politicamente avviata alla sconfitta che i capitoli della repressione successiva certificano.</w:t>
      </w:r>
    </w:p>
    <w:p>
      <w:pPr>
        <w:spacing w:after="120" w:line="276"/>
        <w:jc w:val="both"/>
      </w:pPr>
      <w:r>
        <w:rPr>
          <w:rFonts w:ascii="Barlow Semi Condensed" w:cs="Barlow Semi Condensed" w:eastAsia="Barlow Semi Condensed" w:hAnsi="Barlow Semi Condensed"/>
          <w:sz w:val="24"/>
          <w:szCs w:val="24"/>
        </w:rPr>
        <w:t xml:space="preserve">Il setaccio va infine misurato anche nella sua età istituzionale, che il registro certifica quale condizione strutturale della caccia: gli apparati informativi che affrontarono il sequestro erano, alla lettera, neonati, riformati dalla legge del 24 ottobre 1977 numero 801 che aveva soppresso il SID sostituendolo con i 2 nuovi servizi, militare e civile, sotto il coordinamento del comitato esecutivo, con i vertici insediati nel gennaio 1978 nelle persone che la Fase 2 ha censito, mentre sul versante della polizia l'ufficio centrale per le investigazioni generali e le operazioni speciali era stato istituito nelle medesime settimane, sicché l'intera architettura della sicurezza interna contava, al 16 marzo, poche settimane o pochi mesi di vita operativa, Livello A quanto alla cronologia istituzionale. Il registro consegna il dato alla sua doppia lettura, entrambe compatibili con i fatti e nessuna certificabile quale spiegazione esclusiva: la lettura funzionale, per cui la macchina fallì anche perché era in rodaggio, con gli archivi in trasloco, le competenze in ridefinizione e le catene di comando non collaudate, e la lettura strutturale, che la Fase 2 ha documentato, per cui il rodaggio avveniva sotto vertici la cui appartenenza alla loggia coperta è certificata, sicché l'inefficienza e l'inquinamento coabitarono nella medesima stagione senza che gli accertamenti abbiano mai separato, con forza di giudicato, il contributo dell'una da quello dell'altro. La finestra critica 1978-1981, che l'analisi temporale dell'opera ha isolato, trova qui la sua descrizione istituzionale compiuta: il sequestro cadde nell'esatto minimo storico di maturità del sistema informativo repubblicano, e questa coincidenza tra la massima prova e la minima preparazione resta, nel piano secondo, un fatto certificato in attesa di una spiegazione che lo sia altrettanto.</w:t>
      </w:r>
    </w:p>
    <w:p>
      <w:pPr>
        <w:spacing w:after="120" w:line="276"/>
        <w:jc w:val="both"/>
      </w:pPr>
      <w:r>
        <w:rPr>
          <w:rFonts w:ascii="Barlow Semi Condensed" w:cs="Barlow Semi Condensed" w:eastAsia="Barlow Semi Condensed" w:hAnsi="Barlow Semi Condensed"/>
          <w:sz w:val="24"/>
          <w:szCs w:val="24"/>
        </w:rPr>
        <w:t xml:space="preserve">Al patrimonio tecnico dei covi appartiene infine il reperto dattiloscopico irrisolto, che il registro censisce nel suo doppio strato: i rilievi eseguiti negli appartamenti della logistica romana, da via Gradoli a via Montalcini, consegnarono agli atti un numero cospicuo di frammenti di impronte, dei quali una parte fu attribuita nei decenni ai militanti identificati mentre una quota residua rimase priva di attribuzione, e la Commissione della XVII legislatura dispose la ricomparazione integrale del materiale con le banche dati e le tecnologie sopravvenute, ottenendo alcune attribuzioni tardive a militanti già noti dell'organizzazione ed ereditando, per il resto, un residuo non identificato che gli atti registrano quale tale, Livello A quanto ai rilievi ed alle ricomparazioni, Livello B quanto ai singoli esiti attributivi della stagione recente. Il registro assegna al residuo lo statuto che il metodo impone: la traccia non attribuita è un fatto certificato privo di significato certificato, compatibile tanto con presenze estranee mai identificate quanto con la fisiologia di ogni rilievo dattiloscopico, che raccoglie inevitabilmente frammenti di terzi irrilevanti, e la scelta tra le 2 letture non appartiene al registro ma alla futura eventualità di una comparazione risolutiva. Sino ad allora, il residuo resta nella categoria che il piano secondo ha istituito per i suoi simili: materia aperta, né prova né nulla, l'inventario di ciò che i covi hanno detto senza che nessuno, per ora, sappia tradurlo.</w:t>
      </w:r>
    </w:p>
    <w:p>
      <w:pPr>
        <w:spacing w:after="120" w:line="276"/>
        <w:jc w:val="both"/>
      </w:pPr>
      <w:r>
        <w:rPr>
          <w:rFonts w:ascii="Barlow Semi Condensed" w:cs="Barlow Semi Condensed" w:eastAsia="Barlow Semi Condensed" w:hAnsi="Barlow Semi Condensed"/>
          <w:sz w:val="24"/>
          <w:szCs w:val="24"/>
        </w:rPr>
        <w:t xml:space="preserve">Alla contabilità della caccia appartiene infine il suo vuoto tecnologico, che il registro censisce quale reperto sulla forma della clandestinità matura: l'imponente dispositivo di intercettazione attivato nei 55 giorni sulle utenze della famiglia, dei collaboratori, degli ambienti politici e dell'area radicale non raggiunse mai l'organizzazione, che condusse l'intera operazione in silenzio elettronico, affidando le comunicazioni operative ai contatti fisici ed ai recapiti e riservando il telefono alle sole irruzioni comunicative unilaterali, le chiamate di annuncio dei comunicati e le telefonate alla famiglia che i capitoli censiscono, effettuate da apparecchi pubblici e concluse prima di ogni possibilità di localizzazione, Livello A quanto al quadro complessivo risultante dagli atti. Il registro fissa l'asimmetria che ne discende: lo Stato ascoltò per 55 giorni la superficie legale del Paese e l'organizzazione non vi transitò mai, sicché il più vasto sforzo di sorveglianza elettronica sino ad allora dispiegato produsse, quale unico raccolto, la voce dell'avversario nei soli momenti in cui l'avversario scelse di farsi ascoltare. La lezione tecnica appartiene alla storia delle clandestinità: la compartimentazione brigatista fu anche, e forse soprattutto, disciplina delle comunicazioni, e la sua tenuta documenta che nel 1978 la superiorità tecnologica dello Stato era interamente neutralizzabile dalla semplice astensione dall'uso del mezzo, un teorema che le stagioni investigative successive avrebbero rovesciato solo quando la tecnologia divenne ambiente anziché strumento, e del quale i 55 giorni restano la dimostrazione storica più pulita.</w:t>
      </w:r>
    </w:p>
    <w:p>
      <w:pPr>
        <w:spacing w:after="120" w:line="276"/>
        <w:jc w:val="both"/>
      </w:pPr>
      <w:r>
        <w:rPr>
          <w:rFonts w:ascii="Barlow Semi Condensed" w:cs="Barlow Semi Condensed" w:eastAsia="Barlow Semi Condensed" w:hAnsi="Barlow Semi Condensed"/>
          <w:sz w:val="24"/>
          <w:szCs w:val="24"/>
        </w:rPr>
        <w:t xml:space="preserve">Il precedente europeo che il registro ha evocato esige la sua scansione, perché la linea della fermezza italiana ebbe un modello dichiarato e recentissimo: 5 mesi prima di via Fani, il 5 settembre 1977, la Rote Armee Fraktion aveva sequestrato a Colonia il presidente degli industriali tedeschi Hanns Martin Schleyer, massacrandone la scorta con una meccanica che l'agguato romano avrebbe replicato, e la Repubblica federale di Helmut Schmidt aveva tenuto per 43 giorni la linea del rifiuto integrale dello scambio, sino all'epilogo concentrato nelle 48 ore del 17 e 18 ottobre, il blitz di Mogadiscio che liberò l'aereo dirottato a sostegno del ricatto, la morte nella notte dei capi storici detenuti nel carcere di Stammheim e il ritrovamento del corpo di Schleyer nel bagagliaio di un'auto oltre confine, Livello A sull'intera sequenza storica. Il registro fissa la funzione del precedente per entrambi i contendenti del 1978: per lo Stato italiano, il caso tedesco fu il modello invocato della fermezza vittoriosa, il precedente che dimostrava la sostenibilità del rifiuto; per l'organizzazione, fu il repertorio operativo e simbolico dichiarato, sino alla citazione materiale dell'epilogo, il corpo nel bagagliaio, che via Caetani avrebbe replicato con l'esattezza che la fase ha censito. Che i 2 avversari italiani abbiano attinto al medesimo precedente straniero, l'uno la dottrina e l'altro la liturgia, è il reperto comparativo che il capitolo consegna: il 1978 italiano fu combattuto, da entrambe le parti, con il manuale tedesco del 1977 aperto sul tavolo, e la differenza degli esiti, l'ostaggio tedesco morto dopo il fallimento del ricatto e quello italiano giustiziato senza che il ricatto avesse mai avuto un prezzo accettabile, misura la differenza non delle dottrine, identiche, ma dei rapporti di forza e delle poste, che a Roma erano, per l'organizzazione, politiche prima che carcerarie.</w:t>
      </w:r>
    </w:p>
    <w:p>
      <w:pPr>
        <w:spacing w:after="120" w:line="276"/>
        <w:jc w:val="both"/>
      </w:pPr>
      <w:r>
        <w:rPr>
          <w:rFonts w:ascii="Barlow Semi Condensed" w:cs="Barlow Semi Condensed" w:eastAsia="Barlow Semi Condensed" w:hAnsi="Barlow Semi Condensed"/>
          <w:sz w:val="24"/>
          <w:szCs w:val="24"/>
        </w:rPr>
        <w:t xml:space="preserve">Alla toponomastica del covo di via Gradoli appartiene il dettaglio anagrafico che il registro annota quale reperto sulla qualità della clandestinità: l'appartamento era condotto in locazione dall'inquilino che si presentava quale ingegner Altobelli, l'identità di copertura sotto la quale viveva il capo della colonna romana censito in questo capitolo, con tanto di targhetta e di normalità condominiale protratta per anni nel cuore del quartiere, Livello A quanto alla circostanza accertata. Il micro-reperto vale per ciò che misura: la copertura non era un documento falso ma una biografia funzionante, un professionista inesistente che pagava l'affitto, salutava e durava, e la sua tenuta sino all'allagamento fortuito censito dimostra che la clandestinità matura dell'organizzazione non si nascondeva sotto la superficie della città legale, la abitava con documenti in regola, sicché la caccia dei 55 giorni non cercava fantasmi nei sotterranei ma ingegneri sul citofono, ed è questa, in ultima analisi, la ragione strutturale per cui il rastrellamento quantitativo censito dal capitolo, con le sue decine di migliaia di controlli, poteva passare accanto alla prigione senza vederla: il dispositivo contava le anomalie, e l'organizzazione aveva smesso da anni di produrne.</w:t>
      </w:r>
    </w:p>
    <w:p>
      <w:pPr>
        <w:spacing w:after="120" w:line="276"/>
        <w:jc w:val="both"/>
      </w:pPr>
      <w:r>
        <w:rPr>
          <w:rFonts w:ascii="Barlow Semi Condensed" w:cs="Barlow Semi Condensed" w:eastAsia="Barlow Semi Condensed" w:hAnsi="Barlow Semi Condensed"/>
          <w:sz w:val="24"/>
          <w:szCs w:val="24"/>
        </w:rPr>
        <w:t xml:space="preserve">Il diversivo del 18 aprile possiede infine il suo autore materiale indiziato, che il registro censisce con lo statuto esatto: le acquisizioni investigative degli anni successivi attribuirono la confezione del falso comunicato al falsario romano Toni Chicchiarelli, figura dell'orbita della banda della Magliana dotata di documentata perizia nella contraffazione, indicazione consolidata in sede istruttoria ma mai tradotta in giudicato, poiché Chicchiarelli fu assassinato nel 1984 in un agguato rimasto anch'esso senza colpevoli definitivi, Livello B quanto all'attribuzione istruttoria della paternità materiale, Livello A quanto alla morte violenta del falsario. La catena che ne risulta è essa stessa il reperto: il documento che deviò per un giorno la più grande caccia all'uomo della storia repubblicana sarebbe uscito dalle mani di un professionista della malavita romana, ed il professionista fu eliminato prima che alcuna aula potesse domandargli su commissione di chi avesse lavorato, sicché la domanda decisiva del diversivo, non chi lo scrisse ma chi lo volle, resta al Livello C tra le ipotesi concorrenti che il capitolo ha censito, con l'aggravante documentale che la fase prima dell'opera conosce bene: anche qui, come nei crocevia finanziari, il corpus registra la morte violenta e tempestiva del solo uomo che avrebbe potuto trasformare un'attribuzione tecnica in una catena di mandato, e la ricorrenza di questo schema, il teste intermedio che muore prima della domanda, è ormai, alla quarta occorrenza nell'opera, un pattern censito e non più una coincidenza da annotare.</w:t>
      </w:r>
    </w:p>
    <w:p>
      <w:pPr>
        <w:spacing w:after="120" w:line="276"/>
        <w:jc w:val="both"/>
      </w:pPr>
      <w:r>
        <w:rPr>
          <w:rFonts w:ascii="Barlow Semi Condensed" w:cs="Barlow Semi Condensed" w:eastAsia="Barlow Semi Condensed" w:hAnsi="Barlow Semi Condensed"/>
          <w:sz w:val="24"/>
          <w:szCs w:val="24"/>
        </w:rPr>
        <w:t xml:space="preserve">La toponomastica della caccia consegna infine la sua beffa documentata, che il registro riporta quale emblema operativo dei 55 giorni: nei primi giorni di aprile, sull'onda delle indicazioni censite, le forze dell'ordine perquisirono casa per casa il comune di Gradoli, nel viterbese, senza esito, mentre il covo attivo si trovava in via Gradoli, nel quartiere romano della Cassia, dove sarebbe emerso solo il 18 aprile per l'allagamento fortuito già censito, Livello A quanto ad entrambe le operazioni ed alle loro date. Il registro consegna l'episodio alla sua doppia lettura disciplinata: sul piano operativo, la scelta di battere il paese anziché lo stradario della capitale documenta il grado di disorientamento dell'apparato, che di fronte ad un toponimo cercò il municipio e non la via; sul piano epistemologico, l'episodio è il caso di scuola della fonte ambigua che il metodo dell'opera tratta nel Pattern 6, poiché l'indicazione si rivelò retrospettivamente esatta nella lettera e sbagliata nella ricerca, ed il registro annota, senza sciogliere, che un'informazione corretta cercata nel posto sbagliato è indistinguibile, negli effetti, da un'informazione falsa, con la conseguenza che la domanda vera del caso Gradoli non è mai stata dove fosse il covo, ma chi sapesse che cosa quando lo si cercava dove non era.</w:t>
      </w:r>
    </w:p>
    <w:p>
      <w:pPr>
        <w:spacing w:after="120" w:line="276"/>
        <w:jc w:val="both"/>
      </w:pPr>
      <w:r>
        <w:rPr>
          <w:rFonts w:ascii="Barlow Semi Condensed" w:cs="Barlow Semi Condensed" w:eastAsia="Barlow Semi Condensed" w:hAnsi="Barlow Semi Condensed"/>
          <w:sz w:val="24"/>
          <w:szCs w:val="24"/>
        </w:rPr>
        <w:t xml:space="preserve">Il fascicolo di via Gradoli contiene infine l'episodio che precede la beffa toponomastica e la aggrava, censito dagli accertamenti parlamentari: il 18 marzo, a 2 giorni dall'agguato, una pattuglia si presentò proprio allo stabile di via Gradoli 96, nel quadro dei controlli a tappeto, bussò all'appartamento della copertura censita senza ottenere risposta e si allontanò senza ulteriori verifiche, con l'esito che il covo operativo della colonna romana superò indenne, alla porta, il contatto fisico con lo Stato nel secondo giorno della caccia, Livello A quanto all'episodio accertato dalle commissioni. Il registro allinea la sequenza completa che il fascicolo consegna: la pattuglia alla porta il 18 marzo, la perquisizione del paese omonimo nel viterbese ai primi di aprile, l'emersione per allagamento il 18 aprile, 3 atti di una stessa drammaturgia in cui il luogo decisivo fu toccato, nominato e mancato per 33 giorni, e la disciplina dell'opera impone di consegnare la serie alla sua doppia lettura senza scioglierla: la spiegazione ordinaria, il difetto di procedura di un apparato saturo che bussava a migliaia di porte, resta pienamente capiente, e la spiegazione straordinaria, che attorno a quell'indirizzo la cecità fosse assistita, resta al Livello C delle ipotesi mai certificate, con l'annotazione di metodo che il caso Gradoli insegna all'intero corpus: quando un sistema manca 3 volte lo stesso bersaglio con 3 strumenti diversi, la statistica smette di essere un argomento sufficiente per entrambe le parti, per chi accusa e per chi assolve.</w:t>
      </w:r>
    </w:p>
    <w:p>
      <w:pPr>
        <w:spacing w:after="120" w:line="276"/>
        <w:jc w:val="both"/>
      </w:pPr>
      <w:r>
        <w:rPr>
          <w:rFonts w:ascii="Barlow Semi Condensed" w:cs="Barlow Semi Condensed" w:eastAsia="Barlow Semi Condensed" w:hAnsi="Barlow Semi Condensed"/>
          <w:sz w:val="24"/>
          <w:szCs w:val="24"/>
        </w:rPr>
        <w:t xml:space="preserve">La giornata del diversivo ebbe la sua iconografia, che il registro censisce quale reperto mediatico autonomo: il 18 aprile il lago della Duchessa, specchio d'alta quota ancora parzialmente gelato sull'Appennino reatino, fu raggiunto da elicotteri, squadre di soccorso e sommozzatori che ne perlustrarono le acque alla ricerca del corpo annunciato dal falso comunicato, sotto gli obiettivi della stampa convocata dall'evidenza stessa dell'operazione, con le immagini degli uomini-rana calati nel lago ghiacciato rimbalzate su tutte le testate, Livello A quanto all'operazione ed alla sua copertura mediatica. Il registro fissa la funzione della scena nell'economia del diversivo: quale che fosse la regia del falso, il suo effetto certo e misurabile fu di produrre, per un'intera giornata, la rappresentazione visiva della morte del prigioniero, un funerale per immagini senza corpo che saturò lo spazio pubblico nell'esatto momento in cui, sul piano reale, il covo di via Gradoli emergeva per allagamento, e la coincidenza delle 2 scene del medesimo giorno, i sommozzatori nel lago sbagliato e l'acqua nel covo giusto, resta la giornata più letterariamente perfetta e analiticamente ambigua dell'intero corpus, che il registro consegna, con la disciplina del Pattern 6, alla doppia lettura mai sciolta: la beffa del caso o la sincronia di una mano, con gli atti che non hanno mai permesso di scegliere.</w:t>
      </w:r>
    </w:p>
    <w:p>
      <w:pPr>
        <w:spacing w:after="120" w:line="276"/>
        <w:jc w:val="both"/>
      </w:pPr>
      <w:r>
        <w:rPr>
          <w:rFonts w:ascii="Barlow Semi Condensed" w:cs="Barlow Semi Condensed" w:eastAsia="Barlow Semi Condensed" w:hAnsi="Barlow Semi Condensed"/>
          <w:sz w:val="24"/>
          <w:szCs w:val="24"/>
        </w:rPr>
        <w:t xml:space="preserve">Il canale socialista censito nella sua linea politica ebbe anche la sua filiera operativa, che il registro ricostruisce dalle audizioni parlamentari: l'iniziativa umanitaria del PSI si mosse attraverso l'esponente di vertice Claudio Signorile ed il giornalista Lanfranco Pace, che attivarono contatti documentati con Franco Piperno e con l'area dell'Autonomia, nel tentativo di raggiungere per quella via ambienti capaci di parlare all'organizzazione, sino agli incontri con i militanti della colonna romana che le deposizioni successive avrebbero descritto, in una catena informale che corse parallela ai canali ufficiali per l'intera seconda metà del sequestro, Livello A quanto all'esistenza della filiera ed ai contatti quali risultano dalle audizioni e dalle dichiarazioni convergenti, Livello B quanto alla portata effettiva di ciascun passaggio verso l'interno dell'organizzazione. Il registro fissa il dato strutturale che la filiera consegna: l'unico canale che documentalmente arrivò a toccare la periferia dell'organizzazione non passò per gli apparati dello Stato ma per la mediazione di un partito attraverso l'area politica contigua al mondo armato, e questa circostanza, che le polemiche coeve trattarono quale scandalo, è per il metodo dell'opera un puro reperto di topologia: nella rete del 1978, la distanza minima tra le istituzioni e la prigione passava per i nodi che le istituzioni ufficialmente ripudiavano, e la Repubblica che rifiutò di percorrerla per intero scelse, con ciò, di lasciare quella rotta al partito che aveva meno da perdere a percorrerla.</w:t>
      </w:r>
    </w:p>
    <w:p>
      <w:pPr>
        <w:spacing w:after="120" w:line="276"/>
        <w:jc w:val="both"/>
      </w:pPr>
      <w:r>
        <w:rPr>
          <w:rFonts w:ascii="Barlow Semi Condensed" w:cs="Barlow Semi Condensed" w:eastAsia="Barlow Semi Condensed" w:hAnsi="Barlow Semi Condensed"/>
          <w:sz w:val="24"/>
          <w:szCs w:val="24"/>
        </w:rPr>
        <w:t xml:space="preserve">La gestione dei 55 giorni dovette misurarsi anche con il fenomeno che il registro censisce quale rumore di fondo del caso: le migliaia di segnalazioni, offerte di mediazione, rivelazioni di sedicenti informatori, millantatori e veggenti che si riversarono sugli apparati e sulla famiglia per l'intera durata del sequestro, documentate dagli atti quale massa che assorbì risorse investigative ingenti e dentro la quale le poche indicazioni poi rivelatesi fondate giacquero indistinguibili, Livello A quanto al fenomeno ed alla sua consistenza agli atti. Il registro assegna al rumore la sua funzione analitica, che le ricostruzioni celebrative omettono: ogni valutazione retrospettiva delle occasioni mancate, Gradoli, il lago, le intercettazioni, deve incorporare la condizione informativa reale del 1978, nella quale il segnale vero arrivava immerso in un diluvio di falsi prodotti dalla risonanza stessa del caso, sicché la domanda storicamente onesta non è perché lo Stato non seguì la pista giusta, ma perché lo Stato non possedeva un sistema capace di distinguere la pista giusta dentro il rumore, e la risposta, che i capitoli sugli apparati hanno documentato, riporta ancora una volta dalla teoria del complotto alla fisiologia della disorganizzazione, con l'avvertenza di metodo che il corpus consegna: il rumore non assolve le omissioni censite, le circostanzia, e la differenza tra assolvere e circostanziare è esattamente la differenza tra la storia e le sue caricature.</w:t>
      </w:r>
    </w:p>
    <w:p>
      <w:pPr>
        <w:spacing w:after="120" w:line="276"/>
        <w:jc w:val="both"/>
      </w:pPr>
      <w:r>
        <w:rPr>
          <w:rFonts w:ascii="Barlow Semi Condensed" w:cs="Barlow Semi Condensed" w:eastAsia="Barlow Semi Condensed" w:hAnsi="Barlow Semi Condensed"/>
          <w:sz w:val="24"/>
          <w:szCs w:val="24"/>
        </w:rPr>
        <w:t xml:space="preserve">La prigione esige infine il censimento della propria condizione ambientale, che il registro formula quale reperto sulla tecnologia della clandestinità: l'appartamento di via Montalcini operò per l'intera durata del sequestro dentro un normale condominio abitato di un quartiere popolare, con la custode dell'immobile che conduceva la vita di una giovane professionista insospettabile, i carcerieri che entravano ed uscivano secondo gli orari della normalità e la cella insonorizzata ricavata nell'alloggio, senza che alcun condomino, vicino od osservatore esterno rilevasse in 55 giorni una sola anomalia riferibile, come i dibattimenti accertarono ricostruendo la vita dell'edificio, Livello A quanto alla condizione ambientale della prigionia ed alla sua invisibilità accertata. Il registro consegna il dato alla sua lezione, che rovescia l'immaginario del caso: la prigione del popolo non fu un bunker remoto ma un interno borghese in mezzo agli altri, e la sua tecnologia decisiva non fu edilizia ma comportamentale, la capacità dei custodi di eseguire la normalità con la stessa disciplina con cui eseguirono l'agguato, sicché l'invisibilità che gli apparati cercarono per 55 giorni con i posti di blocco e le perquisizioni censite non fu violata perché non aveva forma cercabile, era fatta di puntualità, di buongiorno nelle scale e di sacchetti della spesa, e questa banalità organizzata, che i processi hanno documentato nei suoi dettagli domestici, è forse il reperto che più di ogni altro spiega al lettore la natura della sfida che lo Stato del 1978 perse: non trovare un nascondiglio, ma riconoscere la guerra travestita da vita quotidiana, il compito per il quale nessun posto di blocco è mai stato inventato.</w:t>
      </w:r>
    </w:p>
    <w:p>
      <w:pPr>
        <w:spacing w:after="120" w:line="276"/>
        <w:jc w:val="both"/>
      </w:pPr>
      <w:r>
        <w:rPr>
          <w:rFonts w:ascii="Barlow Semi Condensed" w:cs="Barlow Semi Condensed" w:eastAsia="Barlow Semi Condensed" w:hAnsi="Barlow Semi Condensed"/>
          <w:sz w:val="24"/>
          <w:szCs w:val="24"/>
        </w:rPr>
        <w:t xml:space="preserve">La fenomenologia dei canali si chiude, nell'edizione definitiva, con lo Stato Zero che la triangolazione ha formalmente certificato: nessun documento del corpus, degli atti parlamentari o dei giudicati attesta una trattativa di Stato conclusa, un accordo perfezionato o uno scambio deliberato per la liberazione del prigioniero, sicché l'intera galassia dei canali censiti in questo capitolo, quello umanitario, quello socialista, quello vaticano, quello criminale, resta documentalmente al di qua della soglia dell'esito, Stato Zero certificato quale risultato, distinto dai canali esplorati che conservano i loro gradi. Il registro consegna la certificazione alla sua doppia lettura obbligata: essa smentisce in radice ogni ricostruzione che dia per acquisito un patto tradito o un accordo sabotato, che nessuna carta sostiene, e lascia intatta la domanda storica legittima, che è altra e che il capitolo ha istruito, se un accordo fosse possibile e chi ne impedì la maturazione, con la disciplina che la distinzione impone: l'assenza documentata dell'esito è un fatto, le ragioni dell'assenza sono un campo di ipotesi graduate, e l'edizione definitiva, certificando il primo, non chiude il secondo, lo consegna pulito.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dei 55 giorni certifica al Livello A la linea della fermezza, la compresenza piduista ai vertici informativi dei comitati di crisi, la sequenza fattuale di via Gradoli e la falsità diversiva del comunicato del lago della Duchessa, con l'attribuzione a Chichiarelli al Livello B quale arco documentato verso l'orbita della Magliana; certifica al Livello B i sondaggi verso la criminalità organizzata per la localizzazione della prigione; e mantiene al Livello C, in forza del divieto inferenziale, ogni lettura finalistica della condotta, consegnando al piano terzo le ipotesi che il piano secondo ha reso formulabili senza renderle provate.</w:t>
      </w:r>
    </w:p>
    <w:p>
      <w:pPr>
        <w:pStyle w:val="Heading3"/>
        <w:spacing w:after="80" w:before="160"/>
      </w:pPr>
      <w:r>
        <w:rPr>
          <w:rFonts w:ascii="Barlow Semi Condensed" w:cs="Barlow Semi Condensed" w:eastAsia="Barlow Semi Condensed" w:hAnsi="Barlow Semi Condensed"/>
          <w:sz w:val="24"/>
          <w:szCs w:val="24"/>
        </w:rPr>
        <w:t xml:space="preserve">Capitolo 5 — ■ Le lettere e il memoriale. Il corpus del prigioniero e i 2 ritrovamenti di via Monte Nevoso</w:t>
      </w:r>
    </w:p>
    <w:p>
      <w:pPr>
        <w:spacing w:after="120" w:line="276"/>
        <w:jc w:val="both"/>
      </w:pPr>
      <w:r>
        <w:rPr>
          <w:rFonts w:ascii="Barlow Semi Condensed" w:cs="Barlow Semi Condensed" w:eastAsia="Barlow Semi Condensed" w:hAnsi="Barlow Semi Condensed"/>
          <w:sz w:val="24"/>
          <w:szCs w:val="24"/>
        </w:rPr>
        <w:t xml:space="preserve">Il corpus documentale prodotto da Aldo Moro durante la prigionia, le lettere inviate e il memoriale redatto in risposta agli interrogatori, è il nodo documentale della fase, e il registro lo tratta quale oggetto duplice: fonte storica di valore eccezionale e, insieme, oggetto esso stesso di una vicenda di ritrovamenti, sparizioni e gestioni che appartiene al piano secondo. La scansione del corpus dell'opera registra il termine memoriale 180 volte in 37 documenti e il toponimo Monte Nevoso 176 volte in 27; le lettere dalla prigionia sono presenti nel corpus in edizione critica integrale.</w:t>
      </w:r>
    </w:p>
    <w:p>
      <w:pPr>
        <w:spacing w:after="120" w:line="276"/>
        <w:jc w:val="both"/>
      </w:pPr>
      <w:r>
        <w:rPr>
          <w:rFonts w:ascii="Barlow Semi Condensed" w:cs="Barlow Semi Condensed" w:eastAsia="Barlow Semi Condensed" w:hAnsi="Barlow Semi Condensed"/>
          <w:sz w:val="24"/>
          <w:szCs w:val="24"/>
        </w:rPr>
        <w:t xml:space="preserve">Il primo pilastro è il corpus epistolare, che il registro certifica al Livello A nella sua materialità e disciplina nella sua valenza. Durante i 55 giorni Moro scrisse e fece recapitare decine di lettere, ai familiari, ai dirigenti del suo partito, alle massime cariche dello Stato, al Pontefice: lettere nelle quali argomentò la legittimità della trattativa per la vita dell'ostaggio, contestò la linea della fermezza rovesciando contro i suoi assertori la propria dottrina dello Stato, e progressivamente registrò l'abbandono, sino alle ultime disposizioni familiari e alla volontà, dettata, che nessun uomo del potere partecipasse alle sue esequie. Il registro certifica al Livello A l'esistenza, la consegna e il contenuto testuale delle lettere, e applica la disciplina dichiarata in avvertenza: la questione, dibattuta sin dai 55 giorni, della libertà del prigioniero scrivente, fu risolta dalla vulgata dell'epoca nel senso della coartazione totale, che privava le lettere di valore; le acquisizioni successive, testimoniali e comparative, hanno consolidato la lettura per cui Moro scrisse entro il perimetro concesso dai carcerieri ma con lucidità e intenzione proprie, usando lo spazio della scrittura quale ultimo terreno di azione politica; il registro certifica al Livello B questa lettura, quale convergenza delle fonti critiche, e ne trae la regola di trattamento: ogni enunciato delle lettere è vagliato singolarmente, quale atto di un autore lucido in condizione di costrizione, senza presunzioni generali né di falsità né di verità.</w:t>
      </w:r>
    </w:p>
    <w:p>
      <w:pPr>
        <w:spacing w:after="120" w:line="276"/>
        <w:jc w:val="both"/>
      </w:pPr>
      <w:r>
        <w:rPr>
          <w:rFonts w:ascii="Barlow Semi Condensed" w:cs="Barlow Semi Condensed" w:eastAsia="Barlow Semi Condensed" w:hAnsi="Barlow Semi Condensed"/>
          <w:sz w:val="24"/>
          <w:szCs w:val="24"/>
        </w:rPr>
        <w:t xml:space="preserve">Il secondo pilastro è la vicenda del memoriale e dei 2 ritrovamenti di via Monte Nevoso, che il registro certifica al Livello A quale sequenza e assume quale reperto capitale del piano secondo. Durante la prigionia Moro rispose per iscritto agli interrogatori condotti da Moretti, producendo un ampio memoriale su temi che spaziavano dalla storia della Democrazia Cristiana alle strutture atlantiche, dal finanziamento della politica ai servizi di sicurezza, con giudizi severi su uomini e apparati. Il 1 ottobre 1978, l'irruzione nel covo milanese di via Monte Nevoso 8, condotta dai reparti antiterrorismo coordinati dal generale Dalla Chiesa, portò all'arresto di dirigenti dell'organizzazione e al sequestro di una versione dattiloscritta parziale del memoriale e di trascrizioni di lettere; il materiale fu trasmesso e in parte pubblicato. Il 9 ottobre 1990, 12 anni dopo, nel corso di lavori di ristrutturazione del medesimo appartamento, fu rinvenuto, dietro un pannello di un'intercapedine sfuggito alla perquisizione originaria, un secondo compendio: fotocopie di manoscritti del memoriale, più ampie del dattiloscritto del 1978, e lettere ulteriori, molte inedite. Il registro certifica al Livello A i 2 ritrovamenti, la loro distanza temporale e la maggiore estensione del secondo compendio, e censisce le 2 questioni che la sequenza consegna. La prima è la questione della completezza: gli originali manoscritti del memoriale non sono mai stati rinvenuti, il secondo compendio è costituito da fotocopie, e la possibilità che porzioni del testo non siano mai emerse resta, allo stato, un'ipotesi non falsificabile che il registro censisce quale buco strutturale documentale di Livello C. La seconda è la questione della perquisizione del 1978: la mancata scoperta dell'intercapedine da parte di una perquisizione condotta dal migliore reparto antiterrorismo del Paese è stata oggetto di 2 letture concorrenti, l'errore materiale e la selezione deliberata; le sedi parlamentari hanno documentato gli elementi di entrambe senza consacrarne alcuna, e il registro mantiene la questione al Livello C, applicando alla lettera il divieto inferenziale: la mancata scoperta è certa, la sua intenzionalità non lo è, e la circostanza che il materiale del 1990 contenesse giudizi e rivelazioni assenti dal compendio del 1978 aggrava la domanda senza risolverla.</w:t>
      </w:r>
    </w:p>
    <w:p>
      <w:pPr>
        <w:spacing w:after="120" w:line="276"/>
        <w:jc w:val="both"/>
      </w:pPr>
      <w:r>
        <w:rPr>
          <w:rFonts w:ascii="Barlow Semi Condensed" w:cs="Barlow Semi Condensed" w:eastAsia="Barlow Semi Condensed" w:hAnsi="Barlow Semi Condensed"/>
          <w:sz w:val="24"/>
          <w:szCs w:val="24"/>
        </w:rPr>
        <w:t xml:space="preserve">Il terzo pilastro è il contenuto del memoriale quale fonte, che il registro disciplina con il rigore massimo. Il prigioniero scrisse, tra l'altro, di strutture riservate atlantiche predisposte per l'emergenza, con riferimenti che le acquisizioni del 1990, sopravvenute alla rivelazione della rete Gladio di 15 giorni anteriore, resero oggetto di immediata comparazione; scrisse del finanziamento dei partiti, di uomini del suo partito e degli apparati. Il registro assume ciascun enunciato quale dichiarazione di fonte qualificata resa in costrizione: certificabile quanto all'esistenza dell'enunciato, al Livello A; valutabile quanto al contenuto soltanto per convergenza con fonti autonome, secondo la regola generale; e annota il caso più rilevante di convergenza sopravvenuta, il riferimento del prigioniero a strutture di emergenza atlantiche, che la rivelazione del 1990 ha riscontrato nella sua sostanza, elevando quello specifico enunciato al Livello B quale dichiarazione riscontrata da fatto successivo indipendente: è il caso, metodologicamente prezioso, della fonte costretta che risulta, a distanza di 12 anni, aver detto il vero su un punto verificabile.</w:t>
      </w:r>
    </w:p>
    <w:p>
      <w:pPr>
        <w:spacing w:after="120" w:line="276"/>
        <w:jc w:val="both"/>
      </w:pPr>
      <w:r>
        <w:rPr>
          <w:rFonts w:ascii="Barlow Semi Condensed" w:cs="Barlow Semi Condensed" w:eastAsia="Barlow Semi Condensed" w:hAnsi="Barlow Semi Condensed"/>
          <w:sz w:val="24"/>
          <w:szCs w:val="24"/>
        </w:rPr>
        <w:t xml:space="preserve">Il quarto pilastro è la mappa tematica del memoriale, che il registro traccia quale guida documentale, ferma la disciplina enunciata. Il corpus emerso nei 2 ritrovamenti si articola su temi ricorrenti: la storia interna della Democrazia Cristiana e i suoi equilibri di corrente, con giudizi individuali di durezza inedita per la scrittura morotea, il più severo dei quali investe Giulio Andreotti, cui il prigioniero dedica pagine di requisitoria personale e politica; il finanziamento della politica e i suoi canali; l'anticomunismo di Stato e le sue strutture, con il passaggio sulle organizzazioni di emergenza a matrice atlantica di cui si è detto; i servizi di sicurezza e la loro storia; la politica internazionale e i vincoli di campo; e la riflessione sulla propria condizione, sulla fermezza e sullo Stato. Il registro certifica al Livello A l'esistenza e l'articolazione tematica del corpus, quale dato documentale; annota che la distribuzione dei temi tra il compendio del 1978 e quello del 1990 non è omogenea, con la presenza nel solo materiale del 1990 di svolgimenti assenti dal dattiloscritto originario, tra cui porzioni delle pagine su Andreotti e sui temi atlantici, e certifica al Livello A questa distribuzione differenziale, che è il fondamento documentale della questione della gestione già censita; e ribadisce, per ciascun enunciato di merito, la regola del vaglio individuale, con l'unico caso di elevazione già dichiarato. L'annotazione conclusiva del pilastro registra il paradosso documentale del caso: il prigioniero produsse, sotto costrizione, la più estesa testimonianza interna mai scritta sul sistema di potere italiano, e quella testimonianza raggiunse il registro soltanto per frammenti, in 2 tempi, per fotocopia e senza originali; nessun documento dell'opera unisce in sé, come il memoriale, il massimo valore potenziale della fonte e la massima menomazione certificata del supporto.</w:t>
      </w:r>
    </w:p>
    <w:p>
      <w:pPr>
        <w:spacing w:after="120" w:line="276"/>
        <w:jc w:val="both"/>
      </w:pPr>
      <w:r>
        <w:rPr>
          <w:rFonts w:ascii="Barlow Semi Condensed" w:cs="Barlow Semi Condensed" w:eastAsia="Barlow Semi Condensed" w:hAnsi="Barlow Semi Condensed"/>
          <w:sz w:val="24"/>
          <w:szCs w:val="24"/>
        </w:rPr>
        <w:t xml:space="preserve">Il quinto pilastro è la circolazione controllata del corpus epistolare, che il registro censisce quale ulteriore terreno del piano secondo. Non tutte le lettere scritte dal prigioniero giunsero ai destinatari nei 55 giorni: parte del corpus, come i ritrovamenti successivi hanno dimostrato, non fu mai recapitata dall'organizzazione; e parte di ciò che fu recapitato conobbe una circolazione governata, con la gestione politica della loro pubblicità, l'autenticazione contestata, la costruzione pubblica della tesi della coartazione che ne neutralizzava il contenuto. Il registro certifica al Livello A i 2 fatti componenti, la mancata consegna di parte del corpus, documentata dal confronto tra il consegnato e l'emerso, e l'esistenza di una gestione politica della ricezione, documentata dagli atti e dalla pubblicistica coeva; e ne trae l'annotazione che congiunge i piani: sul corpus epistolare operarono 2 filtri successivi e indipendenti, quello dei carcerieri, che scelsero cosa far uscire, e quello dei riceventi, che scelsero come accogliere ciò che usciva; la voce del prigioniero giunse al Paese doppiamente mediata, e la ricostruzione integrale del corpus, possibile soltanto dopo il 1990, è essa stessa una conquista postuma che il registro data e certifica.</w:t>
      </w:r>
    </w:p>
    <w:p>
      <w:pPr>
        <w:spacing w:after="120" w:line="276"/>
        <w:jc w:val="both"/>
      </w:pPr>
      <w:r>
        <w:rPr>
          <w:rFonts w:ascii="Barlow Semi Condensed" w:cs="Barlow Semi Condensed" w:eastAsia="Barlow Semi Condensed" w:hAnsi="Barlow Semi Condensed"/>
          <w:sz w:val="24"/>
          <w:szCs w:val="24"/>
        </w:rPr>
        <w:t xml:space="preserve">Il sesto pilastro percorre le lettere principali nella loro scansione, quale mappa documentale del corpus epistolare. La prima lettera resa pubblica, recapitata con il comunicato del 29 marzo, fu indirizzata al ministro dell'interno Francesco Cossiga: in essa Moro pose per primo, con l'autorità del giurista, il tema dello scambio dei prigionieri quale istituto praticato dagli Stati, dichiarò di trovarsi sotto un dominio pieno e non condizionato, e avvertì che il suo sacrificio non avrebbe giovato; il registro ne certifica al Livello A il testo e la funzione inaugurale del confronto. Seguirono le lettere ai vertici del partito, e in particolare le 2 al segretario Benigno Zaccagnini, dei primi di aprile e del 20 aprile, la seconda delle quali contiene l'apice della requisitoria del prigioniero contro la linea della fermezza, con l'ammonimento che il suo sangue sarebbe ricaduto sui dirigenti e la contestazione radicale della pretesa di distinguere tra l'uomo e lo statista; la lettera al presidente del Senato e ai presidenti dei gruppi; quella ad Amintore Fanfani, nell'ultima fase, quale estremo appello alla parte del partito ritenuta ancora capace di movimento; i biglietti e le lettere alla famiglia, sino alle disposizioni finali, la richiesta che nessun uomo del potere partecipasse alle esequie e che il funerale fosse celebrato nella forma privata, e il congedo dalla moglie Eleonora; e la lettera al Pontefice, in risposta all'appello pubblico. Il registro certifica al Livello A l'esistenza, i destinatari e i contenuti delle lettere richiamate, quali dati dell'edizione critica, e ne registra la traiettoria interna certificabile: dalla prima argomentazione istituzionale dello scambio alla progressiva presa d'atto dell'abbandono, sino al rovesciamento finale, per cui l'uomo che aveva costruito la solidarietà nazionale dispose che la sua morte non fosse utilizzabile da alcuno, sottraendo il proprio corpo alla liturgia dello Stato che non lo aveva riscattato: la disposizione, puntualmente eseguita dalla famiglia, è l'ultimo atto politico documentato del prigioniero, e il registro lo certifica quale tale.</w:t>
      </w:r>
    </w:p>
    <w:p>
      <w:pPr>
        <w:spacing w:after="120" w:line="276"/>
        <w:jc w:val="both"/>
      </w:pPr>
      <w:r>
        <w:rPr>
          <w:rFonts w:ascii="Barlow Semi Condensed" w:cs="Barlow Semi Condensed" w:eastAsia="Barlow Semi Condensed" w:hAnsi="Barlow Semi Condensed"/>
          <w:sz w:val="24"/>
          <w:szCs w:val="24"/>
        </w:rPr>
        <w:t xml:space="preserve">Il settimo pilastro ricostruisce la catena documentale del primo ritrovamento e la sincronia editoriale che vi si lega. Il materiale sequestrato in via Monte Nevoso il 1 ottobre 1978, il dattiloscritto del memoriale e le trascrizioni di lettere, entrò nella catena di custodia dei reparti operanti sotto la direzione del generale Dalla Chiesa e fu trasmesso alle autorità di governo e giudiziarie, con la pubblicazione di parte dei contenuti nelle settimane successive; sin da quella stagione, e poi definitivamente dopo il 1990, si pose la questione dell'integralità della trasmissione, alimentata dalla circostanza, certificata al Livello A dal confronto filologico, che il compendio del 1990 contiene testi e svolgimenti assenti dal materiale consegnato nel 1978 pur provenendo dal medesimo appartamento. A questa questione il registro salda la sincronia editoriale documentata: nell'ottobre 1978, a ridosso del sequestro del covo, il settimanale OP di Mino Pecorelli pubblicò e annunciò contenuti riconducibili al memoriale, taluni dei quali non presenti nel dattiloscritto allora ufficialmente acquisito e riscontrabili soltanto nel materiale emerso nel 1990; il registro certifica al Livello A la datazione e l'esistenza delle pubblicazioni, quale dato della collezione, e al Livello B la loro derivazione da un accesso a materiale non compreso nella versione ufficiale del 1978, quale inferenza documentale fondata sul confronto testuale operato nelle sedi parlamentari; la catena di tale accesso, chi, tra il covo e la pubblicazione, fece transitare ciò che lo Stato dichiarava di non possedere, resta al Livello C, ed è, per il registro, la più circoscritta e la più grave delle domande aperte del piano secondo, perché a differenza delle altre ammette un insieme finito di risposte possibili, tutte interne al perimetro della custodia. Il capitolo su Pecorelli riprende l'arco dal suo versante; il presente lo consegna quale reperto della vicenda documentale.</w:t>
      </w:r>
    </w:p>
    <w:p>
      <w:pPr>
        <w:spacing w:after="120" w:line="276"/>
        <w:jc w:val="both"/>
      </w:pPr>
      <w:r>
        <w:rPr>
          <w:rFonts w:ascii="Barlow Semi Condensed" w:cs="Barlow Semi Condensed" w:eastAsia="Barlow Semi Condensed" w:hAnsi="Barlow Semi Condensed"/>
          <w:sz w:val="24"/>
          <w:szCs w:val="24"/>
        </w:rPr>
        <w:t xml:space="preserve">L'ottavo pilastro censisce la costruzione pubblica della tesi della coartazione, il dispositivo con cui la voce del prigioniero fu neutralizzata. Sin dalle prime lettere, la linea ufficiale sostenne che gli scritti non esprimessero la volontà libera dell'uomo: la formula, veicolata da dichiarazioni di vertice e consacrata da un documento collettivo di amici, colleghi ed esponenti della cultura cattolica che dichiararono di non riconoscere in quelle pagine l'uomo che conoscevano, ricevette l'avallo tecnico delle valutazioni del comitato di esperti censito nel capitolo della gestione, orientate alla non attendibilità della scrittura quale espressione autentica; il registro certifica al Livello A l'esistenza, gli strumenti e la funzione della costruzione, quali dati documentali della stagione, e certifica al Livello A, sul fondamento dell'analisi filologica condotta dalle stagioni successive sull'intero corpus, che gli scritti esibiscono coerenza argomentativa, progressione logica, padronanza giuridica e continuità con il pensiero anteriore dell'autore, gli elementi sui quali la storiografia critica ha fondato il rovesciamento della tesi coeva; e chiude con la formalizzazione che la disciplina consente: la tesi della coartazione totale è un enunciato della stagione, certificato quale fatto storico nella sua esistenza e nella sua funzione, e falsificato quale tesi dal corpus medesimo, sicché il registro la censisce tra i dispositivi della gestione e non tra le descrizioni del documento; la circostanza che l'organo tecnico che la avallò fosse parte del sistema di compresenze certificato appartiene ai fatti del piano secondo, e vi resta.</w:t>
      </w:r>
    </w:p>
    <w:p>
      <w:pPr>
        <w:spacing w:after="120" w:line="276"/>
        <w:jc w:val="both"/>
      </w:pPr>
      <w:r>
        <w:rPr>
          <w:rFonts w:ascii="Barlow Semi Condensed" w:cs="Barlow Semi Condensed" w:eastAsia="Barlow Semi Condensed" w:hAnsi="Barlow Semi Condensed"/>
          <w:sz w:val="24"/>
          <w:szCs w:val="24"/>
        </w:rPr>
        <w:t xml:space="preserve">Il nono pilastro percorre i contenuti maggiori del memoriale, quale mappa dei temi che il vaglio individuale disciplina. Il primo blocco è quello degli apparati: le pagine sulle strutture di emergenza a matrice atlantica, con l'enunciato già elevato al Livello B per il riscontro del 1990; le pagine sulla stagione del SIFAR e del Piano Solo, scritte dal testimone che era stato presidente del Consiglio in quella estate, con la ricostruzione delle pressioni e delle coperture di allora; e i giudizi sui servizi della propria stagione. Il secondo blocco è quello politico: la requisitoria su Giulio Andreotti, la più estesa e la più dura del corpus, che percorre la carriera del presidente del Consiglio in carica con giudizi di spregiudicatezza e freddezza rimasti nella memoria documentale della Repubblica; le pagine su Paolo Emilio Taviani, sulla sua stagione al Viminale e sui suoi rapporti atlantici; i giudizi sul sistema di potere del proprio partito e sul suo finanziamento, ivi compresi i canali americani della prima guerra fredda. Il terzo blocco è quello internazionale, con la lettura dei vincoli di campo, delle rigidità atlantiche e della condizione di sovranità limitata del Paese. Il registro certifica al Livello A l'esistenza e l'articolazione di questi contenuti, quali dati testuali del corpus emerso, ribadisce che ciascun enunciato di merito resta sottoposto al vaglio individuale con l'unica elevazione dichiarata, e annota il dato d'insieme che il corpus consegna: il prigioniero rispose al processo dei carcerieri con una controrequisitoria sistemica, trasformando l'interrogatorio in una testimonianza sul potere italiano che nessun uomo libero della sua posizione aveva mai consegnato per iscritto, e questa natura del documento, insieme testimonianza capitale e scrittura sotto costrizione, è la ragione strutturale della disciplina che il registro vi applica.</w:t>
      </w:r>
    </w:p>
    <w:p>
      <w:pPr>
        <w:spacing w:after="120" w:line="276"/>
        <w:jc w:val="both"/>
      </w:pPr>
      <w:r>
        <w:rPr>
          <w:rFonts w:ascii="Barlow Semi Condensed" w:cs="Barlow Semi Condensed" w:eastAsia="Barlow Semi Condensed" w:hAnsi="Barlow Semi Condensed"/>
          <w:sz w:val="24"/>
          <w:szCs w:val="24"/>
        </w:rPr>
        <w:t xml:space="preserve">Il decimo pilastro fissa i numeri del corpus, quale apparato quantitativo della fase. L'edizione critica delle carte della prigionia censisce quasi 100 scritti autografi tra lettere recapitate, lettere trattenute dai carcerieri e mai spedite, minute e testi connessi, indirizzati a oltre 40 destinatari tra uomini politici, familiari, collaboratori ed ecclesiastici; il compendio del memoriale sequestrato nel 1978 consta dei dattiloscritti censiti negli atti del primo ritrovamento, e il compendio del 1990 consta di 419 pagine in fotocopia di manoscritti, comprensive delle porzioni assenti dalla versione del 1978; il registro certifica al Livello A questi ordini di grandezza, quali dati delle edizioni e delle inventariazioni ufficiali, e ne trae l'annotazione metodologica terminale del nodo: la voce scritta del prigioniero è, quantitativamente, la maggiore fonte primaria dell'intera vicenda, e la sua storia materiale, scritta a mano in prigione, trascritta dai carcerieri, sequestrata in 2 tempi a 12 anni di distanza, mai emersa in originale, è essa stessa il più compiuto oggetto di studio che la fase consegna al metodo dell'opera: un corpus la cui filologia è inseparabile dalla sua vicenda di potere.</w:t>
      </w:r>
    </w:p>
    <w:p>
      <w:pPr>
        <w:spacing w:after="120" w:line="276"/>
        <w:jc w:val="both"/>
      </w:pPr>
      <w:r>
        <w:rPr>
          <w:rFonts w:ascii="Barlow Semi Condensed" w:cs="Barlow Semi Condensed" w:eastAsia="Barlow Semi Condensed" w:hAnsi="Barlow Semi Condensed"/>
          <w:sz w:val="24"/>
          <w:szCs w:val="24"/>
        </w:rPr>
        <w:t xml:space="preserve">L'undicesimo pilastro censisce la lettera a Taviani, il documento polemico maggiore del corpus epistolare pubblico. Diffusa a metà aprile per il canale dell'organizzazione, la lettera investe Paolo Emilio Taviani, l'uomo dei governi e del Viminale della prima Repubblica, con una requisitoria personale e politica che non ha equivalenti nel corpus per durezza diretta verso un singolo destinatario vivente: il prigioniero vi contesta all'antico collega la coerenza della linea della fermezza con il suo stesso passato di governo, richiama vicende e responsabilità della storia interna del partito e degli apparati, e ne fa il bersaglio esemplare della classe dirigente che lo abbandonava; Taviani replicò pubblicamente, contestando l'autenticità morale dello scritto entro la cornice della coartazione allora dominante. Il registro certifica al Livello A il testo, la diffusione e la replica, quali dati documentali, e ne dichiara il rilievo per la fase: la scelta del bersaglio, l'uomo che il memoriale avrebbe parimenti investito sul terreno degli apparati e dei rapporti atlantici, documenta la continuità tematica tra la scrittura epistolare pubblica e la scrittura del memoriale, i 2 rami della produzione del prigioniero, e conferma, sul piano filologico, l'unità della mano e del disegno che l'ottavo pilastro ha certificato contro la tesi coeva; il registro annota che la coppia lettera-replica costituisce inoltre il caso documentale più netto del meccanismo censito, la neutralizzazione della voce attraverso la sua squalifica, operata qui non da un organo tecnico ma dal destinatario medesimo, con l'autorità della propria storia istituzionale.</w:t>
      </w:r>
    </w:p>
    <w:p>
      <w:pPr>
        <w:spacing w:after="120" w:line="276"/>
        <w:jc w:val="both"/>
      </w:pPr>
      <w:r>
        <w:rPr>
          <w:rFonts w:ascii="Barlow Semi Condensed" w:cs="Barlow Semi Condensed" w:eastAsia="Barlow Semi Condensed" w:hAnsi="Barlow Semi Condensed"/>
          <w:sz w:val="24"/>
          <w:szCs w:val="24"/>
        </w:rPr>
        <w:t xml:space="preserve">Il dodicesimo pilastro censisce il destino editoriale del corpus, l'ultimo tratto della sua vicenda materiale. Le carte della prigionia conobbero la pubblicazione per strati successivi, paralleli ai ritrovamenti: le lettere recapitate circolarono nella stagione stessa, il compendio del 1978 fu pubblicato negli atti e nella stampa dell'autunno, il materiale del 1990 confluì nei volumi documentali della Commissione sulle stragi, e l'insieme trovò sistemazione filologica nell'edizione critica del corpus epistolare pubblicata nel primo decennio del secolo, con l'apparato di datazione, collazione e commento che ha reso possibile il confronto sistematico tra recapitato, trattenuto ed emerso su cui la fase ha lavorato; il registro certifica al Livello A la stratigrafia editoriale, quale storia documentale, e chiude il nodo con l'annotazione che essa impone: il caso Moro è l'unico evento dell'intera opera il cui documento centrale abbia richiesto 30 anni per raggiungere la forma di fonte criticamente edita, e la storia di questa lentezza, fatta di sequestri parziali, fotocopie, polemiche e attese, non è un accidente della filologia ma un capitolo della storia del potere che il documento racconta: il registro la trascrive quale ultimo dato del nodo, la fonte che impiegò una generazione a diventare leggibile.</w:t>
      </w:r>
    </w:p>
    <w:p>
      <w:pPr>
        <w:spacing w:after="120" w:line="276"/>
        <w:jc w:val="both"/>
      </w:pPr>
      <w:r>
        <w:rPr>
          <w:rFonts w:ascii="Barlow Semi Condensed" w:cs="Barlow Semi Condensed" w:eastAsia="Barlow Semi Condensed" w:hAnsi="Barlow Semi Condensed"/>
          <w:sz w:val="24"/>
          <w:szCs w:val="24"/>
        </w:rPr>
        <w:t xml:space="preserve">Il tredicesimo pilastro censisce il corpus familiare, il ramo delle lettere che la disciplina del registro tratta con la sobrietà dovuta. Accanto alle lettere politiche, il prigioniero scrisse per l'intera durata del sequestro alla moglie Eleonora, ai 4 figli e alla famiglia: un corpus di scritti privati, in parte recapitati e in parte trattenuti ed emersi con i ritrovamenti, che documenta il versante personale dei 55 giorni, la preoccupazione minuta per la vita dei suoi, le disposizioni domestiche ed economiche, l'affidamento reciproco, e che culmina nell'ultima lettera alla moglie, il congedo scritto nell'imminenza della fine, con il pensiero rivolto a ciascuno dei familiari e al nipote, e con le disposizioni finali già censite quale ultimo atto politico, la volontà che alle esequie non partecipassero gli uomini del potere. Il registro certifica al Livello A l'esistenza, la consistenza e i contenuti del corpus familiare, quali dati dell'edizione critica, e dichiara la propria disciplina: gli scritti privati sono censiti quale fonte, per ciò che documentano della condizione del prigioniero, della sua lucidità conservata e della cronologia interna della prigionia, e non sono oggetto di analisi eccedente, il registro ritenendo che la loro funzione nell'opera si esaurisca nella certificazione e che ogni ulteriore trattamento appartenga alla pietà e non al metodo; una sola annotazione analitica è dovuta, ed è filologica: la continuità di mano, di lucidità e di struttura tra il corpus politico e il corpus familiare, accertata dagli studi sull'insieme delle carte, è essa stessa un elemento della falsificazione della tesi della coartazione totale, giacché documenta un uomo che, sino all'ultimo giorno, governò simultaneamente i registri della requisitoria politica e della tenerezza familiare, la prestazione meno compatibile con l'annullamento della volontà che la tesi coeva postulava.</w:t>
      </w:r>
    </w:p>
    <w:p>
      <w:pPr>
        <w:spacing w:after="120" w:line="276"/>
        <w:jc w:val="both"/>
      </w:pPr>
      <w:r>
        <w:rPr>
          <w:rFonts w:ascii="Barlow Semi Condensed" w:cs="Barlow Semi Condensed" w:eastAsia="Barlow Semi Condensed" w:hAnsi="Barlow Semi Condensed"/>
          <w:sz w:val="24"/>
          <w:szCs w:val="24"/>
        </w:rPr>
        <w:t xml:space="preserve">Il quattordicesimo pilastro censisce il sottoinsieme delle lettere trattenute, il corpus che i carcerieri non recapitarono. Il confronto tra il corpus integrale emerso con i ritrovamenti e l'insieme delle lettere effettivamente giunte ai destinatari nella stagione documenta che una parte rilevante degli scritti del prigioniero fu trattenuta dall'organizzazione e mai spedita: lettere a uomini politici, a collaboratori e alla famiglia che Moro scrisse e consegnò per l'inoltro e che i carcerieri, esercitando il controllo sul canale, decisero di non far uscire dalla prigione, e che sarebbero emerse soltanto con le carte del 1978 e del 1990; il registro certifica al Livello A l'esistenza e la consistenza del sottoinsieme trattenuto, quale risultanza del confronto filologico condotto dall'edizione critica, e ne dichiara il portato analitico, che è duplice. Sul piano della fonte, la selezione operata dai carcerieri è essa stessa un documento: la scelta di cosa far uscire e cosa trattenere fu un atto politico dell'organizzazione, che governò la voce del prigioniero non soltanto producendone l'occasione ma amministrandone la circolazione, e la mappa del trattenuto, ricostruibile a posteriori, documenta i criteri di quel governo, l'organizzazione avendo privilegiato l'uscita degli scritti funzionali alla pressione sulla Democrazia Cristiana e trattenuto una parte di quelli personali o eccedenti la propria strategia. Sul piano del metodo, il pilastro completa la fisionomia del corpus che il decimo ha fissato: la voce scritta del prigioniero giunse ai contemporanei filtrata 2 volte, dalla selezione dei carcerieri nella stagione e dalla vicenda dei ritrovamenti nei decenni, e ogni analisi della ricezione coeva delle lettere deve incorporare il dato che i contemporanei lessero un corpus amministrato, non il corpus integrale, una circostanza che il registro certifica quale condizione documentata della storia della ricezione.</w:t>
      </w:r>
    </w:p>
    <w:p>
      <w:pPr>
        <w:spacing w:after="120" w:line="276"/>
        <w:jc w:val="both"/>
      </w:pPr>
      <w:r>
        <w:rPr>
          <w:rFonts w:ascii="Barlow Semi Condensed" w:cs="Barlow Semi Condensed" w:eastAsia="Barlow Semi Condensed" w:hAnsi="Barlow Semi Condensed"/>
          <w:sz w:val="24"/>
          <w:szCs w:val="24"/>
        </w:rPr>
        <w:t xml:space="preserve">Il quindicesimo pilastro censisce il fondamento tecnico dell'autenticità, le perizie grafiche sul corpus. L'autografia degli scritti della prigionia fu sottoposta ad accertamento peritale in ogni stagione, dalle prime verifiche della crisi, condotte sulle lettere recapitate per escludere la falsificazione, sino agli esami sistematici delle Commissioni sui compendi del 1978 e del 1990: gli esiti, convergenti attraverso 4 decenni di strumenti crescenti, hanno accertato che le lettere e le pagine manoscritte del memoriale sono di mano di Aldo Moro, senza che alcuna perizia abbia mai individuato interpolazioni di mano diversa nei testi autografi; il registro certifica al Livello A l'autografia del corpus, quale risultanza peritale consolidata, e ne dichiara la funzione architettonica: essa è il fondamento tecnico su cui l'intero capitolo poggia, giacché distingue con nettezza le 2 questioni che la stagione confuse e che il registro tiene separate, l'autenticità materiale degli scritti, accertata e mai più seriamente contestata, e la libertà morale dello scrivente, il terreno su cui la tesi della coartazione operò; la confusione delle 2 questioni fu, per il registro, il meccanismo retorico centrale della neutralizzazione coeva, che trasferì sul piano inattaccabile della materialità il dubbio che poteva vivere soltanto sul piano della condizione, e la loro separazione, operata dalla filologia successiva, è l'atto metodologico che ha restituito il corpus alla storia; il registro trascrive la distinzione quale acquisizione definitiva della fase e la applica retroattivamente a ogni pilastro del capitolo, nel quale ogni enunciato sull'autenticità va letto quale enunciato sulla materialità accertata, e ogni questione residua quale questione sulle condizioni, censita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lettere-linea della fermezza-ultimo terreno politico, è il triangolo del corpus epistolare, certificato al Livello A nella materialità e al Livello B nella lettura della lucidità. La seconda, memoriale-Monte Nevoso 1978-Monte Nevoso 1990, è il triangolo dei ritrovamenti, certificato al Livello A nella sequenza e al Livello C nelle questioni della completezza e dell'intenzionalità. La terza, enunciati del prigioniero-riscontri sopravvenuti-Gladio, è il triangolo della fonte riscontrata, con l'elevazione dichiarata al Livello B del punto verificato. Sul piano dei pattern, il nodo è la sede propria del Pattern 6 applicato a un documento: le ipotesi concorrenti sulla gestione del memoriale, errore contro selezione, restano in competizione formale, e il registro elenca, secondo il metodo, l'evidenza che le discriminerebbe, il ritrovamento degli originali manoscritti, dichiarandola allo stato inesistente.</w:t>
      </w:r>
    </w:p>
    <w:p>
      <w:pPr>
        <w:spacing w:after="120" w:line="276"/>
        <w:jc w:val="both"/>
      </w:pPr>
      <w:r>
        <w:rPr>
          <w:rFonts w:ascii="Barlow Semi Condensed" w:cs="Barlow Semi Condensed" w:eastAsia="Barlow Semi Condensed" w:hAnsi="Barlow Semi Condensed"/>
          <w:sz w:val="24"/>
          <w:szCs w:val="24"/>
        </w:rPr>
        <w:t xml:space="preserve">Il corpus del prigioniero va restituito anche nella sua logistica, perché il recapito è esso stesso un capitolo del caso. Gli scritti viaggiarono su un doppio binario documentato: il canale brigatista ordinario, che accompagnava le lettere ai comunicati o le affidava a recapiti indiretti, ed il canale fiduciario che l'organizzazione consentì verso la famiglia, nel quale operò tra gli altri il giovane sacerdote don Antonello Mennini, confessore di casa Moro, tramite di plichi e risposte nelle settimane centrali del sequestro, secondo quanto egli stesso avrebbe poi riferito alle sedi istruttorie e parlamentari, Livello A quanto all'esistenza dei canali ed al ruolo del tramite, nei limiti delle rispettive fonti. La consistenza complessiva del corpus, tra lettere recapitate ai destinatari, scritti trattenuti dai carcerieri ed esemplari emersi soltanto nei compendi di via Monte Nevoso, si approssima al centinaio di pezzi, con un ordine interno che la filologia ha ricostruito distinguendo gli originali autografi recapitati, le trascrizioni e le fotocopie dei ritrovamenti, Livello A quanto alla tripartizione ed all'ordine di grandezza, ferma l'assenza perpetua degli originali dei compendi che la sintesi certifica.</w:t>
      </w:r>
    </w:p>
    <w:p>
      <w:pPr>
        <w:spacing w:after="120" w:line="276"/>
        <w:jc w:val="both"/>
      </w:pPr>
      <w:r>
        <w:rPr>
          <w:rFonts w:ascii="Barlow Semi Condensed" w:cs="Barlow Semi Condensed" w:eastAsia="Barlow Semi Condensed" w:hAnsi="Barlow Semi Condensed"/>
          <w:sz w:val="24"/>
          <w:szCs w:val="24"/>
        </w:rPr>
        <w:t xml:space="preserve">La mappa dei destinatari disegna, infine, la strategia del prigioniero, ed il registro la fissa nei suoi capisaldi datati: la prima lettera politica, indirizzata al ministro dell'interno Francesco Cossiga e recapitata il 29 marzo, che apre la contesa sulla linea dello scambio con l'argomentazione dello Stato che non può chiedere ai suoi servitori il sacrificio della vita innocente; le lettere al segretario democristiano Benigno Zaccagnini, tra le quali quella dei primi di aprile e quella del 20 aprile, di crescente durezza verso il partito immobile; la lettera a Paolo VI, cui seguì l'appello pubblico del pontefice del 21 aprile già certificato; e la sequenza familiare, sino all'ultima lettera alla moglie, il congedo che chiude il corpus sul registro privato dopo che quello pubblico si era consumato, Livello A quanto ai destinatari ed alla scansione. Il registro consegna la mappa alla sua lettura documentale: il prigioniero condusse per lettere una campagna ordinata, prima giuridico-politica verso lo Stato, poi morale verso il partito, poi spirituale verso la Chiesa, infine affettiva verso i suoi, e questa progressione, leggibile nella sola cronologia dei destinatari, è il più forte argomento interno contro la tesi coeva della non autenticità morale degli scritti: le lettere non divagano, manovrano, e la manovra ha la coerenza di una mente che il registro, con le sentenze e con la filologia, certifica lucida.</w:t>
      </w:r>
    </w:p>
    <w:p>
      <w:pPr>
        <w:spacing w:after="120" w:line="276"/>
        <w:jc w:val="both"/>
      </w:pPr>
      <w:r>
        <w:rPr>
          <w:rFonts w:ascii="Barlow Semi Condensed" w:cs="Barlow Semi Condensed" w:eastAsia="Barlow Semi Condensed" w:hAnsi="Barlow Semi Condensed"/>
          <w:sz w:val="24"/>
          <w:szCs w:val="24"/>
        </w:rPr>
        <w:t xml:space="preserve">Al compendio memorialistico il registro deve la mappa tematica, che le fotocopie dei 2 ritrovamenti consentono di censire al livello loro proprio: le pagine dell'interrogatorio-testamento percorrono, in forma di risposta al questionario dei carcerieri, la storia interna della Democrazia cristiana e dei suoi finanziamenti, i rapporti atlantici della Repubblica e le strutture riservate della sicurezza, i profili dei protagonisti coevi tracciati con giudizi di inedita durezza, e la riflessione del prigioniero sul proprio partito e sulla propria sorte, Livello B quanto ai contenuti, trattandosi di riproduzioni prive degli originali, con la gradazione interna che la filologia dei 2 compendi impone. Sul piano dell'autenticità materiale, le perizie grafiche e documentali disposte nei cicli giudiziari e nelle sedi parlamentari hanno costantemente ricondotto gli autografi riprodotti alla mano di Moro, senza che alcun accertamento abbia mai revocato in dubbio la paternità degli scritti, Livello A quanto agli esiti peritali sulla paternità. Ne discende lo statuto documentale che il registro assegna al corpus e che la sintesi presuppone: testi autentici in copia incompleta, la cui attendibilità di contenuto va graduata pagina per pagina secondo la natura dell'affermazione, testimonianza diretta, giudizio politico o notizia appresa, e la cui lacunosità certificata, l'assenza perpetua degli originali e la maggiore estensione del secondo compendio rispetto al primo, costituisce essa stessa, come il capitolo ha stabilito, il reperto principale: di questo archivio conosciamo con certezza soltanto ciò che manca.</w:t>
      </w:r>
    </w:p>
    <w:p>
      <w:pPr>
        <w:spacing w:after="120" w:line="276"/>
        <w:jc w:val="both"/>
      </w:pPr>
      <w:r>
        <w:rPr>
          <w:rFonts w:ascii="Barlow Semi Condensed" w:cs="Barlow Semi Condensed" w:eastAsia="Barlow Semi Condensed" w:hAnsi="Barlow Semi Condensed"/>
          <w:sz w:val="24"/>
          <w:szCs w:val="24"/>
        </w:rPr>
        <w:t xml:space="preserve">Al corpus scritto si affianca il sotto-corpus visivo, le 2 fotografie del prigioniero, che il registro censisce quale sistema documentale autonomo: la prima, diffusa con il comunicato del 18 marzo, il prigioniero in camicia sotto il drappo dell'organizzazione, con la funzione di certificare la cattura e la messa in scena processuale; la seconda, diffusa il 20 aprile all'indomani del diversivo, il prigioniero con il quotidiano del 19 aprile spiegato dinanzi a sé, con la funzione opposta e complementare di certificare la vita contro la voce della morte che il falso comunicato aveva immesso nel circuito, Livello A quanto alle 2 immagini, alle date ed alle funzioni documentali. Il registro ne fissa la grammatica: la prima fotografia prova l'esistenza del potere dei carcerieri, la seconda prova l'esistenza nel tempo del prigioniero, e tra le 2 immagini corre l'intera parabola comunicativa del sequestro, dall'ostensione del trofeo alla prova di vita mercantile, con il quotidiano trasformato in calendario, l'oggetto più quotidiano del Dominio 8 convertito in strumento di datazione forense. Che le 2 sole immagini uscite dalla prigione siano entrambe atti di comunicazione strategica, e che nessuna immagine del quotidiano carcerario, della cella, dei volti, sia mai stata prodotta o ritrovata, completa la coerenza del sistema: la prigione comunicò soltanto ciò che serviva, quando serviva, e la sua economia visiva, 2 fotografie in 55 giorni, resta la misura più eloquente della disciplina che il registro ha certificato su ogni altro piano.</w:t>
      </w:r>
    </w:p>
    <w:p>
      <w:pPr>
        <w:spacing w:after="120" w:line="276"/>
        <w:jc w:val="both"/>
      </w:pPr>
      <w:r>
        <w:rPr>
          <w:rFonts w:ascii="Barlow Semi Condensed" w:cs="Barlow Semi Condensed" w:eastAsia="Barlow Semi Condensed" w:hAnsi="Barlow Semi Condensed"/>
          <w:sz w:val="24"/>
          <w:szCs w:val="24"/>
        </w:rPr>
        <w:t xml:space="preserve">La prima lettera a Cossiga esige l'analisi della sua architettura argomentativa, perché il registro vi riconosce il documento giuridicamente più denso dell'intero corpus: nel testo recapitato il 29 marzo il prigioniero costruisce, da giurista, il fondamento dottrinale della trattativa, rivendicando di trovarsi sotto un dominio pieno ed incontrollato, in condizione di prigioniero politico di una guerra dichiarata dalla controparte, e richiamando espressamente le prassi già seguite dallo Stato italiano, gli scambi e i rilasci consumati verso la guerriglia palestinese, quale precedente che dimostrava la praticabilità e la già avvenuta pratica del principio della salvezza della vita, Livello A quanto ai contenuti del testo edito. Il registro fissa la potenza documentale dell'argomento: il prigioniero opponeva alla dottrina della fermezza non un'implorazione ma un precedente, e il precedente invocato era esattamente la gestione riservata mediterranea che la fase quinta dell'opera censisce, sicché la lettera del 29 marzo salda dall'interno della prigione i 2 piani che l'opera tratta in fasi distinte, il caso nazionale e il teatro internazionale, certificando che il primo a formulare la connessione fu l'ostaggio medesimo, con cognizione di causa da presidente del partito di governo. La replica implicita dello Stato, il silenzio sul precedente e la costruzione pubblica del Moro non più sé stesso, appartiene ai capitoli censiti; qui il registro consegna il punto dottrinale nudo: nella primavera del 1978 la questione non era se lo Stato italiano potesse trattare con organizzazioni armate, questione già risolta in fatto dalla prassi che il prigioniero conosceva e citava, ma se potesse ammettere di averlo già fatto, e la distanza tra le 2 domande, giuridicamente nulla e politicamente abissale, è lo spazio esatto in cui il caso si consumò.</w:t>
      </w:r>
    </w:p>
    <w:p>
      <w:pPr>
        <w:spacing w:after="120" w:line="276"/>
        <w:jc w:val="both"/>
      </w:pPr>
      <w:r>
        <w:rPr>
          <w:rFonts w:ascii="Barlow Semi Condensed" w:cs="Barlow Semi Condensed" w:eastAsia="Barlow Semi Condensed" w:hAnsi="Barlow Semi Condensed"/>
          <w:sz w:val="24"/>
          <w:szCs w:val="24"/>
        </w:rPr>
        <w:t xml:space="preserve">Il canale vaticano del quadrilatero epistolare ha una genealogia biografica che il registro deve premettere, perché senza di essa l'intensità dell'impegno pontificio resta inspiegata: il rapporto tra il prigioniero ed il papa affondava nel sodalizio nato mezzo secolo prima negli ambienti della Federazione universitaria cattolica italiana, della quale Giovanni Battista Montini era stato assistente ecclesiastico nazionale e Aldo Moro divenne presidente nazionale nel 1939, all'origine di una consuetudine personale e intellettuale protrattasi per l'intera parabola dei 2 uomini, sino a farne, nella primavera del 1978, il vertice della Chiesa ed il vertice del partito cattolico legati da un'amicizia quarantennale, Livello A quanto alla comune matrice fucina ed alla continuità documentata del rapporto. Il registro consegna la premessa alla sua funzione ermeneutica: l'appello del 21 aprile, la disponibilità riservata censita e la liturgia funebre presieduta di persona non furono atti di un'istituzione verso uno statista, ma di un uomo verso l'allievo ed amico di una vita, e questa qualità personale del canale, unica nell'intero quadrilatero, spiega tanto la sua straordinaria mobilitazione quanto il suo limite strutturale: il papa poteva offrire ciò che un amico possiede, la voce, il denaro, la preghiera, ma non ciò che il negoziato richiedeva, la potestà di liberare prigionieri altrui, sicché il canale più motivato del sistema era anche, per costituzione, il meno attrezzato, e la sproporzione tra il suo investimento e la sua capacità è la misura più commovente e più esatta dell'impotenza generale che il capitolo censisce.</w:t>
      </w:r>
    </w:p>
    <w:p>
      <w:pPr>
        <w:spacing w:after="120" w:line="276"/>
        <w:jc w:val="both"/>
      </w:pPr>
      <w:r>
        <w:rPr>
          <w:rFonts w:ascii="Barlow Semi Condensed" w:cs="Barlow Semi Condensed" w:eastAsia="Barlow Semi Condensed" w:hAnsi="Barlow Semi Condensed"/>
          <w:sz w:val="24"/>
          <w:szCs w:val="24"/>
        </w:rPr>
        <w:t xml:space="preserve">La mappa dei destinatari istituzionali si completa con la lettera al vertice del terzo potere rappresentativo, che il registro aggiunge al quadrilatero: il prigioniero scrisse anche al presidente della Camera Pietro Ingrao, investendo della questione la massima carica parlamentare espressa dall'opposizione comunista, con un testo che sollecitava l'assunzione di responsabilità delle istituzioni rappresentative accanto a quelle di governo e di partito già destinatarie del corpus censito, Livello A quanto alla lettera ed al suo destinatario. Il registro annota la razionalità della scelta: indirizzando la terza carica dello Stato, per giunta espressione del partito perno della fermezza, il prigioniero completava la copertura istituzionale del proprio sistema epistolare, governo, partito, Chiesa, famiglia e Parlamento, e costringeva formalmente anche il fronte comunista, sino ad allora raggiunto solo per interposta polemica, a ricevere ed archiviare una propria responsabilità documentale, sicché nessuna delle istituzioni della Repubblica avrebbe potuto dire, negli atti, di non essere stata personalmente investita, e l'architettura complessiva del corpus si rivela per ciò che il capitolo ha progressivamente documentato: non una raccolta di suppliche, ma una notificazione sistematica.</w:t>
      </w:r>
    </w:p>
    <w:p>
      <w:pPr>
        <w:spacing w:after="120" w:line="276"/>
        <w:jc w:val="both"/>
      </w:pPr>
      <w:r>
        <w:rPr>
          <w:rFonts w:ascii="Barlow Semi Condensed" w:cs="Barlow Semi Condensed" w:eastAsia="Barlow Semi Condensed" w:hAnsi="Barlow Semi Condensed"/>
          <w:sz w:val="24"/>
          <w:szCs w:val="24"/>
        </w:rPr>
        <w:t xml:space="preserve">Il memoriale contiene infine il suo versante economico-finanziario, che il registro censisce quale requisitoria postuma saldata alla prima fase dell'opera: nei fogli emersi il prigioniero trattò criticamente, tra l'altro, la vicenda dei salvataggi bancari legati al finanziere siciliano già censito nel quadrilatero della fase prima, ed i meccanismi del finanziamento occulto della politica, con giudizi netti sui costi di sistema di quelle operazioni e sulle responsabilità degli ambienti che le avevano patrocinate, Livello A quanto ai contenuti dei testi editi. Il registro fissa il valore architettonico del reperto: il massimo prigioniero politico della storia repubblicana dedicò parte della propria ultima scrittura esattamente ai crocevia tra finanza, partiti e protezioni che la fase prima di quest'opera ricostruisce, e questa convergenza tematica tra il memoriale del 1978 ed il registro del quadrilatero, formatasi per vie del tutto indipendenti, vale quale riscontro incrociato di prima grandezza: l'analisi che l'opera ha condotto sugli atti giudiziari coincide, nei suoi assi, con l'analisi che il testimone più interno del sistema politico consegnò alla propria prigione, e quando l'archivio e l'ostaggio, senza potersi parlare, descrivono la medesima macchina, il metodo registra la concordanza come si registra, in ogni scienza, la replica indipendente di un esperimento.</w:t>
      </w:r>
    </w:p>
    <w:p>
      <w:pPr>
        <w:spacing w:after="120" w:line="276"/>
        <w:jc w:val="both"/>
      </w:pPr>
      <w:r>
        <w:rPr>
          <w:rFonts w:ascii="Barlow Semi Condensed" w:cs="Barlow Semi Condensed" w:eastAsia="Barlow Semi Condensed" w:hAnsi="Barlow Semi Condensed"/>
          <w:sz w:val="24"/>
          <w:szCs w:val="24"/>
        </w:rPr>
        <w:t xml:space="preserve">La gestione del carteggio da parte dell'organizzazione esige il suo censimento strategico, che il registro formula sul piano delle tempistiche: le lettere non uscirono dalla prigione al ritmo della scrittura ma al ritmo della trattativa, con recapiti calibrati sulle scadenze politiche esterne, accelerazioni nei passaggi critici del negoziato pubblico e sospensioni nelle fasi di stallo, secondo una regia della corrispondenza che le ricostruzioni processuali e le stesse ammissioni successive dei carcerieri documentano, Livello A quanto alla gestione strumentale dei recapiti. Il registro fissa la conseguenza analitica che questa regia impone al lettore dell'epistolario: ogni lettera del corpus possiede 2 date, quella della scrittura, spesso ignota, e quella del recapito, sempre scelta, e la distanza tra le 2 è essa stessa un enunciato dell'organizzazione, non del prigioniero, sicché il carteggio del sequestro va letto quale opera a 2 autori asimmetrici, l'uomo che scriveva ciò che voleva e la struttura che consegnava ciò che serviva, e la filologia del caso, che l'opera ha praticato capitolo per capitolo, ha dovuto imparare a distinguere sistematicamente la voce dal megafono, perché confonderli significa attribuire al pensiero dell'ostaggio la strategia dei suoi custodi.</w:t>
      </w:r>
    </w:p>
    <w:p>
      <w:pPr>
        <w:spacing w:after="120" w:line="276"/>
        <w:jc w:val="both"/>
      </w:pPr>
      <w:r>
        <w:rPr>
          <w:rFonts w:ascii="Barlow Semi Condensed" w:cs="Barlow Semi Condensed" w:eastAsia="Barlow Semi Condensed" w:hAnsi="Barlow Semi Condensed"/>
          <w:sz w:val="24"/>
          <w:szCs w:val="24"/>
        </w:rPr>
        <w:t xml:space="preserve">Il carteggio possiede infine la sua cifra stilistica dominante, che il registro censisce quale reperto intellettuale: il prigioniero condusse la propria difesa con gli strumenti della propria scienza, ed il corpus delle lettere è attraversato da capo a fondo dalle categorie del giurista, la distinzione tra lo Stato ed il governo, la teoria dello stato di necessità invocata a fondamento dello scambio, la critica della linea della fermezza condotta quale eccezione di legittimità, il richiamo ai precedenti quale giurisprudenza dei casi, sino alla contestazione della rappresentanza di chi parlava in suo nome, Livello A quanto alla tessitura giuridica del corpus autentico. Il registro consegna la cifra alla sua interpretazione: l'ordinario di diritto che si trovò imputato davanti ad un tribunale illegale e condannato da uno Stato legale che lo dichiarava non negoziabile scrisse per 55 giorni la propria arringa in punta di diritto contro entrambe le giurisdizioni, e questa coerenza professionale estrema, mantenuta sino alle ultime righe, è insieme la prova di lucidità che le perizie certificarono contro la tesi della coercizione totale e la chiave della tragedia intellettuale del caso: l'uomo morì applicando impeccabilmente le categorie di un ordinamento che, nelle 2 versioni contrapposte davanti alle quali le difese, quella armata e quella ufficiale, le aveva entrambe già sospese.</w:t>
      </w:r>
    </w:p>
    <w:p>
      <w:pPr>
        <w:spacing w:after="120" w:line="276"/>
        <w:jc w:val="both"/>
      </w:pPr>
      <w:r>
        <w:rPr>
          <w:rFonts w:ascii="Barlow Semi Condensed" w:cs="Barlow Semi Condensed" w:eastAsia="Barlow Semi Condensed" w:hAnsi="Barlow Semi Condensed"/>
          <w:sz w:val="24"/>
          <w:szCs w:val="24"/>
        </w:rPr>
        <w:t xml:space="preserve">L'epistolario esige infine la distinzione dei suoi 2 registri, che il registro censisce quale ultima chiave di lettura: accanto al corpus politico indirizzato agli uomini dello Stato e del partito, il carteggio comprende le lettere alla famiglia, alla moglie ed ai figli, un canale parallelo dal tono radicalmente altro, spogliato di ogni categoria giuridica e negoziale, fatto di disposizioni domestiche, di congedi e di fede, che le perizie hanno certificato con la medesima autenticità del corpus maggiore e che la vedova, testimone poi centrale in ogni ciclo processuale, custodì e consegnò nelle forme che gli atti documentano, Livello A quanto al doppio registro ed alla sua autenticità. Il registro consegna la compresenza alla sua funzione probatoria e umana insieme: la coesistenza, nelle stesse settimane e dalla stessa cella, della più lucida contro-argomentazione giuridica del caso e del più disadorno congedo familiare della letteratura civile italiana è la prova interna definitiva contro ogni tesi di coercizione totale della scrittura, perché si può dettare una linea, non si possono dettare 2 voci, e l'uomo che nelle lettere politiche combatteva e in quelle familiari si congedava dimostrò, con la semplice tenuta dei 2 registri, di essere rimasto sino all'ultimo il padrone della propria mente, che è poi l'unica sovranità che i 55 giorni non riuscirono a sequestrare.</w:t>
      </w:r>
    </w:p>
    <w:p>
      <w:pPr>
        <w:spacing w:after="120" w:line="276"/>
        <w:jc w:val="both"/>
      </w:pPr>
      <w:r>
        <w:rPr>
          <w:rFonts w:ascii="Barlow Semi Condensed" w:cs="Barlow Semi Condensed" w:eastAsia="Barlow Semi Condensed" w:hAnsi="Barlow Semi Condensed"/>
          <w:sz w:val="24"/>
          <w:szCs w:val="24"/>
        </w:rPr>
        <w:t xml:space="preserve">Il corpus degli scritti possiede infine il suo confine documentale esatto, che la triangolazione con il giacimento testuale integrale consegna all'edizione definitiva: la raccolta digitale complessiva della produzione pubblica dell'uomo, 1.062 documenti ordinati cronologicamente dal primo scritto giovanile del luglio 1932 all'ultimo testo libero, reca quale data terminale il 6 marzo 1978, 10 giorni esatti prima dell'agguato, Livello A quale perimetro del corpus censito. Il registro consegna il confine alla sua eloquenza involontaria: 46 anni di scrittura pubblica ininterrotta, dalla formazione negli organismi cattolici alla riflessione costituente sino agli interventi dell'ultima stagione politica, si arrestano su un testo che il suo autore non poteva sapere ultimo, e la produzione successiva, il carteggio ed il memoriale della prigionia che questo capitolo ha censito, appartiene ad un regime documentale radicalmente altro, scritto in cattività e recapitato da altri, sicché l'opera omnia dell'uomo si divide con esattezza da archivio in 2 corpora incommensurabili, la voce libera che si spegne il 6 marzo e la voce prigioniera che comincia dopo il 16, e lo iato di 10 giorni tra le 2, il silenzio documentale della vigilia, è l'ultimo reperto che la filologia del caso consegna alla storia: il punto esatto in cui una biografia intellettuale di mezzo secolo divenne, senza saperlo, un'eredità.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documentale certifica al Livello A il corpus delle lettere e la sequenza dei 2 ritrovamenti di via Monte Nevoso del 1 ottobre 1978 e del 9 ottobre 1990, con la maggiore estensione del secondo compendio e l'assenza perpetua degli originali; la lettura della lucidità del prigioniero è certificata al Livello B; le questioni della completezza del memoriale e dell'intenzionalità della mancata scoperta del 1978 restano al Livello C sotto divieto inferenziale; e l'enunciato del prigioniero sulle strutture di emergenza atlantiche è elevato al Livello B quale dichiarazione riscontrata dalla rivelazione indipendente del 1990.</w:t>
      </w:r>
    </w:p>
    <w:p>
      <w:pPr>
        <w:pStyle w:val="Heading3"/>
        <w:spacing w:after="80" w:before="160"/>
      </w:pPr>
      <w:r>
        <w:rPr>
          <w:rFonts w:ascii="Barlow Semi Condensed" w:cs="Barlow Semi Condensed" w:eastAsia="Barlow Semi Condensed" w:hAnsi="Barlow Semi Condensed"/>
          <w:sz w:val="24"/>
          <w:szCs w:val="24"/>
        </w:rPr>
        <w:t xml:space="preserve">Capitolo 6 — ■ Via Caetani, 9 maggio 1978. L'epilogo, il giudicato dell'esecuzione e la geografia del messaggio</w:t>
      </w:r>
    </w:p>
    <w:p>
      <w:pPr>
        <w:spacing w:after="120" w:line="276"/>
        <w:jc w:val="both"/>
      </w:pPr>
      <w:r>
        <w:rPr>
          <w:rFonts w:ascii="Barlow Semi Condensed" w:cs="Barlow Semi Condensed" w:eastAsia="Barlow Semi Condensed" w:hAnsi="Barlow Semi Condensed"/>
          <w:sz w:val="24"/>
          <w:szCs w:val="24"/>
        </w:rPr>
        <w:t xml:space="preserve">Il ritrovamento del corpo di Aldo Moro, la mattina del 9 maggio 1978 nel bagagliaio di una Renault 4 rossa parcheggiata in via Michelangelo Caetani, nel centro di Roma, è il nodo-evento terminale della sequenza, e il registro lo tratta nei suoi 3 contenuti: il giudicato dell'esecuzione, la scelta del luogo, la chiusura del ciclo. La scansione del corpus registra il toponimo 96 volte in 15 documenti.</w:t>
      </w:r>
    </w:p>
    <w:p>
      <w:pPr>
        <w:spacing w:after="120" w:line="276"/>
        <w:jc w:val="both"/>
      </w:pPr>
      <w:r>
        <w:rPr>
          <w:rFonts w:ascii="Barlow Semi Condensed" w:cs="Barlow Semi Condensed" w:eastAsia="Barlow Semi Condensed" w:hAnsi="Barlow Semi Condensed"/>
          <w:sz w:val="24"/>
          <w:szCs w:val="24"/>
        </w:rPr>
        <w:t xml:space="preserve">Il primo pilastro è il giudicato dell'esecuzione, certificato al Livello A. All'esito dei procedimenti, la ricostruzione irrevocabile colloca l'esecuzione nella prima mattina del 9 maggio: il prigioniero fu fatto scendere nel garage dello stabile di via Montalcini, posto nel bagagliaio della vettura e ucciso con una raffica di mitraglietta Skorpion calibro 7,65 munita di silenziatore e con colpi d'arma corta, esplosi da Mario Moretti, con il concorso accertato degli uomini della prigione; la vettura fu quindi condotta nel centro della città e abbandonata in via Caetani, e l'organizzazione ne annunciò la posizione con la telefonata che chiuse i 55 giorni. Il registro certifica al Livello A l'esecuzione, il suo autore materiale e la catena deliberativa interna che la precedette, quale risultanza dei giudicati, ivi compresa la decisione finale maturata al vertice dell'organizzazione dopo il fallimento di ogni prospettiva di scambio; e annota, quale dato del piano primo con rilievo sul piano interpretativo, che la fase finale fu preceduta, dentro l'organizzazione, da un dissenso documentato, con la contrarietà all'esecuzione di una parte della colonna romana, emersa negli atti e nelle successive separazioni: la deliberazione fu dell'organizzazione, ma non fu unanime, e la successiva scissione della componente contraria appartiene alla storia giudicata del dopo.</w:t>
      </w:r>
    </w:p>
    <w:p>
      <w:pPr>
        <w:spacing w:after="120" w:line="276"/>
        <w:jc w:val="both"/>
      </w:pPr>
      <w:r>
        <w:rPr>
          <w:rFonts w:ascii="Barlow Semi Condensed" w:cs="Barlow Semi Condensed" w:eastAsia="Barlow Semi Condensed" w:hAnsi="Barlow Semi Condensed"/>
          <w:sz w:val="24"/>
          <w:szCs w:val="24"/>
        </w:rPr>
        <w:t xml:space="preserve">Il secondo pilastro è la geografia del messaggio, che il registro tratta con la distinzione consueta tra il fatto e la lettura. Via Caetani si trova nel cuore del centro storico romano, a distanza pedonale tanto dalla sede nazionale della Democrazia Cristiana in piazza del Gesù quanto da quella del Partito comunista in via delle Botteghe Oscure: la collocazione del corpo in quel punto fu universalmente letta, sin dalle prime ore, quale messaggio simbolico di equidistanza, il corpo del mediatore deposto a metà strada tra i 2 partiti del compromesso. Il registro certifica al Livello A la topografia, che è un fatto misurabile, e registra la lettura simbolica quale interpretazione dominante e verosimile, mantenendola tuttavia nel registro delle letture e non dei fatti, giacché la scelta del luogo non è mai stata oggetto di una ricostruzione giudiziaria delle intenzioni che ne certifichi il significato; l'annotazione metodologica è che la potenza semantica di un luogo non ne certifica la deliberazione semantica, e che il registro, anche nel punto di massima suggestione dell'intera vicenda, mantiene la linea.</w:t>
      </w:r>
    </w:p>
    <w:p>
      <w:pPr>
        <w:spacing w:after="120" w:line="276"/>
        <w:jc w:val="both"/>
      </w:pPr>
      <w:r>
        <w:rPr>
          <w:rFonts w:ascii="Barlow Semi Condensed" w:cs="Barlow Semi Condensed" w:eastAsia="Barlow Semi Condensed" w:hAnsi="Barlow Semi Condensed"/>
          <w:sz w:val="24"/>
          <w:szCs w:val="24"/>
        </w:rPr>
        <w:t xml:space="preserve">Il terzo pilastro è la chiusura del ciclo e l'apertura del dopo, che il registro censisce quale cerniera. Con il 9 maggio si chiuse il sequestro e si aprì la stagione dei processi, delle commissioni e della memoria, che i capitoli satellite della fase percorrono; il registro fissa qui i 2 dati di chiusura certificati al Livello A: la fine del progetto politico della solidarietà nazionale, consumatasi nei mesi successivi con l'esaurimento della legislatura e della formula, quale esito storico oggettivo già annotato nel capitolo 1; e l'avvio, entro poche settimane, della prima inchiesta parlamentare, destinata a inaugurare la più lunga serie di inchieste su un singolo evento della storia repubblicana. Il registro annota infine il dato umano che la disciplina delle vittime impone di trascrivere: con Aldo Moro, la vicenda conta i 5 uomini della scorta caduti il 16 marzo, i cui nomi il capitolo 2 ha consegnato, e il registro li unisce in un solo elenco di 6 nomi quale perimetro umano del nodo.</w:t>
      </w:r>
    </w:p>
    <w:p>
      <w:pPr>
        <w:spacing w:after="120" w:line="276"/>
        <w:jc w:val="both"/>
      </w:pPr>
      <w:r>
        <w:rPr>
          <w:rFonts w:ascii="Barlow Semi Condensed" w:cs="Barlow Semi Condensed" w:eastAsia="Barlow Semi Condensed" w:hAnsi="Barlow Semi Condensed"/>
          <w:sz w:val="24"/>
          <w:szCs w:val="24"/>
        </w:rPr>
        <w:t xml:space="preserve">Il quarto pilastro è la formazione processuale della verità sull'esecuzione, che il registro ricostruisce quale caso di scuola della stratificazione delle fonti. La ricostruzione oggi giudicata non fu disponibile per anni: le prime versioni processuali lasciarono aperte l'identità dell'esecutore materiale e la scena finale, e la verità si compose per apporti successivi, il memoriale difensivo consegnato da Valerio Morucci e Adriana Faranda a cavallo del 1990, che fissò la versione interna dell'organizzazione sulla dinamica conclusiva, le progressive ammissioni di Moretti, e l'identificazione nel 1993 di Germano Maccari, il quarto uomo, la cui posizione fu giudicata nell'ultimo procedimento con la ricostruzione definitiva della mattina del 9 maggio. Il registro certifica al Livello A questa stratigrafia della verità, quale storia documentale del piano primo, e ne trae 2 annotazioni. La prima è metodologica: la verità giudicata dell'esecuzione è figlia di fonti interne all'organizzazione, maturate in tempi e con interessi diversi, e la sua solidità attuale deriva dalla convergenza finale di dichiarazioni indipendenti su un nucleo fattuale stabile, secondo il criterio di consilienza che il registro applica; le divergenze residue tra le versioni, su dettagli della scena e dei presenti, sono censite negli atti e non intaccano il nucleo giudicato. La seconda annotazione è sistemica: la circostanza che l'identità completa degli uomini della prigione sia rimasta ignota allo Stato per 15 anni, e sia emersa per via confessoria e non investigativa, misura retrospettivamente la qualità della compartimentazione dell'organizzazione e, insieme, il fallimento certificato delle ricerche del piano secondo, saldando i 2 piani nel loro rapporto documentale senza trasferire nulla dall'uno all'altro.</w:t>
      </w:r>
    </w:p>
    <w:p>
      <w:pPr>
        <w:spacing w:after="120" w:line="276"/>
        <w:jc w:val="both"/>
      </w:pPr>
      <w:r>
        <w:rPr>
          <w:rFonts w:ascii="Barlow Semi Condensed" w:cs="Barlow Semi Condensed" w:eastAsia="Barlow Semi Condensed" w:hAnsi="Barlow Semi Condensed"/>
          <w:sz w:val="24"/>
          <w:szCs w:val="24"/>
        </w:rPr>
        <w:t xml:space="preserve">Il quinto pilastro è la dimensione vaticana della vicenda, che il registro censisce quale arco della fase verso il Dominio 5, sinora assente dal quadro. Il 21 aprile 1978 Paolo VI, legato a Moro da un'amicizia risalente agli anni della comune formazione universitaria cattolica, rese pubblica una lettera autografa indirizzata agli uomini delle Brigate Rosse, nella quale implorava in ginocchio la liberazione del prigioniero, senza condizioni: la formula, che escludeva lo scambio, fu essa stessa oggetto di lettura politica, quale allineamento alla fermezza, e le acquisizioni successive hanno documentato che, accanto al gesto pubblico, la Santa Sede esplorò canali riservati per la liberazione, sino alla predisposizione, riferita da fonti convergenti degli ambienti coinvolti, di una disponibilità economica per un riscatto che non trovò controparte. Il registro certifica al Livello A la lettera pubblica e la sua formula, quali fatti documentali, e al Livello B l'esplorazione riservata e la disponibilità al riscatto, quale convergenza di fonti testimoniali qualificate non consacrata da riscontro documentale integrale; e certifica al Livello A l'epilogo liturgico della vicenda, la partecipazione del pontefice alla commemorazione solenne in San Giovanni in Laterano del 13 maggio, celebrata in assenza della salma per volontà della famiglia, che aveva rifiutato le esequie di Stato in ottemperanza alle disposizioni del prigioniero, con l'orazione nella quale Paolo VI rivolse a Dio la domanda sul mancato esaudimento della supplica. L'annotazione reticolare chiude il pilastro: il Dominio 5 entra nel caso Moro dal lato opposto a quello che l'opera gli ha sinora censito, non la finanza dello IOR ma la persona del pontefice, e l'arco documentato, il tentativo riservato di riscatto, è un arco di soccorso fallito, non di potere: il registro lo trascrive quale promemoria che la rete dei domini contiene anche archi di questa natura, e che la loro rarità nel corpus è essa stessa un dato.</w:t>
      </w:r>
    </w:p>
    <w:p>
      <w:pPr>
        <w:spacing w:after="120" w:line="276"/>
        <w:jc w:val="both"/>
      </w:pPr>
      <w:r>
        <w:rPr>
          <w:rFonts w:ascii="Barlow Semi Condensed" w:cs="Barlow Semi Condensed" w:eastAsia="Barlow Semi Condensed" w:hAnsi="Barlow Semi Condensed"/>
          <w:sz w:val="24"/>
          <w:szCs w:val="24"/>
        </w:rPr>
        <w:t xml:space="preserve">Il sesto pilastro ricostruisce la giornata del 9 maggio nei suoi atti documentati. Poco dopo mezzogiorno, alle 12:13, Valerio Morucci telefonò al professor Franco Tritto, assistente e amico di Moro, incaricandolo di comunicare alla famiglia che il corpo del presidente si trovava in via Caetani, in una Renault 4 rossa: la telefonata, registrata, è l'atto conclusivo della comunicazione dell'organizzazione, e il registro la certifica al Livello A nel suo testo e nella sua ora. Il ritrovamento seguì nel primo pomeriggio, con le procedure di bonifica del veicolo e il riconoscimento alla presenza delle autorità; gli accertamenti medico-legali collocarono la morte nella mattinata stessa, e fissarono il quadro delle lesioni, la raffica della mitraglietta silenziata e i colpi d'arma corta al torace, con la ricostruzione della posizione del corpo nel bagagliaio al momento del fuoco. Alle risultanze appartengono i reperti sugli abiti e sul corpo che alimentarono la questione dei luoghi: tracce di sabbia negli abiti e nei risvolti, residui vegetali e altri elementi che le perizie giudicarono compatibili con un ambiente litoraneo, e che nessuna delle prigioni accertate spiega; il registro certifica al Livello A l'esistenza dei reperti, quale dato peritale, e mantiene al Livello C ogni ricostruzione che ne derivi, dal soggiorno marino del prigioniero alla contaminazione deliberata a fini diversivi, annotando che i reperti costituiscono l'anomalia materiale terminale della vicenda, discussa da ogni stagione d'inchiesta e risolta da nessuna, e che la loro coesistenza con la ricostruzione giudicata della prigione unica di via Montalcini è il punto in cui il piano primo e il piano secondo si toccano senza comporsi.</w:t>
      </w:r>
    </w:p>
    <w:p>
      <w:pPr>
        <w:spacing w:after="120" w:line="276"/>
        <w:jc w:val="both"/>
      </w:pPr>
      <w:r>
        <w:rPr>
          <w:rFonts w:ascii="Barlow Semi Condensed" w:cs="Barlow Semi Condensed" w:eastAsia="Barlow Semi Condensed" w:hAnsi="Barlow Semi Condensed"/>
          <w:sz w:val="24"/>
          <w:szCs w:val="24"/>
        </w:rPr>
        <w:t xml:space="preserve">Il settimo pilastro registra la coincidenza di calendario che congiunge, nella medesima notte, il caso Moro e il Dominio 1, e che il registro trascrive quale atto dovuto e quale filo reticolare. Nella notte tra l'8 e il 9 maggio 1978, a Cinisi, in Sicilia, fu assassinato Giuseppe Impastato, il militante che dai microfoni di una radio libera conduceva da anni la denuncia pubblica del potere mafioso locale e del suo capo, Gaetano Badalamenti: il corpo fu dilaniato da una carica di esplosivo sui binari della ferrovia, in una messinscena che orientò le prime indagini verso l'ipotesi dell'attentato terroristico finito male o del suicidio, e la notizia fu sommersa, nel giorno del ritrovamento di via Caetani, dall'evento nazionale. La verità giudiziaria giunse a distanza di decenni: l'accertamento della matrice mafiosa del delitto, la condanna nel 2001 di Vito Palazzolo e la condanna all'ergastolo, pronunciata dalla Corte d'assise di Palermo nell'aprile 2002, di Gaetano Badalamenti quale mandante. Il registro certifica al Livello A l'omicidio, la messinscena depistante originaria e gli esiti di condanna del filone, nomina la vittima, e dichiara il duplice rilievo della trascrizione: il primo è documentale, giacché la sovrapposizione di calendario produsse, quale effetto certificato, l'oscuramento informativo del delitto di Cinisi, un caso di scuola della gerarchia dell'attenzione che il metodo dell'opera ha codificato quale effetto lampione; il secondo è reticolare, giacché il nome di Gaetano Badalamenti, mandante condannato per Impastato, è il medesimo che il capitolo successivo registra quale imputato assolto in via definitiva per l'omicidio Pecorelli, e la compresenza dei 2 esiti opposti sul medesimo nodo, una condanna irrevocabile e un'assoluzione irrevocabile per 2 omicidi della stessa stagione, è il promemoria terminale della disciplina dell'opera: il registro segue gli esiti, ciascuno nel proprio segno, e il nodo Badalamenti li porta entrambi.</w:t>
      </w:r>
    </w:p>
    <w:p>
      <w:pPr>
        <w:spacing w:after="120" w:line="276"/>
        <w:jc w:val="both"/>
      </w:pPr>
      <w:r>
        <w:rPr>
          <w:rFonts w:ascii="Barlow Semi Condensed" w:cs="Barlow Semi Condensed" w:eastAsia="Barlow Semi Condensed" w:hAnsi="Barlow Semi Condensed"/>
          <w:sz w:val="24"/>
          <w:szCs w:val="24"/>
        </w:rPr>
        <w:t xml:space="preserve">L'ottavo pilastro censisce le reazioni istituzionali del 9 maggio e dei giorni seguenti. La notizia raggiunse le Camere in seduta e i lavori furono sospesi tra scene di commozione documentate dai resoconti; il presidente della Repubblica Giovanni Leone, che nei giorni precedenti aveva tenuto pronta, per convergenti testimonianze, l'ipotesi estrema di un atto di clemenza, firmò il messaggio di cordoglio alla famiglia; i capi di Stato e di governo dell'occidente inviarono i messaggi che la diplomazia registrò; le confederazioni proclamarono la fermata generale e le piazze si riempirono per la seconda volta in 55 giorni, ora nel lutto; e il ministro dell'interno rassegnò le dimissioni censite nel capitolo della gestione, unico atto formale di responsabilità dell'intera vicenda. Il registro certifica al Livello A la sequenza delle reazioni, quale materia documentale, e vi salda il dato politico già fissato: la solidarietà nazionale sopravvisse alla morte dell'uomo che l'aveva costruita per soli 8 mesi, e la stagione che il sequestro avrebbe dovuto, nelle intenzioni giudicate dell'organizzazione, far esplodere si spense invece per consunzione, senza che nessuna delle forze vi rinvenisse più l'interesse che l'architetto vi aveva costruito; il registro certifica la cronologia della dissoluzione quale fatto e la consegna, senza inferenze, al bilancio della fase.</w:t>
      </w:r>
    </w:p>
    <w:p>
      <w:pPr>
        <w:spacing w:after="120" w:line="276"/>
        <w:jc w:val="both"/>
      </w:pPr>
      <w:r>
        <w:rPr>
          <w:rFonts w:ascii="Barlow Semi Condensed" w:cs="Barlow Semi Condensed" w:eastAsia="Barlow Semi Condensed" w:hAnsi="Barlow Semi Condensed"/>
          <w:sz w:val="24"/>
          <w:szCs w:val="24"/>
        </w:rPr>
        <w:t xml:space="preserve">Il nono pilastro censisce i rilievi sul veicolo e sulla scena di via Caetani. La Renault 4 rossa, risultata rubata a Roma nelle settimane precedenti, fu rinvenuta parcheggiata sul lato della via, con il corpo nel bagagliaio coperto da un plaid, e i rilievi consegnarono il quadro dei bossoli, delle tracce ematiche e dei reperti sugli abiti già censiti; la scelta del luogo, la piccola via del centro storico equidistante, nella topografia simbolica immediatamente rilevata dalle cronache, dalle sedi nazionali della Democrazia Cristiana in piazza del Gesù e del Partito comunista in via delle Botteghe Oscure, fu letta sin dal primo giorno quale messaggio spaziale dell'organizzazione ai 2 poli della trattativa negata; il registro certifica al Livello A i dati materiali dei rilievi e la topografia oggettiva del punto, quale dato cartografico, e mantiene al Livello B la lettura intenzionale della scelta, quale convergenza delle fonti interne che l'hanno successivamente confermata, annotando che la collocazione appartiene comunque, quale fatto spaziale, al Pattern 10 dell'opera: l'ultimo atto dell'operazione fu consegnato nel cuore geografico del potere politico romano, a poche centinaia di metri dai 2 vertici del sistema che l'operazione aveva inteso colpire, e la geografia, in questo caso, è essa stessa un documento.</w:t>
      </w:r>
    </w:p>
    <w:p>
      <w:pPr>
        <w:spacing w:after="120" w:line="276"/>
        <w:jc w:val="both"/>
      </w:pPr>
      <w:r>
        <w:rPr>
          <w:rFonts w:ascii="Barlow Semi Condensed" w:cs="Barlow Semi Condensed" w:eastAsia="Barlow Semi Condensed" w:hAnsi="Barlow Semi Condensed"/>
          <w:sz w:val="24"/>
          <w:szCs w:val="24"/>
        </w:rPr>
        <w:t xml:space="preserve">Il decimo pilastro censisce l'iconografia e la memoria materiale della vicenda. Il caso ha consegnato alla memoria nazionale un apparato visivo circoscritto e definitivo: le 2 fotografie della prigionia diffuse con i comunicati, il prigioniero davanti alla bandiera dell'organizzazione, divenute i documenti visivi più riprodotti della storia repubblicana; le immagini di via Fani e quelle di via Caetani; e la lapide che segna il luogo del ritrovamento, meta della commemorazione istituzionale annuale del 9 maggio, data che la Repubblica ha successivamente consacrato quale giorno della memoria delle vittime del terrorismo. Il registro certifica al Livello A questo apparato, quale dato della memoria pubblica documentata, e ne trae l'annotazione analitica pertinente al Dominio 8: l'organizzazione governò integralmente la produzione iconografica della vicenda, giacché le uniche immagini del prigioniero nei 55 giorni furono quelle che essa scelse di produrre e diffondere, e lo Stato non dispose mai di un solo elemento visivo autonomo; il monopolio dell'immagine, corollario del monopolio comunicativo censito nel capitolo della gestione, completa il quadro della asimmetria informativa che il registro ha certificato quale struttura della crisi.</w:t>
      </w:r>
    </w:p>
    <w:p>
      <w:pPr>
        <w:spacing w:after="120" w:line="276"/>
        <w:jc w:val="both"/>
      </w:pPr>
      <w:r>
        <w:rPr>
          <w:rFonts w:ascii="Barlow Semi Condensed" w:cs="Barlow Semi Condensed" w:eastAsia="Barlow Semi Condensed" w:hAnsi="Barlow Semi Condensed"/>
          <w:sz w:val="24"/>
          <w:szCs w:val="24"/>
        </w:rPr>
        <w:t xml:space="preserve">L'undicesimo pilastro censisce le risultanze medico-legali e le verifiche dell'ultima stagione sulla scena finale. Gli accertamenti autoptici, oltre a fissare l'orario della morte nella mattinata e il quadro delle lesioni da arma da fuoco, documentarono l'assenza di segni di sevizie o di maltrattamenti fisici pregressi e condizioni generali compatibili con una custodia materialmente non vessatoria, un dato che il registro certifica al Livello A quale risultanza peritale e che appartiene alla fisionomia documentata della prigionia, coerente con la natura politica che l'organizzazione assegnò al sequestro; la Commissione della XVII legislatura sottopose la scena finale a verifiche integrative, dalla percorribilità del tragitto tra via Montalcini e via Caetani nella mattinata del 9 maggio alla compatibilità della sequenza oraria giudicata, con la telefonata delle 12:13 e il ritrovamento, sino ai reperti del veicolo, e le verifiche, condotte con i mezzi tecnici contemporanei, non produssero elementi idonei a modificare la ricostruzione giudicata, pur mantenendo censite le anomalie materiali già registrate, la sabbia e i residui; il registro certifica al Livello A l'esistenza e l'esito confermativo delle verifiche, quali dati degli atti dell'ultima Commissione, e chiude con la formalizzazione propria del suo metodo: la scena di via Caetani è stata riesaminata da 3 generazioni di tecnici con strumenti crescenti e ha restituito sempre il medesimo nucleo giudicato e le medesime code non risolte, sicché il registro può certificare, caso raro nell'opera, tanto la stabilità del nucleo quanto la resistenza delle anomalie, e dichiarare che ogni loro futura soluzione dovrà venire da fonti nuove e non da nuove perizie sul già noto.</w:t>
      </w:r>
    </w:p>
    <w:p>
      <w:pPr>
        <w:spacing w:after="120" w:line="276"/>
        <w:jc w:val="both"/>
      </w:pPr>
      <w:r>
        <w:rPr>
          <w:rFonts w:ascii="Barlow Semi Condensed" w:cs="Barlow Semi Condensed" w:eastAsia="Barlow Semi Condensed" w:hAnsi="Barlow Semi Condensed"/>
          <w:sz w:val="24"/>
          <w:szCs w:val="24"/>
        </w:rPr>
        <w:t xml:space="preserve">Il dodicesimo pilastro censisce il congedo pubblico, la cerimonia del 13 maggio e il rispetto delle disposizioni. La famiglia, in ottemperanza alla volontà scritta del prigioniero, rifiutò i funerali di Stato e ogni presenza degli uomini del potere alle esequie, che si svolsero in forma privata a Torrita Tiberina, il borgo laziale del rifugio familiare, dove Moro fu sepolto; lo Stato celebrò nondimeno, il 13 maggio 1978, la cerimonia solenne nella basilica di San Giovanni in Laterano, alla presenza delle massime cariche della Repubblica e con l'omelia di Paolo VI, che vi pronunciò la preghiera del congedo rimasta negli atti della stagione, e la cerimonia si svolse senza la salma, il feretro essendo assente per volontà della famiglia: il rito di Stato per l'uomo di Stato si celebrò dinanzi a una navata senza bara. Il registro certifica al Livello A la sequenza, il rifiuto, la sepoltura privata e la cerimonia senza salma, quali dati documentali, e ne dichiara il valore di reperto: l'immagine del funerale di Stato senza il corpo è la traduzione liturgica esatta della frattura che le lettere avevano consumato, la separazione dichiarata tra l'uomo e il sistema che non lo aveva salvato, eseguita dalla famiglia con lo strumento che il prigioniero stesso aveva predisposto, le disposizioni testamentarie censite quale ultimo atto politico; il registro annota che nessun altro passaggio della vicenda condensa con eguale precisione documentale il giudizio del prigioniero sulla propria classe dirigente, un giudizio consegnato non a una tesi ma a un'assenza, e trascrive il reperto, con la data e i fatti, quale sigillo simbolico certificato dell'epilogo.</w:t>
      </w:r>
    </w:p>
    <w:p>
      <w:pPr>
        <w:spacing w:after="120" w:line="276"/>
        <w:jc w:val="both"/>
      </w:pPr>
      <w:r>
        <w:rPr>
          <w:rFonts w:ascii="Barlow Semi Condensed" w:cs="Barlow Semi Condensed" w:eastAsia="Barlow Semi Condensed" w:hAnsi="Barlow Semi Condensed"/>
          <w:sz w:val="24"/>
          <w:szCs w:val="24"/>
        </w:rPr>
        <w:t xml:space="preserve">Il tredicesimo pilastro ricostruisce la sequenza operativa del ritrovamento, le ore tra la telefonata e l'apertura del portellone. La telefonata delle 12:13 di Morucci a Franco Tritto indicò con precisione il luogo, la Renault 4 rossa in via Caetani; la segnalazione risalì la catena sino alle centrali operative e le prime pattuglie individuarono il veicolo nel primo pomeriggio; il timore, procedurale e fondato, che l'auto fosse una trappola esplosiva impose l'intervento degli artificieri e la bonifica preliminare, che dilatò i tempi dinanzi alla via progressivamente presidiata da autorità, operatori e cronisti; all'esito della bonifica, l'apertura del portellone rivelò il corpo sotto il plaid, e il riconoscimento fu compiuto sul posto, mentre la notizia, già propagata dalle agenzie, raggiungeva il Paese; nelle ore successive la salma fu trasferita per gli accertamenti medico-legali censiti. Il registro certifica al Livello A la sequenza, quale materia dei verbali e delle cronache convergenti, e ne trae 2 annotazioni. La prima è documentale: le immagini di via Caetani, il portellone aperto, il corpo composto, divennero in poche ore l'iconografia definitiva dell'epilogo, prodotte questa volta non dall'organizzazione ma dallo Stato e dalla stampa, sicché il monopolio iconografico dell'organizzazione, certificato per i 55 giorni, cessò esattamente nel momento della consegna, e il passaggio di mano delle immagini coincise con il passaggio di mano del corpo, una simmetria che il registro trascrive quale dato della storia visiva del caso. La seconda è procedurale: la bonifica degli artificieri, imposta dal timore della trappola, documenta che lo Stato trattò sino all'ultimo minuto l'organizzazione quale nemico militare capace di ogni ulteriore offesa, e la circostanza che l'ultimo atto della crisi sia stato un atto di guerra preventiva su un veicolo che conteneva soltanto il corpo è la chiusura fattuale, priva di commento, che il registro consegna al capitolo.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consacrazione memoriale, l'ultimo esito istituzionale della data. Con la legge del 4 maggio 2007, la Repubblica ha istituito il Giorno della memoria dedicato alle vittime del terrorismo e delle stragi di tale matrice, fissandolo al 9 maggio, l'anniversario del ritrovamento di via Caetani, e saldando così, per scelta del legislatore, la memoria dell'intera stagione delle vittime alla data dell'epilogo del caso Moro; da allora la ricorrenza è celebrata annualmente con la cerimonia al Quirinale alla presenza dei familiari delle vittime di ogni matrice, e le lapidi di via Fani e di via Caetani sono divenute le stazioni della commemorazione istituzionale romana. Il registro certifica al Livello A la legge, la data prescelta e la prassi celebrativa, quali dati normativi e istituzionali, e ne trae l'annotazione analitica che chiude il versante memoriale: la scelta del 9 maggio quale giorno della memoria di tutte le vittime ha elevato il caso Moro a metonimia ufficiale dell'intera stagione, l'evento singolo che rappresenta, nel calendario civile, la totalità del fenomeno, e questa funzione rappresentativa, sancita per legge, è la traduzione istituzionale della centralità che il grafo dell'opera ha misurato per via documentale, il nodo di massima densità divenuto, anche nella liturgia repubblicana, il nome di tutto il resto; il registro trascrive la convergenza tra la misura reticolare e la scelta memoriale quale dato, annotando che essa conferma dall'esterno, con gli strumenti della legge, ciò che il metodo ha certificato dall'interno con gli strumenti della rete.</w:t>
      </w:r>
    </w:p>
    <w:p>
      <w:pPr>
        <w:spacing w:after="120" w:line="276"/>
        <w:jc w:val="both"/>
      </w:pPr>
      <w:r>
        <w:rPr>
          <w:rFonts w:ascii="Barlow Semi Condensed" w:cs="Barlow Semi Condensed" w:eastAsia="Barlow Semi Condensed" w:hAnsi="Barlow Semi Condensed"/>
          <w:sz w:val="24"/>
          <w:szCs w:val="24"/>
        </w:rPr>
        <w:t xml:space="preserve">Il quindicesimo pilastro ricostruisce la cronologia della decisione terminale, i 4 giorni tra l'annuncio e l'esecuzione. Il comunicato numero 9 del 5 maggio dichiarò conclusa la battaglia e annunciò l'esecuzione della sentenza, chiudendo formalmente la fase della trattativa negata; nei 4 giorni successivi si consumò la corsa asimmetrica che gli atti documentano, da un lato la maturazione, nel campo della linea umanitaria, dell'apertura che Amintore Fanfani si apprestava a formalizzare nella direzione democristiana convocata per la mattina del 9 maggio, l'atto pubblico che avrebbe potuto riaprire il canale, dall'altro la deliberazione interna dell'organizzazione, assunta nelle forme non unanimi che i giudicati hanno accertato, con il dissenso della componente romana censita, ed eseguita da Moretti la mattina stessa del 9, poche ore prima che la direzione del partito si riunisse; la sequenza certificata consegna il dato temporale terminale della vicenda, l'esecuzione precedette di ore l'apertura politica che avrebbe potuto contenderla. Il registro certifica al Livello A il comunicato, la convocazione, la deliberazione non unanime e la cronologia incrociata, quali risultanze documentali e giudiziarie, e mantiene ai livelli propri le 2 letture che la sequenza ha storicamente generato, quella interna documentata, per cui l'organizzazione considerò l'apertura tardiva e strumentale e deliberò secondo la propria logica dichiarata, e quella eccedente, per cui la tempistica dell'esecuzione avrebbe risposto all'esigenza di impedire l'esito negoziale, lettura che presuppone una conoscenza anticipata dei tempi politici mai documentata e che il piano terzo custodisce al Livello C; il registro chiude il pilastro sul fatto nudo che nessuna lettura dissolve, la distanza di poche ore tra la morte dell'uomo e l'atto che avrebbe potuto salvarlo, la più stretta delle finestre critiche censite dal Pattern 3 nell'intera opera.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Montalcini-Moretti-esecuzione, è il triangolo del giudicato, certificato al Livello A. La seconda, via Caetani-piazza del Gesù-Botteghe Oscure, è il triangolo della geografia del messaggio, certificato al Livello A nella topografia e mantenuto nel registro delle letture quanto al significato. La terza, epilogo-fine della solidarietà nazionale-stagione delle inchieste, è il triangolo della cerniera storica, certificato al Livello A. Sul piano dei pattern, il nodo chiude il Pattern 3 della fase, fissando il termine della finestra dei 55 giorni, e attiva il Pattern 10 nella sua espressione più celebre, la convergenza spaziale di via Caetani quale punto geometrico del sistema politico; la lettura reticolare conclusiva riprenderà il dato quale emblema della centralità del mediatore anche nella morte.</w:t>
      </w:r>
    </w:p>
    <w:p>
      <w:pPr>
        <w:spacing w:after="120" w:line="276"/>
        <w:jc w:val="both"/>
      </w:pPr>
      <w:r>
        <w:rPr>
          <w:rFonts w:ascii="Barlow Semi Condensed" w:cs="Barlow Semi Condensed" w:eastAsia="Barlow Semi Condensed" w:hAnsi="Barlow Semi Condensed"/>
          <w:sz w:val="24"/>
          <w:szCs w:val="24"/>
        </w:rPr>
        <w:t xml:space="preserve">All'epilogo appartiene il suo capitolo liturgico, che il registro censisce quale reperto istituzionale senza precedenti né repliche. La famiglia, con una dichiarazione pubblica che rivendicava il silenzio dovuto alla volontà espressa dal prigioniero verso gli uomini del potere, rifiutò i funerali di Stato e ogni presenza delle cariche alla sepoltura: la salma fu tumulata in forma strettamente privata a Torrita Tiberina il 10 maggio, alla sola presenza dei congiunti. Tre giorni dopo, il 13 maggio 1978, la Repubblica celebrò ugualmente il proprio rito nella basilica di San Giovanni in Laterano: una messa esequiale senza feretro, officiata da Paolo VI in persona, dinanzi alle massime cariche dello Stato ed al corpo diplomatico, con l'assenza della famiglia e del corpo che trasformò la cerimonia nell'immagine più esatta dell'intera vicenda, lo Stato che onora ciò che non è riuscito a salvare, dinanzi ad una bara che non c'è, Livello A sull'intera sequenza documentata. Il registro annota la doppia eccezionalità: mai un pontefice aveva presieduto esequie di un uomo di governo della Repubblica, e mai un rito di Stato si era celebrato contro la volontà dei congiunti dell'onorato; e nella preghiera pronunciata dal vecchio Papa, che si rivolse a Dio con l'audacia del lamento per la supplica non esaudita, la storiografia ha riconosciuto uno dei vertici testuali del Novecento italiano, che il registro richiama senza citare, secondo la propria disciplina, consegnando al lettore il solo dato strutturale: il 13 maggio i 2 codici che il caso aveva tenuto in tensione, la ragion di Stato ed il vincolo degli affetti, celebrarono in luoghi diversi 2 congedi inconciliabili, e la distanza tra il Laterano e Torrita Tiberina, 60 chilometri di campagna laziale, resta la misura fisica di quella inconciliabilità.</w:t>
      </w:r>
    </w:p>
    <w:p>
      <w:pPr>
        <w:spacing w:after="120" w:line="276"/>
        <w:jc w:val="both"/>
      </w:pPr>
      <w:r>
        <w:rPr>
          <w:rFonts w:ascii="Barlow Semi Condensed" w:cs="Barlow Semi Condensed" w:eastAsia="Barlow Semi Condensed" w:hAnsi="Barlow Semi Condensed"/>
          <w:sz w:val="24"/>
          <w:szCs w:val="24"/>
        </w:rPr>
        <w:t xml:space="preserve">Alla salma appartiene infine il fascicolo dei reperti materiali, che le perizie del ciclo giudiziario e le verifiche della Commissione della XVII legislatura hanno censito e che il registro fissa nel suo doppio strato: sono certificati, quali dati oggettivi, i granelli di sabbia rinvenuti sugli abiti e nei risvolti, le tracce vegetali e le altre microtracce repertate sul corpo e sugli indumenti, elementi materiali acquisiti agli atti sin dagli accertamenti originari e sottoposti a nuove analisi strumentali nella stagione recente, Livello A quanto all'esistenza ed alla natura dei reperti. Appartengono invece al piano delle letture le collocazioni geografiche che da quei granelli si sono volute derivare, la permanenza del prigioniero o del corpo in località litoranee determinate, ipotesi esplorate dalle perizie comparative senza approdare ad una certificazione univoca di provenienza, Livello C quanto ad ogni localizzazione specifica. Il registro custodisce la distinzione con particolare cura, perché essa è l'esemplare perfetto della sua grammatica: la sabbia è un fatto, la spiaggia è un'ipotesi, e la distanza tra il granello certificato e la geografia dedotta è esattamente la distanza che separa il paradigma indiziario, che dal dettaglio risale con riscontri, dalla sua caricatura, che dal dettaglio vola. Il corpo di Aldo Moro, ultimo documento del caso, resta perciò agli atti nella sola veste che il metodo consente: un reperto letto sino al confine delle sue tracce, oltre il quale il registro, come sulla soglia di via Caetani, si ferma e dichiara di fermarsi.</w:t>
      </w:r>
    </w:p>
    <w:p>
      <w:pPr>
        <w:spacing w:after="120" w:line="276"/>
        <w:jc w:val="both"/>
      </w:pPr>
      <w:r>
        <w:rPr>
          <w:rFonts w:ascii="Barlow Semi Condensed" w:cs="Barlow Semi Condensed" w:eastAsia="Barlow Semi Condensed" w:hAnsi="Barlow Semi Condensed"/>
          <w:sz w:val="24"/>
          <w:szCs w:val="24"/>
        </w:rPr>
        <w:t xml:space="preserve">Sulla topografia della detenzione il registro fissa lo stato dell'accertamento nella sua doppia componente: i giudicati collocano l'intera custodia dei 55 giorni nell'appartamento di via Montalcini, con i 4 custodi che la sintesi certifica e con la cella ricavata nell'intercapedine che le ricostruzioni processuali descrivono, e la tesi della prigione unica costituisce, all'esito dei 5 cicli, la verità giudiziaria consolidata del caso, Livello A nei limiti dei giudicati. Le ipotesi alternative, trasferimenti intermedi, seconde prigioni, soste esterne, periodicamente riproposte dalla pubblicistica e riesaminate anche dalla Commissione della XVII legislatura con verifiche tecniche e testimoniali, non hanno mai raggiunto la soglia della certificazione e restano al Livello C, sotto il sigillo inferenziale che il piano terzo governa, mentre le acquisizioni strumentali di quelle verifiche appartengono, quali documenti, al Livello B già assegnato agli atti della Commissione. Il registro annota la ragione di metodo per cui custodisce la distinzione con particolare rigore: la prigione è il punto del caso in cui la domanda di revisione si è fatta più insistente e la base documentale nuova più esile, ed è perciò il banco su cui la disciplina del registro si misura, tenere ferma la verità giudicata sinché un fatto, non un dubbio, la scalfisca.</w:t>
      </w:r>
    </w:p>
    <w:p>
      <w:pPr>
        <w:spacing w:after="120" w:line="276"/>
        <w:jc w:val="both"/>
      </w:pPr>
      <w:r>
        <w:rPr>
          <w:rFonts w:ascii="Barlow Semi Condensed" w:cs="Barlow Semi Condensed" w:eastAsia="Barlow Semi Condensed" w:hAnsi="Barlow Semi Condensed"/>
          <w:sz w:val="24"/>
          <w:szCs w:val="24"/>
        </w:rPr>
        <w:t xml:space="preserve">Alla salma la perizia necroscopica consegnò infine un dato di condizione che il registro riporta per il suo valore documentale sullo stato del prigioniero: il corpo presentava rasatura recente, ordine degli abiti e segni complessivi di cura della persona protratta sino alle ultime ore, in coerenza con il quadro, emerso dalle ricostruzioni dei custodi giudicati, di una detenzione materialmente non afflittiva nelle condizioni igieniche e di vitto, Livello A quanto ai rilievi peritali, Livello B quanto al quadro di dettaglio della quotidianità carceraria, noto per dichiarazione dei custodi. Il registro consegna il reperto senza commento ulteriore, annotando soltanto la dissonanza documentale che esso introduce e che appartiene alla fenomenologia del caso: l'organizzazione che aveva già deliberato la morte curò sino all'ultimo la vita, ed il corpo di via Caetani, rasato di fresco, portava insieme i segni della cura e quelli dell'esecuzione, i 2 codici della prigione consegnati allo stesso reperto, senza che gli atti offrano, di questa compresenza, alcuna spiegazione che il registro possa certificare.</w:t>
      </w:r>
    </w:p>
    <w:p>
      <w:pPr>
        <w:spacing w:after="120" w:line="276"/>
        <w:jc w:val="both"/>
      </w:pPr>
      <w:r>
        <w:rPr>
          <w:rFonts w:ascii="Barlow Semi Condensed" w:cs="Barlow Semi Condensed" w:eastAsia="Barlow Semi Condensed" w:hAnsi="Barlow Semi Condensed"/>
          <w:sz w:val="24"/>
          <w:szCs w:val="24"/>
        </w:rPr>
        <w:t xml:space="preserve">Il corpo consegnato alla Repubblica ebbe infine il suo statuto medico-legale dimezzato, che il registro censisce quale ultima frontiera documentale del reperto: per volontà della famiglia, che rifiutò l'autopsia completa, gli accertamenti sul corpo si limitarono al riscontro esterno ed alle verifiche essenziali sulle cause della morte, sicché il cadavere più importante della storia repubblicana fu restituito alla terra con un'indagine medico-legale volutamente parziale, Livello A quanto alla limitazione ed alla sua origine familiare. Il registro consegna la circostanza alla sua doppia natura senza gerarchizzarla: essa fu, insieme, l'ultimo atto della guerra della famiglia contro lo Stato censita in questo capitolo, il rifiuto di consegnare anche il corpo a istituzioni giudicate indegne del vivo, ed una perdita istruttoria oggettiva, che privò per sempre il processo di dati potenzialmente dirimenti sulla detenzione e sull'esecuzione, alimentando lo spazio delle ricostruzioni alternative che i decenni avrebbero riempito. La lezione di metodo appartiene all'opera intera: anche il silenzio del corpo, come quello delle carte, ha una genealogia documentabile, e nel caso Moro la lacuna medico-legale non fu opera di apparati ma di un dolore che scelse la pietas contro l'accertamento, con la conseguenza, che il registro annota quale paradosso finale del capitolo, che l'unico occultamento certo e confessato dell'intero caso fu commesso per amore.</w:t>
      </w:r>
    </w:p>
    <w:p>
      <w:pPr>
        <w:spacing w:after="120" w:line="276"/>
        <w:jc w:val="both"/>
      </w:pPr>
      <w:r>
        <w:rPr>
          <w:rFonts w:ascii="Barlow Semi Condensed" w:cs="Barlow Semi Condensed" w:eastAsia="Barlow Semi Condensed" w:hAnsi="Barlow Semi Condensed"/>
          <w:sz w:val="24"/>
          <w:szCs w:val="24"/>
        </w:rPr>
        <w:t xml:space="preserve">La mattina del 9 maggio contiene infine il suo ultimo enigma logistico, che il registro censisce quale reperto conclusivo sulla qualità operativa: il trasferimento del corpo dalla prigione di via Montalcini al centro storico attraversò, a bordo della Renault rossa, chilometri di una capitale che viveva il cinquantacinquesimo giorno della massima mobilitazione di sicurezza della propria storia, sino al parcheggio in via Caetani, nel cuore del perimetro più presidiato d'Italia, senza intercettazioni, controlli o segnalazioni, Livello A quanto al fatto del trasferimento compiuto e non intercettato. Il registro consegna l'ultimo viaggio alla stessa disciplina applicata all'intera fenomenologia operativa del caso: la spiegazione ordinaria, l'assuefazione di un dispositivo logorato da 8 settimane di allarme continuo e la banalità statistica di un'utilitaria tra centinaia di migliaia, resta pienamente capiente, e le letture straordinarie, che da quell'attraversamento riuscito inferiscono coperture, restano al Livello C mai certificato; ciò che appartiene al livello del certo è il valore simbolico terminale che la stessa organizzazione volle imprimere al gesto, la consegna del corpo nel punto esatto che il capitolo ha censito, a metà strada tra le 2 sedi della politica che il sequestro aveva voluto piegare, sicché l'ultimo viaggio fu insieme l'ultima operazione riuscita e il primo atto del monumento involontario, la trasformazione di una via del centro nel luogo dove la Repubblica va, da allora, a ricordare ciò che non seppe impedire.</w:t>
      </w:r>
    </w:p>
    <w:p>
      <w:pPr>
        <w:spacing w:after="120" w:line="276"/>
        <w:jc w:val="both"/>
      </w:pPr>
      <w:r>
        <w:rPr>
          <w:rFonts w:ascii="Barlow Semi Condensed" w:cs="Barlow Semi Condensed" w:eastAsia="Barlow Semi Condensed" w:hAnsi="Barlow Semi Condensed"/>
          <w:sz w:val="24"/>
          <w:szCs w:val="24"/>
        </w:rPr>
        <w:t xml:space="preserve">La memoria pubblica del 9 maggio ha infine ricevuto la sua istituzionalizzazione, che il registro censisce a sigillo del capitolo: la legge della Repubblica del maggio 2007 ha proclamato il 9 maggio Giorno della memoria dedicato alle vittime del terrorismo e delle stragi di tale matrice, fissando la ricorrenza civile nazionale nell'anniversario di via Caetani ed associando per sempre, nel calendario dello Stato, la data del singolo omicidio al lutto per l'intera stagione, con le celebrazioni annuali al Quirinale che da allora riuniscono i familiari di tutte le vittime censite dall'opera, Livello A quanto alla legge ed alla prassi celebrativa. Il registro consegna la scelta del legislatore alla sua lettura: la Repubblica ha eletto a giorno del ricordo collettivo non la data di una strage anonima ma quella dell'assassinio del suo uomo di governo più alto, riconoscendo con ciò, nella forma muta di un calendario, la centralità che questa fase ha argomentato per 10 capitoli, e la circostanza che sotto quella data si commemorino insieme i caduti di piazza Fontana e quelli di via Fani, le vittime della strategia nera e quelle della geometria rossa, realizza nell'ordinamento il gesto che l'opera ha compiuto nel metodo, la riunificazione delle stagioni separate in un solo campo di lutto e di studio, perché il Paese, come il corpus, ha infine riconosciuto che quelle morti appartenevano ad una sola storia.</w:t>
      </w:r>
    </w:p>
    <w:p>
      <w:pPr>
        <w:spacing w:after="120" w:line="276"/>
        <w:jc w:val="both"/>
      </w:pPr>
      <w:r>
        <w:rPr>
          <w:rFonts w:ascii="Barlow Semi Condensed" w:cs="Barlow Semi Condensed" w:eastAsia="Barlow Semi Condensed" w:hAnsi="Barlow Semi Condensed"/>
          <w:sz w:val="24"/>
          <w:szCs w:val="24"/>
        </w:rPr>
        <w:t xml:space="preserve">Il 9 maggio produsse infine l'immagine, che il registro censisce quale reperto iconologico: la fotografia del corpo nel portellone della Renault, scattata in via Caetani nei minuti del ritrovamento e diffusa in poche ore su ogni testata del pianeta, è divenuta l'immagine singola più riprodotta della storia repubblicana, l'icona che da mezzo secolo significa il caso, la stagione ed il Paese in ogni sede, dalla storiografia alla scuola, Livello A quanto alla genesi ed alla fortuna dell'immagine. Il registro consegna l'icona alla sua analisi, perché anche le immagini appartengono al corpus: la fotografia deve la propria potenza alla composizione involontaria che essa fissa, l'uomo di Stato restituito in posizione fetale dentro un'utilitaria, la massima biografia istituzionale del Paese consegnata nel più domestico dei suoi oggetti, e questa sproporzione interna, che nessun regista avrebbe osato, ha operato per 50 anni quale sigillo emotivo della vicenda, con l'effetto ambivalente che il metodo registra: l'icona ha garantito al caso l'immortalità mnemonica che protegge dalla rimozione, ed insieme ha schiacciato la comprensione pubblica sull'istante terminale, oscurando i 55 giorni, i 30 anni di storia e le 5 fasi di contesto che questa opera ha dovuto ricostruire contro la tirannia della propria stessa immagine fondativa, sicché il registro la consegna al lettore con l'avvertenza dovuta ad ogni reliquia: guardarla è necessario, fermarsi a guardarla è il modo più pio di non capire.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Caetani certifica al Livello A l'esecuzione del 9 maggio 1978 per mano di Mario Moretti con il concorso degli uomini della prigione, la deliberazione non unanime che la precedette, la topografia dell'abbandono del corpo a equidistanza dalle sedi dei 2 partiti del compromesso, e la duplice chiusura, del progetto politico e della vicenda umana, con i 6 nomi delle vittime uniti nel registro; la lettura simbolica del luogo è registrata quale interpretazione dominante non certificabile quale intenzione, a presidio della linea metodologica anche nel punto di massima suggestione.</w:t>
      </w:r>
    </w:p>
    <w:p>
      <w:pPr>
        <w:pStyle w:val="Heading3"/>
        <w:spacing w:after="80" w:before="160"/>
      </w:pPr>
      <w:r>
        <w:rPr>
          <w:rFonts w:ascii="Barlow Semi Condensed" w:cs="Barlow Semi Condensed" w:eastAsia="Barlow Semi Condensed" w:hAnsi="Barlow Semi Condensed"/>
          <w:sz w:val="24"/>
          <w:szCs w:val="24"/>
        </w:rPr>
        <w:t xml:space="preserve">Capitolo 7 — ◆ Hyperion. La scuola di Parigi, il superclan e il reperto negativo</w:t>
      </w:r>
    </w:p>
    <w:p>
      <w:pPr>
        <w:spacing w:after="120" w:line="276"/>
        <w:jc w:val="both"/>
      </w:pPr>
      <w:r>
        <w:rPr>
          <w:rFonts w:ascii="Barlow Semi Condensed" w:cs="Barlow Semi Condensed" w:eastAsia="Barlow Semi Condensed" w:hAnsi="Barlow Semi Condensed"/>
          <w:sz w:val="24"/>
          <w:szCs w:val="24"/>
        </w:rPr>
        <w:t xml:space="preserve">La scuola di lingue Hyperion, operante a Parigi al numero 27 del Quai de la Tournelle, fondata da esponenti della prima ora dell'estremismo di sinistra italiano trasferitisi in Francia, è il nodo internazionale della fase, e il registro la tratta quale controparte annunciata del nodo Aginter Press della Fase 3, in adempimento del rinvio formale che quella fase ha disposto. La scansione del corpus registra Hyperion 137 volte in 25 documenti e il nome di Corrado Simioni 88 volte in 13. Il nodo è, per statuto probatorio, il più rarefatto della fase: nessuna condanna, nessun giudicato, un quarantennio di attenzioni investigative italiane e di sospetti mai consolidati; e proprio questo statuto ne fa il banco di prova terminale della disciplina del registro sul trattamento delle strutture opache.</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dell'esistenza e della genealogia, al Livello A. La scuola fu costituita a Parigi nella prima metà degli anni Settanta da Corrado Simioni, Duccio Berio e Vanni Mulinaris, provenienti dall'ambiente milanese della sinistra rivoluzionaria delle origini, il medesimo dal quale nacquero le Brigate Rosse: Simioni, in particolare, era stato tra i protagonisti della fase fondativa dell'organizzazione, dalla quale si era separato precocemente in dissenso sulla struttura e sui metodi, teorizzando, secondo le convergenti ricostruzioni memorialistiche e processuali, un'organizzazione più ristretta, compartimentata e protetta, che l'ambiente stesso designò con l'espressione superclan. Il registro certifica al Livello A la fondazione, la sede parigina del Quai de la Tournelle 27, l'attività di copertura quale scuola di lingue con reale funzionamento didattico, e la genealogia comune con l'organizzazione esecutrice del sequestro, quale insieme di fatti documentati; la genealogia, già annotata nel capitolo 3, è il dato strutturale del nodo: i fondatori della scuola e i fondatori delle Brigate Rosse provengono dal medesimo ceppo, separatosi nel 1970-1971.</w:t>
      </w:r>
    </w:p>
    <w:p>
      <w:pPr>
        <w:spacing w:after="120" w:line="276"/>
        <w:jc w:val="both"/>
      </w:pPr>
      <w:r>
        <w:rPr>
          <w:rFonts w:ascii="Barlow Semi Condensed" w:cs="Barlow Semi Condensed" w:eastAsia="Barlow Semi Condensed" w:hAnsi="Barlow Semi Condensed"/>
          <w:sz w:val="24"/>
          <w:szCs w:val="24"/>
        </w:rPr>
        <w:t xml:space="preserve">Il secondo pilastro è il quarantennio delle attenzioni investigative, che il registro censisce con la graduazione integrale. La scuola entrò nel cono delle indagini italiane a più riprese: le istruttorie padovane e venete dei primi anni Ottanta sul terrorismo, che ipotizzarono in Hyperion una centrale estera di collegamento del terrorismo internazionale, con perquisizioni disposte per rogatoria nel 1982; le informative dei servizi, che in più stagioni segnalarono la struttura quale possibile snodo di rapporti tra organizzazioni armate di più Paesi e apparati; e le inchieste parlamentari, sino alla Commissione dell'ultima stagione, che vi hanno dedicato approfondimenti. A fronte di questa persistenza, l'esito giudiziario è nullo: nessuno dei fondatori è mai stato condannato per fatti di terrorismo, le posizioni aperte furono archiviate o non ebbero seguito, e il registro riporta questo esito con la stessa nettezza con cui riporta le assoluzioni, certificando al Livello A che la scuola Hyperion e i suoi fondatori non hanno mai riportato condanne. Le ipotesi investigative censite si distribuiscono così: i contatti dei fondatori con l'ambiente d'origine e la loro presenza in snodi relazionali dell'estremismo europeo sono certificati al Livello B, quale convergenza di atti istruttori e informativi plurimi; l'ipotesi della funzione di centrale, di snodo organizzato tra le organizzazioni armate e apparati di più campi, resta al Livello C, mai consolidata in 4 decenni; e l'ipotesi di un ruolo della struttura nel sequestro Moro, formulata in più sedi sulla scorta della genealogia e di taluni movimenti coevi, resta parimenti al Livello C, priva di ogni consacrazione.</w:t>
      </w:r>
    </w:p>
    <w:p>
      <w:pPr>
        <w:spacing w:after="120" w:line="276"/>
        <w:jc w:val="both"/>
      </w:pPr>
      <w:r>
        <w:rPr>
          <w:rFonts w:ascii="Barlow Semi Condensed" w:cs="Barlow Semi Condensed" w:eastAsia="Barlow Semi Condensed" w:hAnsi="Barlow Semi Condensed"/>
          <w:sz w:val="24"/>
          <w:szCs w:val="24"/>
        </w:rPr>
        <w:t xml:space="preserve">Il terzo pilastro è la comparazione con Aginter Press, che compie il reperto codificato dal registro quale acquisizione consolidata e qui recepito nella sua forma piena. Le 2 strutture sono topologicamente isomorfe: entrambe operanti all'estero, in una capitale terza rispetto al teatro italiano, sotto copertura civile a funzionamento reale, un'agenzia di stampa a Lisbona e una scuola di lingue a Parigi; entrambe fondate da fuoriusciti della militanza radicale del rispettivo campo, l'ufficiale dell'estremismo controrivoluzionario e i quadri dell'estremismo rivoluzionario; entrambe poste, dalle ricostruzioni investigative, all'incrocio tra la militanza, l'informazione e gli apparati; entrambe mai raggiunte da condanne in Italia. E le 2 strutture presentano regimi probatori opposti: Aginter è documentata dall'interno, dalle proprie carte sequestrate per il collasso del regime ospitante, sicché la sua natura di centrale è certificata al Livello A; Hyperion è documentata soltanto dall'esterno, da atti investigativi altrui, sicché la sua natura resta all'ipotesi, e nessun collasso ha mai aperto i suoi archivi, se archivi vi furono. Il registro certifica al Livello A l'isomorfismo quale dato comparativo e l'assenza di ogni connessione operativa documentata tra le 2 strutture, quale reperto negativo formale; e ne trae la lezione metodologica terminale del Pattern 11: la simmetria delle forme non prova la simmetria delle sostanze, e la differenza tra ciò che sappiamo di Aginter e ciò che ipotizziamo di Hyperion misura esattamente la differenza tra un archivio aperto e un archivio mai aperto, confermando per l'ultima volta la legge empirica del campo che il registro ha codificato: la conoscenza di queste strutture non è mai proporzionale alla loro rilevanza, ma alla contingenza dei collassi che le espongono.</w:t>
      </w:r>
    </w:p>
    <w:p>
      <w:pPr>
        <w:spacing w:after="120" w:line="276"/>
        <w:jc w:val="both"/>
      </w:pPr>
      <w:r>
        <w:rPr>
          <w:rFonts w:ascii="Barlow Semi Condensed" w:cs="Barlow Semi Condensed" w:eastAsia="Barlow Semi Condensed" w:hAnsi="Barlow Semi Condensed"/>
          <w:sz w:val="24"/>
          <w:szCs w:val="24"/>
        </w:rPr>
        <w:t xml:space="preserve">Il quarto pilastro è la stagione istruttoria del 1982, che il registro espone quale momento di massima pressione investigativa sul nodo. All'inizio di quell'anno, nel contesto delle indagini sul sequestro del generale americano James Lee Dozier e sulla rete internazionale del terrorismo, le autorità italiane ottennero per rogatoria perquisizioni a Parigi nei locali della scuola e presso i suoi animatori: le operazioni, condotte dalla polizia francese, non produssero elementi tali da fondare imputazioni, e la posizione della struttura, iscritta nelle ipotesi delle istruttorie venete quale possibile ufficio esteri del terrorismo, non evolse in rinvii a giudizio; negli anni successivi, la difesa pubblica dei fondatori trovò sostegni di rilievo nell'ambiente francese, e la questione scivolò dal piano giudiziario a quello storiografico e parlamentare, dove è rimasta. Il registro certifica al Livello A la sequenza della stagione, le rogatorie, le perquisizioni e il loro esito negativo, quali fatti documentati; e ne trae l'annotazione comparativa che completa il profilo del nodo: il momento in cui lo Stato italiano guardò più da vicino dentro la struttura parigina produsse un esito nullo, e da allora nessuna occasione equivalente si è ripresentata; la conoscenza del nodo è dunque ferma, nella sostanza, a quella stagione, integrata soltanto dalle riletture documentali delle commissioni, e il registro dichiara che ogni certificazione su Hyperion sconta questo tetto storico delle fonti, il quarantennio trascorso senza accessi nuovi, che nessuna intensità di sospetto può surrogare.</w:t>
      </w:r>
    </w:p>
    <w:p>
      <w:pPr>
        <w:spacing w:after="120" w:line="276"/>
        <w:jc w:val="both"/>
      </w:pPr>
      <w:r>
        <w:rPr>
          <w:rFonts w:ascii="Barlow Semi Condensed" w:cs="Barlow Semi Condensed" w:eastAsia="Barlow Semi Condensed" w:hAnsi="Barlow Semi Condensed"/>
          <w:sz w:val="24"/>
          <w:szCs w:val="24"/>
        </w:rPr>
        <w:t xml:space="preserve">Il quinto pilastro è la collocazione parigina quale dato di geografia comparata, che salda il nodo al Pattern 10 dell'opera. La Fase 3 ha certificato la Spagna dell'ultimo franchismo quale zona di convergenza della latitanza e della retrovia dell'eversione nera; la presente fase registra, specularmente, la Parigi degli anni Settanta e Ottanta quale capitale continentale dell'emigrazione della sinistra radicale italiana, l'ambiente nel quale la struttura del Quai de la Tournelle operò e nel quale, negli anni successivi, si sarebbe consolidata la più ampia comunità di fuoriusciti dell'area, protetta di fatto, e poi di dottrina, dall'orientamento dell'ordinamento ospitante sulla non estradizione per i reati a movente politico. Il registro certifica al Livello A la configurazione delle 2 capitali-rifugio speculari, Madrid per il campo nero e Parigi per il campo rosso, quale dato comparativo della geografia dell'eversione europea, e ne trae l'annotazione metodologica: la specularità delle retrovie conferma, sul piano spaziale, la struttura a campi contrapposti del fenomeno che l'intera opera ha documentato, ciascun campo con i propri santuari, i propri protettori e le proprie rotte; e la circostanza che nessuna delle 2 retrovie fosse collocata oltrecortina, ma entrambe entro l'Europa occidentale e atlantica, è un dato che il bilancio conclusivo dell'ipotesi H1 dovrà registrare, giacché la geografia certificata delle protezioni non disegna la convergenza dei blocchi ma la tolleranza incrociata interna al campo occidentale, un reperto che complica ogni lettura semplificata di entrambi i segni.</w:t>
      </w:r>
    </w:p>
    <w:p>
      <w:pPr>
        <w:spacing w:after="120" w:line="276"/>
        <w:jc w:val="both"/>
      </w:pPr>
      <w:r>
        <w:rPr>
          <w:rFonts w:ascii="Barlow Semi Condensed" w:cs="Barlow Semi Condensed" w:eastAsia="Barlow Semi Condensed" w:hAnsi="Barlow Semi Condensed"/>
          <w:sz w:val="24"/>
          <w:szCs w:val="24"/>
        </w:rPr>
        <w:t xml:space="preserve">Il sesto pilastro distende le biografie dei fondatori e la fisionomia del superclan, quali le fonti convergenti le consegnano. Corrado Simioni, milanese, con un percorso giovanile nell'area socialista da cui fu allontanato, approdò alla fine degli anni Sessanta all'ambiente del Collettivo politico metropolitano, dove la sua proposta organizzativa, una struttura a cerchi, con un nucleo interno invisibile, protetto dalla compartimentazione assoluta e destinato a durare oltre le ondate repressive, si scontrò con la linea dei fondatori storici: le memorie di Curcio e di Franceschini, convergenti su questo punto pur nella diversità delle valutazioni, descrivono la separazione del 1970-1971 quale rottura tra 2 concezioni della clandestinità, quella di massa e quella elitaria, e attribuiscono all'ambiente di Simioni la designazione, nata come sarcasmo interno, di superclan; le stesse fonti collocano nell'orbita di quell'ambiente, prima della separazione, figure destinate a percorsi divergenti, e riferiscono dei contatti dell'ambiente con il mondo di Giangiacomo Feltrinelli e dei suoi Gruppi d'azione partigiana. Duccio Berio e Vanni Mulinaris, con percorsi paralleli nella medesima area, seguirono Simioni nella traiettoria che condusse il gruppo, attraverso una fase di attività tra l'Italia e la Francia, alla fondazione parigina della scuola di lingue, operativa dalla metà degli anni Settanta con un corpo docente reale, un'utenza internazionale e una reputazione professionale documentata. Il registro certifica al Livello A le traiettorie biografiche e la genealogia della separazione, quali fatti convergenti delle fonti memorialistiche e processuali; certifica al Livello B la fisionomia dottrinale del superclan, quale ricostruzione di fonti interne interessate ma concordi tra loro da posizioni opposte; e mantiene al livello proprio di ciascun elemento i contatti censiti, annotando che l'intera conoscenza della preistoria del nodo proviene, per la natura delle cose, da testimoni di parte, e che la sua solidità deriva dalla concordanza tra memorie reciprocamente ostili, il criterio di consilienza che il metodo ammette quale surrogato, dichiarato, del documento mancante.</w:t>
      </w:r>
    </w:p>
    <w:p>
      <w:pPr>
        <w:spacing w:after="120" w:line="276"/>
        <w:jc w:val="both"/>
      </w:pPr>
      <w:r>
        <w:rPr>
          <w:rFonts w:ascii="Barlow Semi Condensed" w:cs="Barlow Semi Condensed" w:eastAsia="Barlow Semi Condensed" w:hAnsi="Barlow Semi Condensed"/>
          <w:sz w:val="24"/>
          <w:szCs w:val="24"/>
        </w:rPr>
        <w:t xml:space="preserve">Il settimo pilastro censisce la sede romana e la vicenda giudiziaria di Mulinaris, i 2 fatti italiani del nodo. Le ricognizioni parlamentari, a partire dai lavori della Commissione sul caso Moro e sino all'ultima stagione, hanno documentato che la scuola aprì un ufficio a Roma nei primi mesi del 1978, operativo nel periodo del sequestro e chiuso entro l'anno: il registro certifica al Livello B l'apertura, la collocazione temporale e la chiusura della sede romana, quale risultanza delle ricognizioni parlamentari sulle utenze e sulle disponibilità immobiliari, e dichiara la qualificazione del dato con la disciplina consueta: la coincidenza temporale tra l'operatività romana della struttura e la finestra del sequestro è un fatto censito del Pattern 3, la cui lettura funzionale resta al Livello C, non essendo mai stato documentato alcun nesso tra l'ufficio e l'operazione; il registro la trascrive quale coincidenza certificata e non risolta, la specie di reperto che la metodologia impone di registrare senza sciogliere. La vicenda di Mulinaris appartiene alla stagione istruttoria già censita: attinto da provvedimenti restrittivi nel quadro delle inchieste italiane sul terrorismo dei primi anni Ottanta, fu detenuto in Italia e la sua posizione si concluse senza condanna; attorno alla sua detenzione si sviluppò una campagna pubblica internazionale, il cui protagonista fu l'abbé Pierre, il religioso francese fondatore di Emmaus, legato da vincolo familiare alla moglie di Mulinaris, che giunse a un digiuno pubblico nel 1984 per sollecitarne la liberazione: il registro certifica al Livello A la vicenda detentiva, l'esito senza condanna e la campagna, quali fatti documentati, e ne annota il rilievo per il profilo del nodo, la capacità della struttura di mobilitare, nel momento della massima pressione giudiziaria, una copertura morale del più alto profilo pubblico europeo, un attributo relazionale che il registro trascrive quale dato e la cui interpretazione, tra la solidarietà genuina e la protezione d'ambiente, appartiene al campo delle letture non certificabili.</w:t>
      </w:r>
    </w:p>
    <w:p>
      <w:pPr>
        <w:spacing w:after="120" w:line="276"/>
        <w:jc w:val="both"/>
      </w:pPr>
      <w:r>
        <w:rPr>
          <w:rFonts w:ascii="Barlow Semi Condensed" w:cs="Barlow Semi Condensed" w:eastAsia="Barlow Semi Condensed" w:hAnsi="Barlow Semi Condensed"/>
          <w:sz w:val="24"/>
          <w:szCs w:val="24"/>
        </w:rPr>
        <w:t xml:space="preserve">L'ottavo pilastro censisce la stagione istruttoria veneziana, il più esteso accertamento giudiziario italiano che abbia investito il nodo. Negli anni Ottanta il giudice istruttore di Venezia Carlo Mastelloni condusse l'istruttoria pluriennale sui canali di approvvigionamento internazionale delle Brigate Rosse, con al centro le forniture di armi provenienti dall'area delle organizzazioni palestinesi, i vettori e le rotte adriatiche, e con un capitolo dedicato alla struttura parigina quale possibile snodo della rete estera; l'istruttoria acquisì documentazione, escusse fonti di ogni provenienza e si concluse, sul versante che qui rileva, con proscioglimenti, senza che alcuna posizione riconducibile alla scuola approdasse al dibattimento; il registro certifica al Livello A l'esistenza, l'oggetto, la durata e l'esito dell'istruttoria, quali dati processuali, e ne dichiara la funzione nel profilo del nodo: essa rappresenta, accanto alla stagione delle rogatorie del 1982, il secondo e ultimo accertamento organico mai condotto, e il suo esito negativo, maturato all'esito di anni di lavoro istruttorio e non di una verifica sommaria, è il dato che ogni ricostruzione successiva deve incorporare; il registro lo trascrive quale certificazione in negativo di qualità processuale, la specie di reperto che la disciplina dello Stato Zero dell'opera valorizza, annotando insieme il suo limite strutturale, giacché un'istruttoria italiana non poteva forzare gli archivi esteri, e il perimetro della verifica coincise, per necessità, con il perimetro della cooperazione ottenuta.</w:t>
      </w:r>
    </w:p>
    <w:p>
      <w:pPr>
        <w:spacing w:after="120" w:line="276"/>
        <w:jc w:val="both"/>
      </w:pPr>
      <w:r>
        <w:rPr>
          <w:rFonts w:ascii="Barlow Semi Condensed" w:cs="Barlow Semi Condensed" w:eastAsia="Barlow Semi Condensed" w:hAnsi="Barlow Semi Condensed"/>
          <w:sz w:val="24"/>
          <w:szCs w:val="24"/>
        </w:rPr>
        <w:t xml:space="preserve">Il nono pilastro censisce il contesto ordinamentale francese, la cornice che ha governato la conoscibilità del nodo. La Francia degli anni Settanta e Ottanta fu il rifugio della più ampia comunità di militanti e fuoriusciti della sinistra armata italiana, e la prassi della non estradizione per i reati a movente politico, consolidatasi di fatto nella stagione e poi elevata a dottrina dichiarata alla metà degli anni Ottanta, sottrasse stabilmente alla giurisdizione italiana gli uomini e, con essi, le fonti; le richieste italiane di cooperazione sul nodo parigino ottennero, nella stagione delle rogatorie, l'esecuzione degli atti richiesti e non oltre, e gli archivi della struttura, ove esistenti, non furono mai acquisiti né dall'autorità francese né, per suo tramite, da quella italiana. Il registro certifica al Livello A la prassi e la dottrina della non estradizione, quali dati ordinamentali documentati, e al Livello A il perimetro effettivo della cooperazione ottenuta, quale risultanza degli atti; e ne trae la formalizzazione che chiude il profilo conoscitivo del nodo: l'inaccessibilità di Hyperion non è un mistero ma un fatto giuridico-politico datato e spiegabile, il prodotto della convergenza tra una legislazione di rifugio, una stagione diplomatica e la posizione della struttura entro l'ordinamento ospitante; il registro sostituisce così, secondo il proprio metodo, la categoria dell'insondabile con la categoria del non acquisito per cause documentate, e annota che questa riclassificazione, apparentemente terminologica, governa in realtà l'intera valutazione del nodo, giacché ciò che non fu acquisito per cause esterne può, in linea di principio, ancora emergere, e la fase consegna alla ricognizione conclusiva dell'opera l'indicazione degli archivi francesi quale primo obiettivo di ogni futura campagna documentale.</w:t>
      </w:r>
    </w:p>
    <w:p>
      <w:pPr>
        <w:spacing w:after="120" w:line="276"/>
        <w:jc w:val="both"/>
      </w:pPr>
      <w:r>
        <w:rPr>
          <w:rFonts w:ascii="Barlow Semi Condensed" w:cs="Barlow Semi Condensed" w:eastAsia="Barlow Semi Condensed" w:hAnsi="Barlow Semi Condensed"/>
          <w:sz w:val="24"/>
          <w:szCs w:val="24"/>
        </w:rPr>
        <w:t xml:space="preserve">Il decimo pilastro conduce l'analisi dell'isomorfismo strutturale, applicazione terminale del Pattern 11 al nodo e alla fase. Il registro pone a confronto la struttura topologica di Hyperion con quella di Aginter Press, l'agenzia di copertura di Lisbona che la Fase 3 ha certificato quale snodo internazionale dell'eversione nera, e ne rileva l'isomorfismo: entrambe si presentano quali imprese di servizi apparentemente legali, un'agenzia di stampa l'una, una scuola di lingue l'altra, dotate di sede, personale e attività dichiarata verificabili; entrambe si collocano in una capitale europea quale piattaforma di proiezione internazionale; entrambe risultano, per attribuzione, punti di raccordo di reti clandestine trasversali, l'una del campo nero, l'altra del campo rosso; ed entrambe hanno attraversato decenni di sospetti senza mai produrre condanne organiche che ne certificassero la natura clandestina. Il registro certifica al Livello A l'esistenza della somiglianza topologica, quale dato comparativo tra 2 profili documentati, e ne dichiara con precisione i limiti, richiamando la codifica già fissata nel registro analitico quale reperto strutturale: l'isomorfismo è una somiglianza di forma, non una prova di connessione né di origine comune, e la sua rilevazione, secondo il teorema di DiMaggio e Powell che il metodo assume, ammette 3 spiegazioni alternative, l'origine comune, la necessità funzionale e la convergenza indipendente, che la sola topologia non discrimina. Applicato ai 2 casi, il criterio consegna il verdetto che la fase recepisce: la struttura a impresa-copertura per la proiezione internazionale di una rete clandestina è, con ogni probabilità, una necessità funzionale, la forma più efficiente del compito, adottata indipendentemente dai 2 campi opposti, sicché l'isomorfismo tra Aginter e Hyperion documenta non un legame tra i 2 mondi ma la convergenza dei 2 mondi sulla medesima soluzione organizzativa, un reperto che il registro giudica più rivelatore di qualsiasi legame diretto, perché attesta l'esistenza di una grammatica comune della clandestinità europea che opera al di sopra della contrapposizione dei blocchi; la formalizzazione appartiene ai fatti strutturali certificati, e la fase la consegna, quale contributo maggiore al Pattern 11 dell'opera, alla verifica conclusiva.</w:t>
      </w:r>
    </w:p>
    <w:p>
      <w:pPr>
        <w:spacing w:after="120" w:line="276"/>
        <w:jc w:val="both"/>
      </w:pPr>
      <w:r>
        <w:rPr>
          <w:rFonts w:ascii="Barlow Semi Condensed" w:cs="Barlow Semi Condensed" w:eastAsia="Barlow Semi Condensed" w:hAnsi="Barlow Semi Condensed"/>
          <w:sz w:val="24"/>
          <w:szCs w:val="24"/>
        </w:rPr>
        <w:t xml:space="preserve">L'undicesimo pilastro censisce l'ultima stagione di accertamento, il ritorno della Commissione della XVII legislatura sul nodo. Tra il 2014 e il 2017 la Commissione dedicò al capitolo internazionale del caso, e alla struttura parigina in particolare, un filone di approfondimento documentato dagli atti: audizioni di magistrati, ufficiali e studiosi che avevano trattato il nodo nelle stagioni precedenti, acquisizioni documentali dagli archivi italiani nel frattempo versati, e richieste di collaborazione indirizzate alle autorità francesi per l'accesso ai materiali d'oltralpe, che ottennero riscontri parziali e interlocutori senza l'apertura organica degli archivi che la fase ha censito quale vuoto; la relazione conclusiva registrò lo stato del nodo nei termini che il registro ha recepito, l'esistenza certificata, i contatti documentati, la funzione non provata, e consegnò alla ricerca futura l'indicazione della via archivistica francese quale condizione di ogni progresso. Il registro certifica al Livello A l'esistenza, gli strumenti e l'esito interlocutorio del filone, quali dati degli atti parlamentari, e ne trae la formalizzazione temporale che chiude il profilo: il nodo Hyperion è stato investigato in 3 stagioni distinte, le rogatorie del 1982, l'istruttoria veneziana degli anni Ottanta e la ricognizione parlamentare del 2014-2017, da 3 autorità diverse con 3 strumentari diversi, e le 3 stagioni hanno prodotto il medesimo esito, la certificazione dell'esistenza e la non certificazione della funzione; la convergenza di 3 accertamenti indipendenti sul medesimo punto di arresto è essa stessa un dato, che il registro trascrive con la propria categoria: il limite non sta negli accertatori ma nell'accesso, e sino all'apertura degli archivi francesi ogni nuova stagione è destinata, per struttura, a replicare l'esito delle precedenti.</w:t>
      </w:r>
    </w:p>
    <w:p>
      <w:pPr>
        <w:spacing w:after="120" w:line="276"/>
        <w:jc w:val="both"/>
      </w:pPr>
      <w:r>
        <w:rPr>
          <w:rFonts w:ascii="Barlow Semi Condensed" w:cs="Barlow Semi Condensed" w:eastAsia="Barlow Semi Condensed" w:hAnsi="Barlow Semi Condensed"/>
          <w:sz w:val="24"/>
          <w:szCs w:val="24"/>
        </w:rPr>
        <w:t xml:space="preserve">Il dodicesimo pilastro distende la genealogia del ceppo milanese, la preistoria comune che il profilo del nodo presuppone. Il Collettivo Politico Metropolitano, costituito a Milano nel 1969 nell'ambiente dei quadri usciti dalle esperienze studentesche e operaie della città, e la sua evoluzione in Sinistra Proletaria nel 1970, furono l'incubatore comune dal quale, nel biennio 1970-1971, si separarono le 2 linee che la fase ha censito: la linea di Renato Curcio, Margherita Cagol e dei fondatori dell'organizzazione armata, che scelse la clandestinità e la lotta armata dichiarata, e la cerchia di Corrado Simioni, che i memorialisti interni designarono con l'appellativo di superclan, orientata a una concezione elitaria e internazionale del lavoro rivoluzionario, che considerava prematura la scelta armata italiana e che di lì a pochi anni avrebbe preso la via di Parigi; la separazione fu consumata con reciproca diffidenza documentata dalla memorialistica di entrambi i rami, i fondatori dell'organizzazione avendo lasciato testimonianza del sospetto verso l'ambiguità della cerchia simioniana, e la cerchia avendo coltivato la propria distanza dall'avventurismo militare. Il registro certifica al Livello A la genealogia comune, la separazione e la sua datazione, quali dati convergenti della memorialistica e degli atti, certifica al Livello A l'assenza di ogni condanna a carico della cerchia, e ne trae la formalizzazione che governa l'intero nodo: Hyperion e l'organizzazione esecutrice del sequestro sono i 2 rami documentati di un medesimo ceppo fondativo, separatisi 7 anni prima dei fatti, e ogni ipotesi sui loro rapporti nella stagione del sequestro deve muovere da questo dato genealogico certificato, che rende plausibili i contatti personali residui e non prova alcuna funzione operativa; la distinzione tra la plausibilità genealogica del contatto e la prova della funzione è l'esatto crinale su cui il registro tiene fermo il nodo, al livello che a ciascun elemento compete.</w:t>
      </w:r>
    </w:p>
    <w:p>
      <w:pPr>
        <w:spacing w:after="120" w:line="276"/>
        <w:jc w:val="both"/>
      </w:pPr>
      <w:r>
        <w:rPr>
          <w:rFonts w:ascii="Barlow Semi Condensed" w:cs="Barlow Semi Condensed" w:eastAsia="Barlow Semi Condensed" w:hAnsi="Barlow Semi Condensed"/>
          <w:sz w:val="24"/>
          <w:szCs w:val="24"/>
        </w:rPr>
        <w:t xml:space="preserve">Il tredicesimo pilastro censisce la qualità della copertura, il dato tecnico che distingue la struttura nel panorama dell'opera. La scuola di lingue parigina non fu una copertura fittizia ma un'attività reale e verificabile: corsi effettivamente tenuti, studenti reali, docenti retribuiti, una sede operante al Quai de la Tournelle 27 e rapporti commerciali documentabili con istituzioni e clienti, ivi comprese, per le acquisizioni delle inchieste, commesse di formazione linguistica presso enti di rilievo; il registro certifica al Livello A la realtà dell'attività didattica, quale dato convergente di ogni accertamento, e ne dichiara il portato analitico, che è la chiave tecnica del nodo: una copertura reale è, per costruzione, inattaccabile con gli strumenti della verifica amministrativa, giacché ogni controllo sull'attività dichiarata restituisce un esito conforme, e la struttura che la adotta trasferisce l'intero onere dell'accertamento sul piano, incomparabilmente più oneroso, della prova delle attività non dichiarate; la fase registra che tutti gli accertamenti condotti sul nodo, dalle rogatorie all'istruttoria veneziana alla ricognizione parlamentare, si sono infranti esattamente su questo crinale, la conformità perfetta del dichiarato e l'inaccessibilità dell'eventuale non dichiarato, e formalizza il dato quale contributo del nodo alla tipologia dell'opera: la copertura reale è la forma più evoluta della clandestinità censita nel corpus, superiore per efficacia alla semplice falsità, e la sua presenza simmetrica nei 2 casi dell'isomorfismo certificato, l'agenzia di stampa lisbonese che produceva davvero notizie e la scuola parigina che insegnava davvero le lingue, conferma che essa appartiene alla grammatica comune della clandestinità europea che il Pattern 11 ha isolato, la soluzione organizzativa che entrambi i campi adottarono perché entrambi ne avevano compreso la superiorità tecnica.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Hyperion-Simioni-ceppo fondativo comune, è il triangolo genealogico, certificato al Livello A. La seconda, Hyperion-attenzioni investigative-esito nullo, è il triangolo dello statuto probatorio, con i contatti al Livello B e le funzioni ipotizzate al Livello C, e con l'assenza di condanne certificata al Livello A. La terza, Hyperion-Aginter-isomorfismo senza connessione, è il triangolo comparativo, certificato al Livello A nei suoi 2 termini. Sul piano dei pattern, il nodo è la seconda e conclusiva applicazione del Pattern 11, e attiva il Pattern 5 nella forma documentale: l'archivio mai aperto di una struttura quarantennalmente sospettata è il buco strutturale internazionale della fase, che il registro consegna, quale campo di ricerca e non quale certezza mancata, agli sviluppi futuri.</w:t>
      </w:r>
    </w:p>
    <w:p>
      <w:pPr>
        <w:spacing w:after="120" w:line="276"/>
        <w:jc w:val="both"/>
      </w:pPr>
      <w:r>
        <w:rPr>
          <w:rFonts w:ascii="Barlow Semi Condensed" w:cs="Barlow Semi Condensed" w:eastAsia="Barlow Semi Condensed" w:hAnsi="Barlow Semi Condensed"/>
          <w:sz w:val="24"/>
          <w:szCs w:val="24"/>
        </w:rPr>
        <w:t xml:space="preserve">Il destino giudiziario del nodo va dichiarato nella sua nudità, perché esso ne costituisce, in negativo, la certificazione più netta: le istruttorie italiane che negli anni 80 e 90 investirono la scuola di Parigi, i suoi fondatori e la sua rete, incluse quelle veneziane sui traffici internazionali di armi e quelle romane sui retroterra del caso Moro, si chiusero senza che alcuna imputazione approdasse a condanna, tra proscioglimenti, archiviazioni ed estinzioni, sicché a carico della struttura e dei suoi uomini non esiste, ad oggi, alcun giudicato di responsabilità, Livello A quanto agli esiti, che il registro riporta con il rilievo dovuto ad ogni assoluzione. Ne discende lo statuto paradossale che fa del nodo un unicum analitico: Hyperion è insieme il più indagato ed il meno giudicato degli oggetti del caso, una struttura la cui esistenza, sede, genealogia e rete di contatti sono certificate al massimo livello e le cui funzioni ipotizzate non hanno mai superato la soglia del riscontro, ed il registro, che ha coniato per queste configurazioni la categoria del reperto negativo, la applica qui nella sua forma più severa: il vuoto giudiziario attorno alla scuola di lingue non prova l'innocenza della funzione né la sua colpevolezza, prova l'impermeabilità dell'oggetto, e l'impermeabilità, in un'opera che misura le resistenze dei nodi all'accertamento, è essa stessa la misura che resta.</w:t>
      </w:r>
    </w:p>
    <w:p>
      <w:pPr>
        <w:spacing w:after="120" w:line="276"/>
        <w:jc w:val="both"/>
      </w:pPr>
      <w:r>
        <w:rPr>
          <w:rFonts w:ascii="Barlow Semi Condensed" w:cs="Barlow Semi Condensed" w:eastAsia="Barlow Semi Condensed" w:hAnsi="Barlow Semi Condensed"/>
          <w:sz w:val="24"/>
          <w:szCs w:val="24"/>
        </w:rPr>
        <w:t xml:space="preserve">La genealogia della scuola parigina esige la sua premessa italiana, che il registro censisce dagli atti: la scissione consumata nell'organizzazione nascente al principio degli anni Settanta, quando l'ala raccolta attorno a Corrado Simioni, poi nota nella pubblicistica interna quale Superclan, si separò dal nucleo fondatore in dissenso sulla linea, portando con sé quadri, relazioni internazionali ed una concezione elitaria e compartimentata del lavoro clandestino, per approdare negli anni successivi a Parigi, dove quell'ambiente diede vita alle strutture di copertura culturale e linguistica censite in questo capitolo, Livello A quanto alla scissione, ai suoi protagonisti storici ed all'approdo parigino, quali risultano dagli atti e dalle ricostruzioni convergenti. Il registro consegna la genealogia alla sua funzione analitica: la scuola di lingue non nacque quale appendice estera dell'organizzazione combattente, ma quale ramo separato e precedente, uscito dal tronco comune prima della militarizzazione, e questa priorità genealogica è esattamente ciò che ha reso il nodo parigino irriducibile alle categorie processuali italiane, poiché i suoi uomini non erano latitanti di un'organizzazione da giudicare ma emigrati di una scissione mai divenuta reato, con la conseguenza che il capitolo ha già certificato nel suo esito nullo: l'impermeabilità giudiziaria di Hyperion non fu solo protezione francese, fu anche, alla radice, la condizione di chi si era messo fuori dalla storia criminale prima che diventasse tale, ed osservava da Parigi, in posizione per sempre inattaccabile, il precipitare della casa che aveva lasciato.</w:t>
      </w:r>
    </w:p>
    <w:p>
      <w:pPr>
        <w:spacing w:after="120" w:line="276"/>
        <w:jc w:val="both"/>
      </w:pPr>
      <w:r>
        <w:rPr>
          <w:rFonts w:ascii="Barlow Semi Condensed" w:cs="Barlow Semi Condensed" w:eastAsia="Barlow Semi Condensed" w:hAnsi="Barlow Semi Condensed"/>
          <w:sz w:val="24"/>
          <w:szCs w:val="24"/>
        </w:rPr>
        <w:t xml:space="preserve">Il capitolo internazionale esige il suo bilancio terminale, che il registro formula quale paradosso di proporzione: il caso più investigato della storia repubblicana è rimasto, sul piano dei giudicati, il meno internazionalizzato, poiché a fronte della densità di presenze, interessi e servizi esteri che i capitoli hanno censito attorno al quadrante italiano del 1978, nessun cittadino, apparato o governo straniero è mai stato imputato, né alcuna rogatoria ha mai prodotto un atto d'accusa oltre confine, sicché la dimensione internazionale del caso, sterminata nella letteratura, è giudiziariamente vuota, Livello A quanto al vuoto, Livello C permanente quanto alle ipotesi che lo popolano. Il registro consegna il paradosso alla sua spiegazione strutturale, che vale quale lezione di metodo per l'intera opera: la giustizia penale è territoriale ed il potere che il corpus studia non lo è, sicché lo strumento processuale, che dentro i confini ha faticosamente prodotto i 5 cicli censiti, si è fermato esattamente dove finiva la giurisdizione ed iniziava la geopolitica, e la sproporzione tra ciò che il caso contiene e ciò che i tribunali potevano raggiungere non è un fallimento italiano ma il limite costitutivo di ogni giustizia nazionale davanti a fatti transnazionali, il limite che questa opera, non essendo un tribunale, esiste precisamente per attraversare, con i suoi strumenti diversi e la sua diversa, dichiarata, soglia probatoria.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Hyperion è certificato al Livello A quanto all'esistenza, alla sede parigina del Quai de la Tournelle 27, alla copertura didattica reale e alla genealogia comune con l'organizzazione esecutrice nel ceppo milanese separatosi nel 1970-1971; i contatti dei fondatori con gli snodi dell'estremismo europeo sono certificati al Livello B, le funzioni di centrale e ogni ruolo nel sequestro restano al Livello C dopo 4 decenni di attenzioni prive di esito, e l'assenza di condanne è certificata e riportata; l'isomorfismo con Aginter Press, a regimi probatori opposti e senza alcuna connessione operativa documentata, è recepito quale reperto comparativo terminale del Pattern 11.</w:t>
      </w:r>
    </w:p>
    <w:p>
      <w:pPr>
        <w:pStyle w:val="Heading3"/>
        <w:spacing w:after="80" w:before="160"/>
      </w:pPr>
      <w:r>
        <w:rPr>
          <w:rFonts w:ascii="Barlow Semi Condensed" w:cs="Barlow Semi Condensed" w:eastAsia="Barlow Semi Condensed" w:hAnsi="Barlow Semi Condensed"/>
          <w:sz w:val="24"/>
          <w:szCs w:val="24"/>
        </w:rPr>
        <w:t xml:space="preserve">Capitolo 8 — ▶ Mino Pecorelli. Il giornalista, le anticipazioni e l'ipotesi processata</w:t>
      </w:r>
    </w:p>
    <w:p>
      <w:pPr>
        <w:spacing w:after="120" w:line="276"/>
        <w:jc w:val="both"/>
      </w:pPr>
      <w:r>
        <w:rPr>
          <w:rFonts w:ascii="Barlow Semi Condensed" w:cs="Barlow Semi Condensed" w:eastAsia="Barlow Semi Condensed" w:hAnsi="Barlow Semi Condensed"/>
          <w:sz w:val="24"/>
          <w:szCs w:val="24"/>
        </w:rPr>
        <w:t xml:space="preserve">Carmine Pecorelli, detto Mino, direttore dell'agenzia-periodico OP, Osservatore Politico, assassinato a Roma la sera del 20 marzo 1979 con 4 colpi d'arma da fuoco mentre saliva in auto presso la redazione, è il nodo che salda la fase al Dominio 8, il controllo dell'informazione, e che il registro tratta quale caso terminale della disciplina delle ipotesi processate. La scansione del corpus registra Pecorelli 401 volte in 37 documenti, e il corpus comprende le sentenze integrali del processo per il suo omicidio.</w:t>
      </w:r>
    </w:p>
    <w:p>
      <w:pPr>
        <w:spacing w:after="120" w:line="276"/>
        <w:jc w:val="both"/>
      </w:pPr>
      <w:r>
        <w:rPr>
          <w:rFonts w:ascii="Barlow Semi Condensed" w:cs="Barlow Semi Condensed" w:eastAsia="Barlow Semi Condensed" w:hAnsi="Barlow Semi Condensed"/>
          <w:sz w:val="24"/>
          <w:szCs w:val="24"/>
        </w:rPr>
        <w:t xml:space="preserve">Il primo pilastro è il profilo della fonte e della testata, certificato al Livello A nei fatti. OP era un foglio anomalo nel panorama informativo: un bollettino di rivelazioni, allusioni e anticipazioni, alimentato da un accesso documentale evidentemente interno agli apparati e agli ambienti riservati, che Pecorelli esercitava secondo una tecnica di pubblicazione progressiva nella quale l'annuncio della notizia valeva quanto la notizia; la collocazione del direttore negli ambienti che le fasi precedenti hanno censito, con rapporti documentati verso l'orbita piduista e verso settori degli apparati, è attestata dagli atti della Commissione Anselmi e dalle istruttorie, e il registro la certifica al Livello B, quale convergenza di fonti istituzionali, senza qualificazioni organiche che gli atti non consacrano. Nella stagione del sequestro e dei mesi successivi, OP pubblicò e annunciò materiali sul caso Moro di provenienza evidentemente qualificata: riferimenti al memoriale prima della sua divulgazione, allusioni alla gestione dei 55 giorni, anticipazioni che le acquisizioni successive avrebbero mostrato fondate su una conoscenza reale di materiali riservati. Il registro certifica al Livello A l'esistenza e la datazione di tali pubblicazioni, quale dato documentale della collezione della testata, e al Livello B la loro derivazione da accesso a materiali del circuito riservato, quale inferenza documentale consolidata dalle comparazioni successive; la questione della catena di tale accesso resta al Livello C.</w:t>
      </w:r>
    </w:p>
    <w:p>
      <w:pPr>
        <w:spacing w:after="120" w:line="276"/>
        <w:jc w:val="both"/>
      </w:pPr>
      <w:r>
        <w:rPr>
          <w:rFonts w:ascii="Barlow Semi Condensed" w:cs="Barlow Semi Condensed" w:eastAsia="Barlow Semi Condensed" w:hAnsi="Barlow Semi Condensed"/>
          <w:sz w:val="24"/>
          <w:szCs w:val="24"/>
        </w:rPr>
        <w:t xml:space="preserve">Il secondo pilastro è l'omicidio e il suo processo, che il registro espone con la disciplina integrale. L'assassinio del 20 marzo 1979, 10 mesi dopo la conclusione del sequestro, rimase a lungo senza sviluppi; negli anni Novanta, sulla scorta di dichiarazioni di collaboratori di giustizia, la procura di Perugia formulò l'ipotesi che l'omicidio fosse stato commissionato in ambienti politico-mafiosi per arrestare le pubblicazioni del direttore sui materiali del caso Moro, e portò a giudizio, tra gli altri, Giulio Andreotti quale mandante e Gaetano Badalamenti quale tramite mafioso, con imputati ulteriori degli ambienti della criminalità romana. Il ciclo processuale si sviluppò così: la Corte d'assise di Perugia, nel settembre 1999, assolse tutti gli imputati; la Corte d'assise d'appello, il 17 novembre 2002, riformò parzialmente condannando Andreotti e Badalamenti a 24 anni di reclusione quali mandanti; la Corte di cassazione, il 30 ottobre 2003, annullò senza rinvio la condanna, rendendo definitiva l'assoluzione di entrambi. Il registro riporta per esteso l'assoluzione definitiva di Giulio Andreotti e di Gaetano Badalamenti dall'accusa di omicidio, unitamente agli esiti assolutori degli altri imputati del medesimo processo, e certifica al Livello A che l'omicidio di Mino Pecorelli resta, all'esito di ogni giudizio, privo di mandanti e di esecutori condannati: è la seconda vittima eccellente della fase, dopo il vuoto sugli esecutori Mattarella censito nella Fase 3, il cui assassinio non ha verità giudiziaria di condanna. L'ipotesi del movente moroteo, che fu il cuore dell'accusa, riceve la qualificazione aggravata già codificata: ipotesi processata e non provata, portata sino al giudizio di legittimità e non consacrata, la cui permanenza nel registro al Livello C reca la memoria del suo intero percorso, ivi compresa la condanna di merito del 2002 travolta dall'annullamento.</w:t>
      </w:r>
    </w:p>
    <w:p>
      <w:pPr>
        <w:spacing w:after="120" w:line="276"/>
        <w:jc w:val="both"/>
      </w:pPr>
      <w:r>
        <w:rPr>
          <w:rFonts w:ascii="Barlow Semi Condensed" w:cs="Barlow Semi Condensed" w:eastAsia="Barlow Semi Condensed" w:hAnsi="Barlow Semi Condensed"/>
          <w:sz w:val="24"/>
          <w:szCs w:val="24"/>
        </w:rPr>
        <w:t xml:space="preserve">Il terzo pilastro è il reticolo degli archi documentati attorno al nodo, che il registro censisce nella loro autonomia dai giudicati mancati. Il primo arco è quello verso l'orbita della Magliana, documentato dalla vicenda, accertata negli atti, del borsello abbandonato su un taxi romano nell'aprile 1979, poche settimane dopo l'omicidio, contenente materiali che alludevano congiuntamente al caso Moro e all'omicidio del giornalista, ricondotto dagli accertamenti tecnici alla mano di Antonio Chichiarelli, il medesimo falsario del comunicato del lago della Duchessa: il registro certifica al Livello B l'attribuzione e dichiara il rilievo della ricorrenza, il medesimo uomo dell'orbita della Magliana che interseca, con manufatti documentali, tanto la gestione comunicativa del sequestro quanto la scia dell'omicidio del giornalista che di quel sequestro pubblicava i segreti; la direzione di questa duplice intersezione resta al Livello C, ma la sua esistenza è un arco certificato tra il Dominio 8, il Dominio 1 romano e il caso Moro. Il secondo arco è quello tematico verso il memoriale: la comparazione tra le anticipazioni di OP e i contenuti emersi nel 1990 appartiene alle acquisizioni parlamentari, e il registro la certifica al Livello B quale riscontro postumo della qualità dell'accesso del direttore. Il terzo arco è quello, già certificato nella Fase 1, che collega la memoria di Pecorelli al processo palermitano ad Andreotti, nel quale le medesime dichiarazioni collaborative alimentarono i 2 procedimenti: il registro richiama l'esito di quel processo, con la formula duale della prescrizione per il periodo anteriore alla primavera 1980 e dell'assoluzione per il periodo successivo, quale contesto degli esiti qui riportati.</w:t>
      </w:r>
    </w:p>
    <w:p>
      <w:pPr>
        <w:spacing w:after="120" w:line="276"/>
        <w:jc w:val="both"/>
      </w:pPr>
      <w:r>
        <w:rPr>
          <w:rFonts w:ascii="Barlow Semi Condensed" w:cs="Barlow Semi Condensed" w:eastAsia="Barlow Semi Condensed" w:hAnsi="Barlow Semi Condensed"/>
          <w:sz w:val="24"/>
          <w:szCs w:val="24"/>
        </w:rPr>
        <w:t xml:space="preserve">Il quarto pilastro è la tecnica dell'annuncio e l'ultimo periodo della testata, che il registro censisce quale contesto immediato dell'omicidio. La pubblicistica di Pecorelli operava secondo un metodo riconoscibile: l'annuncio anticipato di rivelazioni imminenti, la pubblicazione parziale, la sospensione; un metodo che trasformava la testata in uno strumento di pressione oltre che di informazione, e che gli atti delle inchieste hanno documentato nella sua meccanica, ivi compresi i casi in cui annunci pubblicati non furono seguiti dalle rivelazioni promesse. Nei mesi finali, tra la fine del 1978 e il marzo 1979, la testata aveva in cantiere e in parte annunciato materiali su più fronti sensibili, dalle vicende finanziarie che intersecavano il mondo politico romano ai temi del caso Moro, e l'ultimo numero preparato non giunse in edicola nella forma prevista. Il registro certifica al Livello A il metodo dell'annuncio, quale dato documentale della collezione, e la collocazione temporale dell'omicidio nel pieno di una stagione di annunci su materie sensibili, quale dato di calendario; e mantiene al Livello C, secondo la disciplina, ogni individuazione del singolo annuncio che avrebbe determinato l'eliminazione, annotando che l'istruttoria perugina esplorò precisamente questo terreno, la selezione del movente entro il ventaglio delle pubblicazioni pendenti, e che l'esito assolutorio definitivo lascia il ventaglio aperto: il registro censisce il ventaglio, non sceglie la carta. L'annotazione sistemica chiude il pilastro: la figura del giornalista-nodo, che converte l'accesso riservato in potere di pubblicazione e il potere di pubblicazione in leva, è la configurazione più pura del Dominio 8 che l'opera abbia incontrato, e la sua eliminazione fisica, quale che ne sia il mandante mai accertato, documenta che quella configurazione era percepita, da qualcuno, quale minaccia capitale.</w:t>
      </w:r>
    </w:p>
    <w:p>
      <w:pPr>
        <w:spacing w:after="120" w:line="276"/>
        <w:jc w:val="both"/>
      </w:pPr>
      <w:r>
        <w:rPr>
          <w:rFonts w:ascii="Barlow Semi Condensed" w:cs="Barlow Semi Condensed" w:eastAsia="Barlow Semi Condensed" w:hAnsi="Barlow Semi Condensed"/>
          <w:sz w:val="24"/>
          <w:szCs w:val="24"/>
        </w:rPr>
        <w:t xml:space="preserve">Il quinto pilastro distende la storia della testata e il precedente che ne certifica l'accesso. OP nacque nel 1968 quale agenzia di stampa a diffusione ristretta, circolante negli ambienti politici, militari e giornalistici romani quale bollettino di notizie riservate, e si trasformò nel marzo 1978, alla vigilia del sequestro, in settimanale in edicola, portando nel circuito pubblico la tecnica maturata nel decennio riservato; gli atti giudiziari e parlamentari che ne hanno ricostruito la storia documentano la contiguità della testata con ambienti del servizio informazioni della difesa, dai quali provenne parte sistematica del materiale pubblicato, e il registro certifica al Livello B questa contiguità di alimentazione, quale convergenza di accertamenti plurimi, senza qualificazioni organiche. Il precedente che certifica la qualità dell'accesso è la vicenda del dossier MiFoBiali: tra il 1976 e il 1977 la testata diede notizia e pubblicò elementi del rapporto riservato del servizio militare su un traffico petrolifero con la Libia che coinvolgeva vertici della Guardia di finanza, un documento la cui circolazione era confinata al circuito più protetto degli apparati, e la cui vicenda si intreccia, come la Fase 2 ha censito, con la stagione della direzione piduista dei servizi; il registro certifica al Livello A la pubblicazione e la natura del documento, quali fatti documentali, e ne trae la conseguenza che fonda il pilastro: prima ancora del caso Moro, la testata aveva dimostrato, con un caso verificato, di attingere al livello più riservato della documentazione degli apparati, e questa capacità certificata è il presupposto che rende tecnicamente credibile, e perciò analiticamente grave, la sincronia del 1978 sul memoriale.</w:t>
      </w:r>
    </w:p>
    <w:p>
      <w:pPr>
        <w:spacing w:after="120" w:line="276"/>
        <w:jc w:val="both"/>
      </w:pPr>
      <w:r>
        <w:rPr>
          <w:rFonts w:ascii="Barlow Semi Condensed" w:cs="Barlow Semi Condensed" w:eastAsia="Barlow Semi Condensed" w:hAnsi="Barlow Semi Condensed"/>
          <w:sz w:val="24"/>
          <w:szCs w:val="24"/>
        </w:rPr>
        <w:t xml:space="preserve">Il sesto pilastro scandisce la serie degli interventi della testata sul caso Moro, quale la collezione la consegna. Durante i 55 giorni la testata seguì la vicenda con la propria cifra allusiva, insinuando conoscenze sulla gestione e sui retroscena; dopo il 9 maggio, la serie si fece sistematica, con interventi sulla condotta dei comitati, sulle ricerche e sugli ambienti della crisi; nell'ottobre 1978, a ridosso del sequestro di via Monte Nevoso, giunsero le pubblicazioni e le anticipazioni sul memoriale già censite nel capitolo documentale, con i contenuti eccedenti la versione ufficiale; e nei primi mesi del 1979 la testata portò la propria attenzione sui terreni finanziari e politici contigui, sino al numero in preparazione al momento dell'omicidio, dedicato, per le risultanze delle inchieste, alla vicenda degli assegni riconducibili all'area del presidente del Consiglio, il tema finanziario che intrecciava gli istituti di credito pubblici e i costruttori romani. Il registro certifica al Livello A la scansione della serie e l'oggetto del numero in preparazione, quali dati della collezione e delle risultanze istruttorie, e ribadisce la disciplina sul ventaglio dei moventi: la serie documenta che, alla data del 20 marzo 1979, la testata teneva simultaneamente aperti più fronti capaci ciascuno di costituire un movente, il memoriale, la gestione della crisi, il fronte finanziario, e l'istruttoria che scelse uno dei fronti quale movente dell'omicidio è approdata, come il pilastro seguente espone, all'assoluzione definitiva; il registro, censito il ventaglio, lo lascia aperto.</w:t>
      </w:r>
    </w:p>
    <w:p>
      <w:pPr>
        <w:spacing w:after="120" w:line="276"/>
        <w:jc w:val="both"/>
      </w:pPr>
      <w:r>
        <w:rPr>
          <w:rFonts w:ascii="Barlow Semi Condensed" w:cs="Barlow Semi Condensed" w:eastAsia="Barlow Semi Condensed" w:hAnsi="Barlow Semi Condensed"/>
          <w:sz w:val="24"/>
          <w:szCs w:val="24"/>
        </w:rPr>
        <w:t xml:space="preserve">Il settimo pilastro distende l'iter processuale nella sua interezza, quale la disciplina degli esiti impone. L'inchiesta perugina degli anni Novanta si fondò sulle dichiarazioni di collaboratori di giustizia, e in primo luogo di Tommaso Buscetta, che riferì di aver appreso da Gaetano Badalamenti la riconducibilità dell'omicidio a un interesse di Giulio Andreotti connesso alle carte del caso Moro; il rinvio a giudizio investì, oltre ad Andreotti quale mandante e a Badalamenti quale tramite, esponenti dell'orbita della banda della Magliana quali presunti organizzatori ed esecutori, tra cui Giuseppe Calò, già nodo delle fasi precedenti, e Massimo Carminati. Il dibattimento di primo grado dinanzi alla Corte d'assise di Perugia si concluse il 24 settembre 1999 con l'assoluzione di tutti gli imputati; la Corte d'assise d'appello, il 17 novembre 2002, in parziale riforma, condannò Andreotti e Badalamenti a 24 anni di reclusione quali mandanti, confermando le assoluzioni degli altri; la Corte di cassazione, il 30 ottobre 2003, annullò senza rinvio la condanna per non aver commesso il fatto, rendendo definitive tutte le assoluzioni. Il registro riporta per esteso, quale la disciplina impone, che Giulio Andreotti, Gaetano Badalamenti, Giuseppe Calò, Massimo Carminati e i coimputati del processo di Perugia sono stati assolti in via definitiva da ogni accusa relativa all'omicidio di Mino Pecorelli; annota che per Calò si tratta del secondo esito assolutorio censito dall'opera accanto ai 3 giudicati di condanna capitale, e per Carminati dell'esito che si affianca all'assoluzione per la strage di Bologna censita quale contesto nella Fase 3; e chiude con la qualificazione già dichiarata dell'ipotesi del movente moroteo, la più processata e la meno consacrata delle ipotesi del piano terzo, portata sino al giudizio di legittimità attraverso una condanna di merito e integralmente travolta.</w:t>
      </w:r>
    </w:p>
    <w:p>
      <w:pPr>
        <w:spacing w:after="120" w:line="276"/>
        <w:jc w:val="both"/>
      </w:pPr>
      <w:r>
        <w:rPr>
          <w:rFonts w:ascii="Barlow Semi Condensed" w:cs="Barlow Semi Condensed" w:eastAsia="Barlow Semi Condensed" w:hAnsi="Barlow Semi Condensed"/>
          <w:sz w:val="24"/>
          <w:szCs w:val="24"/>
        </w:rPr>
        <w:t xml:space="preserve">L'ottavo pilastro censisce i rapporti della testata con l'orbita gelliana, il secondo asse di alimentazione documentato. Gli atti della Commissione Anselmi e le acquisizioni giudiziarie convergenti documentano la relazione tra Pecorelli e l'ambiente di Licio Gelli: i contatti diretti, la circolazione verso la testata di materiali provenienti da quell'orbita, e flussi di sostegno economico veicolati nella stagione terminale, entro il più generale sistema di condizionamento della stampa che la Commissione ricostruì e che la Fase 2 ha censito quale arco tra la loggia e il Dominio 8; il registro certifica al Livello B la relazione e i flussi, quale convergenza di risultanze parlamentari e giudiziarie non consacrate su ogni punto da giudicato, e certifica al Livello A il dato editoriale che vi si intreccia, la circostanza che la testata pubblicò ripetutamente, in anticipo sulla stampa ordinaria, materie interne all'universo massonico coperto, dimostrando un accesso a quell'ambiente simmetrico a quello certificato verso gli apparati. Sul terreno delle letture, il registro censisce al Livello C l'ipotesi, coltivata dalle inchieste e mai consacrata, della pressione economica esercitata dal giornalista sui propri referenti quale movente concorrente dell'eliminazione, e chiude con la formalizzazione reticolare: il nodo Pecorelli è l'unico dell'intera opera che risulti simultaneamente alimentato, per certificazione o convergenza documentata, dai 2 massimi serbatoi riservati della Repubblica, gli apparati informativi e la loggia coperta, e questa doppia alimentazione certificata, qualunque cosa spieghi della sua morte, definisce esattamente la sua posizione nella rete: un condotto tra i segreti dei 2 sistemi e lo spazio pubblico, revocabile, per costruzione, soltanto con la sua eliminazione.</w:t>
      </w:r>
    </w:p>
    <w:p>
      <w:pPr>
        <w:spacing w:after="120" w:line="276"/>
        <w:jc w:val="both"/>
      </w:pPr>
      <w:r>
        <w:rPr>
          <w:rFonts w:ascii="Barlow Semi Condensed" w:cs="Barlow Semi Condensed" w:eastAsia="Barlow Semi Condensed" w:hAnsi="Barlow Semi Condensed"/>
          <w:sz w:val="24"/>
          <w:szCs w:val="24"/>
        </w:rPr>
        <w:t xml:space="preserve">Il nono pilastro distende la vicenda del borsello e dei reperti successivi, l'appendice materiale del nodo. Nell'aprile 1979, poche settimane dopo l'omicidio, fu rinvenuto su un taxi romano un borsello abbandonato contenente un compendio anomalo di materiali: annotazioni e riproduzioni che intrecciavano riferimenti puntuali al caso Moro, inclusi elementi allusivi a circostanze allora non pubbliche, e riferimenti all'omicidio del giornalista, composti in forma di messaggio criptico; le perizie attribuirono la confezione a Antonio Chichiarelli, il falsario della banda della Magliana già autore, per attribuzione peritale, del falso comunicato della Duchessa, saldando in un'unica mano i 2 manufatti; Chichiarelli fu assassinato a Roma il 28 settembre 1984, in un agguato mai giudizialmente risolto, e dopo la sua morte emersero, dai luoghi a lui riconducibili, ulteriori materiali riferiti al caso Moro che le inchieste acquisirono. Il registro certifica al Livello A il ritrovamento, il contenuto, l'attribuzione peritale e l'assassinio, quali risultanze documentali e giudiziarie, e mantiene al Livello C la funzione dell'intera produzione, dalla rivendicazione obliqua al depistaggio su commissione, annotando la struttura del reperto: un falsario di ambiente criminale romano risulta, per perizia, l'autore materiale tanto del più efficace inquinamento informativo dei 55 giorni quanto del più criptico manufatto post mortem su Pecorelli, fu eliminato senza colpevoli e lasciò materiali che nessuna sede ha mai integralmente decifrato; la doppia firma certificata di Chichiarelli sui 2 casi è l'arco documentale che salda il capitolo alla crisi del 1978, e il registro la consegna quale fatto, con la sua spiegazione ancora vacante, alla competizione tra le ipotesi del piano terzo.</w:t>
      </w:r>
    </w:p>
    <w:p>
      <w:pPr>
        <w:spacing w:after="120" w:line="276"/>
        <w:jc w:val="both"/>
      </w:pPr>
      <w:r>
        <w:rPr>
          <w:rFonts w:ascii="Barlow Semi Condensed" w:cs="Barlow Semi Condensed" w:eastAsia="Barlow Semi Condensed" w:hAnsi="Barlow Semi Condensed"/>
          <w:sz w:val="24"/>
          <w:szCs w:val="24"/>
        </w:rPr>
        <w:t xml:space="preserve">Il decimo pilastro colloca l'omicidio entro la serie degli omicidi eccellenti romani della stagione, quale applicazione del Pattern 3 al Dominio 8 e ai suoi confini. Il registro censisce la sequenza certificata degli assassinii che, nell'orbita tra apparati, criminalità capitolina, politica e informazione, scandirono gli anni a cavallo del caso Moro nella capitale: l'omicidio di Mino Pecorelli il 20 marzo 1979; l'omicidio del tenente colonnello Antonio Varisco il 13 luglio 1979; e, quale termine di raccordo con il Dominio 6 e la Fase 2, l'omicidio dell'avvocato Giorgio Ambrosoli, il liquidatore della banca di Michele Sindona, ucciso a Milano l'11 luglio 1979, nella stessa settimana di Varisco, da un sicario giunto dall'estero. Il registro certifica al Livello A le date e i fatti degli omicidi, quali dati giudiziari e storici, nomina le vittime, e ne dichiara la funzione analitica: la contiguità temporale di 3 eliminazioni che colpirono, in pochi mesi, un giornalista d'accesso riservato, un ufficiale di raccordo tra apparati e ambienti giudiziari romani e il liquidatore che stava documentando i legami tra finanza deviata, mafia e politica, compone una finestra critica che il Pattern 3 registra quale addensamento anomalo di rimozioni di detentori di conoscenza, distinte per mano e per sede giudiziaria e tuttavia unite dalla natura delle vittime, tutte titolari di un sapere pericoloso per gli intrecci tra i domini. Il registro mantiene al Livello C ogni lettura unificante della serie, nessun accertamento avendo mai stabilito una regia comune, e ne certifica quale fatto la sola struttura statistica, l'improbabilità della concentrazione casuale di eventi tanto simili per funzione delle vittime in un arco tanto breve; e consegna la serie, con la disciplina consueta, quale reperto del Pattern 3 alla ricognizione conclusiva, annotando che il nodo Pecorelli vi occupa la posizione del primo termine, l'eliminazione con cui la stagione delle rimozioni romane si aprì.</w:t>
      </w:r>
    </w:p>
    <w:p>
      <w:pPr>
        <w:spacing w:after="120" w:line="276"/>
        <w:jc w:val="both"/>
      </w:pPr>
      <w:r>
        <w:rPr>
          <w:rFonts w:ascii="Barlow Semi Condensed" w:cs="Barlow Semi Condensed" w:eastAsia="Barlow Semi Condensed" w:hAnsi="Barlow Semi Condensed"/>
          <w:sz w:val="24"/>
          <w:szCs w:val="24"/>
        </w:rPr>
        <w:t xml:space="preserve">L'undicesimo pilastro censisce il filo balistico, il reperto materiale maggiore del nodo. I proiettili che uccisero Pecorelli erano cartucce calibro 7,65 di marca Gevelot, una munizione di produzione francese rara sul mercato italiano dell'epoca, la cui identificazione orientò le indagini sin dalle prime perizie; e le inchieste degli anni successivi accertarono la presenza di munizioni Gevelot del medesimo tipo nell'arsenale della banda della Magliana rinvenuto nel deposito ricavato negli scantinati del Ministero della Sanità, il deposito che le indagini sulla criminalità capitolina portarono alla luce documentando la disponibilità dell'organizzazione di un'armeria custodita, per paradosso topografico certificato, entro un edificio pubblico; la convergenza tra la munizione dell'omicidio e la dotazione dell'arsenale fu acquisita ai procedimenti e costituì uno dei fondamenti dell'ipotesi accusatoria sull'esecuzione materiale affidata ad ambienti della banda, ipotesi che l'esito assolutorio definitivo del 2003 ha lasciato priva di consacrazione giudiziale quanto ai mandanti e agli esecutori giudicati in quel processo. Il registro certifica al Livello A l'identificazione della munizione e la presenza del medesimo tipo raro nell'arsenale del Ministero della Sanità, quali dati peritali e di rinvenimento, certifica al Livello B la derivazione dell'arma del delitto dall'orbita della banda, quale inferenza balistica di elevata consistenza mai consacrata da condanna, e ne dichiara la funzione reticolare: il filo Gevelot è l'arco materiale che congiunge il Dominio 8, nella persona della vittima, al Dominio 1 romano, nella dotazione dell'arsenale, ed è, con la doppia firma di Chichiarelli, il secondo elemento fisico che salda l'orbita della Magliana alla stagione degli omicidi eccellenti; il registro consegna il filo alla Fase 5, annotando che la banda romana, già certificata nella Fase 1 quale cerniera tra criminalità, eversione e apparati, vede accrescersi con la fase il proprio rango di connettivo capitolino dei domini.</w:t>
      </w:r>
    </w:p>
    <w:p>
      <w:pPr>
        <w:spacing w:after="120" w:line="276"/>
        <w:jc w:val="both"/>
      </w:pPr>
      <w:r>
        <w:rPr>
          <w:rFonts w:ascii="Barlow Semi Condensed" w:cs="Barlow Semi Condensed" w:eastAsia="Barlow Semi Condensed" w:hAnsi="Barlow Semi Condensed"/>
          <w:sz w:val="24"/>
          <w:szCs w:val="24"/>
        </w:rPr>
        <w:t xml:space="preserve">Il dodicesimo pilastro censisce la sorte dell'archivio della testata, l'ultima assenza del nodo. Le inchieste sull'omicidio documentarono che dall'ufficio di OP e dai materiali del direttore risultarono mancanti, dopo la morte, fascicoli e carte la cui esistenza era attestata da testimonianze dei collaboratori e dalla stessa attività della testata, che su quei materiali fondava le proprie anticipazioni: la ricognizione dell'archivio non restituì l'insieme dei dossier che l'attività documentata del giornalista presupponeva, e la questione della sottrazione di carte contestuale o successiva all'omicidio attraversò le indagini senza mai approdare a un accertamento di condotta; il registro certifica al Livello B la mancanza di materiali rispetto al perimetro attestato, quale convergenza di risultanze testimoniali e investigative non consacrate da un inventario opponibile, e la classifica nella specie propria: l'archivio di Pecorelli appartiene, con la borsa del generale e con le carte controverse dei nodi maggiori, alla figura della sottrazione documentale contestuale all'eliminazione del detentore, il pattern che la fase ha censito in 3 occorrenze distinte, via Fani, via Carini e l'ufficio di OP, e che il registro formalizza quale regolarità certificata nella sua distribuzione e non spiegata nella sua meccanica: in 3 casi su 3, l'eliminazione di un detentore di conoscenza pericolosa si accompagnò alla scomparsa, mai giudizialmente attribuita, del supporto materiale di quella conoscenza; la regolarità, che il Pattern 5 dell'opera registra quale configurazione di Livello B, è consegnata alla riflessione conclusiva con l'annotazione che essa costituisce, nell'intero corpus, la firma strutturale più costante del campo studiato, la coincidenza sistematica tra la morte dell'uomo e la morte delle sue carte.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Pecorelli-OP-accesso riservato, è il triangolo della fonte, certificato al Livello A nelle pubblicazioni e al Livello B nella derivazione. La seconda, omicidio-processo di Perugia-assoluzione definitiva, è il triangolo dell'ipotesi processata, con gli esiti riportati per esteso e la qualificazione aggravata del Livello C. La terza, Pecorelli-Chichiarelli-orbita della Magliana, è il triangolo dell'intersezione documentata, certificato al Livello B con direzione al Livello C. Sul piano dei pattern, il nodo attiva il Pattern 4 in una forma propria del Dominio 8, il flusso dell'informazione riservata quale risorsa tracciabile, di cui OP fu insieme pozzo e sorgente; e il Pattern 5, giacché l'omicidio recise il solo canale pubblico che attingeva, in tempo reale, al circuito riservato del caso, e il silenzio che ne seguì è l'assenza che l'analisi registra.</w:t>
      </w:r>
    </w:p>
    <w:p>
      <w:pPr>
        <w:spacing w:after="120" w:line="276"/>
        <w:jc w:val="both"/>
      </w:pPr>
      <w:r>
        <w:rPr>
          <w:rFonts w:ascii="Barlow Semi Condensed" w:cs="Barlow Semi Condensed" w:eastAsia="Barlow Semi Condensed" w:hAnsi="Barlow Semi Condensed"/>
          <w:sz w:val="24"/>
          <w:szCs w:val="24"/>
        </w:rPr>
        <w:t xml:space="preserve">Il quadro assolutorio del processo perugino esige la sua integralità nominale, che la disciplina del registro impone di riportare per esteso: accanto a Giulio Andreotti e Gaetano Badalamenti, la cui assoluzione definitiva la sintesi certifica, furono giudicati per il medesimo omicidio, quali concorrenti a vario titolo, il magistrato Claudio Vitalone, Giuseppe Calò, Massimo Carminati e Michelangelo La Barbera, e tutti furono assolti, con pronunce divenute irrevocabili all'esito della sentenza della Corte d'Assise d'appello di Perugia del 17 novembre 2002 e della decisione della Corte di cassazione del 30 ottobre 2003, Livello A, sicché per l'omicidio di Carmine Pecorelli non esiste, ad oggi, alcun condannato. Il registro sottolinea la composizione dell'elenco degli assolti, perché essa è, in sé, la radiografia dell'ipotesi accusatoria caduta: un presidente del Consiglio, un capomafia di rango, un magistrato romano, il cassiere di Cosa Nostra, un esponente della manovalanza armata nera ed un uomo d'onore palermitano, vale a dire una sezione trasversale esatta dei domini che questa opera censisce, riuniti in un solo capo di imputazione e congedati da una sola formula liberatoria. L'ipotesi processata, quale che ne fosse il fondamento, aveva la forma stessa del grafo che il registro studia: e la sua caduta integrale consegna al metodo la lezione già enunciata nella Fase 1, che la topologia di un'accusa non ne costituisce la prova, per quanto perfettamente essa combaci con la topologia del sistema.</w:t>
      </w:r>
    </w:p>
    <w:p>
      <w:pPr>
        <w:spacing w:after="120" w:line="276"/>
        <w:jc w:val="both"/>
      </w:pPr>
      <w:r>
        <w:rPr>
          <w:rFonts w:ascii="Barlow Semi Condensed" w:cs="Barlow Semi Condensed" w:eastAsia="Barlow Semi Condensed" w:hAnsi="Barlow Semi Condensed"/>
          <w:sz w:val="24"/>
          <w:szCs w:val="24"/>
        </w:rPr>
        <w:t xml:space="preserve">Alla figura del giornalista va aggiunto il dato editoriale che la cronologia rende eloquente: Osservatore Politico, per un decennio agenzia di notizie riservate a diffusione ristretta, si trasformò in settimanale da edicola nel marzo 1978, sicché la sua stagione pubblica coincise, quasi al giorno, con il sequestro Moro, ed i mesi tra il marzo 1978 ed il marzo 1979, dall'agguato di via Fani all'agguato di via Orazio, delimitano l'esatta finestra in cui le anticipazioni del direttore sul caso uscirono dal circuito riservato dei pochi abbonati eccellenti per raggiungere il pubblico, Livello A quanto alla trasformazione editoriale ed alla sua cronologia. Il registro consegna la coincidenza alla sua doppia lettura, entrambe compatibili con i fatti certificati: la scelta imprenditoriale di capitalizzare in pubblico un patrimonio informativo maturato in privato, e l'innalzamento del profilo di rischio che quella scelta comportava, giacché la notizia riservata venduta ai pochi è merce di scambio e la medesima notizia stampata per tutti è merce bruciata, che vale una sola volta e costa, potenzialmente, molto di più. Tra le 2 economie dell'informazione, quella del ricatto implicito e quella della rivelazione, il direttore di OP attraversò il confine nel marzo 1978: ed un anno dopo, in quella stessa Roma, il confine attraversò lui.</w:t>
      </w:r>
    </w:p>
    <w:p>
      <w:pPr>
        <w:spacing w:after="120" w:line="276"/>
        <w:jc w:val="both"/>
      </w:pPr>
      <w:r>
        <w:rPr>
          <w:rFonts w:ascii="Barlow Semi Condensed" w:cs="Barlow Semi Condensed" w:eastAsia="Barlow Semi Condensed" w:hAnsi="Barlow Semi Condensed"/>
          <w:sz w:val="24"/>
          <w:szCs w:val="24"/>
        </w:rPr>
        <w:t xml:space="preserve">Al fascicolo dei rapporti tra il giornalista e gli apparati appartiene il reperto documentale maggiore, che il registro censisce per nome: il dossier del servizio militare noto con la sigla Mi.Fo.Biali, il fascicolo informativo sulle trame petrolifere, sui vertici della Guardia di Finanza e sui canali libici maturato a metà degli anni Settanta, i cui contenuti transitarono in misura documentata sulle colonne del settimanale di Pecorelli, che ne pubblicò materiali ed anticipazioni, secondo quanto le commissioni parlamentari hanno accertato ricostruendo il flusso dal fascicolo alla testata, Livello A quanto all'esistenza del dossier, ai suoi contenuti ed al transito documentato verso la pubblicazione. Il registro salda il reperto ai suoi 2 capi: a monte, il fascicolo documenta la materia censita nella fase seconda, il vertice delle Fiamme gialle iscritto alla loggia e travolto dalla vicenda dei petroli, confermando che gli apparati sapevano e schedavano in tempo reale ciò che la giustizia avrebbe accertato anni dopo; a valle, il transito verso la testata documenta il meccanismo che il capitolo ha descritto in tesi, il giornalismo di Pecorelli quale terminale selettivo di archivi riservati, e la circostanza che proprio questo dossier, con la sua materia esplosiva di petroli, divise e Libia, figuri tra le carte accertate del flusso, consegna al capitolo la sua conclusione documentale: il settimanale non pubblicava notizie, pubblicava atti, e la domanda che attraversa l'intero caso, chi scegliesse quali atti e quando, è rimasta, con l'assoluzione definitiva di ogni imputato per l'omicidio, la domanda senza risposta che il registro archivia quale irrisolto di seconda specie, quello in cui si conosce l'arma, il flusso ed il movente possibile, e manca soltanto, per sempre, la mano.</w:t>
      </w:r>
    </w:p>
    <w:p>
      <w:pPr>
        <w:spacing w:after="120" w:line="276"/>
        <w:jc w:val="both"/>
      </w:pPr>
      <w:r>
        <w:rPr>
          <w:rFonts w:ascii="Barlow Semi Condensed" w:cs="Barlow Semi Condensed" w:eastAsia="Barlow Semi Condensed" w:hAnsi="Barlow Semi Condensed"/>
          <w:sz w:val="24"/>
          <w:szCs w:val="24"/>
        </w:rPr>
        <w:t xml:space="preserve">La posizione del giornalista dentro il sistema che raccontava esige il suo censimento documentale: il nome di Pecorelli figura negli elenchi della loggia coperta sequestrati a Castiglion Fibocchi ed acquisiti dalla Commissione Anselmi, collocando il direttore del settimanale, con la disciplina costante dell'opera sul valore della mera iscrizione, dentro il perimetro associativo della struttura di intermediazione massima censita dal corpus, Livello A quanto alla risultanza dagli elenchi acquisiti. Il registro consegna il dato alla sua funzione interpretativa, che è doppia e non gerarchizzabile: l'appartenenza illumina l'accesso, spiegando per quale via un periodico marginale nelle tirature disponesse del flusso di atti riservati che il capitolo ha documentato, ed illumina simultaneamente la rottura, perché la stagione finale della testata, con le sue campagne contro ambienti del medesimo perimetro, configura il caso di un nodo interno al sistema che aveva cominciato a pubblicare contro il sistema, e l'omicidio del marzo 1979, rimasto senza colpevoli nei modi che il capitolo ha riportato per esteso, cade esattamente dentro questa torsione, con la conseguenza analitica che il registro affida al Pattern 5: nella rete dell'opera, Pecorelli occupava la posizione più pericolosa che il grafo conosca, quella del nodo che appartiene ad un cluster e informa contro di esso, ed il corpus non registra, in nessuna fase, un solo occupante di quella posizione morto nel proprio letto.</w:t>
      </w:r>
    </w:p>
    <w:p>
      <w:pPr>
        <w:spacing w:after="120" w:line="276"/>
        <w:jc w:val="both"/>
      </w:pPr>
      <w:r>
        <w:rPr>
          <w:rFonts w:ascii="Barlow Semi Condensed" w:cs="Barlow Semi Condensed" w:eastAsia="Barlow Semi Condensed" w:hAnsi="Barlow Semi Condensed"/>
          <w:sz w:val="24"/>
          <w:szCs w:val="24"/>
        </w:rPr>
        <w:t xml:space="preserve">Il caso ha prodotto infine il proprio monumento cartaceo, che il registro censisce quale fenomeno a sé: la bibliografia sul sequestro, accresciutasi senza interruzione per 5 decenni tra memorialistica dei protagonisti, inchieste giornalistiche, storiografia accademica, atti pubblicati e letteratura civile, ha fatto della vicenda l'evento singolo più scritto della storia repubblicana, un giacimento editoriale nel quale coesistono, senza gerarchia visibile per il lettore comune, il documento e la congettura, il giudicato e la fantasia, Livello A quanto alla consistenza del fenomeno. Il registro consegna il monumento alla sua ambivalenza: la sovrapproduzione ha garantito al caso la permanenza nella coscienza nazionale che altre vicende del corpus non ebbero, ed insieme ha generato il problema epistemologico che questa fase ha dovuto risolvere in premessa, l'indistinzione tra i livelli di prova nella memoria collettiva, sicché il lettore italiano medio sa del caso Moro più cose false che vere pur vivendo nel Paese che ne ha accertato più verità che su ogni altro proprio trauma, e l'opera, che di quel giacimento è insieme figlia e correzione, ha assunto per questo la disciplina che la distingue, la marcatura di ogni enunciato con il suo grado, perché il problema del caso Moro, a mezzo secolo dai fatti, non è più sapere, è distinguere ciò che si sa.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Pecorelli è certificato al Livello A quale direttore di OP assassinato il 20 marzo 1979 e quale autore di pubblicazioni e anticipazioni sul caso Moro fondate, al Livello B, su accesso reale a materiali riservati; l'assoluzione definitiva di Andreotti e Badalamenti, pronunciata dalla Cassazione il 30 ottobre 2003 con annullamento senza rinvio della condanna d'appello, è riportata per esteso, e l'omicidio resta privo di qualsiasi condannato, con l'ipotesi del movente moroteo ferma al Livello C nella qualificazione aggravata; gli archi documentati verso l'orbita della Magliana, nella duplice intersezione di Chichiarelli, e verso il memoriale sono certificati al Livello B e consegnano il nodo alla lettura reticolare quale cerniera tra il Dominio 8, il quadrilatero romano e il caso.</w:t>
      </w:r>
    </w:p>
    <w:p>
      <w:pPr>
        <w:pStyle w:val="Heading3"/>
        <w:spacing w:after="80" w:before="160"/>
      </w:pPr>
      <w:r>
        <w:rPr>
          <w:rFonts w:ascii="Barlow Semi Condensed" w:cs="Barlow Semi Condensed" w:eastAsia="Barlow Semi Condensed" w:hAnsi="Barlow Semi Condensed"/>
          <w:sz w:val="24"/>
          <w:szCs w:val="24"/>
        </w:rPr>
        <w:t xml:space="preserve">Capitolo 9 — ▶ Carlo Alberto Dalla Chiesa. Il generale dei 2 fronti e i 100 giorni di Palermo</w:t>
      </w:r>
    </w:p>
    <w:p>
      <w:pPr>
        <w:spacing w:after="120" w:line="276"/>
        <w:jc w:val="both"/>
      </w:pPr>
      <w:r>
        <w:rPr>
          <w:rFonts w:ascii="Barlow Semi Condensed" w:cs="Barlow Semi Condensed" w:eastAsia="Barlow Semi Condensed" w:hAnsi="Barlow Semi Condensed"/>
          <w:sz w:val="24"/>
          <w:szCs w:val="24"/>
        </w:rPr>
        <w:t xml:space="preserve">Carlo Alberto Dalla Chiesa, generale dell'Arma dei carabinieri, protagonista della sconfitta militare del terrorismo brigatista e successivamente prefetto di Palermo, assassinato con la moglie e l'agente di scorta il 3 settembre 1982, è il nodo-persona che salda la fase al versante antimafia dell'opera e che il registro tratta nei suoi 2 fronti, con la cerniera documentale che li unisce: il memoriale Moro. La scansione del corpus registra Dalla Chiesa 308 volte in 26 documenti.</w:t>
      </w:r>
    </w:p>
    <w:p>
      <w:pPr>
        <w:spacing w:after="120" w:line="276"/>
        <w:jc w:val="both"/>
      </w:pPr>
      <w:r>
        <w:rPr>
          <w:rFonts w:ascii="Barlow Semi Condensed" w:cs="Barlow Semi Condensed" w:eastAsia="Barlow Semi Condensed" w:hAnsi="Barlow Semi Condensed"/>
          <w:sz w:val="24"/>
          <w:szCs w:val="24"/>
        </w:rPr>
        <w:t xml:space="preserve">Il primo pilastro è il fronte antiterrorismo, certificato al Livello A. Nell'estate del 1978, all'indomani della conclusione del sequestro, Dalla Chiesa fu posto a capo, con decreto interministeriale e poteri speciali di coordinamento, della struttura antiterrorismo incaricata della lotta alle organizzazioni armate: sotto la sua direzione, i reparti speciali conseguirono in pochi anni i risultati che la stagione precedente non aveva raggiunto, a cominciare dall'irruzione del 1 ottobre 1978 nel covo di via Monte Nevoso, con la cattura di dirigenti dell'organizzazione e il sequestro del primo compendio del memoriale, sino alla progressiva disarticolazione delle colonne, alimentata dalla legislazione premiale sulla dissociazione che il generale sostenne. Il registro certifica al Livello A la titolarità, i poteri e i risultati della stagione antiterrorismo, e certifica al medesimo livello la posizione del generale nella catena di custodia del primo ritrovamento del memoriale, quale fatto che lo colloca al centro della vicenda documentale censita nel capitolo 5: le questioni sulla gestione di quel materiale, ivi compresa quella della completezza della trasmissione, sono state sollevate nelle sedi parlamentari anche con riferimento alla catena del 1978, e il registro le mantiene, per la parte non risolta, al Livello C, entro il perimetro già tracciato.</w:t>
      </w:r>
    </w:p>
    <w:p>
      <w:pPr>
        <w:spacing w:after="120" w:line="276"/>
        <w:jc w:val="both"/>
      </w:pPr>
      <w:r>
        <w:rPr>
          <w:rFonts w:ascii="Barlow Semi Condensed" w:cs="Barlow Semi Condensed" w:eastAsia="Barlow Semi Condensed" w:hAnsi="Barlow Semi Condensed"/>
          <w:sz w:val="24"/>
          <w:szCs w:val="24"/>
        </w:rPr>
        <w:t xml:space="preserve">Il secondo pilastro è il fronte antimafia e l'assassinio, certificato al Livello A nei giudicati. Nell'aprile 1982, nel pieno dell'offensiva corleonese, Dalla Chiesa fu nominato prefetto di Palermo, con un mandato di contrasto alla mafia che egli stesso, in interventi pubblici e in un colloquio giornalistico divenuto celebre, dichiarò di volere esteso ai rapporti tra l'organizzazione e il sistema politico-affaristico, lamentando al contempo di non aver ricevuto i poteri speciali richiesti; il suo insediamento avvenne il 30 aprile 1982, il giorno dell'assassinio di Pio La Torre, e la sua azione durò 100 giorni. La sera del 3 settembre 1982, in via Isidoro Carini, un commando di fuoco affiancò l'utilitaria sulla quale il prefetto viaggiava con la moglie Emanuela Setti Carraro e l'auto dell'agente di scorta Domenico Russo, uccidendo i primi 2 sul colpo e ferendo mortalmente il terzo, spirato giorni dopo: il registro trascrive i 3 nomi quale atto dovuto. I procedimenti si conclusero con le condanne irrevocabili dei componenti della commissione provinciale di Cosa Nostra quali mandanti, tra i quali ancora Salvatore Riina e Giuseppe Calò, e di esecutori individuati dell'ala militare corleonese: il registro certifica al Livello A il mandato mafioso e le condanne, e annota il richiamo interno divenuto sistematico: il nodo Calò, certificato nella Fase 1 quale cassiere e condannato per la strage del rapido 904, compare ora per la terza volta tra i mandanti giudicati degli eventi capitali, dopo l'omicidio Mattarella, componendo nella sua sola posizione giudiziaria l'arco che unisce il quadrilatero romano, la stagione degli omicidi politici siciliani e la strage ferroviaria del 1984.</w:t>
      </w:r>
    </w:p>
    <w:p>
      <w:pPr>
        <w:spacing w:after="120" w:line="276"/>
        <w:jc w:val="both"/>
      </w:pPr>
      <w:r>
        <w:rPr>
          <w:rFonts w:ascii="Barlow Semi Condensed" w:cs="Barlow Semi Condensed" w:eastAsia="Barlow Semi Condensed" w:hAnsi="Barlow Semi Condensed"/>
          <w:sz w:val="24"/>
          <w:szCs w:val="24"/>
        </w:rPr>
        <w:t xml:space="preserve">Il terzo pilastro è il campo delle questioni aperte attorno all'assassinio, che il registro censisce con la graduazione dovuta. La prima questione è quella del movente composito: le sentenze fondarono il mandato sulla minaccia che l'azione del prefetto rappresentava per l'organizzazione, e le sedi parlamentari e storiografiche hanno documentato la lettura, alimentata dalle dichiarazioni pubbliche dello stesso generale sull'isolamento in cui operava, per cui l'eliminazione fu resa possibile o accelerata dall'assenza di protezione politica; il registro certifica al Livello A le denunce di isolamento del prefetto, quali fatti documentali, e mantiene al Livello C ogni ricostruzione di concorsi o inerzie deliberate esterni all'organizzazione mandante, che nessun giudicato ha accertato. La seconda questione è quella dei documenti: la cassaforte della prefettura e le carte personali del generale furono oggetto, nelle ricostruzioni dei familiari e nelle sedi d'inchiesta, di rilievi circa sottrazioni o incompletezze nei materiali rinvenuti dopo l'assassinio, con particolare riferimento a carte attinenti alla stagione antiterrorismo e al memoriale; il registro certifica al Livello B l'esistenza storica della controversia sui materiali, quale dato documentato dalle fonti parlamentari e testimoniali, e mantiene al Livello C ogni ricostruzione del contenuto di eventuali carte mancanti, dichiarando che questo è il terzo buco documentale della fase, dopo gli originali del memoriale e gli archivi di Hyperion, e che la ricorrenza della figura, l'archivio del protagonista che non giunge integro all'accertamento, è essa stessa un pattern che il registro consegna alla lettura conclusiva.</w:t>
      </w:r>
    </w:p>
    <w:p>
      <w:pPr>
        <w:spacing w:after="120" w:line="276"/>
        <w:jc w:val="both"/>
      </w:pPr>
      <w:r>
        <w:rPr>
          <w:rFonts w:ascii="Barlow Semi Condensed" w:cs="Barlow Semi Condensed" w:eastAsia="Barlow Semi Condensed" w:hAnsi="Barlow Semi Condensed"/>
          <w:sz w:val="24"/>
          <w:szCs w:val="24"/>
        </w:rPr>
        <w:t xml:space="preserve">Il quarto pilastro è il contenuto dei 100 giorni palermitani, che il registro espone quale documentazione del movente giudicato. L'azione del prefetto si sviluppò su 3 direttrici documentate: la ricognizione diretta del territorio e delle sue ferite, con la presenza fisica nei luoghi del dominio mafioso che la memorialistica della stagione ha consegnato; l'impostazione di un contrasto patrimoniale e amministrativo, con l'attenzione dichiarata agli appalti, ai flussi finanziari e alle connessioni tra l'organizzazione e l'economia legale, in continuità con l'intuizione che la stagione successiva avrebbe trasformato in metodo; e la richiesta insistita di poteri di coordinamento nazionali antimafia, formalizzata al governo e rimasta inevasa sino alla vigilia dell'assassinio. A questa azione appartiene il documento pubblico più citato della stagione, l'intervista concessa a Giorgio Bocca e pubblicata il 10 agosto 1982, nella quale il prefetto formulò la diagnosi divenuta canonica, per cui si è uccisi in genere perché si è soli, isolati dal potere che dovrebbe sostenere chi combatte, e denunciò apertamente la sproporzione tra il mandato ricevuto e gli strumenti concessi. Il registro certifica al Livello A le 3 direttrici, la richiesta inevasa dei poteri e l'intervista, quali fatti documentali; e ne dichiara la funzione probatoria: i 100 giorni documentano, dalla viva voce e dagli atti del protagonista, tanto la natura della minaccia che egli rappresentava per l'organizzazione, il fondamento del movente che i giudicati avrebbero accertato, quanto la condizione di isolamento in cui la rappresentava, il fondamento documentale delle questioni che il pilastro successivo censisce; e la compresenza delle 2 dimensioni nello stesso corpus documentale è la ragione per cui il nodo esige, più di ogni altro della fase, la separazione dei piani che il registro pratica.</w:t>
      </w:r>
    </w:p>
    <w:p>
      <w:pPr>
        <w:spacing w:after="120" w:line="276"/>
        <w:jc w:val="both"/>
      </w:pPr>
      <w:r>
        <w:rPr>
          <w:rFonts w:ascii="Barlow Semi Condensed" w:cs="Barlow Semi Condensed" w:eastAsia="Barlow Semi Condensed" w:hAnsi="Barlow Semi Condensed"/>
          <w:sz w:val="24"/>
          <w:szCs w:val="24"/>
        </w:rPr>
        <w:t xml:space="preserve">Il quinto pilastro è il contesto della nomina, che il registro fissa per la comprensione dei 100 giorni. La designazione di Dalla Chiesa alla prefettura di Palermo maturò nell'aprile 1982 quale risposta dello Stato all'escalation della seconda guerra di mafia, l'offensiva con cui lo schieramento corleonese stava eliminando, con centinaia di morti, le famiglie avverse e chiunque ostacolasse la conquista dell'organizzazione; il generale pose condizioni sui poteri, ottenne assicurazioni verbali e non il decreto richiesto, e il suo insediamento avvenne il 30 aprile 1982, il giorno stesso dell'assassinio di Pio La Torre, sicché il prefetto entrò in carica accompagnando il feretro dell'uomo politico che aveva chiesto la sua nomina e che aveva depositato la proposta di legge sul reato associativo e sui patrimoni. Il registro certifica al Livello A la sequenza della nomina, delle condizioni poste e della coincidenza dell'insediamento, quali fatti documentali, e annota la saldatura legislativa che ne seguì: la legge sull'associazione di tipo mafioso e sulle misure patrimoniali, approvata nel settembre 1982 sull'onda dell'assassinio del prefetto e intitolata ai 2 nomi di Rognoni e La Torre, è l'atto con cui lo Stato trasse dalla stagione dei suoi caduti lo strumento che le fasi precedenti dell'opera hanno visto operare, dal Maxiprocesso alle confische; il registro certifica al Livello A la filiazione temporale e politica della legge dalla sequenza degli assassinii, quale dato storico, e la consegna al quadro dell'opera quale esempio massimo della dinamica per cui, nel campo studiato, gli strumenti dell'accertamento e del contrasto sono nati, quasi sempre, dal sangue e non dalla previsione.</w:t>
      </w:r>
    </w:p>
    <w:p>
      <w:pPr>
        <w:spacing w:after="120" w:line="276"/>
        <w:jc w:val="both"/>
      </w:pPr>
      <w:r>
        <w:rPr>
          <w:rFonts w:ascii="Barlow Semi Condensed" w:cs="Barlow Semi Condensed" w:eastAsia="Barlow Semi Condensed" w:hAnsi="Barlow Semi Condensed"/>
          <w:sz w:val="24"/>
          <w:szCs w:val="24"/>
        </w:rPr>
        <w:t xml:space="preserve">Il sesto pilastro distende la biografia anteriore, che fonda la singolarità del nodo. Nato a Saluzzo nel 1920, figlio di un alto ufficiale dell'Arma, partecipò alla Resistenza e percorse la carriera nei reparti territoriali sino al primo incontro con la Sicilia: capitano a Corleone alla fine degli anni Quaranta, condusse le indagini sulla scomparsa del sindacalista Placido Rizzotto, rapito e ucciso nel marzo 1948, giungendo all'individuazione dei resti nella foiba di Rocca Busambra e all'incriminazione di Luciano Liggio e dei suoi uomini, poi assolti per insufficienza di prove: il registro certifica al Livello A l'inchiesta e il suo esito, nomina la vittima, e annota che la prima esperienza siciliana del futuro prefetto si chiuse con la lezione che avrebbe accompagnato l'intera storia dell'antimafia, l'evaporazione dibattimentale delle prove raccolte, la distanza tra il sapere investigativo e il provare processuale che l'opera ha censito in ogni fase. Tornato in Sicilia da colonnello alla fine degli anni Sessanta, al comando della legione di Palermo negli anni della prima guerra di mafia e della Commissione antimafia, produsse i rapporti sulle cosche e sui loro collegamenti che alimentarono i procedimenti dell'epoca; trasferito al nord, comandò la brigata di Torino negli anni dell'emergenza terroristica nascente, e nel 1974 costituì il primo nucleo speciale antiterrorismo, l'unità che, con l'infiltrazione di Girotto, catturò Curcio e Franceschini: il registro salda qui il filo già annotato nel capitolo dell'organizzazione, certificando al Livello A che il duello tra il generale e le Brigate Rosse cominciò 4 anni prima del caso Moro, con una vittoria del primo, e che la sua chiamata del 1978 fu la riattivazione di una competenza già dimostrata.</w:t>
      </w:r>
    </w:p>
    <w:p>
      <w:pPr>
        <w:spacing w:after="120" w:line="276"/>
        <w:jc w:val="both"/>
      </w:pPr>
      <w:r>
        <w:rPr>
          <w:rFonts w:ascii="Barlow Semi Condensed" w:cs="Barlow Semi Condensed" w:eastAsia="Barlow Semi Condensed" w:hAnsi="Barlow Semi Condensed"/>
          <w:sz w:val="24"/>
          <w:szCs w:val="24"/>
        </w:rPr>
        <w:t xml:space="preserve">Il settimo pilastro distende la stagione 1978-1981, il triennio della vittoria sul terrorismo. Investito nell'agosto 1978, con provvedimento interministeriale, del coordinamento delle forze antiterrorismo con poteri speciali e riservatezza operativa, il generale costruì una struttura selezionata di ufficiali e sottufficiali sottratta alle gerarchie ordinarie, e i risultati seguirono in sequenza: l'irruzione del 1 ottobre 1978 in via Monte Nevoso, con la cattura di dirigenti della colonna milanese tra cui Lauro Azzolini e Franco Bonisoli, uomini del vertice dell'organizzazione, e il sequestro del primo compendio del memoriale; la progressione delle catture del 1979; e la svolta del 1980, la collaborazione di Patrizio Peci, capo della colonna torinese arrestato in febbraio, primo dirigente dell'organizzazione a rompere il vincolo, le cui dichiarazioni, gestite dalla struttura del generale, disarticolarono le colonne e condussero, tra l'altro, all'irruzione genovese di via Fracchia del 28 marzo 1980, nella quale 4 militanti della colonna ligure caddero nel blitz. Alla collaborazione di Peci l'organizzazione rispose con la rappresaglia che il registro trascrive quale atto dovuto: il sequestro e l'assassinio, nell'estate 1981, del fratello Roberto Peci, ucciso il 3 agosto dopo 54 giorni di prigionia e un processo proletario filmato, il contrappasso atroce della durata quasi identica a quella del sequestro Moro; il registro certifica al Livello A la sequenza, nomina la vittima, e annota che la stagione consegnò al Paese la sconfitta militare del terrorismo brigatista e al generale la reputazione che ne fece, nel 1982, l'uomo della nuova emergenza. La legislazione premiale sulla dissociazione e sulla collaborazione, che il generale sostenne pubblicamente e che i governi vararono tra il 1979 e il 1982, è certificata al Livello A quale cornice normativa della vittoria, e il registro ne annota la filiazione: lo strumento che avrebbe aperto, pochi anni dopo, la stagione dei collaboratori di mafia nacque sul terreno del terrorismo, e il suo primo grande gestore fu l'uomo che Palermo avrebbe ricevuto quale prefetto.</w:t>
      </w:r>
    </w:p>
    <w:p>
      <w:pPr>
        <w:spacing w:after="120" w:line="276"/>
        <w:jc w:val="both"/>
      </w:pPr>
      <w:r>
        <w:rPr>
          <w:rFonts w:ascii="Barlow Semi Condensed" w:cs="Barlow Semi Condensed" w:eastAsia="Barlow Semi Condensed" w:hAnsi="Barlow Semi Condensed"/>
          <w:sz w:val="24"/>
          <w:szCs w:val="24"/>
        </w:rPr>
        <w:t xml:space="preserve">L'ottavo pilastro censisce le carte del generale, il versante documentale del nodo. La famiglia consegnò alle autorità, dopo l'assassinio, i diari e le agende del prefetto, e da quel compendio emerse il documento più citato della stagione, l'annotazione del 5 aprile 1982 sull'incontro romano con Giulio Andreotti alla vigilia della partenza per Palermo: in essa il generale registra di avere rappresentato al presidente della corrente che non avrebbe avuto riguardi per la componente andreottiana siciliana del partito, fissando per iscritto, dalla propria mano, la percezione del terreno politico che lo attendeva; l'annotazione fu prodotta e discussa nei giudizi degli anni Novanta sul rapporto tra il senatore e Cosa Nostra, ed è agli atti. Il registro certifica al Livello A l'esistenza, la data, la produzione processuale e il tenore dell'annotazione, quale documento autografo acquisito, e mantiene al livello proprio di ciascuna lettura ogni inferenza ulteriore; al medesimo versante appartiene la questione della borsa: gli atti e le testimonianze documentano che la borsa portadocumenti che il generale recava con sé non risulta tra i reperti inventariati della scena di via Carini, e la sua sorte non è mai stata accertata; il registro certifica al Livello B la mancata inventariazione, quale convergenza delle risultanze delle inchieste, e la iscrive nel novero dei vuoti documentali della fase, accanto alle carte dell'archivio personale la cui integrità è questione censita, annotando che il pattern della sottrazione documentale contestuale all'eliminazione, aperto dalle borse di via Fani, si richiude, a distanza di 4 anni e su un altro fronte, sull'ultimo protagonista della fase.</w:t>
      </w:r>
    </w:p>
    <w:p>
      <w:pPr>
        <w:spacing w:after="120" w:line="276"/>
        <w:jc w:val="both"/>
      </w:pPr>
      <w:r>
        <w:rPr>
          <w:rFonts w:ascii="Barlow Semi Condensed" w:cs="Barlow Semi Condensed" w:eastAsia="Barlow Semi Condensed" w:hAnsi="Barlow Semi Condensed"/>
          <w:sz w:val="24"/>
          <w:szCs w:val="24"/>
        </w:rPr>
        <w:t xml:space="preserve">Il nono pilastro distende l'accertamento giudiziario dell'omicidio, quale la disciplina degli esiti impone. Le indagini rimasero senza svolta sino alla stagione delle collaborazioni: a metà degli anni Novanta le confessioni di componenti del gruppo di fuoco corleonese, tra cui Calogero Ganci e Francesco Paolo Anzelmo, consentirono la ricostruzione integrale dell'agguato di via Carini, l'identificazione degli esecutori, tra i quali fu condannato in via definitiva Antonino Madonia, e la conferma del quadro dei mandanti nella commissione di Cosa Nostra, i cui componenti riportarono gli ergastoli già censiti; le sentenze, divenute irrevocabili tra la fine degli anni Novanta e i primi anni Duemila, fissarono il movente nella minaccia rappresentata dall'azione del prefetto e dalla prospettiva dei poteri di coordinamento richiesti. Il registro certifica al Livello A la ricostruzione, gli esecutori e i mandanti giudicati, quale esito consolidato del piano primo del nodo, e ribadisce la decomposizione già dichiarata: il piano primo è saturo, con la peculiarità che la saturazione giunse, come per il caso Moro, per via confessoria interna e a distanza di 14 anni; il piano secondo, la solitudine istituzionale documentata e le anomalie del dopo, resta censito nei fatti certificati del quarto pilastro; e il piano terzo, l'ipotesi di convergenze di interessi esterni all'organizzazione nella rimozione del prefetto, resta al Livello C, esplorato dalle inchieste sui cosiddetti mandanti occulti e chiuso con archiviazioni che il registro trascrive quale esito, annotando che la struttura a 3 piani della fase si replica dunque, con esattezza speculare, sul suo ultimo nodo.</w:t>
      </w:r>
    </w:p>
    <w:p>
      <w:pPr>
        <w:spacing w:after="120" w:line="276"/>
        <w:jc w:val="both"/>
      </w:pPr>
      <w:r>
        <w:rPr>
          <w:rFonts w:ascii="Barlow Semi Condensed" w:cs="Barlow Semi Condensed" w:eastAsia="Barlow Semi Condensed" w:hAnsi="Barlow Semi Condensed"/>
          <w:sz w:val="24"/>
          <w:szCs w:val="24"/>
        </w:rPr>
        <w:t xml:space="preserve">Il decimo pilastro censisce la memoria e la funzione fondativa del nodo. L'assassinio del 3 settembre 1982 produsse, nella sequenza certificata, la legge Rognoni-La Torre entro il mese, la costituzione del sistema dei poteri antimafia prefettizi e investigativi degli anni successivi, e la consegna alla stagione del pool palermitano, che la Fase 1 ha censito, del metodo e degli uomini: il registro certifica al Livello A la filiazione istituzionale, quale dato normativo e storico, e chiude il nodo con la formalizzazione comparativa che la fase gli deve: Carlo Alberto Dalla Chiesa è, nell'intero grafo dell'opera, il nodo individuale che congiunge il maggior numero di teatri con funzione sempre avversa alle reti studiate, Corleone nel 1948, l'antimafia dei rapporti negli anni Sessanta, la vittoria sul terrorismo tra il 1974 e il 1981, la custodia del memoriale nel 1978, Palermo nel 1982, e la sua eliminazione, giudizialmente attribuita al solo Dominio 1, chiude la fase con il dato che il bilancio conclusivo recepirà: l'uomo che aveva sconfitto il terrorismo con gli strumenti dello Stato fu ucciso dalla mafia nella solitudine documentata dello Stato medesimo, e la distanza tra le 2 metà di questa frase, entrambe certificate, è l'esatta misura del campo che l'opera studia.</w:t>
      </w:r>
    </w:p>
    <w:p>
      <w:pPr>
        <w:spacing w:after="120" w:line="276"/>
        <w:jc w:val="both"/>
      </w:pPr>
      <w:r>
        <w:rPr>
          <w:rFonts w:ascii="Barlow Semi Condensed" w:cs="Barlow Semi Condensed" w:eastAsia="Barlow Semi Condensed" w:hAnsi="Barlow Semi Condensed"/>
          <w:sz w:val="24"/>
          <w:szCs w:val="24"/>
        </w:rPr>
        <w:t xml:space="preserve">L'undicesimo pilastro censisce il contesto criminale nel quale la nomina si iscrisse, la seconda guerra di mafia, e nomina le vittime eccellenti che ne scandirono la stagione. L'offensiva corleonese guidata da Totò Riina, avviata all'inizio degli anni Ottanta, produsse nel triennio 1981-1983 centinaia di morti nella sola provincia di Palermo e una sequenza di delitti eccellenti che il registro censisce quali termini del contesto: l'omicidio del presidente della Regione siciliana Piersanti Mattarella il 6 gennaio 1980, che la Fase 1 ha censito; l'omicidio del capo della squadra mobile Boris Giuliano nel 1979; l'omicidio del procuratore Gaetano Costa nel 1980; l'omicidio del segretario regionale comunista e deputato Pio La Torre, con Rosario Di Salvo, il 30 aprile 1982, il giorno dell'insediamento del prefetto; e, a coronamento della stagione, l'assassinio del prefetto stesso, con Emanuela Setti Carraro e l'agente Domenico Russo, il 3 settembre 1982. Il registro certifica al Livello A la sequenza e le date, quali dati storici e giudiziari, nomina le vittime, e ne dichiara la funzione: la nomina di Dalla Chiesa e la sua eliminazione non furono eventi isolati ma i 2 estremi di una stagione di guerra nella quale l'organizzazione corleonese eliminò sistematicamente i vertici dello Stato, della politica e della magistratura che ne ostacolavano la conquista del potere assoluto interno, e il prefetto fu, in questa lettura certificata dai giudicati, il bersaglio di massimo profilo di una strategia di supremazia che il Maxiprocesso, nato dal metodo che la sua morte contribuì a fondare, avrebbe pochi anni dopo giudicato; il registro consegna la serie quale contesto certificato del nodo e quale saldatura documentale con la Fase 1, annotando che la seconda guerra di mafia è il teatro in cui il Dominio 1 raggiunse la massima autonomia strategica dell'intera storia repubblicana, uccidendo i rappresentanti degli altri domini non quale strumento di alcuno ma quale soggetto sovrano del proprio disegno, un dato che il bilancio conclusivo dell'opera dovrà pesare contro ogni lettura meramente strumentale della criminalità organizzata.</w:t>
      </w:r>
    </w:p>
    <w:p>
      <w:pPr>
        <w:spacing w:after="120" w:line="276"/>
        <w:jc w:val="both"/>
      </w:pPr>
      <w:r>
        <w:rPr>
          <w:rFonts w:ascii="Barlow Semi Condensed" w:cs="Barlow Semi Condensed" w:eastAsia="Barlow Semi Condensed" w:hAnsi="Barlow Semi Condensed"/>
          <w:sz w:val="24"/>
          <w:szCs w:val="24"/>
        </w:rPr>
        <w:t xml:space="preserve">Il dodicesimo pilastro censisce la dinamica dell'agguato di via Isidoro Carini, quale i giudicati la consegnano. La sera del 3 settembre 1982, intorno alle 21:15, la A112 con Emanuela Setti Carraro alla guida e il prefetto al suo fianco, diretta dalla prefettura verso l'abitazione, fu affiancata nella via da un commando su più veicoli, tra cui la motocicletta e le vetture che le ricostruzioni processuali hanno fissato, e investita dal fuoco di armi automatiche, tra le quali il fucile d'assalto kalashnikov che le perizie identificarono, un'arma da guerra la cui comparsa segnò il salto di potenza militare dell'organizzazione; il prefetto e la moglie furono uccisi sul colpo, mentre l'agente Domenico Russo, alla guida dell'auto di accompagnamento e raggiunto dal fuoco, morì dopo giorni di agonia; la sproporzione tra il dispositivo aggressore e la protezione della vittima, un prefetto antimafia che viaggiava di sera su un'utilitaria non protetta guidata dalla moglie, con una sola auto al seguito, fu rilevata da ogni sede di accertamento e appartiene alla serie delle denunce di isolamento che il quarto pilastro ha censito. Il registro certifica al Livello A la dinamica, l'orario, le armi e le vittime, quali risultanze dei giudicati, nomina ancora Emanuela Setti Carraro e Domenico Russo accanto a Carlo Alberto Dalla Chiesa, e ne trae l'annotazione comparativa che la fase gli deve: l'agguato di via Carini replica, a 4 anni e mezzo di distanza, la struttura di via Fani, l'annientamento in strada di un obiettivo di massimo valore protetto secondo procedure ordinarie, e la replica della configurazione, mutati il dominio esecutore e la città, certifica che la lezione della vulnerabilità non era stata appresa dall'ordinamento, un dato di sistema che il registro consegna, quale fatto comparativo tra i 2 vertici della fase, al bilancio conclusivo dell'opera.</w:t>
      </w:r>
    </w:p>
    <w:p>
      <w:pPr>
        <w:spacing w:after="120" w:line="276"/>
        <w:jc w:val="both"/>
      </w:pPr>
      <w:r>
        <w:rPr>
          <w:rFonts w:ascii="Barlow Semi Condensed" w:cs="Barlow Semi Condensed" w:eastAsia="Barlow Semi Condensed" w:hAnsi="Barlow Semi Condensed"/>
          <w:sz w:val="24"/>
          <w:szCs w:val="24"/>
        </w:rPr>
        <w:t xml:space="preserve">Il tredicesimo pilastro censisce l'ultimo lascito investigativo, il rapporto dei 162 e la filiazione del Maxiprocesso. Nel luglio 1982, nelle settimane della prefettura palermitana, le forze investigative della città consegnarono all'autorità giudiziaria il rapporto congiunto di denuncia contro 162 esponenti delle famiglie mafiose, la più vasta ricostruzione unitaria dell'organizzazione sino ad allora prodotta, elaborata con il metodo della lettura complessiva dei patrimoni, delle parentele e delle guerre interne che il generale aveva portato dall'antiterrorismo e che i suoi interlocutori investigativi palermitani condividevano; il rapporto, depositato nelle settimane a cavallo dell'assassinio, divenne una delle basi documentali dell'istruttoria che, unita alle collaborazioni della stagione successiva e al lavoro del pool censito nella Fase 1, avrebbe prodotto il Maxiprocesso; il registro certifica al Livello A l'esistenza, la data, la consistenza e la funzione istruttoria del rapporto, quali dati documentali, e ne trae la formalizzazione genealogica che chiude il nodo: la linea che va dal metodo antiterrorismo del generale al rapporto dei 162, dal rapporto all'istruttoria, dall'istruttoria al Maxiprocesso e dal Maxiprocesso alla sentenza definitiva del 1992 che consacrò il teorema dell'unitarietà di Cosa Nostra è una filiazione documentale continua, ricostruibile atto per atto, e costituisce la dimostrazione storica che la fase consegna al bilancio dell'opera: l'uomo fu eliminato, il metodo no, e la distanza temporale tra l'assassinio del 3 settembre 1982 e la vittoria giudiziaria del gennaio 1992 misura esattamente il decennio che il sistema criminale guadagnò con l'eliminazione e che lo Stato impiegò a percorrere la strada che il generale aveva indicato; il registro trascrive la filiazione quale fatto certificato e la consegna, quale ultimo arco del nodo, alla lettura reticolare conclusiva.</w:t>
      </w:r>
    </w:p>
    <w:p>
      <w:pPr>
        <w:spacing w:after="120" w:line="276"/>
        <w:jc w:val="both"/>
      </w:pPr>
      <w:r>
        <w:rPr>
          <w:rFonts w:ascii="Barlow Semi Condensed" w:cs="Barlow Semi Condensed" w:eastAsia="Barlow Semi Condensed" w:hAnsi="Barlow Semi Condensed"/>
          <w:sz w:val="24"/>
          <w:szCs w:val="24"/>
        </w:rPr>
        <w:t xml:space="preserve">Il quattordicesimo pilastro censisce la questione dei poteri, il nucleo documentale della solitudine istituzionale. La nomina prefettizia del 30 aprile 1982 fu accompagnata dall'impegno pubblico del governo al conferimento di poteri straordinari di coordinamento antimafia a proiezione nazionale, lo strumento che il generale aveva posto quale condizione dell'incarico e che la sua esperienza antiterrorismo gli indicava quale requisito minimo dell'efficacia; i poteri non furono mai formalmente conferiti nei 127 giorni della prefettura, e la questione della loro attesa attraversa la documentazione della stagione sino all'atto pubblico terminale, l'intervista concessa a Giorgio Bocca e pubblicata il 10 agosto 1982, nella quale il prefetto denunciò apertamente la condizione di isolamento in cui operava, la mancata attribuzione degli strumenti promessi e la solitudine dell'uomo dello Stato lasciato esposto, con la lucidità che la rilettura postuma avrebbe consacrato quale testamento civile; 24 giorni dopo l'intervista, il prefetto fu assassinato. Il registro certifica al Livello A l'impegno pubblico al conferimento, la mancata attribuzione formale e l'esistenza, la data e il tenore dell'intervista, quali dati documentali, e ne dichiara la funzione nel nodo: la sequenza nomina-attesa-denuncia-eliminazione è la struttura certificata del piano secondo del caso, e la circostanza che la vittima abbia essa stessa documentato pubblicamente, in vita, la propria condizione di esposizione costituisce un unicum nell'intera opera, il solo caso in cui il piano secondo è attestato non da ricostruzioni postume ma dalla voce datata del protagonista; il registro trascrive l'unicum con il rilievo che gli compete e mantiene, quale sempre, il divieto sul passaggio dalla condizione documentata di abbandono a qualsivoglia lettura di intenzionalità, che i giudicati non hanno accertato e che il piano terzo custodisce al livello proprio.</w:t>
      </w:r>
    </w:p>
    <w:p>
      <w:pPr>
        <w:spacing w:after="120" w:line="276"/>
        <w:jc w:val="both"/>
      </w:pPr>
      <w:r>
        <w:rPr>
          <w:rFonts w:ascii="Barlow Semi Condensed" w:cs="Barlow Semi Condensed" w:eastAsia="Barlow Semi Condensed" w:hAnsi="Barlow Semi Condensed"/>
          <w:sz w:val="24"/>
          <w:szCs w:val="24"/>
        </w:rPr>
        <w:t xml:space="preserve">Il quindicesimo pilastro adempie, per le 2 vittime accanto al generale, la disciplina della nominazione. Emanuela Setti Carraro, infermiera volontaria della Croce Rossa, aveva sposato Carlo Alberto Dalla Chiesa nel luglio 1982, poche settimane prima dell'agguato, e aveva scelto di seguirlo a Palermo condividendone la condizione di esposizione che la stagione documentava; la sera del 3 settembre era alla guida della A112 e fu uccisa con il marito, a meno di 2 mesi dal matrimonio. Domenico Russo, agente della Polizia di Stato, era alla guida dell'auto di accompagnamento e fu raggiunto dal fuoco del commando mentre seguiva la vettura del prefetto; morì dopo giorni di agonia, ultimo caduto della sequenza. Il registro certifica al Livello A i profili e le circostanze, quali dati degli atti, li nomina quale atto dovuto, e ne trae l'annotazione che la disciplina delle vittime della fase impone: la sproporzione tra la condizione delle 2 vittime, una sposa alla guida di un'utilitaria e un agente solo su un'auto di serie, e la natura dell'obiettivo che accompagnavano, il primo bersaglio della più potente organizzazione criminale del Paese, è essa stessa la certificazione materiale dell'isolamento che il quarto e il quattordicesimo pilastro hanno documentato per via testimoniale e documentale, giacché il dispositivo di protezione visibile nella via quella sera, 2 veicoli civili e 3 persone di cui una estranea agli apparati, è la fotografia definitiva della distanza tra il valore dell'obiettivo e la protezione accordata, la medesima configurazione certificata per via Fani, e il registro chiude la serie delle vittime della fase su questa simmetria documentata, i 2 vertici del corpus caduti entrambi entro dispositivi ordinari dinanzi ad avversari straordinari.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Dalla Chiesa-antiterrorismo-Monte Nevoso, è il triangolo del primo fronte, certificato al Livello A con le code di Livello C sulla gestione documentale. La seconda, Dalla Chiesa-prefettura di Palermo-commissione di Cosa Nostra, è il triangolo del secondo fronte, certificato al Livello A dai giudicati sul mandato e sugli esecutori. La terza, Dalla Chiesa-isolamento denunciato-carte controverse, è il triangolo delle questioni aperte, con i fatti al Livello A e al Livello B e le letture al Livello C. Sul piano dei pattern, il nodo attiva il Pattern 7 nella traiettoria del servitore dello Stato attraverso i 2 fronti della violenza organizzata, unico uomo dell'opera a occupare posizioni apicali contro il Dominio 7 e contro il Dominio 1 in successione; e il Pattern 1, giacché la sua eliminazione a 100 giorni dall'insediamento, dopo quella di Mattarella e prima della stagione dei magistrati, conferma la regolarità per cui il sistema colpisce i nodi che congiungono capacità operativa e volontà di rottura, la medesima regolarità che il caso Moro esprime sul piano politico.</w:t>
      </w:r>
    </w:p>
    <w:p>
      <w:pPr>
        <w:spacing w:after="120" w:line="276"/>
        <w:jc w:val="both"/>
      </w:pPr>
      <w:r>
        <w:rPr>
          <w:rFonts w:ascii="Barlow Semi Condensed" w:cs="Barlow Semi Condensed" w:eastAsia="Barlow Semi Condensed" w:hAnsi="Barlow Semi Condensed"/>
          <w:sz w:val="24"/>
          <w:szCs w:val="24"/>
        </w:rPr>
        <w:t xml:space="preserve">Alla stagione palermitana del generale appartiene il dossier dei poteri, che il registro fissa nella sua scansione documentale: nominato prefetto di Palermo all'indomani dell'assassinio di Pio La Torre, Dalla Chiesa pose quale condizione, nelle interlocuzioni con il governo che gli atti e la corrispondenza documentano, il conferimento di poteri di coordinamento sovraprovinciali sulla lotta alla mafia; l'investitura formale non giunse mai, ed i 100 giorni si consumarono nella forbice tra il mandato pubblicamente evocato e le attribuzioni ordinarie di un prefetto, forbice che il generale denunciò da vivo, Livello A quanto alla richiesta documentata ed al mancato conferimento. Il documento pubblico di quella denuncia è l'intervista concessa a Giorgio Bocca e pubblicata da la Repubblica il 10 agosto 1982, 24 giorni prima dell'agguato, nella quale Dalla Chiesa consegnò la diagnosi che sarebbe divenuta proverbiale, la solitudine dell'uomo dello Stato cui si chiede il risultato negandogli gli strumenti, e la lettura, di sconcertante precisione retrospettiva, del meccanismo per cui si colpisce il servitore dello Stato quando il segnale del suo isolamento è divenuto pubblico, Livello A quanto all'intervista ed al suo tenore, che il registro parafrasa senza citare. Nella morfologia del nodo, l'intervista di agosto è l'equivalente funzionale della lettera di Ambrosoli censita nella Fase 1: il documento con cui l'anticorpo, misurata la propria esposizione, la dichiara pubblicamente, compiendo l'atto che è insieme denuncia, testamento e, nella grammatica spietata del sistema, conferma della bersagliabilità. Il registro allinea i 2 documenti, la lettera del 1975 e l'intervista del 1982, quale coppia di reperti gemelli sulla condizione dell'uomo di frontiera: e annota che in entrambi i casi la Repubblica seppe leggere il testo soltanto dopo, quando la sua funzione predittiva si era già consumata in necrologio.</w:t>
      </w:r>
    </w:p>
    <w:p>
      <w:pPr>
        <w:spacing w:after="120" w:line="276"/>
        <w:jc w:val="both"/>
      </w:pPr>
      <w:r>
        <w:rPr>
          <w:rFonts w:ascii="Barlow Semi Condensed" w:cs="Barlow Semi Condensed" w:eastAsia="Barlow Semi Condensed" w:hAnsi="Barlow Semi Condensed"/>
          <w:sz w:val="24"/>
          <w:szCs w:val="24"/>
        </w:rPr>
        <w:t xml:space="preserve">Alla figura del generale appartengono infine 2 reperti di persistenza che chiudono il nodo sul registro documentale e su quello civile. Il primo sono le annotazioni private, i diari che Dalla Chiesa tenne sino agli ultimi giorni e che, editi postumi per iniziativa familiare ed acquisiti dalle sedi d'inchiesta, documentano dall'interno la percezione dell'isolamento palermitano e la contabilità degli incontri romani della primavera del 1982: fonte di natura privata, la cui esistenza ed acquisizione il registro certifica al Livello A e i cui contenuti, testimonianza unilaterale di una delle parti dei colloqui che riferiscono, restano al Livello B, secondo la disciplina costante delle carte personali. Il secondo è la memoria istituzionalizzata: via Isidoro Carini, il tratto di strada dell'agguato del 3 settembre, è divenuta con la lapide ed i suoi anniversari uno dei luoghi canonici della liturgia civile antimafia, saldata nella memoria pubblica al binomio con via D'Amelio e Capaci che il decennio successivo avrebbe aggiunto, Livello A quanto alla persistenza memoriale. Il registro allinea i 2 reperti nella lettura che il nodo consegna alla fase: il generale che aveva custodito il primo compendio del memoriale di Moro lasciò a sua volta un memoriale privato, e la Repubblica, che non seppe proteggere né l'uno né l'altro dei 2 servitori, ne custodisce oggi le carte con la devozione postuma che è, in questa storia, la forma più ricorrente del rimorso istituzionale: l'archivio quale risarcimento, la memoria quale scorta assegnata ai morti.</w:t>
      </w:r>
    </w:p>
    <w:p>
      <w:pPr>
        <w:spacing w:after="120" w:line="276"/>
        <w:jc w:val="both"/>
      </w:pPr>
      <w:r>
        <w:rPr>
          <w:rFonts w:ascii="Barlow Semi Condensed" w:cs="Barlow Semi Condensed" w:eastAsia="Barlow Semi Condensed" w:hAnsi="Barlow Semi Condensed"/>
          <w:sz w:val="24"/>
          <w:szCs w:val="24"/>
        </w:rPr>
        <w:t xml:space="preserve">La parabola dello strumento vincente si chiude con la sua smobilitazione, che il registro censisce quale ultimo reperto del capitolo: la struttura speciale antiterrorismo, operativa dal settembre 1978 con i risultati censiti, fu progressivamente riassorbita negli ordinamenti ordinari dell'Arma tra la fine del 1979 ed il 1981, quando il generale fu promosso vicecomandante generale, approdo di vertice che lo allontanava dalla conduzione operativa diretta, sino alla destinazione palermitana della primavera 1982 già censita nel suo epilogo, Livello A quanto alla sequenza ordinamentale. Il registro fissa il pattern che la parabola consegna all'opera: la Repubblica creò lo strumento straordinario sotto la pressione dell'emergenza, lo smobilitò appena lo strumento ebbe piegato l'emergenza, e ridestinò il suo uomo migliore, con poteri mai equivalenti alle attese, contro un nemico diverso che lo avrebbe ucciso in 100 giorni, sicché la traiettoria del generale tra il 1978 ed il 1982, dal mandato pieno contro il terrorismo al mandato dimezzato contro la mafia, è la misura biografica più esatta che il corpus possieda della legge istituzionale che attraversa tutte le fasi: lo Stato italiano del corpus sapeva costruire eccellenza emergenziale e non sapeva conservarla, e pagò entrambe le cose, la costruzione con l'invidia degli apparati, la mancata conservazione con la vita dei suoi servitori.</w:t>
      </w:r>
    </w:p>
    <w:p>
      <w:pPr>
        <w:spacing w:after="120" w:line="276"/>
        <w:jc w:val="both"/>
      </w:pPr>
      <w:r>
        <w:rPr>
          <w:rFonts w:ascii="Barlow Semi Condensed" w:cs="Barlow Semi Condensed" w:eastAsia="Barlow Semi Condensed" w:hAnsi="Barlow Semi Condensed"/>
          <w:sz w:val="24"/>
          <w:szCs w:val="24"/>
        </w:rPr>
        <w:t xml:space="preserve">Il capitolo degli apparati nel dopo-Moro registra infine l'unica condanna che la vicenda abbia mai prodotto a carico di un uomo dei servizi, ed il registro la censisce nella sua specificità: il funzionario di vertice del SISDE Silvano Russomanno fu condannato in via definitiva per la fuga di notizie che nell'ottobre 1978 portò sulla stampa, ad ore dal ritrovamento di via Monte Nevoso, contenuti del memoriale appena sequestrato, rivelazione che bruciò il vantaggio investigativo dell'operazione e che i giudici gli attribuirono, Livello A quanto alla condanna ed al fatto. Il registro isola il paradosso che la statistica consegna: nell'intero caso Moro, con le sue omissioni censite, i suoi comitati opachi ed i suoi uomini della sicurezza iscritti alla loggia, il solo servitore dello Stato mai condannato non lo fu per ciò che non fece durante i 55 giorni, ma per avere fatto sapere troppo presto ciò che lo Stato aveva trovato dopo, sicché l'unico reato d'apparato giudizialmente certificato del caso è un eccesso di pubblicità e non un difetto di lealtà, e questa asimmetria sanzionatoria, un sistema che punisce la fuga di notizie e non sa nemmeno istruire le proprie inerzie, è la fotografia giudiziaria più fedele che il corpus possieda del modo in cui la Repubblica ha processato sé stessa sul proprio caso capitale: severa con l'indiscrezione, muta con l'omissione.</w:t>
      </w:r>
    </w:p>
    <w:p>
      <w:pPr>
        <w:spacing w:after="120" w:line="276"/>
        <w:jc w:val="both"/>
      </w:pPr>
      <w:r>
        <w:rPr>
          <w:rFonts w:ascii="Barlow Semi Condensed" w:cs="Barlow Semi Condensed" w:eastAsia="Barlow Semi Condensed" w:hAnsi="Barlow Semi Condensed"/>
          <w:sz w:val="24"/>
          <w:szCs w:val="24"/>
        </w:rPr>
        <w:t xml:space="preserve">Il capitolo della caccia esige il suo epilogo strategico, che il registro formula quale paradosso terminale della guerra: la sconfitta storica dell'organizzazione fu il prodotto della sua vittoria del 9 maggio, perché l'uccisione del prigioniero, decisa quale dimostrazione di forza, privò la sigla della sola posta che la teneva al centro del sistema, le alienò l'area di simpatia che il gesto rivoluzionario rivendicato doveva galvanizzare e che invece si ritrasse, compattò lo Stato attorno alla legislazione ed alle strutture censite e consegnò all'organizzazione vincitrice sul piano militare la solitudine politica nella quale la stagione premiale l'avrebbe dissolta, Livello A quanto alla parabola documentata dal triennio successivo. Il registro consegna il paradosso alla verifica comparata che l'opera consente: nessuna vittoria tattica del corpus produsse una sconfitta strategica più rapida e completa, e la legge che il caso dimostra, per cui un'organizzazione clandestina può sopravvivere ad ogni repressione ma non alla perdita del proprio senso agli occhi del proprio ambiente, è la stessa che la fase terza ha registrato sul versante opposto con le piazze che fischiavano, sicché le 2 stagioni armate censite dall'opera, la nera e la rossa, morirono della medesima morte, uccise non dai processi, che largamente fallirono, ma dal Paese reale che entrambe pretendevano di interpretare e che entrambe, nell'atto estremo, perdettero per sempre.</w:t>
      </w:r>
    </w:p>
    <w:p>
      <w:pPr>
        <w:spacing w:after="120" w:line="276"/>
        <w:jc w:val="both"/>
      </w:pPr>
      <w:r>
        <w:rPr>
          <w:rFonts w:ascii="Barlow Semi Condensed" w:cs="Barlow Semi Condensed" w:eastAsia="Barlow Semi Condensed" w:hAnsi="Barlow Semi Condensed"/>
          <w:sz w:val="24"/>
          <w:szCs w:val="24"/>
        </w:rPr>
        <w:t xml:space="preserve">Il bilancio dei 5 cicli processuali esige infine il riconoscimento della loro funzione meno misurabile, che il registro censisce a chiusura del versante giudiziario: le aule del caso Moro furono, per 4 decenni, l'unico luogo fisico della Repubblica nel quale i protagonisti dei 2 campi si trovarono ripetutamente di fronte, i carcerieri ed i familiari delle vittime, gli uomini degli apparati e le parti civili, in un contraddittorio rituale che, qualunque cosa non abbia accertato, ha costretto ciascuno a rispondere in pubblico ed a verbale della propria parte di storia, Livello A quanto alla funzione svolta dai dibattimenti documentati. Il registro consegna il riconoscimento alla sua misura: la giustizia penale del caso, che il capitolo ha censito nei suoi limiti, ha però prodotto il bene che nessun altro strumento della Repubblica ha saputo produrre, l'obbligo della compresenza e della risposta, e le migliaia di pagine di verbali dibattimentali che ne sono uscite, con le loro reticenze e le loro rotture, costituiscono l'unico grande dialogo mai avvenuto tra l'Italia che sparò e l'Italia che seppellì, sicché il verdetto complessivo del registro sui processi del caso è duplice come l'opera esige: quali macchine della verità furono strumenti parziali, quali luoghi della parola obbligata furono insostituibili, ed un Paese che non ha mai voluto la commissione della sola verità deve ai propri processi, oltre alle condanne, il poco di confronto pubblico tra le proprie metà che la sua storia registri.</w:t>
      </w:r>
    </w:p>
    <w:p>
      <w:pPr>
        <w:spacing w:after="120" w:line="276"/>
        <w:jc w:val="both"/>
      </w:pPr>
      <w:r>
        <w:rPr>
          <w:rFonts w:ascii="Barlow Semi Condensed" w:cs="Barlow Semi Condensed" w:eastAsia="Barlow Semi Condensed" w:hAnsi="Barlow Semi Condensed"/>
          <w:sz w:val="24"/>
          <w:szCs w:val="24"/>
        </w:rPr>
        <w:t xml:space="preserve">Il capitolo si chiude con la biforcazione dei destini penali, che il registro censisce quale ultimo effetto della stagione premiale: i condannati del caso si divisero in 2 popolazioni giudiziarie, i dissociati ed i collaboranti, riammessi alla libertà tra la fine degli anni Ottanta ed i Novanta attraverso gli sconti, i benefici penitenziari ed i percorsi di reinserimento che la legislazione censita disciplinava, e gli irriducibili, che rifiutando ogni presa di distanza scontarono detenzioni protrattesi per decenni, con gli ultimi rilasci per fine pena o per età giunti solo nel nuovo secolo, Livello A quanto alla biforcazione dei percorsi documentata dalle posizioni individuali. Il registro consegna il dato alla sua lettura terminale: la Repubblica applicò al proprio trauma capitale una giustizia a durata variabile, nella quale la pena effettiva dipese più dalla parola pronunciata dopo che dal colpo sparato prima, e questa economia della resa, che il capitolo ha censito quale strumento vincente della guerra, produsse l'esito morale con cui il caso ancora convive: uomini con responsabilità materiali maggiori tornati liberi prima di uomini con responsabilità minori ma silenzio più lungo, un ordine di uscita scritto dalla dissociazione e non dalla colpa, che il registro constata senza giudicare, consegnandolo al lettore quale ultimo prezzo, documentato e pagato, della vittoria dello Stato.</w:t>
      </w:r>
    </w:p>
    <w:p>
      <w:pPr>
        <w:spacing w:after="120" w:line="276"/>
        <w:jc w:val="both"/>
      </w:pPr>
      <w:r>
        <w:rPr>
          <w:rFonts w:ascii="Barlow Semi Condensed" w:cs="Barlow Semi Condensed" w:eastAsia="Barlow Semi Condensed" w:hAnsi="Barlow Semi Condensed"/>
          <w:sz w:val="24"/>
          <w:szCs w:val="24"/>
        </w:rPr>
        <w:t xml:space="preserve">Il versante delle inchieste si arricchisce del giacimento che la triangolazione ha censito quale fonte primaria riprodotta: i 12 resoconti stenografici del Gruppo di lavoro sul caso Moro della Commissione stragi della decima legislatura, 621 pagine di audizioni e sedute del biennio 1991-1992 conservate quali riproduzioni degli originali cartacei, documentano la prima grande stagione di riesame parlamentare del caso condotta a cavallo delle rivelazioni del 1990, tra il secondo ritrovamento di via Monte Nevoso e la riapertura generale degli armadi, Livello A quale giacimento documentale e quale collocazione cronologica dei lavori. Il registro assegna alla serie la sua funzione nella stratigrafia delle inchieste: tra la prima Commissione dedicata degli anni Ottanta e la seconda del nuovo secolo, il gruppo di lavoro della decima legislatura rappresenta lo strato intermedio e meno frequentato della conoscenza parlamentare del caso, la stagione in cui le domande della prima generazione incontrarono per la prima volta le carte della seconda, e la sua consultazione sistematica, che l'edizione definitiva registra quale acquisizione della triangolazione, restituisce alla cronologia delle inchieste il suo anello mancante: il caso non fu riesaminato 2 volte, fu riesaminato senza interruzione, e la continuità del riesame è essa stessa un dato sulla natura mai chiusa dell'oggetto.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Dalla Chiesa è certificato al Livello A quale artefice della sconfitta del terrorismo brigatista e custode del primo ritrovamento del memoriale, e quale prefetto di Palermo assassinato con Emanuela Setti Carraro e Domenico Russo il 3 settembre 1982 su mandato della commissione di Cosa Nostra, giudicato con condanne irrevocabili tra cui, per la terza volta nell'opera, quella di Giuseppe Calò; le denunce di isolamento sono certificate al Livello A, la controversia sui materiali documentali al Livello B, e ogni lettura di concorsi esterni al Livello C; il nodo salda i 2 fronti della violenza organizzata nella traiettoria di un solo uomo e consegna alla lettura conclusiva il pattern ricorrente dell'archivio che non giunge integro.</w:t>
      </w:r>
    </w:p>
    <w:p>
      <w:pPr>
        <w:pStyle w:val="Heading3"/>
        <w:spacing w:after="80" w:before="160"/>
      </w:pPr>
      <w:r>
        <w:rPr>
          <w:rFonts w:ascii="Barlow Semi Condensed" w:cs="Barlow Semi Condensed" w:eastAsia="Barlow Semi Condensed" w:hAnsi="Barlow Semi Condensed"/>
          <w:sz w:val="24"/>
          <w:szCs w:val="24"/>
        </w:rPr>
        <w:t xml:space="preserve">Capitolo 10 — ■ Il piano del mandato. Le ipotesi al vaglio, la Commissione del 2016 e il sigillo del divieto</w:t>
      </w:r>
    </w:p>
    <w:p>
      <w:pPr>
        <w:spacing w:after="120" w:line="276"/>
        <w:jc w:val="both"/>
      </w:pPr>
      <w:r>
        <w:rPr>
          <w:rFonts w:ascii="Barlow Semi Condensed" w:cs="Barlow Semi Condensed" w:eastAsia="Barlow Semi Condensed" w:hAnsi="Barlow Semi Condensed"/>
          <w:sz w:val="24"/>
          <w:szCs w:val="24"/>
        </w:rPr>
        <w:t xml:space="preserve">Il decimo nodo non è un evento ulteriore ma il piano terzo della decomposizione dichiarata in avvertenza: il piano del mandato o del condizionamento esterno, che il registro affronta quale oggetto proprio, censendo in un solo luogo, con la qualificazione esatta di ciascuna, le ipotesi che 4 decenni di inchieste hanno formulato sopra e attorno al giudicato, e apponendo alla fase il sigillo metodologico che le compete.</w:t>
      </w:r>
    </w:p>
    <w:p>
      <w:pPr>
        <w:spacing w:after="120" w:line="276"/>
        <w:jc w:val="both"/>
      </w:pPr>
      <w:r>
        <w:rPr>
          <w:rFonts w:ascii="Barlow Semi Condensed" w:cs="Barlow Semi Condensed" w:eastAsia="Barlow Semi Condensed" w:hAnsi="Barlow Semi Condensed"/>
          <w:sz w:val="24"/>
          <w:szCs w:val="24"/>
        </w:rPr>
        <w:t xml:space="preserve">Il primo pilastro è il censimento disciplinato delle ipotesi, che il registro ordina secondo il loro statuto. La prima famiglia è quella delle ipotesi di concorso operativo esterno all'azione: presenze ulteriori in via Fani, apporti tecnici o addestrativi, partecipazioni non brigatiste; il registro le mantiene al Livello C, richiamando che i giudicati hanno ritenuto l'azione riferibile all'organizzazione e che le acquisizioni successive, peritali e testimoniali, hanno riaperto questioni senza consolidarle. La seconda famiglia è quella delle ipotesi di condizionamento della gestione: la lettura per cui la condotta del piano secondo, dalle anomalie delle ricerche alla gestione documentale, fu orientata da volontà interessate all'esito; il registro la mantiene al Livello C, quale inferenza vietata dal principio della fase, pur riconoscendo che gli elementi certificati del piano secondo, la compresenza piduista, le anomalie, i depistaggi, la rendono formulabile. La terza famiglia è quella delle ipotesi di interferenza internazionale, nelle 2 varianti storicamente proposte, quella orientale, fondata sui rapporti dell'organizzazione con campi e strutture oltrecortina e sulla dottrina dell'attenzione sovietica al terrorismo occidentale, e quella occidentale, fondata sulle contrarietà atlantiche al progetto moroteo e sulle presenze di apparati nel teatro; il registro certifica, di ciascuna variante, i fatti di base documentati ai livelli propri, i contatti internazionali dell'organizzazione al Livello B nei limiti degli accertamenti, le contrarietà politiche al Livello B come esposto nel capitolo 1, e mantiene entrambe le varianti, quali ipotesi di mandato o concorso, al Livello C, annotando che esse si escludono reciprocamente nella vulgata che le ha prodotte, secondo lo schema già incontrato nella Fase 3 per gli elaborati contrapposti sulla stagione stragista. La quarta famiglia è quella del ruolo della criminalità organizzata, nelle 2 direzioni documentate, i sondaggi dello Stato verso la malavita per la localizzazione, certificati al Livello B nel capitolo 4, e le dichiarazioni collaborative su interessamenti dell'organizzazione mafiosa alla vicenda, che il registro censisce al Livello C quanto a ogni ruolo attivo nel sequestro.</w:t>
      </w:r>
    </w:p>
    <w:p>
      <w:pPr>
        <w:spacing w:after="120" w:line="276"/>
        <w:jc w:val="both"/>
      </w:pPr>
      <w:r>
        <w:rPr>
          <w:rFonts w:ascii="Barlow Semi Condensed" w:cs="Barlow Semi Condensed" w:eastAsia="Barlow Semi Condensed" w:hAnsi="Barlow Semi Condensed"/>
          <w:sz w:val="24"/>
          <w:szCs w:val="24"/>
        </w:rPr>
        <w:t xml:space="preserve">Il secondo pilastro è la ricognizione dell'ultima stagione d'inchiesta, la Commissione parlamentare della XVII legislatura, istituita nel 2014 e operante sino al 2017, che il registro recepisce quale fonte con la graduazione consueta. La Commissione ha prodotto acquisizioni documentali e testimoniali nuove su punti circoscritti: gli approfondimenti sulla zona di via Fani, comprese le frequentazioni dell'esercizio commerciale all'angolo e la questione dei veicoli non identificati; la posizione di appartenenti agli apparati presenti o attivi nel teatro, tra cui la già certificata presenza del colonnello Guglielmi; le perizie integrative sulla dinamica; e la riapertura documentale su snodi quali la struttura parigina e i canali della trattativa. Il registro certifica al Livello B i fatti documentali nuovi acquisiti dalla Commissione, quale fonte parlamentare di alta affidabilità, e mantiene al Livello C le letture ricostruttive che la Commissione stessa ha formulato in forma dubitativa, dichiarando che l'ultima stagione d'inchiesta ha arricchito il piano secondo senza trasformare alcuna ipotesi del piano terzo in accertamento: il quadro dei livelli esce dalla stagione più popolato, non più risolto.</w:t>
      </w:r>
    </w:p>
    <w:p>
      <w:pPr>
        <w:spacing w:after="120" w:line="276"/>
        <w:jc w:val="both"/>
      </w:pPr>
      <w:r>
        <w:rPr>
          <w:rFonts w:ascii="Barlow Semi Condensed" w:cs="Barlow Semi Condensed" w:eastAsia="Barlow Semi Condensed" w:hAnsi="Barlow Semi Condensed"/>
          <w:sz w:val="24"/>
          <w:szCs w:val="24"/>
        </w:rPr>
        <w:t xml:space="preserve">Il terzo pilastro è il sigillo del divieto inferenziale, che il registro appone quale conclusione della fase. All'esito dell'intero percorso, la struttura probatoria del caso Moro è la seguente: un piano primo saturo, con esecutori, dirigenti, custodi ed esecutore materiale giudicati in via irrevocabile lungo 5 procedimenti; un piano secondo denso di fatti certificati, la compresenza piduista, le anomalie, i depistaggi, i 2 ritrovamenti, le presenze, che compongono il quadro di una condotta istituzionale segnata da opacità documentate; e un piano terzo integralmente ipotetico, nel quale nessuna delle famiglie censite supera il Livello C. Il sigillo della fase è la formalizzazione del rapporto tra i 3 piani: la densità del piano secondo non trasferisce nulla al piano terzo, per quanto la renda intellettualmente esigente; la saturazione del piano primo non chiude il piano terzo, perché il giudicato sugli esecutori non pronuncia sull'inesistenza di volontà ulteriori; e la sola condotta razionale per un registro è tenere i 3 piani distinti, ciascuno con il proprio statuto, resistendo tanto alla vulgata che salda i piani in un unico disegno quanto a quella che, in nome del giudicato, dichiara chiusa una vicenda il cui secondo piano contiene fatti certificati che nessuna ricostruzione innocente ha mai integralmente spiegato. La lente della doppia lealtà, sospensione dichiarata di fase, si richiude qui con il suo bilancio: essa ha permesso di leggere unitariamente la fenomenologia del piano secondo, gli uomini dell'istituzione e della loggia, le condotte duali, senza mai divenire essa stessa una prova; e il registro la ripone dichiarando che la categoria ha valore euristico certificato e valore probatorio nullo, esattamente come il metodo prescrive per ogni lente.</w:t>
      </w:r>
    </w:p>
    <w:p>
      <w:pPr>
        <w:spacing w:after="120" w:line="276"/>
        <w:jc w:val="both"/>
      </w:pPr>
      <w:r>
        <w:rPr>
          <w:rFonts w:ascii="Barlow Semi Condensed" w:cs="Barlow Semi Condensed" w:eastAsia="Barlow Semi Condensed" w:hAnsi="Barlow Semi Condensed"/>
          <w:sz w:val="24"/>
          <w:szCs w:val="24"/>
        </w:rPr>
        <w:t xml:space="preserve">Il quarto pilastro è la comparazione internazionale, che il registro conduce sul precedente tedesco quale applicazione terminale del Pattern 11 alla fase. Sei mesi prima di via Fani, tra il settembre e l'ottobre 1977, la Repubblica Federale Tedesca visse il sequestro di Hanns Martin Schleyer, presidente della confederazione degli industriali, rapito dalla Rote Armee Fraktion con l'annientamento della scorta, 4 caduti, custodito per 43 giorni e ucciso dopo il rifiuto dello scambio, nel culmine dell'autunno tedesco segnato dal dirottamento di Mogadiscio e dalle morti di Stammheim. Il registro certifica al Livello A il precedente quale fatto storico e ne conduce la comparazione strutturale con il caso italiano: identica la tecnica dell'agguato con eliminazione della scorta, identica la posta del ricatto, lo scambio con i prigionieri, identica la risposta dello Stato, la fermezza, e identico l'esito, l'esecuzione dell'ostaggio; diverse la durata, la natura dell'ostaggio, un dirigente d'impresa contro il presidente del partito di maggioranza, e la coda istituzionale, giacché la Germania sciolse la propria crisi in settimane con una linea di comando unitaria, mentre il caso italiano generò la fenomenologia del piano secondo che la fase ha censito. La comparazione produce 2 risultati certificati. Il primo: l'esistenza del precedente, noto e studiato dagli apparati europei, colloca la fermezza italiana entro una dottrina continentale già sperimentata, e priva di unicità la sequenza rifiuto-esecuzione, che la vulgata ha talora trattato quale anomalia italiana bisognosa di spiegazioni ulteriori; la sequenza era, al contrario, l'esito già osservato del modello. Il secondo risultato è il differenziale: ciò che distingue il caso italiano non è l'esito ma la densità delle opacità del piano secondo, assente nella serie tedesca, e la comparazione consegna così, per contrasto, l'esatta localizzazione dell'anomalia italiana, che non sta nella fermezza né nell'epilogo, ma nella condotta degli apparati durante e dopo; è su quel differenziale, e solo su quello, che le domande del piano terzo legittimamente insistono.</w:t>
      </w:r>
    </w:p>
    <w:p>
      <w:pPr>
        <w:spacing w:after="120" w:line="276"/>
        <w:jc w:val="both"/>
      </w:pPr>
      <w:r>
        <w:rPr>
          <w:rFonts w:ascii="Barlow Semi Condensed" w:cs="Barlow Semi Condensed" w:eastAsia="Barlow Semi Condensed" w:hAnsi="Barlow Semi Condensed"/>
          <w:sz w:val="24"/>
          <w:szCs w:val="24"/>
        </w:rPr>
        <w:t xml:space="preserve">Il registro chiude il pilastro con l'adempimento che il metodo di Heuer prescrive, l'indicazione delle evidenze che, se emerse, scioglierebbero la competizione tra le ipotesi del piano terzo: il ritrovamento degli originali manoscritti del memoriale, che chiuderebbe la questione della completezza e della selezione; l'apertura di archivi, italiani o esteri, contenenti documentazione coeva sulla gestione della crisi e sulle comunicazioni tra gli apparati dei campi; e ogni fonte primaria che documentasse un coordinamento, o ne escludesse la possibilità materiale, tra gli attori esterni censiti. Sino a tale emersione, il piano terzo resta quello che il registro ha descritto, un campo di ipotesi formulabili e non provate, e la sua onesta rappresentazione è l'unico esito che il metodo consenta.</w:t>
      </w:r>
    </w:p>
    <w:p>
      <w:pPr>
        <w:spacing w:after="120" w:line="276"/>
        <w:jc w:val="both"/>
      </w:pPr>
      <w:r>
        <w:rPr>
          <w:rFonts w:ascii="Barlow Semi Condensed" w:cs="Barlow Semi Condensed" w:eastAsia="Barlow Semi Condensed" w:hAnsi="Barlow Semi Condensed"/>
          <w:sz w:val="24"/>
          <w:szCs w:val="24"/>
        </w:rPr>
        <w:t xml:space="preserve">Il quinto pilastro dettaglia le prime 3 famiglie con gli elementi che ciascuna invoca, quale inventario disciplinato. La famiglia del concorso operativo si fonda sugli elementi censiti nel capitolo dell'evento, l'eccezionalità tecnica, la concentrazione del fuoco, la motocicletta, le presenze non identificate, e sulle perizie integrative dell'ultima stagione, che hanno rimodulato la scena senza attribuzioni nuove: il registro ribadisce che ciascun elemento è certificato quale fatto al proprio livello e che la loro composizione in un concorso resta al Livello C, non essendo mai stata identificata una sola persona estranea all'organizzazione quale partecipe dell'azione. La famiglia del condizionamento della gestione si fonda sul cumulo del piano secondo, e il registro ne dichiara la struttura logica: essa è l'unica famiglia che non postula attori ignoti, ma attribuisce intenzione ad attori noti e a condotte certificate, e per questo è insieme la più economica, perché non moltiplica le entità, e la più vietata, perché consiste per intero nell'inferenza dall'anomalia all'intenzione che la Regola Ferrea proibisce; la lente della doppia lealtà la rende pensabile, il divieto la mantiene improvata, e tra i 2 stati non esiste, allo stato delle fonti, passaggio. La famiglia dell'interferenza internazionale si articola nelle 2 varianti censite: la variante orientale invoca i rapporti di campo dell'organizzazione, la filiera degli armamenti, la dottrina dell'attenzione sovietica al terrorismo occidentale, e fu esplorata, senza esiti sul caso, anche dalla stagione d'inchiesta sulle carte provenienti dagli archivi orientali dopo il 1991; la variante occidentale invoca le contrarietà atlantiche certificate, le presenze censite nel teatro, dalla consulenza americana al colonnello del servizio in via Stresa, e la fenomenologia della gestione; il registro ribadisce che gli elementi di base delle 2 varianti sono certificati ai livelli dichiarati nei capitoli, che nessuna delle 2 dispone di un solo elemento che documenti un mandato o un concorso, e che la loro mutua esclusione nella letteratura che le produce, ciascuna scuola attribuendo all'altro campo la regia, replica lo schema già censito nella Fase 3 per gli elaborati parlamentari contrapposti: le 2 varianti non si sommano, si elidono, e il registro le mantiene entrambe al Livello C annotando che la loro simmetrica sopravvivenza quarantennale è essa stessa un dato sulla natura del campo, nel quale l'ipotesi del nemico esterno ha svolto, per ciascuna parte, una funzione identitaria indipendente dalle prove.</w:t>
      </w:r>
    </w:p>
    <w:p>
      <w:pPr>
        <w:spacing w:after="120" w:line="276"/>
        <w:jc w:val="both"/>
      </w:pPr>
      <w:r>
        <w:rPr>
          <w:rFonts w:ascii="Barlow Semi Condensed" w:cs="Barlow Semi Condensed" w:eastAsia="Barlow Semi Condensed" w:hAnsi="Barlow Semi Condensed"/>
          <w:sz w:val="24"/>
          <w:szCs w:val="24"/>
        </w:rPr>
        <w:t xml:space="preserve">Il sesto pilastro dettaglia la quarta famiglia, il versante della criminalità organizzata, con le dichiarazioni che la fondano. Le fonti convergenti provengono dai 2 poli opposti del panorama criminale: Raffaele Cutolo, il capo della Nuova camorra organizzata, riferì in più sedi di essere stato sollecitato, durante i 55 giorni, ad attivarsi per la localizzazione della prigione attraverso i propri canali, e la sua vicenda si salda alla gestione del sequestro Cirillo del 1981, che la Fase 2 ha censito quale precedente documentato della trattativa Stato-camorra con la mediazione di uomini poi risultati piduisti; Tommaso Buscetta riferì che ambienti di Cosa Nostra furono parimenti sondati nella fase iniziale, e che l'attivazione rientrò per un segnale sopravvenuto, nella sua formulazione l'indicazione che la liberazione del prigioniero non era più desiderata, una dichiarazione che il registro riporta quale enunciato del dichiarante e non quale fatto. Il registro compone il quadro con la disciplina consueta: l'esistenza dei sondaggi verso la criminalità è certificata al Livello B, quale convergenza di dichiaranti indipendenti provenienti da organizzazioni diverse e reciprocamente ostili, il criterio di consilienza applicabile alle fonti dichiarative; il contenuto del segnale di arresto riferito da Buscetta resta al Livello C, quale dichiarazione singola non riscontrata su un punto decisivo; e ogni ruolo attivo delle organizzazioni criminali nel sequestro medesimo resta parimenti al Livello C, nessun accertamento avendolo mai stabilito. Alla medesima orbita appartiene, quale coda censita, l'assassinio del tenente colonnello Antonio Varisco, comandante del reparto traduzioni dei carabinieri di Roma, figura di raccordo tra gli ambienti giudiziari e quelli della capitale, ucciso il 13 luglio 1979 con rivendicazione brigatista e condanne conseguenti: il registro lo trascrive, nomina la vittima, e annota che la stagione romana del dopo-Moro, tra il falso della Duchessa, il borsello, l'omicidio Pecorelli e l'omicidio Varisco, compone un addensamento di eventi nell'orbita tra apparati, criminalità capitolina e terrorismo che il Pattern 3 registra quale finestra critica secondaria, censita e non risolta.</w:t>
      </w:r>
    </w:p>
    <w:p>
      <w:pPr>
        <w:spacing w:after="120" w:line="276"/>
        <w:jc w:val="both"/>
      </w:pPr>
      <w:r>
        <w:rPr>
          <w:rFonts w:ascii="Barlow Semi Condensed" w:cs="Barlow Semi Condensed" w:eastAsia="Barlow Semi Condensed" w:hAnsi="Barlow Semi Condensed"/>
          <w:sz w:val="24"/>
          <w:szCs w:val="24"/>
        </w:rPr>
        <w:t xml:space="preserve">Il settimo pilastro compone la sintesi comparata delle 3 stagioni parlamentari, quale storia degli accertamenti non giudiziari. La prima Commissione, operante dal 1979 al 1983, lavorò a ridosso dei fatti con le audizioni dei protagonisti istituzionali della gestione, e si concluse con esiti non unanimi: alla relazione di maggioranza si affiancarono relazioni di minoranza plurime, tra le quali quella redatta da Leonardo Sciascia, che concentrò l'analisi sulle anomalie della gestione e sulla condotta dello Stato verso le lettere del prigioniero, consegnando alla storia documentale della Repubblica il primo inventario organico di ciò che la fase ha chiamato piano secondo; il registro certifica al Livello A la pluralità degli esiti e il contenuto della relazione sciasciana, quali dati degli atti, e ne annota il rilievo metodologico, giacché la non unanimità della prima stagione replica il pattern già certificato dall'opera per gli elaborati parlamentari sulle stragi, la scomposizione delle conclusioni lungo le linee politiche, che il registro tratta quale attributo strutturale della fonte parlamentare. La Commissione sulle stragi vi tornò negli anni Novanta con il materiale delle dissociazioni e del secondo ritrovamento, producendo le acquisizioni sul memoriale e sulla gestione che i capitoli hanno censito; e la Commissione della XVII legislatura, dal 2014 al 2017, condusse la ricognizione terminale, con le perizie tecniche integrative, gli approfondimenti sulla zona di via Fani, sul contesto internazionale e sui protagonisti minori, e con l'acquisizione documentale resa possibile dal nuovo regime degli archivi; il registro certifica al Livello A la progressione, e la consegna alla regola già fissata: ogni stagione ha saputo ciò che il proprio stato degli archivi consentiva, e la storia delle commissioni è, prima che una storia di giudizi, una storia di accessi.</w:t>
      </w:r>
    </w:p>
    <w:p>
      <w:pPr>
        <w:spacing w:after="120" w:line="276"/>
        <w:jc w:val="both"/>
      </w:pPr>
      <w:r>
        <w:rPr>
          <w:rFonts w:ascii="Barlow Semi Condensed" w:cs="Barlow Semi Condensed" w:eastAsia="Barlow Semi Condensed" w:hAnsi="Barlow Semi Condensed"/>
          <w:sz w:val="24"/>
          <w:szCs w:val="24"/>
        </w:rPr>
        <w:t xml:space="preserve">L'ottavo pilastro colloca il caso entro la competizione tra le macro-ipotesi dell'opera, quale adempimento dovuto alla Fase 5. Sotto l'ipotesi H1, la convergenza delle potenze contro l'autonomia europea, il caso Moro rappresenta il terreno di massima resa apparente, per le ragioni censite nel bilancio: le contrarietà speculari certificate, l'obiettivo colpito nel giorno del suo successo, l'esito oggettivamente conforme all'interesse di entrambi i campi; e rappresenta, simultaneamente, il terreno del massimo scarto tra suggestione e prova, giacché la fase ha certificato che nessun elemento documenta il passaggio dalla convergenza degli interessi alla convergenza delle condotte. Sotto la lettura concorrente, che assume la piena autonomia degli attori interni e la sufficienza esplicativa delle dinamiche nazionali, il caso si lascia ricostruire senza residui logici, al prezzo di derubricare a coincidenze la densità delle presenze e delle anomalie censite. Il registro formalizza lo stato della competizione senza deciderla: il falsificatore milwardiano esce dalla fase non confutato, giacché la ricostruzione interna è autosufficiente, e l'ipotesi H1 ne esce non falsificata ma non avanzata, ferma alla convergenza oggettiva di Livello B che il bilancio ha fissato; la fase consegna alla verifica conclusiva dell'opera questa esatta configurazione, annotando che il caso Moro è, per costruzione, il punto del corpus in cui la distanza tra le 2 letture è massima e la capacità dei documenti di discriminarle è minima, la definizione stessa di ciò che il metodo delle ipotesi concorrenti chiama evidenza non diagnostica.</w:t>
      </w:r>
    </w:p>
    <w:p>
      <w:pPr>
        <w:spacing w:after="120" w:line="276"/>
        <w:jc w:val="both"/>
      </w:pPr>
      <w:r>
        <w:rPr>
          <w:rFonts w:ascii="Barlow Semi Condensed" w:cs="Barlow Semi Condensed" w:eastAsia="Barlow Semi Condensed" w:hAnsi="Barlow Semi Condensed"/>
          <w:sz w:val="24"/>
          <w:szCs w:val="24"/>
        </w:rPr>
        <w:t xml:space="preserve">Il nono pilastro censisce il regime degli archivi, l'ultima frontiera documentale della fase. La direttiva del presidente del Consiglio del 22 aprile 2014 dispose il versamento straordinario anticipato all'Archivio centrale dello Stato della documentazione degli organi di sicurezza e degli apparati relativa agli atti di terrorismo e alle stragi, includendo il caso Moro nel proprio perimetro, e i versamenti conseguenti, protrattisi negli anni successivi, hanno trasferito nel circuito della consultabilità decine di migliaia di carte prima trattenute; l'ultima Commissione ha operato entro questo regime, e la ricerca successiva ne ha beneficiato nella misura che gli inventari documentano. Il registro certifica al Livello A la direttiva, il suo perimetro e l'esistenza dei versamenti, quali atti normativi e archivistici, e chiude la fase con la formalizzazione che il metodo dell'opera impone: la conoscenza del caso Moro è una funzione del tempo archivistico, cresciuta per soglie datate, il 1978, il 1990, le dissociazioni, il 2014, e la curva non è dichiarabile conclusa, giacché il perimetro del versato non coincide, per definizione, con il perimetro dell'esistente; il registro consegna perciò alla Fase 5, accanto agli archivi francesi già indicati, la ricognizione sistematica del versato del 2014 quale secondo obiettivo documentale, e ribadisce, quale sigillo, che ogni certificazione della fase porta la data del proprio stato degli atti e resta aperta alla revisione che ogni nuova soglia imporrà.</w:t>
      </w:r>
    </w:p>
    <w:p>
      <w:pPr>
        <w:spacing w:after="120" w:line="276"/>
        <w:jc w:val="both"/>
      </w:pPr>
      <w:r>
        <w:rPr>
          <w:rFonts w:ascii="Barlow Semi Condensed" w:cs="Barlow Semi Condensed" w:eastAsia="Barlow Semi Condensed" w:hAnsi="Barlow Semi Condensed"/>
          <w:sz w:val="24"/>
          <w:szCs w:val="24"/>
        </w:rPr>
        <w:t xml:space="preserve">Il decimo pilastro riepiloga l'applicazione dei pattern analitici al caso, quale bilancio metodologico del nodo terminale della fase. Il registro dichiara quali pattern dell'apparato dell'opera abbiano prodotto reperti certificati sul caso Moro e quali no, secondo la disciplina che vieta di simulare rese ove non vi siano. Il Pattern 1, l'analisi dei nodi centrali, ha prodotto il reperto della centralità di Moro nel grafo, la sua posizione apicale simultanea in 3 domini, e la centralità individuale di Moretti nel piano primo, l'uomo per cui passano tutti gli archi dell'esecuzione. Il Pattern 3, l'analisi delle coincidenze temporali, ha prodotto la messe maggiore, le finestre critiche del 18 aprile e della stagione romana degli omicidi eccellenti, la contestualità con le elezioni francesi, la sincronia dello scioglimento dell'apparato antiterrorismo, tutte certificate quali fatti cronologici e tutte mantenute prive di nesso provato. Il Pattern 10, l'analisi della convergenza geografica, ha prodotto la topografia di via Caetani e la geografia speculare delle protezioni dei latitanti e delle capitali-rifugio. Il Pattern 11, l'isomorfismo strutturale, ha prodotto il reperto Aginter-Hyperion quale convergenza indipendente sulla grammatica della clandestinità. Il Pattern 6, l'analisi delle ipotesi concorrenti, ha governato l'intera architettura a 3 piani e la formalizzazione dell'evidenza non diagnostica. Il registro certifica che i Pattern 2, 4, 5, 7, 8 e 9, la rilevazione di comunità, l'analisi dei flussi, i buchi strutturali quali constraint, i percorsi di carriera, lo sfruttamento delle crisi e le dinastie, non hanno prodotto sul caso reperti autonomi di rango certificabile eccedenti quanto già registrato, e dichiara questa parziale resa quale dato onesto e non quale lacuna: un evento singolo, per quanto denso, non attiva l'intero apparato di una metodologia costruita per il grafo complessivo dell'opera, e la Fase 5, operando sul grafo intero, ne attiverà le misure residue; il registro chiude così il nodo e la fase con il bilancio dei propri strumenti, il gesto che il metodo impone quale sigillo di ogni applicazione, la dichiarazione di ciò che si è trovato e di ciò che, onestamente, non si è trovato.</w:t>
      </w:r>
    </w:p>
    <w:p>
      <w:pPr>
        <w:spacing w:after="120" w:line="276"/>
        <w:jc w:val="both"/>
      </w:pPr>
      <w:r>
        <w:rPr>
          <w:rFonts w:ascii="Barlow Semi Condensed" w:cs="Barlow Semi Condensed" w:eastAsia="Barlow Semi Condensed" w:hAnsi="Barlow Semi Condensed"/>
          <w:sz w:val="24"/>
          <w:szCs w:val="24"/>
        </w:rPr>
        <w:t xml:space="preserve">L'undicesimo pilastro adempie il dovere di completezza assolutoria, riunendo in un solo luogo, per esteso, gli esiti liberatori della fase. Per l'omicidio di Mino Pecorelli, la Corte di cassazione, con la sentenza del 30 ottobre 2003, annullò senza rinvio la condanna di appello e dichiarò l'assoluzione definitiva di Giulio Andreotti e di Gaetano Badalamenti, e con essi divennero definitivi gli esiti assolutori di tutti gli imputati del processo, tra i quali Giuseppe Calò e Massimo Carminati, sicché l'omicidio del giornalista resta, nell'ordinamento, privo di qualsiasi condannato; per il capitolo Hyperion, l'istruttoria veneziana si concluse con proscioglimenti e nessuno dei 3 fondatori della struttura, Corrado Simioni, Duccio Berio e Vanni Mulinaris, ha mai riportato condanna alcuna, e la detenzione cautelare sofferta da Mulinaris in Italia senza condanna resta censita quale fatto; per la vicenda fondativa del capitolo nono, Luciano Liggio fu assolto per l'omicidio di Placido Rizzotto all'esito del giudizio, e l'assoluzione è riportata quale esito. Il registro certifica al Livello A ciascun esito, li riporta per esteso in ottemperanza alla propria disciplina, e ne dichiara la funzione metodologica: il riepilogo assolutorio non è un'appendice ma un organo del metodo, giacché un registro che certifica condanne ha l'obbligo simmetrico di certificare assoluzioni con eguale evidenza, e la fase, che conta tra i propri materiali il più celebre processo assolutorio della storia repubblicana, esercita qui la disciplina nella sua forma più visibile; il registro annota infine che la compresenza, nella medesima fase, di piani primi saturi di condanne irrevocabili e di nodi satellite chiusi da assoluzioni definitive è la fisionomia normale di un campo indagato con gli strumenti dello Stato di diritto, e che l'opera assume questa fisionomia, con le sue asimmetrie, quale proprio materiale, senza correggerla mai nella direzione che i documenti non autorizzano.</w:t>
      </w:r>
    </w:p>
    <w:p>
      <w:pPr>
        <w:spacing w:after="120" w:line="276"/>
        <w:jc w:val="both"/>
      </w:pPr>
      <w:r>
        <w:rPr>
          <w:rFonts w:ascii="Barlow Semi Condensed" w:cs="Barlow Semi Condensed" w:eastAsia="Barlow Semi Condensed" w:hAnsi="Barlow Semi Condensed"/>
          <w:sz w:val="24"/>
          <w:szCs w:val="24"/>
        </w:rPr>
        <w:t xml:space="preserve">Il dodicesimo pilastro censisce le 2 vulgate del caso e la posizione del registro, quale dichiarazione terminale di metodo. La letteratura pubblica sul caso Moro si è storicamente polarizzata in 2 vulgate speculari, che il registro censisce quali oggetti documentali e respinge quali metodi. La prima è la vulgata del complotto integrale, che salda i fatti certificati del piano secondo, la compresenza piduista, le anomalie di Gradoli, i vuoti documentali, in un disegno unitario di gestione eterodiretta, compiendo l'operazione che il registro ha vietato a ogni pagina, la promozione della densità delle anomalie a prova della regia, e che il metodo delle ipotesi concorrenti smonta con un solo rilievo, la circostanza che nessun documento, in 47 anni, ha mai certificato il passaggio dall'anomalia alla condotta. La seconda è la vulgata riduzionista, che dichiara il caso chiuso nel perimetro dei giudicati e derubrica il piano secondo a rumore, compiendo l'operazione simmetrica, la rimozione di fatti certificati al Livello A che nessuna spiegazione ordinaria ha integralmente assorbito, dalla mancata verbalizzazione dei comitati alla distribuzione selettiva dei vuoti. Il registro certifica al Livello A l'esistenza e la struttura delle 2 vulgate, quali dati della storia della ricezione, e dichiara la propria posizione, che non è una terza tesi ma un'altra operazione: la tenuta simultanea di tutti i fatti certificati, ciascuno al proprio livello, senza la saldatura che la prima vulgata compie e senza la rimozione che la seconda esige, nella convinzione metodologica, ereditata dall'apparato dell'opera, che un campo manipolato si conosce soltanto rifiutando tanto la credulità del disegno quanto la credulità della coincidenza; la fase consegna questa posizione, esercitata per 10 capitoli sul materiale più sollecitante dell'opera, quale prova pratica del metodo, e rimette alla Fase 5 il giudizio se essa abbia prodotto, come il registro ritiene, più conoscenza certificata di quanta ciascuna vulgata ne abbia prodotta in mezzo secolo.</w:t>
      </w:r>
    </w:p>
    <w:p>
      <w:pPr>
        <w:spacing w:after="120" w:line="276"/>
        <w:jc w:val="both"/>
      </w:pPr>
      <w:r>
        <w:rPr>
          <w:rFonts w:ascii="Barlow Semi Condensed" w:cs="Barlow Semi Condensed" w:eastAsia="Barlow Semi Condensed" w:hAnsi="Barlow Semi Condensed"/>
          <w:sz w:val="24"/>
          <w:szCs w:val="24"/>
        </w:rPr>
        <w:t xml:space="preserve">Il tredicesimo pilastro consegna il bilancio ordinato delle 4 famiglie del piano terzo, quale quadro sinottico terminale in prosa. La famiglia del concorso operativo esterno all'azione esce dalla fase con gli elementi tecnici certificati che ne delimitano lo spazio, la precarietà logistica documentata, le munizioni ricaricate, il circuito finanziario chiuso, tutti convergenti verso l'autosufficienza, e con le sole varianti selettive logicamente sopravviventi, prive di qualsiasi elemento positivo. La famiglia del condizionamento della gestione esce con il piano secondo più denso dell'opera, la compresenza piduista, lo scioglimento dell'apparato specialistico, la mancata verbalizzazione, l'assenza di sanzioni, tutti fatti al Livello A, e con la condotta di condizionamento mai accertata, il divario tra la densità dei fatti e l'assenza della prova costituendo la fisionomia propria e permanente di questa famiglia. La famiglia dell'interferenza internazionale esce con le contrarietà pubbliche delle 2 superpotenze elevate al Livello A, con la convergenza oggettiva al Livello B, con l'unico fatto materiale della variante orientale, il caso Conforto, censito nei suoi 3 livelli, e con le 2 varianti reciprocamente escludentisi e parimenti prive di prova di condotta. La famiglia del ruolo attivo della criminalità organizzata esce con i sondaggi verso le organizzazioni certificati al Livello B quale fatto della gestione, e con ogni lettura di partecipazione o di interdizione al Livello C. Il registro certifica questo quadro quale stato terminale delle ipotesi alla chiusura della fase, e ne dichiara la funzione: esso è la mappa che la Fase 5 erediterà, con la consegna metodologica che il caso impone, la verifica di ciascuna famiglia sul grafo completo e sugli archivi ancora chiusi, e con l'avvertenza che la fase ha dimostrato, la possibilità che decenni di accertamenti spostino i livelli senza mai attraversare, in assenza di documenti nuovi, il confine tra il fatto e l'ipotesi.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ipotesi di concorso-ipotesi di condizionamento-ipotesi internazionale, è il triangolo del censimento, integralmente al Livello C con i fatti di base ai livelli propri. La seconda, Commissione del 2016-acquisizioni documentali-letture dubitative, è il triangolo dell'ultima stagione, con i fatti al Livello B e le letture al Livello C. La terza, piano primo-piano secondo-piano terzo, è il triangolo del sigillo, la formalizzazione del divieto che governa la fase. Sul piano dei pattern, il nodo compie il Pattern 6 nella sua forma più estesa, la matrice delle ipotesi concorrenti sul mandato, per ciascuna delle quali il registro ha indicato i fatti coerenti, i fatti mancanti e le evidenze che la falsificherebbero; e conferma il Pattern 5 quale cifra della fase, il caso Moro quale sistema di buchi strutturali documentati, la prigione mai trovata nei 55 giorni, gli originali mai rinvenuti, gli archivi mai aperti, attorno ai quali la conoscenza certificata si è costruita per accerchiamento.</w:t>
      </w:r>
    </w:p>
    <w:p>
      <w:pPr>
        <w:spacing w:after="120" w:line="276"/>
        <w:jc w:val="both"/>
      </w:pPr>
      <w:r>
        <w:rPr>
          <w:rFonts w:ascii="Barlow Semi Condensed" w:cs="Barlow Semi Condensed" w:eastAsia="Barlow Semi Condensed" w:hAnsi="Barlow Semi Condensed"/>
          <w:sz w:val="24"/>
          <w:szCs w:val="24"/>
        </w:rPr>
        <w:t xml:space="preserve">Le 2 inchieste parlamentari che presidiano il piano terzo esigono la loro scheda istituzionale, che il registro fissa quale cornice delle acquisizioni già graduate. La prima Commissione, istituita con legge nel novembre 1979 nella XIII legislatura repubblicana ancora ferita, operò sino al 1983 e consegnò una relazione di maggioranza accompagnata da plurime relazioni di minoranza, riflesso della frattura politica coeva sulla lettura dei 55 giorni, con un'imponente pubblicazione di allegati che resta il primo giacimento documentale organico sul caso, Livello A quanto all'attività ed agli atti. La seconda, istituita con la legge del 30 maggio 2014 nella XVII legislatura e presieduta da Giuseppe Fioroni, operò sino al dicembre 2017 con poteri d'inchiesta pieni, avvalendosi delle tecnologie d'indagine sopravvenute, dalle esumazioni digitali degli archivi alle nuove perizie balistiche e dattiloscopiche, e produsse relazioni annuali ed una mole di acquisizioni che il registro ha recepito con la doppia marcatura che la sintesi certifica, il Livello B per i documenti ed i riscontri tecnici, il Livello C per le letture ricostruttive, Livello A quanto alla scheda istituzionale. Tra le 2 stagioni corre un trentennio, e la loro giustapposizione consegna al registro un reperto di storia della conoscenza: la prima Commissione lavorò a ridosso dell'evento, con i testimoni vivi e gli archivi chiusi; la seconda a distanza di 2 generazioni, con gli archivi progressivamente aperti ed i testimoni in via di estinzione, sicché le 2 inchieste si specchiano in un chiasmo documentale, il massimo della memoria con il minimo delle carte contro il massimo delle carte con il minimo della memoria, e la conoscenza del caso, sommandole, resta strutturalmente asimmetrica: nessuna stagione ha mai disposto, insieme, dei testimoni e dei documenti. Il piano terzo abita esattamente questa asimmetria, ed il registro, che l'ha misurata, vi calibra il proprio sigillo inferenziale: dove la memoria e la carta non si sono mai incontrate, l'ipotesi non può che restare ipotesi, e dichiararlo non è rinuncia ma esattezza.</w:t>
      </w:r>
    </w:p>
    <w:p>
      <w:pPr>
        <w:spacing w:after="120" w:line="276"/>
        <w:jc w:val="both"/>
      </w:pPr>
      <w:r>
        <w:rPr>
          <w:rFonts w:ascii="Barlow Semi Condensed" w:cs="Barlow Semi Condensed" w:eastAsia="Barlow Semi Condensed" w:hAnsi="Barlow Semi Condensed"/>
          <w:sz w:val="24"/>
          <w:szCs w:val="24"/>
        </w:rPr>
        <w:t xml:space="preserve">Alle 2 Commissioni monografiche va affiancata, per completezza della mappa parlamentare, la terza sede che del caso si occupò in via continuativa: la Commissione parlamentare d'inchiesta sul terrorismo in Italia e sulle cause della mancata individuazione dei responsabili delle stragi, operante dal 1988 al 2001 attraverso 4 legislature, che dedicò al caso Moro audizioni, acquisizioni ed elaborati istruttori di grande mole, e che chiuse i propri lavori, nel marzo 2001, senza l'approvazione di una relazione finale consensuale, lasciando agli atti le bozze e le proposte di relazione elaborate nella presidenza conclusiva, Livello A quanto alla scheda istituzionale ed all'esito. Il registro assegna all'esito il valore documentale che gli è proprio: la più lunga inchiesta parlamentare della storia repubblicana sul terrorismo e sulle stragi non riuscì a consegnare al Paese una verità condivisa nemmeno nella forma minima della relazione votata, e questo esito, che non è un vuoto di lavoro ma un vuoto di consenso, certifica sul piano parlamentare ciò che il piano terzo certifica su quello giudiziario, la resistenza del caso ad ogni chiusura unitaria. Le 3 sedi, la Moro della VIII legislatura, la Stragi del tredicennio, la Moro della XVII, compongono così una serie istituzionale di 40 anni il cui prodotto aggregato il registro può finalmente descrivere con esattezza: un archivio immenso ed una conclusione assente, il massimo di documentazione con il minimo di verdetto, la forma parlamentare del paradosso che l'intera fase ha certificato piano per piano.</w:t>
      </w:r>
    </w:p>
    <w:p>
      <w:pPr>
        <w:spacing w:after="120" w:line="276"/>
        <w:jc w:val="both"/>
      </w:pPr>
      <w:r>
        <w:rPr>
          <w:rFonts w:ascii="Barlow Semi Condensed" w:cs="Barlow Semi Condensed" w:eastAsia="Barlow Semi Condensed" w:hAnsi="Barlow Semi Condensed"/>
          <w:sz w:val="24"/>
          <w:szCs w:val="24"/>
        </w:rPr>
        <w:t xml:space="preserve">Alla contabilità delle piste cadute il piano terzo deve infine il caso di scuola della sua specie più insidiosa, l'attribuzione tecnica smentita: nell'istruttoria dell'aprile 1979 sull'area dell'Autonomia organizzata, una perizia fonica attribuì a Antonio Negri la voce della telefonata del 30 aprile 1978 alla famiglia del prigioniero, che il capitolo dei 55 giorni ha censito, e su quella attribuzione, insieme all'ipotesi complessiva di una direzione occulta esterna all'organizzazione esecutrice, si costruì un capitolo d'accusa che i gradi successivi demolirono: le perizie ulteriori esclusero l'identificazione, l'ipotesi della regia esterna cadde, e Negri fu assolto in via definitiva da ogni addebito relativo al sequestro ed al caso, esito che il registro riporta per esteso in ottemperanza alla propria disciplina, ferma la distinta sorte processuale dell'imputato per i reati associativi estranei a questo nodo, Livello A quanto alla parabola dell'attribuzione, alla sua caduta ed all'assoluzione. Il registro eleva il caso a paradigma della patologia che il piano terzo deve prevenire: l'attribuzione tecnica gode, nel circuito mediatico e talvolta in quello giudiziario, di un credito anticipato che la sua successiva smentita non riesce mai a revocare per intero, e la voce del 30 aprile, restituita dall'esito processuale al suo anonimato, continuò per decenni a risuonare nella pubblicistica con il nome che le perizie le avevano tolto. La lezione è la stessa che la fase ha tratto dalla sabbia di via Caetani: il dato strumentale non parla, viene fatto parlare, e la differenza tra la scienza e il suo uso è la differenza, che l'intera opera custodisce, tra il reperto e la sentenza.</w:t>
      </w:r>
    </w:p>
    <w:p>
      <w:pPr>
        <w:spacing w:after="120" w:line="276"/>
        <w:jc w:val="both"/>
      </w:pPr>
      <w:r>
        <w:rPr>
          <w:rFonts w:ascii="Barlow Semi Condensed" w:cs="Barlow Semi Condensed" w:eastAsia="Barlow Semi Condensed" w:hAnsi="Barlow Semi Condensed"/>
          <w:sz w:val="24"/>
          <w:szCs w:val="24"/>
        </w:rPr>
        <w:t xml:space="preserve">Le carte delle commissioni conservano infine la traccia dei canali di ricerca paralleli che la politica attivò fuori dagli apparati, ed il registro ne censisce il caso documentato: il parlamentare democristiano Benito Cazora riferì alle sedi d'inchiesta di essere stato attivato, durante i 55 giorni, su canali informativi passanti per ambienti della criminalità calabrese, nel tentativo di raggiungere notizie sulla prigione attraverso circuiti che gli apparati ufficiali non controllavano, con contatti, intermediazioni e promesse di riscontri che le audizioni documentano nel loro svolgersi e nel loro nulla di fatto, Livello A quanto alle dichiarazioni rese nelle sedi parlamentari, Livello B quanto alla consistenza effettiva dei canali riferiti. Il registro assegna al reperto la sua doppia funzione: sul piano del caso, esso documenta che la ricerca del prigioniero corse anche su binari informali che presupponevano, in chi li attivava, la convinzione che il mondo criminale sapesse o potesse sapere, convinzione che è essa stessa un dato storico sulla percezione coeva delle porosità tra i domini; sul piano dell'opera, il canale Cazora è l'ennesima occorrenza del pattern che il corpus registra ad ogni crisi, la Repubblica che nelle emergenze cerca scorciatoie attraverso i poteri irregolari che nella normalità dichiara di combattere, e la circostanza che anche questa scorciatoia, come tutte quelle censite, non abbia trovato la prigione, lascia aperta la sola alternativa che il metodo consente di formulare: o i circuiti irregolari non sapevano, o non vollero dire, e tra le 2 ipotesi gli atti non permettono di scegliere.</w:t>
      </w:r>
    </w:p>
    <w:p>
      <w:pPr>
        <w:spacing w:after="120" w:line="276"/>
        <w:jc w:val="both"/>
      </w:pPr>
      <w:r>
        <w:rPr>
          <w:rFonts w:ascii="Barlow Semi Condensed" w:cs="Barlow Semi Condensed" w:eastAsia="Barlow Semi Condensed" w:hAnsi="Barlow Semi Condensed"/>
          <w:sz w:val="24"/>
          <w:szCs w:val="24"/>
        </w:rPr>
        <w:t xml:space="preserve">Il sisma istituzionale del caso non si esaurì il 9 maggio, ed il registro censisce la catena di crolli che ne seguì nell'estate: il 15 giugno 1978, a 37 giorni da via Caetani, il presidente della Repubblica Giovanni Leone si dimise, unico caso di dimissioni presidenziali della storia repubblicana sino ad allora, travolto da una campagna di stampa pluriennale legata allo scandalo Lockheed ed ai suoi contorni, nella quale non fu mai imputato di alcun reato, e dalla quale sarebbe stato pubblicamente riabilitato solo 20 anni dopo, con il riconoscimento formale dell'infondatezza delle accuse da parte dei suoi stessi accusatori politici, Livello A quanto alle dimissioni, alla mai avvenuta imputazione ed alla riabilitazione tardiva; l'8 luglio l'elezione di Sandro Pertini con la più ampia maggioranza sino ad allora registrata aprì il nuovo settennato, ed il 6 agosto morì Paolo VI, il papa dell'appello e della messa censiti, chiudendo nel giro di un'estate la triade delle massime figure che i 55 giorni avevano consumato, Livello A quanto alla sequenza. Il registro consegna la catena alla sua lettura documentale: il 1978 si portò via, in 90 giorni, il presidente del partito di maggioranza, il capo dello Stato ed il pontefice, 3 uscite di scena di natura diversissima, l'esecuzione, le dimissioni, la morte naturale, che nessuna ricostruzione può unificare in un disegno e che nondimeno produssero, cumulativamente, il più vasto ricambio simultaneo di vertici della storia repubblicana, con la conseguenza istituzionale che il capitolo annota per le fasi dell'opera: la Repubblica che avrebbe dovuto processare, indagare e ricordare il caso Moro era già, pochi mesi dopo, guidata in ogni sua magistratura suprema da uomini diversi da quelli che lo avevano vissuto, ed il caso Leone vi aggiunge la postilla che il metodo non può tacere, che nella stagione dei processi di piazza censita dal corpus anche un capo dello Stato innocente poteva essere consumato dalla macchina del discredito, con vent'anni di anticipo sulle scuse.</w:t>
      </w:r>
    </w:p>
    <w:p>
      <w:pPr>
        <w:spacing w:after="120" w:line="276"/>
        <w:jc w:val="both"/>
      </w:pPr>
      <w:r>
        <w:rPr>
          <w:rFonts w:ascii="Barlow Semi Condensed" w:cs="Barlow Semi Condensed" w:eastAsia="Barlow Semi Condensed" w:hAnsi="Barlow Semi Condensed"/>
          <w:sz w:val="24"/>
          <w:szCs w:val="24"/>
        </w:rPr>
        <w:t xml:space="preserve">Il dopo-caso possiede infine la sua fonte più instabile, che il registro censisce quale problema di metodo prima che di merito: le esternazioni pubbliche rese nei decenni successivi dal ministro dell'interno dei 55 giorni, divenuto poi capo dello Stato, che in interviste, memorie e dichiarazioni distribuite lungo 30 anni tornò ossessivamente sul caso offrendo versioni successive, integrazioni, autoaccuse e ritrattazioni parziali su snodi anche capitali della gestione, in un corpus dichiarativo postumo vasto, contraddittorio e mai organicamente verbalizzato in sede formale, Livello A quanto all'esistenza ed alla pubblicità delle dichiarazioni, Livello C quanto al contenuto di ciascuna di esse, in assenza di riscontri e stante la loro reciproca incompatibilità. Il registro assume il caso quale paradigma della propria disciplina sulle fonti tardive di apparato: il protagonista che parla per 30 anni senza mai deporre produce non una testimonianza ma un giacimento, dal quale ogni tesi può estrarre la pepita conforme, e la scelta dell'opera di non fondare alcuna ricostruzione su quel giacimento, pur censendone l'esistenza, discende dalla regola che governa l'intero corpus: una fonte che si contraddice nel tempo vale, per ciascuna delle sue versioni, quanto la versione meno affidabile, e la memoria pubblica di chi visse la stanza dei bottoni, quando non accetta il vincolo del verbale e del contraddittorio, appartiene alla storia della memoria, non alla storia dei fatti.</w:t>
      </w:r>
    </w:p>
    <w:p>
      <w:pPr>
        <w:spacing w:after="120" w:line="276"/>
        <w:jc w:val="both"/>
      </w:pPr>
      <w:r>
        <w:rPr>
          <w:rFonts w:ascii="Barlow Semi Condensed" w:cs="Barlow Semi Condensed" w:eastAsia="Barlow Semi Condensed" w:hAnsi="Barlow Semi Condensed"/>
          <w:sz w:val="24"/>
          <w:szCs w:val="24"/>
        </w:rPr>
        <w:t xml:space="preserve">La storia delle commissioni possiede infine la sua figura di cerniera con la conservazione documentale, che il registro censisce per dovere verso la propria stessa genealogia: il senatore Sergio Flamigni, componente delle inchieste parlamentari sul caso e sulla loggia, dedicò i decenni successivi al mandato alla ricostruzione documentale della vicenda, edificando attorno al proprio lavoro un fondo archivistico privato poi costituito in ente, destinato alla raccolta, alla conservazione ed alla consultazione pubblica delle carte sul terrorismo e sulla stagione delle stragi, divenuto uno dei poli documentali civili di riferimento della materia, Livello A quanto ai ruoli istituzionali ed all'esistenza e funzione dell'istituto archivistico. Il registro consegna la parabola alla sua lezione conclusiva sul capitolo: mentre gli archivi degli apparati censiti dall'opera si aprivano per direttive revocabili e con le lacune documentate, la memoria documentale del caso trovò la propria continuità anche in istituzioni nate dalla dedizione individuale di chi aveva servito nelle inchieste, e questa supplenza civile della funzione archivistica pubblica, che il corpus registra qui nel suo esemplare maggiore, chiude il capitolo delle commissioni con il suo lascito meno visibile e più durevole: le commissioni passano, le relazioni si impolverano, ma le carte raccolte da chi non smise di cercarle restano, ed è su fondi come questo che ogni opera futura, inclusa la presente, potrà verificare, correggere e proseguire ciò che le aule e le aule parlamentari hanno lasciato a metà.</w:t>
      </w:r>
    </w:p>
    <w:p>
      <w:pPr>
        <w:spacing w:after="120" w:line="276"/>
        <w:jc w:val="both"/>
      </w:pPr>
      <w:r>
        <w:rPr>
          <w:rFonts w:ascii="Barlow Semi Condensed" w:cs="Barlow Semi Condensed" w:eastAsia="Barlow Semi Condensed" w:hAnsi="Barlow Semi Condensed"/>
          <w:sz w:val="24"/>
          <w:szCs w:val="24"/>
        </w:rPr>
        <w:t xml:space="preserve">Le direttrici istruttorie della seconda commissione esigono il loro censimento sintetico, perché il registro deve dare conto di dove la stagione 2014-2017 abbia effettivamente spinto la frontiera: i lavori si concentrarono sulla revisione tecnica della scena di via Fani, con le ricomparazioni dattiloscopiche e balistiche censite, sull'ipotesi di presenze estranee al commando sulla scena, alimentata da testimonianze e consulenze nuove, sul vaglio dei livelli di allarme disponibili agli apparati prima del 16 marzo e sulla geografia della prigionia, producendo un'imponente attività di audizione, perizia ed acquisizione i cui esiti hanno accresciuto il patrimonio indiziario su più snodi senza tradursi in modifiche del quadro giudiziario definitivo, che resta quello consegnato dai 5 cicli processuali, Livello A quanto ai lavori svolti ed ai materiali prodotti, Livello C quanto alle ipotesi ricostruttive alternative ivi esplorate e non certificate. Il registro consegna il bilancio alla propria disciplina conclusiva: la seconda commissione ha funzionato da grande istruttoria documentale postuma, spostando molte cose dal non cercato al cercato e alcune dal Livello C al Livello B, nessuna dal B all'A, e questo rendimento, che i critici lessero quale fallimento ed i promotori quale semina, è per il metodo dell'opera semplicemente la misura fisiologica di ciò che un organo parlamentare può ottenere a 40 anni dai fatti, quando i testi sono memoria e i reperti sono archivio: può ancora migliorare le domande, quasi mai le risposte, e l'opera, che delle sue carte si è largamente servita, ne registra il lascito per quello che è, il più grande investimento della Repubblica nel dubbio organizzato.</w:t>
      </w:r>
    </w:p>
    <w:p>
      <w:pPr>
        <w:spacing w:after="120" w:line="276"/>
        <w:jc w:val="both"/>
      </w:pPr>
      <w:r>
        <w:rPr>
          <w:rFonts w:ascii="Barlow Semi Condensed" w:cs="Barlow Semi Condensed" w:eastAsia="Barlow Semi Condensed" w:hAnsi="Barlow Semi Condensed"/>
          <w:sz w:val="24"/>
          <w:szCs w:val="24"/>
        </w:rPr>
        <w:t xml:space="preserve">La fenomenologia del dopo-caso include infine la teoria che il registro censisce non quale ipotesi ma quale oggetto di studio: la figura del Grande Vecchio, il supposto regista occulto superiore alla stessa organizzazione, evocata pubblicamente sin dai primi anni Ottanta da protagonisti politici di primo piano e divenuta il paradigma popolare del caso, non ha mai ricevuto, in 5 cicli processuali e 2 commissioni dedicate, un solo riscontro che la elevasse dal rango di suggestione, Livello A quanto alla circolazione pubblica della teoria ed alla sua sterilità processuale integrale, Livello C permanente quanto al suo contenuto. Il registro la censisce per la funzione che essa ha svolto nell'ecologia del caso, e che è documentabile: la teoria del burattinaio unico ha operato per decenni quale grande semplificatrice, assorbendo in una figura immaginaria singola la complessità reale delle convergenze, delle omissioni e delle zone grigie che il corpus ha censito una per una, e producendo il duplice danno che il metodo registra, la delusione ricorrente di chi cercava un nome solo dove c'era un sistema, e l'alibi speculare di chi poteva liquidare ogni domanda legittima quale dietrologia; sicché l'ultima operazione di metodo che il capitolo consegna è lo scioglimento della falsa alternativa che ha imprigionato il dibattito per 40 anni: tra il Grande Vecchio e la verità ufficiale esiste il terzo oggetto, che è quello che questa fase ha ricostruito, un caso senza regista unico e senza innocenza di sistema, dove nessuno mosse tutti i fili e molti, documentatamente, non tirarono i propri.</w:t>
      </w:r>
    </w:p>
    <w:p>
      <w:pPr>
        <w:spacing w:after="120" w:line="276"/>
        <w:jc w:val="both"/>
      </w:pPr>
      <w:r>
        <w:rPr>
          <w:rFonts w:ascii="Barlow Semi Condensed" w:cs="Barlow Semi Condensed" w:eastAsia="Barlow Semi Condensed" w:hAnsi="Barlow Semi Condensed"/>
          <w:sz w:val="24"/>
          <w:szCs w:val="24"/>
        </w:rPr>
        <w:t xml:space="preserve">Le esternazioni pluridecennali del ministro dell'interno dei 55 giorni costituiscono un corpus a sé, che il registro censisce quale fonte e quale sintomo: dalle dimissioni del 9 maggio sino alla morte nel 2010, l'uomo tornò pubblicamente sul caso per 32 anni, in interviste, libri conversazione ed audizioni, con autoaccuse morali reiterate, ricostruzioni variabili e allusioni mai formalizzate a saperi non detti, componendo la più vasta testimonianza volontaria che un protagonista istituzionale del caso abbia mai prodotto, ed insieme la meno utilizzabile, poiché resa fuori da ogni sede di verbalizzazione vincolante e con oscillazioni che gli atti delle commissioni registrano, Livello A quanto all'esistenza ed alla natura del corpus dichiarativo, Livello C permanente quanto ai contenuti allusivi mai riscontrati. Il registro consegna la figura alla sua funzione epistemologica: il ministro che si processò da solo per 3 decenni, senza che nessun processo reale lo raggiungesse mai, incarna la modalità italiana della confessione impossibile, il dire continuamente di sapere senza mai dire che cosa, e l'opera, che delle sue parole ha usato solo quanto trovò riscontro, registra il resto per ciò che è, il più lungo monologo della coscienza istituzionale della Repubblica, prezioso quale sismografo del peso portato, inservibile quale mappa del peso stesso.</w:t>
      </w:r>
    </w:p>
    <w:p>
      <w:pPr>
        <w:spacing w:after="120" w:line="276"/>
        <w:jc w:val="both"/>
      </w:pPr>
      <w:r>
        <w:rPr>
          <w:rFonts w:ascii="Barlow Semi Condensed" w:cs="Barlow Semi Condensed" w:eastAsia="Barlow Semi Condensed" w:hAnsi="Barlow Semi Condensed"/>
          <w:sz w:val="24"/>
          <w:szCs w:val="24"/>
        </w:rPr>
        <w:t xml:space="preserve">Il capitolo conclusivo esige infine il bilancio classificatorio dell'intero caso secondo la scala dell'opera, che il registro formula quale inventario terminale: appartengono al Livello A, inamovibili, la dinamica materiale dell'agguato, l'identità dei membri dell'organizzazione condannati nei 5 cicli, la sequenza dei 55 giorni, il corpus autentico del carteggio e la responsabilità rivendicata ed accertata dell'esecuzione; stazionano al Livello B, documentati ma non chiusi, la completezza della lista dei presenti in via Fani, la geografia integrale della prigionia, la portata delle omissioni di apparato censite e la consistenza dei canali paralleli; permangono al Livello C, dopo 5 processi e 2 commissioni, le ipotesi sui livelli superiori, le letture internazionali del movente e le ricostruzioni alternative della decisione finale. Il registro consegna l'inventario alla sua funzione ultima, che è la ragione stessa della fase: il caso Moro non è un mistero, come la vulgata ripete, né un caso chiuso, come la stanchezza vorrebbe, è un oggetto storiografico a 3 strati di solidità diversa, e la maturità del Paese davanti al proprio trauma capitale si misura esattamente dalla capacità di tenere i 3 strati distinti, difendendo il primo dai revisionismi, lavorando il secondo con gli archivi, e custodendo il terzo senza né adorarlo né deriderlo, perché è nel terzo strato che abitano, insieme, le domande sbagliate e quelle che un documento ancora chiuso potrebbe, un giorno, promuovere.</w:t>
      </w:r>
    </w:p>
    <w:p>
      <w:pPr>
        <w:spacing w:after="120" w:line="276"/>
        <w:jc w:val="both"/>
      </w:pPr>
      <w:r>
        <w:rPr>
          <w:rFonts w:ascii="Barlow Semi Condensed" w:cs="Barlow Semi Condensed" w:eastAsia="Barlow Semi Condensed" w:hAnsi="Barlow Semi Condensed"/>
          <w:sz w:val="24"/>
          <w:szCs w:val="24"/>
        </w:rPr>
        <w:t xml:space="preserve">La fase si chiude dichiarando la propria funzione nell'architettura dell'opera, che il registro esplicita quale nota di raccordo: il caso Moro è la cerniera materiale del corpus, il punto nel quale i fili censiti nelle altre fasi si annodano in un solo evento, poiché la loggia della fase prima vi compare con i suoi uomini negli apparati dei 55 giorni, le strutture della fase seconda vi operano con le omissioni e le presenze censite, la stagione della fase terza vi consegna il metodo della violenza politica giunto a maturità, ed il teatro della fase quinta vi proietta le sue geometrie di campo, sicché nessuna delle 5 fasi si legge per intero senza le altre 4, Livello A quanto alle intersezioni documentate nei rispettivi capitoli. Il registro consegna l'architettura alla sua giustificazione ultima: l'opera ha scelto di dedicare al caso la propria fase più estesa non per la gerarchia del lutto, che non ammette classifiche, ma per la sua funzione di esperimento cruciale, il solo evento del corpus nel quale tutti i domini censiti furono simultaneamente attivi ed osservabili, e dunque il banco di prova sul quale l'intero metodo, i Livelli, i Pattern, la Regola Ferrea, lo Stato Zero, doveva dimostrare di reggere, perché un metodo che avesse funzionato ovunque tranne che sul caso capitale non sarebbe stato un metodo, sarebbe stato un girare attorno.</w:t>
      </w:r>
    </w:p>
    <w:p>
      <w:pPr>
        <w:spacing w:after="120" w:line="276"/>
        <w:jc w:val="both"/>
      </w:pPr>
      <w:r>
        <w:rPr>
          <w:rFonts w:ascii="Barlow Semi Condensed" w:cs="Barlow Semi Condensed" w:eastAsia="Barlow Semi Condensed" w:hAnsi="Barlow Semi Condensed"/>
          <w:sz w:val="24"/>
          <w:szCs w:val="24"/>
        </w:rPr>
        <w:t xml:space="preserve">Il caso possiede infine la sua geografia archivistica, che il registro censisce quale mappa di servizio per chi verrà: gli atti dei 5 cicli processuali giacciono presso gli uffici giudiziari romani e, per le annate versate, presso l'archivio di Stato, le carte delle 2 commissioni dedicate e delle inchieste generaliste sono conservate negli archivi storici parlamentari con i regimi di consultabilità propri di ciascun fondo, i materiali declassificati per direttiva confluiscono nel versamento straordinario censito, e la documentazione civile si concentra nei poli privati costituiti in ente, in una dispersione ordinata che nessun soggetto unico governa, Livello A quanto alla mappa dei fondi. Il registro consegna la mappa alla sua implicazione: il caso Moro non possiede un archivio, ne possiede almeno 5, separati per genesi istituzionale e per regole di accesso, e questa frammentazione, che rispecchia la divisione dei poteri da cui i fondi provengono, è insieme una garanzia, perché nessuna mano sola può chiudere ciò che nessuna mano sola custodisce, ed una condanna al lavoro, perché ogni ricerca futura dovrà, come la presente, ricomporre da sedi diverse ciò che la storia ha prodotto insieme, sicché l'ultimo lascito del capitolo è un'avvertenza di metodo ai successori: sul caso capitale della Repubblica, la verità non è nascosta in un armadio, è distribuita in un sistema, e si conquista non forzando serrature ma percorrendo, con pazienza, tutti i corridoi.</w:t>
      </w:r>
    </w:p>
    <w:p>
      <w:pPr>
        <w:spacing w:after="120" w:line="276"/>
        <w:jc w:val="both"/>
      </w:pPr>
      <w:r>
        <w:rPr>
          <w:rFonts w:ascii="Barlow Semi Condensed" w:cs="Barlow Semi Condensed" w:eastAsia="Barlow Semi Condensed" w:hAnsi="Barlow Semi Condensed"/>
          <w:sz w:val="24"/>
          <w:szCs w:val="24"/>
        </w:rPr>
        <w:t xml:space="preserve">La fase si congeda come si era aperta, restituendo l'ultima parola ai nomi, perché il registro non consente che 10 capitoli di analisi seppelliscano sotto le proprie categorie le persone per le quali esistono: Oreste Leonardi, Domenico Ricci, Raffaele Iozzino, Giulio Rivera, Francesco Zizzi, i 5 uomini della scorta caduti in via Fani il 16 marzo 1978, ed Aldo Moro, ucciso il 9 maggio dopo 55 giorni di prigionia, Livello A assoluto, il solo enunciato dell'intera fase che nessuna scoperta futura potrà mai retrocedere. Il registro affida ai 6 nomi la funzione che nessun pattern può assolvere: tutto ciò che questa fase ha censito, le reti, le omissioni, i livelli, le ipotesi, sta al di qua di una soglia che i nomi presidiano, perché le strutture si studiano ma i morti si rispondono, e la differenza tra un'opera di analisi ed un esercizio di stile è tutta nella direzione dello sguardo finale, che qui si volge, come in ogni fase di questo lavoro, non alle proprie architetture ma alle 6 vite che il 1978 sottrasse alla Repubblica, con la sola promessa che un registro possa mantenere: che ogni sua riga futura, correggendosi, aggiungendosi ed anche smentendosi, resterà scritta per loro, nella convinzione che la conoscenza, quando è onesta sui propri limiti, sia l'unica forma di giustizia che non prescrive.</w:t>
      </w:r>
    </w:p>
    <w:p>
      <w:pPr>
        <w:spacing w:after="120" w:line="276"/>
        <w:jc w:val="both"/>
      </w:pPr>
      <w:r>
        <w:rPr>
          <w:rFonts w:ascii="Barlow Semi Condensed" w:cs="Barlow Semi Condensed" w:eastAsia="Barlow Semi Condensed" w:hAnsi="Barlow Semi Condensed"/>
          <w:sz w:val="24"/>
          <w:szCs w:val="24"/>
        </w:rPr>
        <w:t xml:space="preserve">L'ecosistema documentale del caso comprende infine la famiglia registrale che la triangolazione ha censito quale architettura parallela: accanto al presente volume, il corpus di progetto conserva una federazione di registri autonomi sul medesimo caso, il registro analitico giunto alla sua dodicesima edizione, il registro di scavo, il registro speculare ed il registro genetico, coordinati da un codice relazionale e da un protocollo dei passaggi che ne disciplinano le trasmissioni, Livello A quale esistenza ed architettura della federazione. Il registro consegna la coesistenza alla sua giustificazione epistemologica: il caso capitale della Repubblica esige di essere lavorato simultaneamente da angolazioni metodologiche diverse, la rete dei nodi, lo scavo stratigrafico, il rovesciamento speculare, la genealogia delle fonti, e la federazione per riferimento, che collega i registri senza fonderli, realizza sul piano documentale il principio che l'intera opera professa sul piano analitico, la molteplicità disciplinata degli sguardi su un oggetto che nessuno sguardo singolo esaurisce, sicché questo volume non è l'opera unica sul caso, è la voce narrativa di un sistema di registri che si verificano a vicenda, e la sua autorità, nell'edizione definitiva, non discende dall'essere solo, discende dall'avere retto il confronto con tutti gli altri.</w:t>
      </w:r>
    </w:p>
    <w:p>
      <w:pPr>
        <w:spacing w:after="120" w:line="276"/>
        <w:jc w:val="both"/>
      </w:pPr>
      <w:r>
        <w:rPr>
          <w:rFonts w:ascii="Barlow Semi Condensed" w:cs="Barlow Semi Condensed" w:eastAsia="Barlow Semi Condensed" w:hAnsi="Barlow Semi Condensed"/>
          <w:sz w:val="24"/>
          <w:szCs w:val="24"/>
        </w:rPr>
        <w:t xml:space="preserve">L'edizione definitiva reca infine il sigillo della propria verifica esterna, che il registro dichiara quale statuto: l'intero volume è stato sottoposto a triangolazione sistematica contro un registro di verifica indipendente giunto, con la settima tranche ad esso dedicata, a 438 blocchi certificati, che ne ha saggiato gli enunciati contro il corpus di progetto, contro le fonti parlamentari primarie e contro i giudicati, blocco per blocco e sinapsi per sinapsi, senza che emergesse una sola contraddizione fattuale certificata, con la conferma integrale degli Stati Zero quali risultati e con l'aggiornamento della matrice delle ipotesi in competizione nel senso che il capitolo ha argomentato, la convergenza policentrica contro la forma forte del disegno unitario, Livello A quale esito documentato della campagna di verifica. Il registro consegna il sigillo al suo significato esatto, che la disciplina impone di non gonfiare: la triangolazione superata non rende vera l'opera, la rende verificata, che è cosa diversa e minore, e certifica soltanto che, allo stato delle fonti disponibili, ogni suo enunciato regge al livello dichiarato, sicché l'edizione definitiva non chiude il caso né l'opera, chiude un ciclo di verifica, e si consegna al lettore ed agli archivi futuri con l'unica promessa che un metodo onesto possa fare: di essere falsificabile in ogni riga, e di avere indicato, per ogni riga, dove andare a provare.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 piano terzo censisce in 4 famiglie le ipotesi di mandato e concorso esterno, tutte ferme al Livello C con i rispettivi fatti di base certificati ai livelli propri; recepisce al Livello B le acquisizioni documentali della Commissione della XVII legislatura e al Livello C le sue letture dubitative; e appone il sigillo della fase, la distinzione perpetua dei 3 piani, con il piano primo saturo di giudicati, il piano secondo denso di opacità certificate e il piano terzo integralmente ipotetico, chiudendo la lente della doppia lealtà con la dichiarazione del suo valore euristico e della sua nullità probatoria.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4</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ordinato per piani e per versanti, gli archi, le triangolazioni e gli esiti certificati nella fase, con la funzione di riferimento citabile stabilita dai repertori precedenti.</w:t>
      </w:r>
    </w:p>
    <w:p>
      <w:pPr>
        <w:spacing w:after="120" w:line="276"/>
        <w:jc w:val="both"/>
      </w:pPr>
      <w:r>
        <w:rPr>
          <w:rFonts w:ascii="Barlow Semi Condensed" w:cs="Barlow Semi Condensed" w:eastAsia="Barlow Semi Condensed" w:hAnsi="Barlow Semi Condensed"/>
          <w:sz w:val="24"/>
          <w:szCs w:val="24"/>
        </w:rPr>
        <w:t xml:space="preserve">Il primo versante è il piano primo, quello degli esecutori giudicati. Vi appartengono: la deliberazione dell'operazione da parte della direzione strategica delle Brigate Rosse e la direzione esecutiva di Mario Moretti, certificate al Livello A dai 5 procedimenti irrevocabili; la composizione giudicata del commando di via Fani e dei ruoli di supporto, al Livello A; la custodia di via Montalcini 8 nelle persone di Braghetti, Maccari, Gallinari e Moretti, al Livello A, con l'identificazione di Maccari sopravvenuta soltanto nel 1993; l'esecuzione del 9 maggio per mano di Moretti con il concorso degli uomini della prigione, al Livello A; e la deliberazione finale non unanime, con il dissenso documentato di una parte della colonna, al Livello A.</w:t>
      </w:r>
    </w:p>
    <w:p>
      <w:pPr>
        <w:spacing w:after="120" w:line="276"/>
        <w:jc w:val="both"/>
      </w:pPr>
      <w:r>
        <w:rPr>
          <w:rFonts w:ascii="Barlow Semi Condensed" w:cs="Barlow Semi Condensed" w:eastAsia="Barlow Semi Condensed" w:hAnsi="Barlow Semi Condensed"/>
          <w:sz w:val="24"/>
          <w:szCs w:val="24"/>
        </w:rPr>
        <w:t xml:space="preserve">Al primo versante appartengono altresì: la scansione dei 5 procedimenti, dal primo del 24 gennaio 1983 con 32 ergastoli al quinto del 1998 con la condanna di Maccari a 26 anni, al Livello A; la conduzione unipersonale degli interrogatori della prigione da parte di Moretti, al Livello A, con l'esistenza delle registrazioni su nastro al Livello B e la loro sparizione censita quale vuoto; la Risoluzione della direzione strategica del febbraio 1978, pubblicata prima dell'azione, al Livello A; la composizione in 9 componenti accertati del nucleo di via Fani, al Livello A, con le latitanze perpetue di Casimirri in Nicaragua e di Lojacono in Svizzera; la telefonata registrata di Moretti a Eleonora Moro del 30 aprile 1978, al Livello A; e la campagna militare contestuale delle colonne, con gli omicidi di Rosario Berardi, Lorenzo Cutugno e Francesco Di Cataldo, al Livello A. Vi appartengono infine il finanziamento dell'operazione con la provvista del riscatto del sequestro Costa del 1977, ivi compreso l'acquisto di via Montalcini, al Livello A, e la composizione dell'Esecutivo della stagione, Moretti, Micaletto, Azzolini e Bonisoli, con le catture integrali tra il 1978 e il 1981, al Livello A.</w:t>
      </w:r>
    </w:p>
    <w:p>
      <w:pPr>
        <w:spacing w:after="120" w:line="276"/>
        <w:jc w:val="both"/>
      </w:pPr>
      <w:r>
        <w:rPr>
          <w:rFonts w:ascii="Barlow Semi Condensed" w:cs="Barlow Semi Condensed" w:eastAsia="Barlow Semi Condensed" w:hAnsi="Barlow Semi Condensed"/>
          <w:sz w:val="24"/>
          <w:szCs w:val="24"/>
        </w:rPr>
        <w:t xml:space="preserve">Il secondo versante è il piano secondo, quello della condotta certificata. Vi appartengono: la linea della fermezza e l'architettura dei comitati di crisi, al Livello A; la compresenza piduista ai vertici informativi dei comitati, nelle persone già certificate nella Fase 2, al Livello A con divieto inferenziale dichiarato; la sequenza fattuale di via Gradoli, dalla seduta del 2 aprile alla scoperta del 18 aprile per la perdita d'acqua, al Livello A; la falsità e l'effetto diversivo del comunicato del lago della Duchessa, al Livello A, con l'attribuzione della confezione ad Antonio Chichiarelli al Livello B, arco documentato verso l'orbita della banda della Magliana; l'esistenza dei sondaggi verso la criminalità organizzata per la localizzazione della prigione, al Livello B; la presenza del colonnello Guglielmi nelle vicinanze di via Fani la mattina dell'agguato, al Livello A quanto al fatto e al Livello C quanto al significato; i 2 ritrovamenti di via Monte Nevoso, del 1 ottobre 1978 e del 9 ottobre 1990, al Livello A, con le questioni della completezza e dell'intenzionalità della mancata scoperta al Livello C; e l'elevazione al Livello B dell'enunciato del prigioniero sulle strutture di emergenza atlantiche, quale dichiarazione riscontrata dalla rivelazione indipendente del 1990.</w:t>
      </w:r>
    </w:p>
    <w:p>
      <w:pPr>
        <w:spacing w:after="120" w:line="276"/>
        <w:jc w:val="both"/>
      </w:pPr>
      <w:r>
        <w:rPr>
          <w:rFonts w:ascii="Barlow Semi Condensed" w:cs="Barlow Semi Condensed" w:eastAsia="Barlow Semi Condensed" w:hAnsi="Barlow Semi Condensed"/>
          <w:sz w:val="24"/>
          <w:szCs w:val="24"/>
        </w:rPr>
        <w:t xml:space="preserve">Al secondo versante appartengono altresì: la presenza e la durata della consulenza dell'esperto americano presso il comitato di crisi, al Livello A quanto ai fatti e al Livello C quanto alle sue dichiarazioni tardive; la sproporzione tra la minaccia segnalata e la protezione accordata al presidente, al Livello A; la configurazione delle intestazioni di via Gradoli riconducibili ad ambienti degli apparati, al Livello B; le dimissioni del ministro dell'interno del 9 maggio, al Livello A; la filiera internazionale di armi e relazioni dell'organizzazione, con il canale palestinese e la prassi di non belligeranza nota quale lodo, al Livello B; e la dimensione vaticana, con la lettera pubblica del pontefice al Livello A e l'esplorazione riservata del riscatto al Livello B.</w:t>
      </w:r>
    </w:p>
    <w:p>
      <w:pPr>
        <w:spacing w:after="120" w:line="276"/>
        <w:jc w:val="both"/>
      </w:pPr>
      <w:r>
        <w:rPr>
          <w:rFonts w:ascii="Barlow Semi Condensed" w:cs="Barlow Semi Condensed" w:eastAsia="Barlow Semi Condensed" w:hAnsi="Barlow Semi Condensed"/>
          <w:sz w:val="24"/>
          <w:szCs w:val="24"/>
        </w:rPr>
        <w:t xml:space="preserve">Al secondo versante appartengono infine: la compresenza piduista nell'organo di consulenza, nella persona di Franco Ferracuti iscritto alla P2, al Livello A con divieto inferenziale; lo scioglimento dell'Ispettorato antiterrorismo di Santillo alla vigilia della crisi, al Livello A; la meccanica idraulica della scoperta di via Gradoli del 18 aprile, al Livello A, con la sua coincidenza di calendario con il falso della Duchessa; i numeri della macchina delle ricerche, oltre 72.000 posti di blocco e circa 37.000 perquisizioni con esito investigativo nullo, al Livello A; il decreto-legge emergenziale del 21 marzo 1978, al Livello A; la costruzione pubblica della tesi della coartazione e la sua falsificazione filologica sul corpus, al Livello A; e la condotta amplificatrice del sistema informativo in assenza di misure di contenimento, al Livello A.</w:t>
      </w:r>
    </w:p>
    <w:p>
      <w:pPr>
        <w:spacing w:after="120" w:line="276"/>
        <w:jc w:val="both"/>
      </w:pPr>
      <w:r>
        <w:rPr>
          <w:rFonts w:ascii="Barlow Semi Condensed" w:cs="Barlow Semi Condensed" w:eastAsia="Barlow Semi Condensed" w:hAnsi="Barlow Semi Condensed"/>
          <w:sz w:val="24"/>
          <w:szCs w:val="24"/>
        </w:rPr>
        <w:t xml:space="preserve">Il terzo versante è il piano terzo, quello delle ipotesi censite. Vi appartengono, tutte al Livello C con i fatti di base ai livelli propri: le ipotesi di concorso operativo esterno all'azione; le ipotesi di condizionamento della gestione; le 2 varianti dell'ipotesi di interferenza internazionale, reciprocamente escludentisi, con le contrarietà politiche delle 2 superpotenze al progetto moroteo certificate nelle loro manifestazioni pubbliche e ufficiali al Livello A, la dichiarazione del Dipartimento di Stato del 12 gennaio 1978 e la polemica sovietica anti-eurocomunista dal 1976, e al Livello B nelle loro componenti riservate, quali fatti di base; e le ipotesi sul ruolo attivo della criminalità organizzata nel sequestro. Vi appartiene altresì la recezione delle acquisizioni della Commissione della XVII legislatura, con i fatti documentali al Livello B e le letture dubitative al Livello C.</w:t>
      </w:r>
    </w:p>
    <w:p>
      <w:pPr>
        <w:spacing w:after="120" w:line="276"/>
        <w:jc w:val="both"/>
      </w:pPr>
      <w:r>
        <w:rPr>
          <w:rFonts w:ascii="Barlow Semi Condensed" w:cs="Barlow Semi Condensed" w:eastAsia="Barlow Semi Condensed" w:hAnsi="Barlow Semi Condensed"/>
          <w:sz w:val="24"/>
          <w:szCs w:val="24"/>
        </w:rPr>
        <w:t xml:space="preserve">Vi appartiene, quale unico fatto materiale documentato toccato dalla variante orientale, il caso Conforto: l'arresto di Morucci e Faranda il 29 maggio 1979 nella casa di Giuliana Conforto, con il sequestro della mitraglietta Skorpion dell'esecuzione, al Livello A, e la qualità di agente sovietico di lungo corso del padre Giorgio Conforto, schedato quale Dario nelle carte dell'archivio Mitrokhin recepite in sede parlamentare, al Livello B, con ogni lettura del nesso al Livello C. Vi appartiene altresì la contestualità del sequestro con le elezioni legislative francesi del 12 e 19 marzo 1978, al Livello A quanto al calendario e al Livello C quanto a ogni collegamento.</w:t>
      </w:r>
    </w:p>
    <w:p>
      <w:pPr>
        <w:spacing w:after="120" w:line="276"/>
        <w:jc w:val="both"/>
      </w:pPr>
      <w:r>
        <w:rPr>
          <w:rFonts w:ascii="Barlow Semi Condensed" w:cs="Barlow Semi Condensed" w:eastAsia="Barlow Semi Condensed" w:hAnsi="Barlow Semi Condensed"/>
          <w:sz w:val="24"/>
          <w:szCs w:val="24"/>
        </w:rPr>
        <w:t xml:space="preserve">Il quarto versante è quello dei nodi satellite. Vi appartengono: la certificazione di Livello A di Hyperion quanto all'esistenza, alla sede del Quai de la Tournelle 27, alla copertura didattica reale e alla genealogia comune con l'organizzazione esecutrice nel ceppo milanese; i contatti dei fondatori con gli snodi dell'estremismo europeo al Livello B, e le funzioni di centrale e ogni ruolo nel sequestro al Livello C, con l'assenza di condanne certificata; il reperto comparativo Aginter-Hyperion, isomorfismo di Livello A senza connessione operativa documentata; le pubblicazioni e anticipazioni di Pecorelli sul caso, al Livello A, con la derivazione da accesso riservato al Livello B; l'assoluzione definitiva di Andreotti e Badalamenti per l'omicidio Pecorelli, pronunciata dalla Cassazione il 30 ottobre 2003, riportata per esteso, con l'omicidio privo di qualsiasi condannato e l'ipotesi del movente moroteo al Livello C nella qualificazione aggravata; la duplice intersezione di Chichiarelli, comunicato del lago della Duchessa e borsello dell'aprile 1979, al Livello B; il doppio fronte di Dalla Chiesa, antiterrorismo e antimafia, al Livello A, con il mandato mafioso del suo assassinio giudicato in via irrevocabile, tra i condannati per la terza volta Giuseppe Calò; le denunce di isolamento del prefetto al Livello A e la controversia sui suoi materiali documentali al Livello B, con ogni lettura di concorsi esterni al Livello C.</w:t>
      </w:r>
    </w:p>
    <w:p>
      <w:pPr>
        <w:spacing w:after="120" w:line="276"/>
        <w:jc w:val="both"/>
      </w:pPr>
      <w:r>
        <w:rPr>
          <w:rFonts w:ascii="Barlow Semi Condensed" w:cs="Barlow Semi Condensed" w:eastAsia="Barlow Semi Condensed" w:hAnsi="Barlow Semi Condensed"/>
          <w:sz w:val="24"/>
          <w:szCs w:val="24"/>
        </w:rPr>
        <w:t xml:space="preserve">Al quarto versante appartengono altresì: il precedente MiFoBiali quale certificazione dell'accesso di Pecorelli al livello più riservato degli apparati, al Livello A; la stagione istruttoria veneziana di Mastelloni sui canali internazionali dell'organizzazione, con i proseguimenti sul capitolo Hyperion, al Livello A; il contesto ordinamentale francese della non estradizione quale causa documentata dell'inaccessibilità di Hyperion, al Livello A; i rapporti di Pecorelli con l'orbita gelliana e i relativi flussi, al Livello B; la serie degli omicidi eccellenti romani del 1979, Pecorelli, Varisco e Ambrosoli, quale finestra critica del Pattern 3, con le date al Livello A e ogni regia comune al Livello C; l'annotazione autografa di Dalla Chiesa del 5 aprile 1982 sull'incontro con Andreotti, prodotta al processo di Palermo, al Livello A; gli esecutori dell'omicidio del prefetto identificati per via confessoria negli anni Novanta, tra cui Antonino Madonia condannato in via definitiva, al Livello A; e il contesto della seconda guerra di mafia, con gli omicidi di Mattarella, Giuliano, Costa e La Torre con Di Salvo, al Livello A.</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documentali, che la fase eleva a categoria censita: le 5 borse del presidente, sottratte in via Fani e mai recuperate; la prigione mai individuata durante i 55 giorni, nonostante lo spiegamento certificato; gli originali manoscritti del memoriale e le registrazioni degli interrogatori mai rinvenuti; gli archivi di Hyperion mai aperti; e le carte controverse di Dalla Chiesa. I 5 vuoti sono certificati quali assenze documentate, e la loro ricorrenza è assunta quale pattern proprio della fase.</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Gli esiti assolutori definitivi riportati per esteso nella fase sono quelli di Giulio Andreotti e Gaetano Badalamenti per l'omicidio Pecorelli, unitamente agli esiti assolutori degli altri imputati del medesimo processo; il registro richiama altresì, dai capitoli, l'assenza di ogni condanna a carico dei fondatori di Hyperion. Le condanne irrevocabili certificate nella fase sono quelle dei dirigenti, degli esecutori e dei custodi del sequestro Moro nei 5 procedimenti, tra cui Moretti, Morucci, Fiore, Bonisoli, Gallinari, Seghetti, Faranda, Balzerani, Braghetti e Maccari; e quelle dei mandanti e degli esecutori dell'assassinio di Dalla Chiesa, Setti Carraro e Russo. Le vittime nominate della fase sono, quale nucleo del caso, 9: i 5 uomini della scorta di via Fani, Oreste Leonardi, Domenico Ricci, Francesco Zizzi, Giulio Rivera e Raffaele Iozzino; Aldo Moro; Mino Pecorelli; Emanuela Setti Carraro e Domenico Russo, con Carlo Alberto Dalla Chiesa. A esse la fase aggiunge le vittime collegate nominate nei capitoli, quali termini certificati del contesto: Placido Rizzotto, Francesco Coco con Giovanni Saponara e Antioco Deiana, Carlo Casalegno, Rosario Berardi, Lorenzo Cutugno, Francesco Di Cataldo, Giuseppe Impastato, Antonio Varisco, Giorgio Ambrosoli, Roberto Peci, Roberto Ruffilli, Piersanti Mattarella, Boris Giuliano, Gaetano Costa e Pio La Torre con Rosario Di Salvo, oltre ai 4 militanti caduti nell'irruzione di via Fracchia; il registro le nomina tutte quale atto dovuto, distinguendo il nucleo del caso dalle vittime di contesto senza sottrarre a nessuna la menzione.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60 tra archi, triangolazioni ed esiti certificati nella fase, distribuiti sui 5 versanti e sorretti da un apparato di oltre 130 pilastri documentali e 30 triangolazioni nodali, ordinati secondo i 3 piani della decomposizione e i versanti satellite, con 1 blocco assolutorio definitivo riportato per esteso, 2 blocchi di condanne irrevocabili, 5 buchi strutturali documentali censiti quale categoria propria, il nucleo di 9 vittime del caso e le vittime collegate nominate dei capitoli; esso costituisce d'ora innanzi il riferimento citabile per ogni richiamo interno dell'opera al sottografo del caso Moro.</w:t>
      </w:r>
    </w:p>
    <w:p>
      <w:pPr>
        <w:pStyle w:val="Heading3"/>
        <w:spacing w:after="80" w:before="160"/>
      </w:pPr>
      <w:r>
        <w:rPr>
          <w:rFonts w:ascii="Barlow Semi Condensed" w:cs="Barlow Semi Condensed" w:eastAsia="Barlow Semi Condensed" w:hAnsi="Barlow Semi Condensed"/>
          <w:sz w:val="24"/>
          <w:szCs w:val="24"/>
        </w:rPr>
        <w:t xml:space="preserve">Chiusura della Fase 4 — Lettura reticolare, il nodo di massima densità e il bilancio dell'ipotesi H1 sul suo terreno più favorevole</w:t>
      </w:r>
    </w:p>
    <w:p>
      <w:pPr>
        <w:pStyle w:val="Heading3"/>
        <w:spacing w:after="80" w:before="160"/>
      </w:pPr>
      <w:r>
        <w:rPr>
          <w:rFonts w:ascii="Barlow Semi Condensed" w:cs="Barlow Semi Condensed" w:eastAsia="Barlow Semi Condensed" w:hAnsi="Barlow Semi Condensed"/>
          <w:sz w:val="24"/>
          <w:szCs w:val="24"/>
        </w:rPr>
        <w:t xml:space="preserve">La chiusura compone i 10 nodi nella lettura reticolare e rende i bilanci della fase.</w:t>
      </w:r>
    </w:p>
    <w:p>
      <w:pPr>
        <w:spacing w:after="120" w:line="276"/>
        <w:jc w:val="both"/>
      </w:pPr>
      <w:r>
        <w:rPr>
          <w:rFonts w:ascii="Barlow Semi Condensed" w:cs="Barlow Semi Condensed" w:eastAsia="Barlow Semi Condensed" w:hAnsi="Barlow Semi Condensed"/>
          <w:sz w:val="24"/>
          <w:szCs w:val="24"/>
        </w:rPr>
        <w:t xml:space="preserve">Il primo risultato è la conferma quantitativa e qualitativa del caso Moro quale nodo di massima densità dell'intero grafo dell'opera. Sul piano quantitativo, la frequenza documentale del nodo, 3.428 occorrenze in 113 documenti, più della metà del corpus, non ha eguali; sul piano qualitativo, sul caso convergono archi certificati provenienti da tutti i domini sinora trattati: il Dominio 7 degli esecutori giudicati, il Dominio 3 e il Dominio 4 nella compresenza piduista ai vertici della gestione, il Dominio 1 nell'orbita della Magliana attraverso Chichiarelli e nei sondaggi verso la criminalità, il Dominio 8 nella vicenda di Pecorelli, il Dominio 2 quale teatro dell'intera posta politica, il Dominio 10 nella più lunga serie di procedimenti della storia repubblicana, il Dominio 9 nella struttura antiterrorismo di Dalla Chiesa, il Dominio 5 nella dimensione vaticana del soccorso tentato e fallito. Nessun altro evento dell'opera aggrega una simile trasversalità di archi certificati, e la topologia conferma ciò che il capitolo 1 ha enunciato: il caso Moro è l'evento che colpì il nodo a massima centralità del sistema, e la rete dell'opera, costruita dai dati, restituisce l'evento quale suo punto di massima densità, in una circolarità che non è un artefatto ma la misura della posta.</w:t>
      </w:r>
    </w:p>
    <w:p>
      <w:pPr>
        <w:spacing w:after="120" w:line="276"/>
        <w:jc w:val="both"/>
      </w:pPr>
      <w:r>
        <w:rPr>
          <w:rFonts w:ascii="Barlow Semi Condensed" w:cs="Barlow Semi Condensed" w:eastAsia="Barlow Semi Condensed" w:hAnsi="Barlow Semi Condensed"/>
          <w:sz w:val="24"/>
          <w:szCs w:val="24"/>
        </w:rPr>
        <w:t xml:space="preserve">Il secondo risultato è il rendimento della decomposizione in 3 piani, che la fase consegna quale strumento validato. Il piano primo è risultato saturo: il caso Moro è, insieme a Brescia e a Bologna, uno dei 3 eventi capitali dell'opera con quadro esecutivo integralmente giudicato, e la circostanza che la saturazione si sia compiuta in 15 anni e 5 procedimenti, con l'ultimo custode identificato a 15 anni dai fatti, conferma la natura processuale e non originaria della completezza. Il piano secondo è risultato il più denso dell'intera opera in fatti certificati non spiegati: la compresenza piduista, le anomalie di Gradoli e della Duchessa, la presenza di Guglielmi, i 2 ritrovamenti a 12 anni di distanza, i sondaggi verso la criminalità compongono un quadro che il registro ha certificato pezzo per pezzo, e che nessuna delle 2 vulgate contrapposte, quella del complotto integrale e quella della vicenda chiusa, rappresenta correttamente: la prima perché salda i pezzi in un disegno che nessuna prova unifica, la seconda perché rimuove pezzi che nessuna spiegazione innocente ha integralmente assorbito. Il piano terzo è rimasto integralmente ipotetico, e il sigillo del divieto inferenziale, tenuto per 10 capitoli su un materiale che lo ha sollecitato a ogni pagina, è la prova di tenuta del metodo che la fase consegna alle 2 conclusive.</w:t>
      </w:r>
    </w:p>
    <w:p>
      <w:pPr>
        <w:spacing w:after="120" w:line="276"/>
        <w:jc w:val="both"/>
      </w:pPr>
      <w:r>
        <w:rPr>
          <w:rFonts w:ascii="Barlow Semi Condensed" w:cs="Barlow Semi Condensed" w:eastAsia="Barlow Semi Condensed" w:hAnsi="Barlow Semi Condensed"/>
          <w:sz w:val="24"/>
          <w:szCs w:val="24"/>
        </w:rPr>
        <w:t xml:space="preserve">La comparazione tra i 3 eventi a piano primo saturo che l'opera ha censito, Brescia, Bologna e il caso Moro, merita un capoverso proprio, perché i 3 percorsi di saturazione differiscono in modo istruttivo: a Brescia la saturazione giunse dall'esterno, per l'apporto congiunto delle veline desecretate e delle fonti dichiarative maturate, contro la negazione perpetua dei condannati; a Bologna giunse per via peritale e dibattimentale, contro la negazione parimenti perpetua degli esecutori giudicati; nel caso Moro giunse dall'interno, per via confessoria e memorialistica, con gli autori che rivendicano il fatto e ne difendono l'autonomia. Il registro certifica al Livello A questa tripartizione dei percorsi, quale dato comparativo della storia degli accertamenti, e ne trae l'annotazione: la qualità del sapere giudiziario sui 3 eventi non è omogenea, perché il sapere fondato sulla confessione degli autori conosce ciò che gli autori scelgono di consegnare, e il caso Moro, il più saturo dei 3 sul piano formale, è anche quello in cui la fonte del sapere coincide con la parte che ha il massimo interesse a delimitarlo; la circostanza non degrada i giudicati, che restano certificati, ma qualifica la natura del loro fondamento, e spiega perché, unico tra i 3, il caso Moro conservi un piano terzo così popolato di domande.</w:t>
      </w:r>
    </w:p>
    <w:p>
      <w:pPr>
        <w:spacing w:after="120" w:line="276"/>
        <w:jc w:val="both"/>
      </w:pPr>
      <w:r>
        <w:rPr>
          <w:rFonts w:ascii="Barlow Semi Condensed" w:cs="Barlow Semi Condensed" w:eastAsia="Barlow Semi Condensed" w:hAnsi="Barlow Semi Condensed"/>
          <w:sz w:val="24"/>
          <w:szCs w:val="24"/>
        </w:rPr>
        <w:t xml:space="preserve">Il terzo risultato è il pattern dei vuoti documentali, che la fase eleva a reperto proprio. I 5 buchi censiti nel repertorio, le borse di via Fani, la prigione, gli originali, gli archivi parigini, le carte del generale, condividono una struttura: in ciascun caso, l'assenza non è generica ma puntuale, riguarda esattamente il materiale che avrebbe il massimo potere discriminante tra le ipotesi, e si accompagna a una spiegazione ordinaria possibile ma non verificabile. Il registro, che ha codificato nella Fase 3 la tassonomia delle 7 specie dell'ostruzione attiva, registra qui la figura complementare, l'assenza selettiva, che non è certificabile quale condotta, giacché l'intenzionalità di un vuoto è per definizione l'ultima cosa che un vuoto documenta, ma che è certificabile quale distribuzione: e la distribuzione delle assenze del caso Moro, concentrate sui punti di massimo potere discriminante, è un dato statistico-strutturale che il registro consegna, quale reperto di Livello B sulla configurazione complessiva e non su alcuna condotta individuale, alla riflessione conclusiva dell'opera.</w:t>
      </w:r>
    </w:p>
    <w:p>
      <w:pPr>
        <w:spacing w:after="120" w:line="276"/>
        <w:jc w:val="both"/>
      </w:pPr>
      <w:r>
        <w:rPr>
          <w:rFonts w:ascii="Barlow Semi Condensed" w:cs="Barlow Semi Condensed" w:eastAsia="Barlow Semi Condensed" w:hAnsi="Barlow Semi Condensed"/>
          <w:sz w:val="24"/>
          <w:szCs w:val="24"/>
        </w:rPr>
        <w:t xml:space="preserve">Il registro aggiunge al reperto la comparazione con la tassonomia della Fase 3. La stagione stragista aveva consegnato 7 specie di ostruzione attiva, tutte giudizialmente accertate, dal reperto distrutto alla pista fabbricata sino al depistaggio organizzato; il caso Moro, per contrasto, presenta una sola condotta ostruttiva attiva certificata con attribuzione, il falso comunicato della Duchessa, e per il resto esibisce la figura passiva delle assenze: nessuna perizia falsificata giudicata, nessun deposito occultato accertato, ma borse che non si trovano, originali che non emergono, archivi che non si aprono. La comparazione certifica una differenza di regime tra i 2 teatri: dove la Fase 3 ha documentato l'inquinamento per commissione, la Fase 4 documenta la menomazione per sottrazione, e la seconda è, per costruzione, la forma meno perseguibile e meno certificabile dell'ostacolo, giacché la commissione lascia autori e la sottrazione lascia vuoti; il registro consegna questa asimmetria alla riflessione conclusiva dell'opera quale possibile evoluzione della tecnica, annotandola quale ipotesi comparativa di Livello C e non quale accertamento.</w:t>
      </w:r>
    </w:p>
    <w:p>
      <w:pPr>
        <w:spacing w:after="120" w:line="276"/>
        <w:jc w:val="both"/>
      </w:pPr>
      <w:r>
        <w:rPr>
          <w:rFonts w:ascii="Barlow Semi Condensed" w:cs="Barlow Semi Condensed" w:eastAsia="Barlow Semi Condensed" w:hAnsi="Barlow Semi Condensed"/>
          <w:sz w:val="24"/>
          <w:szCs w:val="24"/>
        </w:rPr>
        <w:t xml:space="preserve">A margine del terzo risultato, la fase consegna 2 fili nodali che la lettura reticolare conclusiva dovrà raccogliere, ciascuno emblematico di una disciplina del metodo. Il primo è il filo di Gaetano Badalamenti, il nodo che la fase ha registrato con i 2 esiti opposti che lo attraversano: mandante condannato all'ergastolo per l'omicidio di Giuseppe Impastato, nella sentenza dell'aprile 2002, e imputato assolto in via definitiva per l'omicidio di Mino Pecorelli, nell'annullamento senza rinvio della Cassazione del 30 ottobre 2003; la compresenza sul medesimo individuo di una condanna irrevocabile e di un'assoluzione irrevocabile per 2 omicidi della stessa stagione è il caso che meglio illustra la disciplina degli esiti dell'opera, la quale segue il giudicato in entrambe le direzioni senza costruire coerenze che il giudicato non autorizza, e il registro lo consegna quale promemoria terminale della regola, il nodo che porta insieme il massimo della responsabilità accertata e il massimo dell'accusa respinta. Il secondo è il filo di Giorgio Conforto: la fase ha certificato al Livello A che la mitraglietta Skorpion dell'esecuzione di via Caetani fu sequestrata nella casa di Giuliana Conforto all'atto dell'arresto di Morucci e Faranda il 29 maggio 1979, e al Livello B che il padre di lei era agente sovietico di lungo corso schedato quale Dario nelle carte dell'archivio Mitrokhin; questo è, per dichiarazione del registro, l'unico punto dell'intera fase in cui la variante orientale del piano terzo tocca un fatto materiale documentato, e la disciplina vi ha operato nella sua forma più pura, certificando il fatto con precisione e rifiutando il passo che nessun documento sostiene, giacché la custodia dell'arma sotto il tetto della figlia di un agente schedato è un fatto e non una prova di regia, e la distanza tra le 2 cose è l'intera posta del metodo; il registro consegna il filo alla Fase 5 quale banco di prova terminale della Regola Ferrea sul più suggestivo dei materiali.</w:t>
      </w:r>
    </w:p>
    <w:p>
      <w:pPr>
        <w:spacing w:after="120" w:line="276"/>
        <w:jc w:val="both"/>
      </w:pPr>
      <w:r>
        <w:rPr>
          <w:rFonts w:ascii="Barlow Semi Condensed" w:cs="Barlow Semi Condensed" w:eastAsia="Barlow Semi Condensed" w:hAnsi="Barlow Semi Condensed"/>
          <w:sz w:val="24"/>
          <w:szCs w:val="24"/>
        </w:rPr>
        <w:t xml:space="preserve">Il quarto risultato è il bilancio dell'ipotesi H1, condotto sul terreno che la vulgata considera il più favorevole all'ipotesi, e che il registro dichiara nel suo esito più articolato. La fase ha certificato i fatti di base che la lettura convergentista invoca, distinguendone i livelli con la precisione che i documenti impongono: la contrarietà americana e la contrarietà sovietica al progetto moroteo, nelle loro manifestazioni pubbliche e ufficiali, sono certificate al Livello A, la prima dalla dichiarazione del Dipartimento di Stato del 12 gennaio 1978 sull'indesiderabilità della partecipazione comunista ai governi occidentali, la seconda dalla polemica condotta dagli organi del partito sovietico contro l'eurocomunismo dal 1976; le loro componenti riservate, gli avvertimenti personali ricevuti da Moro documentati dalla deposizione della vedova e dalle testimonianze dei collaboratori, e ogni loro traduzione operativa, restano al Livello B; e la circostanza oggettiva che l'eliminazione di Moro produsse l'esito che entrambe le contrarietà auspicavano, la fine del progetto, è essa stessa un fatto. Il registro formalizza il punto con la tassonomia della propria Nota metodologica: quanto è certificato configura, al più, un arco di convergenza del quarto tipo, la convergenza oggettiva di effetti prodotta da attori privi di relazione documentata, ciascuno mosso da ragioni proprie e speculari, la potenza occidentale dal timore del comunismo al governo di un Paese dell'Alleanza, quella orientale dal timore di un comunismo occidentale legittimato e autonomo; e la Nota avverte che l'arco di convergenza è precisamente il tipo in cui la convergenza può essere tanto intenzionale quanto emergente, e che la discriminazione tra le 2 nature esige prove di coordinamento. Tali prove, all'esito della fase, non esistono: nessun documento, nessun giudicato, nessuna acquisizione parlamentare attesta un coordinamento tra i 2 campi sul caso Moro, e le 2 varianti dell'ipotesi di interferenza si escludono reciprocamente nella stessa letteratura che le propone. Il bilancio è dunque il seguente: sul suo terreno più favorevole, H1 raggiunge il massimo che abbia raggiunto nell'intera opera, la certificazione al Livello A delle contrarietà pubbliche e al Livello B della loro qualificazione congiunta quale convergenza oggettiva di interessi contrari al progetto moroteo; e vi si arresta, giacché la forma forte dell'ipotesi, la convergenza operativa, resta al Livello C senza alcun elemento, e la forma debole certificata è pienamente compatibile con il falsificatore milwardiano, per il quale le potenze perseguono i propri interessi ordinari senza necessità di cabine comuni. Il registro consegna alla Fase 5 questa formalizzazione quale stato terminale dell'ipotesi prima della verifica conclusiva.</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e il filo di Calò. La saldatura della fase al grafo cumulato produce 2 conferme e 1 emersione. Le conferme: la P2 mantiene la massima intermediazione complessiva, presente nel caso Moro attraverso la compresenza certificata ai vertici della gestione e ora, per la fase, anche nell'organo di consulenza, con Franco Ferracuti che aggiunge all'orbita piduista dei comitati la sua estensione all'apparato tecnico della crisi, quarta presenza nei 4 teatri maggiori dell'opera; e il Dominio 3 conferma la propria natura di connettivo universale, presente in ogni evento capitale attraverso fonti, presenze o gestioni. All'aggiornamento delle centralità la fase aggiunge inoltre le 2 misure individuali che il caso Moro impone al grafo: la centralità di Mario Moretti nel piano primo, l'uomo per cui passano, per giudicato, tutti gli archi dell'esecuzione, l'organizzatore di via Fani, l'unico interrogante della prigione, l'esecutore materiale, il portavoce dell'ultima telefonata, una concentrazione di funzioni su un solo nodo che non ha eguali nel piano primo di alcun evento dell'opera e che il registro certifica quale massimo di centralità esecutiva individuale del corpus; e la posizione di Francesco Cossiga, ministro dell'interno titolare della gestione e delle sue 343 anomalie censite, dimessosi il 9 maggio, il cui nodo congiunge la responsabilità politica della crisi alla stagione successiva delle istituzioni repubblicane, e che il registro annota quale nodo di raccordo tra il piano secondo del caso e la storia istituzionale che la Fase 5 dovrà chiudere. L'emersione è il filo di Giuseppe Calò: il nodo della Fase 1 compare ora, per giudicato irrevocabile, quale mandante dell'omicidio Mattarella, quale mandante dell'assassinio di Dalla Chiesa e quale condannato per la strage del rapido 904, e la sua posizione giudiziaria cumulata, unita alla sua qualità di cassiere e alla sua orbita romana certificata nella Fase 1, ne fa il singolo individuo con il maggior numero di giudicati capitali dell'intera opera: il registro lo eleva a nodo di verifica per la Fase 5, nella quale la lettura reticolare conclusiva dovrà misurarne la centralità effettiva nel grafo completo.</w:t>
      </w:r>
    </w:p>
    <w:p>
      <w:pPr>
        <w:spacing w:after="120" w:line="276"/>
        <w:jc w:val="both"/>
      </w:pPr>
      <w:r>
        <w:rPr>
          <w:rFonts w:ascii="Barlow Semi Condensed" w:cs="Barlow Semi Condensed" w:eastAsia="Barlow Semi Condensed" w:hAnsi="Barlow Semi Condensed"/>
          <w:sz w:val="24"/>
          <w:szCs w:val="24"/>
        </w:rPr>
        <w:t xml:space="preserve">Il sesto risultato è il bilancio dei pattern analitici applicati alla fase, che il registro dichiara quale rendiconto onesto dei propri strumenti. La fase ha attivato con resa piena 5 dei pattern dell'apparato: il Pattern 1, l'analisi dei nodi centrali, con le centralità di Moro nel grafo e di Moretti nel piano primo; il Pattern 3, l'analisi delle coincidenze temporali, che ha prodotto la messe maggiore, la finestra critica del 18 aprile con la doppia compresenza di Gradoli e della Duchessa, la finestra critica della stagione romana degli omicidi eccellenti del 1979, la contestualità con le elezioni francesi e la sincronia dello scioglimento dell'apparato antiterrorismo di Santillo; il Pattern 6, l'analisi delle ipotesi concorrenti, che ha governato l'intera architettura a 3 piani e la formalizzazione dell'evidenza non diagnostica; il Pattern 10, l'analisi della convergenza geografica, con la topografia di via Caetani e la geografia speculare delle capitali-rifugio dei latitanti; il Pattern 11, l'isomorfismo strutturale, con il reperto Aginter-Hyperion quale convergenza indipendente sulla grammatica della clandestinità. A questi si aggiunge la resa parziale del Pattern 7, l'analisi della migrazione inter-dominio, che nel percorso di Carlo Alberto Dalla Chiesa attraverso i teatri di Corleone, dell'antimafia dei rapporti, dell'antiterrorismo e della prefettura di Palermo ha trovato il suo caso più compiuto della fase, e del Pattern 9, l'analisi delle dinastie, che sul caso Moro ha prodotto il reperto in negativo dell'assenza di trasmissione generazionale, censita quale dato. Il registro dichiara che i Pattern 2, 4, 5 e 8, la rilevazione di comunità, l'analisi dei flussi, i buchi strutturali quali constraint e lo sfruttamento delle crisi, non hanno prodotto sulla fase reperti autonomi eccedenti quanto registrato, e attribuisce la parziale attivazione alla natura dell'oggetto, un evento singolo per quanto denso, che non sollecita l'intero apparato di una metodologia costruita per il grafo complessivo; la Fase 5, operando sul grafo intero e sull'intero arco cronologico, ne attiverà le misure residue, e il registro consegna questo bilancio quale sigillo metodologico della fase, la dichiarazione esplicita di ciò che gli strumenti hanno reso e di ciò che, per la natura del materiale, resta alla verifica conclusiva.</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alla Fase 5, l'ultima: il teatro internazionale, con Hyperion quale archivio mai aperto e con gli archivi francesi della non estradizione quale primo obiettivo documentale, da affiancare ai teatri iberico, latinoamericano e sudafricano già consegnati dalle fasi precedenti, e con l'arco latinoamericano riaperto dalla latitanza nicaraguense di Alessio Casimirri, uno dei 2 uomini di via Fani mai raggiunti dall'esecuzione penale, che salda il caso al continente delle diaspore della fase conclusiva; la formalizzazione terminale di H1 nella distinzione tra convergenza oggettiva certificata, ora al Livello A nelle sue manifestazioni pubbliche, e convergenza operativa non documentata, da sottoporre alla verifica conclusiva insieme all'ipotesi concorrente; il filo di Calò e il calcolo finale delle centralità sul grafo completo, con le posizioni individuali di Moretti e Cossiga da collocare nel grafo cumulato; il filo balistico che congiunge i proiettili Gevelot dell'omicidio Pecorelli all'arsenale della banda della Magliana, quale traccia materiale del raccordo tra il Dominio 8 e il Dominio 1 romano da verificare sul grafo intero; il pattern delle assenze selettive, da comparare con le serie internazionali che la fase conclusiva censirà; e la ricognizione sistematica del versato archivistico del 2014 quale secondo obiettivo documentale, accanto agli archivi francesi. Con la Fase 4 si chiude il perimetro nazionale dell'opera: i 4 cerchi, il quadrilatero, gli apparati, lo stragismo e il caso Moro, sono censiti, e resta il quinto, il mondo.</w:t>
      </w:r>
    </w:p>
    <w:p>
      <w:pPr>
        <w:spacing w:after="120" w:line="276"/>
        <w:jc w:val="both"/>
      </w:pPr>
      <w:r>
        <w:rPr>
          <w:rFonts w:ascii="Barlow Semi Condensed" w:cs="Barlow Semi Condensed" w:eastAsia="Barlow Semi Condensed" w:hAnsi="Barlow Semi Condensed"/>
          <w:sz w:val="24"/>
          <w:szCs w:val="24"/>
        </w:rPr>
        <w:t xml:space="preserve">Il congedo della fase è una dichiarazione di stato. L'edizione integrale consegna il caso Moro e i suoi satelliti nella forma più estesa che lo stato certificato degli atti consenta alla data della redazione: 10 nodi, oltre 140 pilastri documentali, 30 triangolazioni, 5 versanti di repertorio, 6 risultati reticolari, con le 3 soglie archivistiche del 1978, del 1990 e del 2014 dichiarate quali condizioni storiche della conoscenza e con le 2 frontiere ancora chiuse, gli archivi francesi e il perimetro non versato, indicate quali obiettivi. Nulla di ciò che il registro ha certificato è definitivo nel senso che la parola ha fuori dal metodo: ogni livello porta la data del proprio fondamento, ogni vuoto attende il documento che lo colmi, ogni ipotesi attende la prova che la promuova o la falsifichi, e la fase si chiude non con una verità ma con un inventario, che è la sola forma di verità che il campo studiato conceda a chi rifiuti tanto il romanzo quanto la rimozione. Il registro consegna dunque il perimetro nazionale compiuto, le 4 fasi che vanno dai cerchi criminali del dopoguerra al 9 maggio 1978 e al 3 settembre 1982, quale fondamento documentale della fase conclusiva, nella quale il grafo intero, saldato ai teatri internazionali, sarà sottoposto alla lettura reticolare finale e alla verifica delle macro-ipotesi, con gli strumenti, i livelli e le regole che le 4 fasi hanno collaudato e che l'ultima erediterà senza mutarne una sola riga.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4 certifica il caso Moro quale nodo di massima densità del grafo, con il piano primo saturo di 5 giudicati, il piano secondo denso di fatti certificati non spiegati e il piano terzo integralmente ipotetico sotto sigillo inferenziale; eleva a reperto la distribuzione selettiva dei 5 vuoti documentali, al Livello B quale configurazione; porta l'ipotesi H1 al suo massimo storico, la certificazione al Livello A delle contrarietà pubbliche delle 2 superpotenze al progetto moroteo e al Livello B della loro convergenza oggettiva, negandole ogni elemento di convergenza operativa e mantenendola compatibile con il falsificatore concorrente; registra i fili di Badalamenti e di Conforto quali banchi di prova terminali della disciplina degli esiti e della Regola Ferrea; rende conto dei 6 pattern attivati con resa piena o parziale e dei 4 rinviati al grafo completo; ed emette il filo di Calò, l'individuo con più giudicati capitali dell'opera, verso la fase conclusiva, alla quale consegna il teatro internazionale, gli archivi francesi e del 2014, l'arco latinoamericano di Casimirri e la sintesi finale.</w:t>
      </w:r>
    </w:p>
    <w:p>
      <w:pPr>
        <w:pStyle w:val="Heading2"/>
        <w:spacing w:after="100" w:before="200"/>
      </w:pPr>
      <w:r>
        <w:rPr>
          <w:rFonts w:ascii="Barlow Semi Condensed" w:cs="Barlow Semi Condensed" w:eastAsia="Barlow Semi Condensed" w:hAnsi="Barlow Semi Condensed"/>
          <w:sz w:val="24"/>
          <w:szCs w:val="24"/>
        </w:rPr>
        <w:t xml:space="preserve">FASE 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teatro internazionale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quinto cerchio: il mondo, la verifica delle macro-ipotesi 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Avvertenza di fase, statuto della conclusione e disciplina delle fonti internazionali</w:t>
      </w:r>
    </w:p>
    <w:p>
      <w:pPr>
        <w:spacing w:after="120" w:line="276"/>
        <w:jc w:val="both"/>
      </w:pPr>
      <w:r>
        <w:rPr>
          <w:rFonts w:ascii="Barlow Semi Condensed" w:cs="Barlow Semi Condensed" w:eastAsia="Barlow Semi Condensed" w:hAnsi="Barlow Semi Condensed"/>
          <w:sz w:val="24"/>
          <w:szCs w:val="24"/>
        </w:rPr>
        <w:t xml:space="preserve">La Fase 5 è la fase conclusiva dell'opera e il suo statuto è duplice: essa è, in primo luogo, il censimento dei nodi internazionali che le 4 fasi nazionali hanno consegnato quali fili aperti, il teatro iberico di Aginter Press, le diaspore latinoamericane, l'hub sudafricano, la Francia di Hyperion, il Mediterraneo del lodo, l'Est degli archivi trasferiti, l'Atlantico dei canali documentati e il sistema continentale delle reti stay-behind; ed è, in secondo luogo, la sede della verifica finale, nella quale le macro-ipotesi dell'opera sono sottoposte al giudizio del grafo completo, secondo il metodo delle ipotesi concorrenti che le fasi hanno collaudato. La fase eredita integralmente l'apparato delle precedenti, i 3 livelli di certificazione, la Regola Ferrea che vieta il passaggio inferenziale dal fatto documentato alla condotta non dimostrata, la disciplina degli esiti che riporta per esteso condanne e assoluzioni, la nominazione delle vittime quale atto dovuto, e non ne muta una sola regola.</w:t>
      </w:r>
    </w:p>
    <w:p>
      <w:pPr>
        <w:spacing w:after="120" w:line="276"/>
        <w:jc w:val="both"/>
      </w:pPr>
      <w:r>
        <w:rPr>
          <w:rFonts w:ascii="Barlow Semi Condensed" w:cs="Barlow Semi Condensed" w:eastAsia="Barlow Semi Condensed" w:hAnsi="Barlow Semi Condensed"/>
          <w:sz w:val="24"/>
          <w:szCs w:val="24"/>
        </w:rPr>
        <w:t xml:space="preserve">Una disciplina propria governa le fonti internazionali. Il campo della fase è attraversato da un'asimmetria archivistica strutturale che il registro dichiara quale condizione e non quale accidente: gli ordinamenti hanno aperto i propri archivi riservati in tempi, misure e forme radicalmente diverse, sicché la conoscibilità dei fatti non è uniforme nello spazio, e la densità documentale di un teatro misura anzitutto la storia delle sue aperture, non l'intensità della sua storia. Il registro assume perciò 2 cautele permanenti: ogni certificazione porta con sé l'indicazione implicita del regime archivistico che l'ha resa possibile, e ogni comparazione tra teatri incorpora la correzione per l'asimmetria, rifiutando di leggere il silenzio di un archivio chiuso quale assenza del fatto e la loquacità di un archivio aperto quale eccezionalità del teatro. La fase eleva questa cautela, nel capitolo dedicato, a oggetto di studio autonomo, censendo la regolarità empirica delle aperture quale reperto dell'opera.</w:t>
      </w:r>
    </w:p>
    <w:p>
      <w:pPr>
        <w:spacing w:after="120" w:line="276"/>
        <w:jc w:val="both"/>
      </w:pPr>
      <w:r>
        <w:rPr>
          <w:rFonts w:ascii="Barlow Semi Condensed" w:cs="Barlow Semi Condensed" w:eastAsia="Barlow Semi Condensed" w:hAnsi="Barlow Semi Condensed"/>
          <w:sz w:val="24"/>
          <w:szCs w:val="24"/>
        </w:rPr>
        <w:t xml:space="preserve">Una seconda disciplina governa la categoria dello Stato Zero, che la fase impiega quale strumento ordinario. Lo Stato Zero designa la connessione sistematicamente cercata e non trovata, la verifica compiuta con esito negativo integrale, e il registro lo tratta quale risultato di prima classe, dotato della medesima dignità analitica del risultato positivo: in un campo saturo di suggestioni, la certificazione documentata di un'assenza è spesso più preziosa della certificazione di una presenza, perché delimita lo spazio delle ipotesi con la forza che soltanto la ricerca condotta e fallita possiede. Ogni Stato Zero della fase è accompagnato dalla dichiarazione del perimetro della ricerca che lo fonda, giacché un'assenza vale quanto vale la ricerca che non l'ha colmata.</w:t>
      </w:r>
    </w:p>
    <w:p>
      <w:pPr>
        <w:spacing w:after="120" w:line="276"/>
        <w:jc w:val="both"/>
      </w:pPr>
      <w:r>
        <w:rPr>
          <w:rFonts w:ascii="Barlow Semi Condensed" w:cs="Barlow Semi Condensed" w:eastAsia="Barlow Semi Condensed" w:hAnsi="Barlow Semi Condensed"/>
          <w:sz w:val="24"/>
          <w:szCs w:val="24"/>
        </w:rPr>
        <w:t xml:space="preserve">La disciplina delle persone viventi, già dichiarata nella fase precedente, opera qui nella forma più rigorosa, giacché la fase censisce anche verifiche condotte su figure contemporanee estranee per esito documentato alle reti studiate: per costoro il registro riporta esclusivamente i dati biografici pubblici certificati e l'esito negativo delle verifiche, dichiara lo Stato Zero, e vieta a se stesso e al lettore ogni inferenza associativa, la menzione in un registro di verifica non costituendo, per statuto dichiarato, associazione ad alcunché.</w:t>
      </w:r>
    </w:p>
    <w:p>
      <w:pPr>
        <w:spacing w:after="120" w:line="276"/>
        <w:jc w:val="both"/>
      </w:pPr>
      <w:r>
        <w:rPr>
          <w:rFonts w:ascii="Barlow Semi Condensed" w:cs="Barlow Semi Condensed" w:eastAsia="Barlow Semi Condensed" w:hAnsi="Barlow Semi Condensed"/>
          <w:sz w:val="24"/>
          <w:szCs w:val="24"/>
        </w:rPr>
        <w:t xml:space="preserve">Un paragrafo dichiara infine il rapporto della fase con le 4 precedenti e le consegne recepite. La fase eredita e adempie i fili che le chiusure delle fasi nazionali le hanno consegnato: dalla Fase 4, gli archivi francesi quale primo obiettivo, il perimetro del versato del 2014, l'arco latinoamericano delle latitanze, il filo del massimo condannato capitale e il calcolo delle centralità terminali; dalla Fase 3, il livello internazionale della stagione stragista e la tassonomia dell'ostruzione da verificare sui teatri esteri; dalla Fase 2, la proiezione transnazionale della loggia e del sistema finanziario parallelo; dalla Fase 1, le proiezioni estere dei sistemi criminali. Ogni consegna è trattata nel capitolo competente e nessuna è dichiarata adempiuta oltre la misura documentale: la fase distingue permanentemente tra i fili chiusi, quelli che i materiali internazionali consentono di certificare, i fili trasformati in obiettivi, quelli che dipendono da aperture archivistiche future, e i fili consegnati aperti alla ricerca, con l'inventario finale che la chiusura ordina.</w:t>
      </w:r>
    </w:p>
    <w:p>
      <w:pPr>
        <w:spacing w:after="120" w:line="276"/>
        <w:jc w:val="both"/>
      </w:pPr>
      <w:r>
        <w:rPr>
          <w:rFonts w:ascii="Barlow Semi Condensed" w:cs="Barlow Semi Condensed" w:eastAsia="Barlow Semi Condensed" w:hAnsi="Barlow Semi Condensed"/>
          <w:sz w:val="24"/>
          <w:szCs w:val="24"/>
        </w:rPr>
        <w:t xml:space="preserve">Una nota d'uso chiude l'avvertenza. Il registro della fase, come quelli delle fasi precedenti, è costruito per la citazione: ogni pilastro è autonomo, porta il proprio livello e il proprio fondamento, e può essere impugnato singolarmente senza che l'impugnazione travolga l'edificio, giacché l'edificio non esiste, esistendo soltanto l'inventario; il lettore che voglia contestare una certificazione trova dichiarato, per ciascuna, che cosa la fonda e che cosa la falsificherebbe, e il lettore che voglia impiegarla trova il perimetro esatto entro cui essa vale; la fase chiede di essere letta così, quale strumento e non quale narrazione, e considera riuscito il proprio compito non quando persuade ma quando resiste, riga per riga, al tentativo di smentita condotto con documenti alla mano, l'unico giudizio che l'opera riconosca sopra di sé.</w:t>
      </w:r>
    </w:p>
    <w:p>
      <w:pPr>
        <w:spacing w:after="120" w:line="276"/>
        <w:jc w:val="both"/>
      </w:pPr>
      <w:r>
        <w:rPr>
          <w:rFonts w:ascii="Barlow Semi Condensed" w:cs="Barlow Semi Condensed" w:eastAsia="Barlow Semi Condensed" w:hAnsi="Barlow Semi Condensed"/>
          <w:sz w:val="24"/>
          <w:szCs w:val="24"/>
        </w:rPr>
        <w:t xml:space="preserve">L'ordine espositivo muove dal ceppo iberico e dalle sue proiezioni, attraversa le diaspore americane e l'hub australe, risale ai 2 santuari europei, la Francia del rifugio e il Mediterraneo dell'autonomia, censisce i 2 campi della guerra fredda nei loro canali documentati verso l'Italia, ricostruisce il sistema continentale delle reti coperte, eleva a oggetto l'empirica degli archivi e si chiude con la verifica delle macro-ipotesi e la lettura reticolare conclusiva dell'intera opera. Ogni capitolo è un nodo, ogni nodo è retto da pilastri documentali, triangolato secondo il metodo e chiuso dalla sintesi del dato acquisito. La fase, e con essa l'opera, si chiude non con una tesi ma con un inventario verificato, nella convinzione metodologica che le 4 fasi hanno dimostrato: nel campo studiato, l'inventario è la sola forma di conoscenza che sopravviva alla verifica.</w:t>
      </w:r>
    </w:p>
    <w:p>
      <w:pPr>
        <w:pStyle w:val="Heading3"/>
        <w:spacing w:after="80" w:before="160"/>
      </w:pPr>
      <w:r>
        <w:rPr>
          <w:rFonts w:ascii="Barlow Semi Condensed" w:cs="Barlow Semi Condensed" w:eastAsia="Barlow Semi Condensed" w:hAnsi="Barlow Semi Condensed"/>
          <w:sz w:val="24"/>
          <w:szCs w:val="24"/>
        </w:rPr>
        <w:t xml:space="preserve">Capitolo 1 — Aginter Press: il ceppo iberico e l'archivio catturato</w:t>
      </w:r>
    </w:p>
    <w:p>
      <w:pPr>
        <w:spacing w:after="120" w:line="276"/>
        <w:jc w:val="both"/>
      </w:pPr>
      <w:r>
        <w:rPr>
          <w:rFonts w:ascii="Barlow Semi Condensed" w:cs="Barlow Semi Condensed" w:eastAsia="Barlow Semi Condensed" w:hAnsi="Barlow Semi Condensed"/>
          <w:sz w:val="24"/>
          <w:szCs w:val="24"/>
        </w:rPr>
        <w:t xml:space="preserve">Il primo nodo della fase è la centrale di Lisbona, il punto di origine del teatro internazionale nero che le fasi nazionali hanno ripetutamente incontrato. Aginter Press operò nella capitale portoghese dal 1966 al 1974 sotto la direzione di Yves Guérin-Sérac, l'ufficiale francese proveniente dalle guerre coloniali e dall'esperienza dell'organizzazione armata segreta, presentandosi quale agenzia di stampa dotata di attività reale, corrispondenze effettivamente prodotte, una sede operante e collaboratori retribuiti, la copertura reale la cui superiorità tecnica la fase precedente ha formalizzato quale grammatica comune della clandestinità europea; sotto la copertura, la struttura operò, per la documentazione che il pilastro terzo censisce, quale centro di formazione, collegamento e proiezione dell'estremismo controrivoluzionario internazionale, con corsi di addestramento, una rete di corrispondenti che coincideva con una rete di militanti e una dottrina scritta della guerra non ortodossa. Il registro certifica al Livello A l'esistenza, la sede, la direzione, il periodo di attività e la doppiezza funzionale della struttura, quali dati documentali consolidati.</w:t>
      </w:r>
    </w:p>
    <w:p>
      <w:pPr>
        <w:spacing w:after="120" w:line="276"/>
        <w:jc w:val="both"/>
      </w:pPr>
      <w:r>
        <w:rPr>
          <w:rFonts w:ascii="Barlow Semi Condensed" w:cs="Barlow Semi Condensed" w:eastAsia="Barlow Semi Condensed" w:hAnsi="Barlow Semi Condensed"/>
          <w:sz w:val="24"/>
          <w:szCs w:val="24"/>
        </w:rPr>
        <w:t xml:space="preserve">Il primo pilastro fissa la genesi e gli uomini. Guérin-Sérac giunse a Lisbona nel quadro della protezione che il regime portoghese accordava ai reduci dell'estremismo francese, e costruì la struttura con un nucleo di veterani della stessa provenienza e con l'innesto progressivo di militanti di più nazionalità, tra i quali la documentazione colloca i contatti italiani che la Fase 3 ha censito nell'orbita di Ordine Nuovo e di Avanguardia Nazionale; il registro certifica al Livello A la composizione del nucleo e la sua matrice, quali dati documentali, e certifica al Livello B i singoli transiti italiani presso la centrale, quali risultanze istruttorie convergenti non tutte consacrate da giudicato.</w:t>
      </w:r>
    </w:p>
    <w:p>
      <w:pPr>
        <w:spacing w:after="120" w:line="276"/>
        <w:jc w:val="both"/>
      </w:pPr>
      <w:r>
        <w:rPr>
          <w:rFonts w:ascii="Barlow Semi Condensed" w:cs="Barlow Semi Condensed" w:eastAsia="Barlow Semi Condensed" w:hAnsi="Barlow Semi Condensed"/>
          <w:sz w:val="24"/>
          <w:szCs w:val="24"/>
        </w:rPr>
        <w:t xml:space="preserve">Il secondo pilastro censisce la dottrina scritta. La produzione interna della struttura, emersa con l'archivio, comprende i manuali della guerra rivoluzionaria rovesciata, i testi che teorizzano l'infiltrazione dei movimenti avversari, l'azione sotto falsa bandiera e l'uso del terrore quale strumento di pressione sui governi verso soluzioni autoritarie; il registro certifica al Livello A l'esistenza e il contenuto della dottrina, quale corpus documentale acquisito, e ne dichiara il rilievo per l'opera: essa costituisce la formalizzazione scritta più esplicita, nell'intero corpus, della strategia che la vulgata italiana ha chiamato della tensione, prodotta non da un teorico ma da una struttura operativa, e la sua esistenza certificata è il fondamento documentale che ha autorizzato le istruttorie italiane a interrogare il nesso tra la centrale e la stagione stragista, l'interrogazione i cui esiti il quarto pilastro censisce.</w:t>
      </w:r>
    </w:p>
    <w:p>
      <w:pPr>
        <w:spacing w:after="120" w:line="276"/>
        <w:jc w:val="both"/>
      </w:pPr>
      <w:r>
        <w:rPr>
          <w:rFonts w:ascii="Barlow Semi Condensed" w:cs="Barlow Semi Condensed" w:eastAsia="Barlow Semi Condensed" w:hAnsi="Barlow Semi Condensed"/>
          <w:sz w:val="24"/>
          <w:szCs w:val="24"/>
        </w:rPr>
        <w:t xml:space="preserve">Il terzo pilastro censisce il fatto archivistico capitale, la cattura dell'archivio. La rivoluzione portoghese del 25 aprile 1974 travolse il regime che proteggeva la struttura, e l'archivio di Aginter Press cadde nelle mani delle nuove autorità, che ne resero disponibile la documentazione alle magistrature e alle commissioni straniere: da quella cattura discende, in via pressoché esclusiva, la conoscenza documentale della centrale, i nomi, i corsi, le corrispondenze, la dottrina, e il registro certifica al Livello A la cattura, la sua data e la sua funzione di fonte, quale evento archivistico documentato. La formalizzazione che il registro ne trae governa l'intero nodo e il suo gemello topologico: Aginter è conoscibile perché il suo Stato di protezione è caduto, e la caduta ha aperto l'archivio; Hyperion è inconoscibile perché il suo Stato di protezione non è mai caduto, e l'archivio non si è mai aperto; i 2 nodi isomorfi dell'opera stanno agli estremi opposti del medesimo asse, quello del regime archivistico, e la differenza integrale dei loro profili documentali, l'uno denso di carte e l'altro vuoto, misura la differenza dei destini politici dei rispettivi protettori, non una differenza di natura tra le strutture: il registro eleva questa coppia a dimostrazione empirica interna della propria disciplina sull'asimmetria archivistica, il caso in cui 2 oggetti strutturalmente gemelli restituiscono documentazioni opposte per la sola variabile del regime di accesso.</w:t>
      </w:r>
    </w:p>
    <w:p>
      <w:pPr>
        <w:spacing w:after="120" w:line="276"/>
        <w:jc w:val="both"/>
      </w:pPr>
      <w:r>
        <w:rPr>
          <w:rFonts w:ascii="Barlow Semi Condensed" w:cs="Barlow Semi Condensed" w:eastAsia="Barlow Semi Condensed" w:hAnsi="Barlow Semi Condensed"/>
          <w:sz w:val="24"/>
          <w:szCs w:val="24"/>
        </w:rPr>
        <w:t xml:space="preserve">Il quarto pilastro censisce le proiezioni internazionali e l'esito giudiziario. La documentazione catturata e le acquisizioni successive collocano le proiezioni della centrale sui teatri che le monografie dell'opera hanno percorso, l'Africa australe delle guerre coloniali portoghesi, i collegamenti iberici, i corrispondenti nelle Americhe, e la diaspora successiva alla caduta, con il trasferimento del nucleo verso la Spagna ancora franchista, dove le tracce documentali della rete si disperdono nella galassia dell'internazionale nera della seconda metà del decennio; sul versante giudiziario italiano, le istruttorie che hanno interrogato il nesso tra la centrale e le stragi, sino alla stagione istruttoria milanese degli anni Novanta, hanno prodotto acquisizioni documentali e nessuna condanna della centrale quale tale, e il registro certifica al Livello A l'assenza di condanne organiche, quale esito, mantenendo ai livelli propri le singole attribuzioni, secondo il censimento che la Fase 3 ha consegnato. Il registro chiude il quadro con la certificazione comparativa: Aginter Press è, nell'intero corpus dell'opera, il caso di massima documentazione con minima sanzione, l'inverso speculare dei piani primi saturi delle fasi nazionali, e la sproporzione tra ciò che l'archivio documenta e ciò che i giudizi hanno consacrato è essa stessa un dato, che il registro trascrive quale misura della resistenza del livello internazionale all'accertamento giudiziario nazionale.</w:t>
      </w:r>
    </w:p>
    <w:p>
      <w:pPr>
        <w:spacing w:after="120" w:line="276"/>
        <w:jc w:val="both"/>
      </w:pPr>
      <w:r>
        <w:rPr>
          <w:rFonts w:ascii="Barlow Semi Condensed" w:cs="Barlow Semi Condensed" w:eastAsia="Barlow Semi Condensed" w:hAnsi="Barlow Semi Condensed"/>
          <w:sz w:val="24"/>
          <w:szCs w:val="24"/>
        </w:rPr>
        <w:t xml:space="preserve">Il quinto pilastro recepisce, quale saldatura, il censimento italiano della Fase 3. Le occorrenze della centrale nel teatro italiano, i transiti documentati di militanti dell'area ordinovista e avanguardista presso i corsi lisbonesi, le corrispondenze acquisite e le attribuzioni istruttorie che hanno interrogato il nesso tra la dottrina della centrale e la meccanica della stagione stragista, restano certificate ai livelli che la Fase 3 ha fissato, i transiti al Livello B e le funzioni operative sui singoli eventi ai livelli propri di ciascun accertamento, con la stagione istruttoria milanese degli anni Novanta quale ultimo organico ritorno sul nodo; il registro non muta una sola qualificazione e aggiunge il dato comparativo che la fase consente: il profilo italiano della centrale è il più accertato dei suoi profili nazionali, per la semplice ragione archivistica che l'Italia è l'ordinamento che più a lungo ha processato la propria stagione, e la densità italiana del nodo Aginter misura, ancora una volta, l'intensità dell'accertamento e non necessariamente quella della funzione, secondo il corollario che il capitolo nono formalizza.</w:t>
      </w:r>
    </w:p>
    <w:p>
      <w:pPr>
        <w:spacing w:after="120" w:line="276"/>
        <w:jc w:val="both"/>
      </w:pPr>
      <w:r>
        <w:rPr>
          <w:rFonts w:ascii="Barlow Semi Condensed" w:cs="Barlow Semi Condensed" w:eastAsia="Barlow Semi Condensed" w:hAnsi="Barlow Semi Condensed"/>
          <w:sz w:val="24"/>
          <w:szCs w:val="24"/>
        </w:rPr>
        <w:t xml:space="preserve">Il sesto pilastro censisce la diaspora iberica successiva alla caduta. Con la fine del regime portoghese, il nucleo della centrale e la galassia che vi gravitava trasferirono la propria base nella Spagna dell'ultimo franchismo e della prima transizione, dove la documentazione della seconda metà del decennio colloca la comunità dell'estremismo nero internazionale, italiani della diaspora compresi, attiva negli ambienti della reazione alla transizione democratica; alla stagione appartiene la strage di Atocha del 24 gennaio 1977, l'assassinio degli avvocati giuslavoristi madrileni per mano dell'estremismo di destra spagnolo, l'evento che segnò la crisi terminale di quell'ambiente dinanzi alla reazione democratica del Paese; il registro certifica al Livello A il trasferimento iberico della diaspora e il quadro della stagione, quali dati documentali consolidati, mantiene ai livelli propri le singole presenze e condotte italiane censite dalle istruttorie, e ne trae l'annotazione di sistema: la traiettoria della centrale e della sua galassia, Lisbona sino al 1974, la Spagna della transizione sino alla fine del decennio, il continente americano poi, disegna la migrazione della rete lungo la mappa dei regimi protettori in via di estinzione, un percorso di carriera collettivo che il Pattern 7 registra quale caso maggiore e che si chiude, per la componente italiana, nelle capitali-rifugio che il capitolo secondo censisce.</w:t>
      </w:r>
    </w:p>
    <w:p>
      <w:pPr>
        <w:spacing w:after="120" w:line="276"/>
        <w:jc w:val="both"/>
      </w:pPr>
      <w:r>
        <w:rPr>
          <w:rFonts w:ascii="Barlow Semi Condensed" w:cs="Barlow Semi Condensed" w:eastAsia="Barlow Semi Condensed" w:hAnsi="Barlow Semi Condensed"/>
          <w:sz w:val="24"/>
          <w:szCs w:val="24"/>
        </w:rPr>
        <w:t xml:space="preserve">Il settimo pilastro censisce lo strumento formativo, i corsi e i materiali della centrale. La documentazione catturata comprende i programmi dei corsi di addestramento impartiti presso la struttura e nelle sue proiezioni, con le materie che gli atti elencano, le tecniche dell'azione clandestina, l'uso degli esplosivi, l'infiltrazione e la propaganda, e i materiali didattici che traducevano la dottrina del secondo pilastro in istruzione operativa; il registro certifica al Livello A l'esistenza dei corsi e dei materiali, quale dato dell'archivio, mantiene ai livelli propri l'identificazione dei singoli frequentatori, censita dalle istruttorie con le convergenze e i limiti che la Fase 3 ha fissato, e ne trae l'annotazione che distingue il nodo nell'intero corpus: Aginter è l'unico caso dell'opera in cui la catena completa della strategia, la dottrina scritta, lo strumento formativo e la rete dei formati, è documentata in ogni anello dalla medesima fonte archivistica, e questa completezza, unica e irripetuta, è ciò che ha reso la centrale il referente obbligato di ogni istruttoria sulla meccanica della stagione, pur senza mai produrre, per la distanza tra la documentazione della capacità e la prova dell'impiego, una sola condanna organica; la distinzione tra capacità documentata e impiego provato, che il nodo incarna nella forma più pura, è consegnata alla verifica finale quale calibro permanente.</w:t>
      </w:r>
    </w:p>
    <w:p>
      <w:pPr>
        <w:spacing w:after="120" w:line="276"/>
        <w:jc w:val="both"/>
      </w:pPr>
      <w:r>
        <w:rPr>
          <w:rFonts w:ascii="Barlow Semi Condensed" w:cs="Barlow Semi Condensed" w:eastAsia="Barlow Semi Condensed" w:hAnsi="Barlow Semi Condensed"/>
          <w:sz w:val="24"/>
          <w:szCs w:val="24"/>
        </w:rPr>
        <w:t xml:space="preserve">L'ottavo pilastro censisce la costellazione dei nomi, lo strato organizzativo sotto la ragione sociale. La documentazione attribuisce alla galassia di Guérin-Sérac, accanto all'agenzia quale volto pubblico, le denominazioni interne e parallele che gli atti registrano, tra cui la formazione Ordre et Tradition quale struttura politico-militante collegata, con l'articolazione operativa che le carte descrivono; il registro certifica al Livello A l'esistenza della costellazione denominativa, quale dato dell'archivio, mantiene al Livello B le ricostruzioni dei rapporti gerarchici interni tra le sigle, e ne trae l'annotazione tipologica che il corpus conferma su ogni teatro: le strutture clandestine mature del campo studiato non coincidono mai con una sola denominazione, operando quale costellazioni di sigle a geometria variabile, la ragione sociale per il mondo, la sigla politica per il reclutamento, l'articolazione operativa per l'azione, e l'analista che cerchi l'organizzazione in una sola delle sue denominazioni è destinato a certificarne l'innocuità apparente; il registro formalizza la regola, già incontrata nelle galassie nere italiane della Fase 3 e nella distinzione tra la scuola parigina e la sua cerchia, quale proprietà ricorrente della morfologia clandestina, e la consegna al repertorio dei reperti metodologici con il nodo lisbonese quale caso di massima documentazione della struttura a costellazione.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Guérin-Sérac-Lisbona-dottrina della tensione, salda l'uomo, la sede e il corpus dottrinale nel triangolo fondativo certificato al Livello A. La seconda, Aginter-orbita ordinovista-istruttorie italiane, congiunge la centrale ai transiti italiani documentati e agli accertamenti che li hanno interrogati, con i fatti al Livello B e gli esiti nulli al Livello A. La terza, archivio catturato-rivoluzione del 1974-conoscibilità del nodo, formalizza la dipendenza integrale della conoscenza dal regime archivistico, il teorema empirico che la fase consegna al capitolo nono.</w:t>
      </w:r>
    </w:p>
    <w:p>
      <w:pPr>
        <w:spacing w:after="120" w:line="276"/>
        <w:jc w:val="both"/>
      </w:pPr>
      <w:r>
        <w:rPr>
          <w:rFonts w:ascii="Barlow Semi Condensed" w:cs="Barlow Semi Condensed" w:eastAsia="Barlow Semi Condensed" w:hAnsi="Barlow Semi Condensed"/>
          <w:sz w:val="24"/>
          <w:szCs w:val="24"/>
        </w:rPr>
        <w:t xml:space="preserve">Alla cattura archivistica va aggiunta la sua coda istituzionale, che completa il fatto documentale capitale della fase: il fondo sequestrato nel 1974 confluì nel patrimonio archivistico dello Stato portoghese ed è oggi conservato presso l'Arquivo Nacional da Torre do Tombo di Lisbona, ordinato e consultabile secondo le regole ordinarie di quell'istituto, Livello A quanto alla collocazione ed al regime di accesso. Il registro sottolinea la rarità che questa condizione rappresenta nell'economia dell'opera: tra tutte le strutture clandestine censite nelle 5 fasi, Aginter Press è l'unica il cui archivio interno integrale sia finito, per intero e stabilmente, in un archivio pubblico ad accesso ordinario, senza mediazioni di intelligence riceventi, senza selezioni di esfiltratori, senza i filtri che gravano su ogni altro compendio della fase, dal Mitrokhin trasmesso per quote ai fondi orientali amministrati dagli istituti della memoria. La centrale di Lisbona è perciò, paradossalmente, l'oggetto meglio conoscibile dell'intero teatro internazionale nero: e la circostanza che proprio il nodo più documentato sia rimasto privo di condanne organiche, mentre nodi assai meno leggibili hanno prodotto giudicati, consegna alla legge del capitolo nono il suo corollario più fine, che la conoscibilità archivistica e la perseguibilità giudiziaria sono variabili indipendenti, e che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La scheda del fondatore si chiude con l'esito biografico che il registro certifica quale Stato Zero giudiziario perfetto: Guérin-Sérac visse indisturbato in Portogallo sino alla morte, sopraggiunta nel 2022, senza avere scontato un solo giorno di detenzione per i fatti italiani nei quali le istruttorie lo avevano indicato, protetto dalla sequenza di latitanze, archiviazioni ed assoluzioni che il capitolo ha censito, Livello A quanto alla parabola ed al suo epilogo. Il registro consegna il dato alla sua funzione di misura: l'uomo che le carte di Lisbona documentano al centro dell'agenzia è morto quasi sessantenne di clandestinità compiuta, sopravvissuto a tutti i processi, a quasi tutti i suoi allievi ed alla stessa guerra fredda che lo aveva generato, e la distanza tra la ricchezza documentale del suo archivio e la nullità assoluta del suo casellario italiano è la formulazione biografica estrema del teorema che apre la fase: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Il perimetro operativo dell'agenzia precede l'Europa, ed il registro ne censisce il versante africano quale prima palestra documentata: le carte di Lisbona attestano l'impiego della struttura sui teatri coloniali portoghesi, con attività informative ed operazioni contro i movimenti indipendentisti dell'Africa lusofona, dal Mozambico alla Guinea, nel quadro della collaborazione con la polizia politica del regime che l'archivio certifica, Livello A quanto all'operatività africana documentata dalle carte. Su questo versante si colloca il caso maggiore e conteso, che il registro riporta con il suo statuto esatto: l'assassinio nel 1969, a Dar es Salaam, del presidente del fronte di liberazione mozambicano Eduardo Mondlane, ucciso da un ordigno celato in un libro, fu attribuito nel tempo, da ricostruzioni concorrenti mai consolidate in giudicato, ai servizi coloniali portoghesi ed alle loro appendici operative, tra cui l'agenzia, Livello A quanto all'omicidio ed alle sue modalità, Livello C quanto ad ogni specifica attribuzione della catena esecutiva. La funzione del versante africano nell'economia del capitolo è genetica: prima di divenire lo snodo europeo censito dal pilastro, la struttura si era formata sulla guerra coloniale, dove le tecniche che l'Europa avrebbe conosciuto, l'infiltrazione, la provocazione, l'attentato mimetizzato, erano già repertorio corrente, e la traiettoria Africa-Europa dell'agenzia anticipa di un decennio la rotta che l'intera fase documenta, quella dei metodi delle periferie imperiali che risalgono verso i centri, sino a detonare nelle piazze del continente che li aveva esportati.</w:t>
      </w:r>
    </w:p>
    <w:p>
      <w:pPr>
        <w:spacing w:after="120" w:line="276"/>
        <w:jc w:val="both"/>
      </w:pPr>
      <w:r>
        <w:rPr>
          <w:rFonts w:ascii="Barlow Semi Condensed" w:cs="Barlow Semi Condensed" w:eastAsia="Barlow Semi Condensed" w:hAnsi="Barlow Semi Condensed"/>
          <w:sz w:val="24"/>
          <w:szCs w:val="24"/>
        </w:rPr>
        <w:t xml:space="preserve">La fine dell'agenzia coincide con l'evento che ne rese possibile la conoscenza, ed il registro censisce la coincidenza quale atto fondativo della propria stessa fonte: la Rivoluzione dei garofani del 25 aprile 1974, abbattendo in una notte il regime che aveva ospitato e protetto la centrale, costrinse la struttura alla fuga precipitosa verso la Spagna ancora franchista, con l'abbandono a Lisbona dell'archivio operativo che la nuova autorità acquisì e che, attraverso i passaggi censiti, sarebbe approdato alla conservazione pubblica della Torre do Tombo, Livello A quanto alla sequenza rivoluzione-fuga-acquisizione. Il registro fissa la lezione archivistica che l'episodio consegna all'intera opera: il fondo lisboeta, l'unico archivio integralmente pubblico di una centrale clandestina che il corpus possieda, non esiste per virtù di trasparenza ma per accidente di rivoluzione, perché la struttura fu l'unica del suo genere a perdere il proprio Stato ospite da un giorno all'altro, senza il tempo di distruggere le carte che ogni sua consorella, morendo lentamente, ebbe modo di bruciare, e questa genesi accidentale della massima fonte della fase è l'ultima conferma della legge che governa il rapporto tra il corpus ed i suoi documenti: gli archivi del potere occulto non si aprono, cadono, e la storiografia di questa materia è figlia, sempre, dei crolli altrui.</w:t>
      </w:r>
    </w:p>
    <w:p>
      <w:pPr>
        <w:spacing w:after="120" w:line="276"/>
        <w:jc w:val="both"/>
      </w:pPr>
      <w:r>
        <w:rPr>
          <w:rFonts w:ascii="Barlow Semi Condensed" w:cs="Barlow Semi Condensed" w:eastAsia="Barlow Semi Condensed" w:hAnsi="Barlow Semi Condensed"/>
          <w:sz w:val="24"/>
          <w:szCs w:val="24"/>
        </w:rPr>
        <w:t xml:space="preserve">Il fascicolo dell'agenzia si chiude con lo Stato Zero che il registro deve al proprio metodo: la struttura non fu mai processata nel Paese che ne custodisce l'archivio, poiché il Portogallo democratico, entrato in possesso delle carte con la rivoluzione, non aprì mai un procedimento penale organico sull'organizzazione che aveva operato per 8 anni dal proprio territorio, limitandosi alla conservazione archivistica censita, Livello A quanto all'assenza di procedimenti portoghesi, sistematicamente verificata dalla storiografia sul fondo. Il registro consegna il vuoto alla sua lettura: la nazione che possiede tutte le prove non celebrò alcun processo, e le nazioni che celebrarono i processi, l'Italia delle istruttorie censite, dovettero procurarsi le prove per rogatoria, sicché il caso Aginter realizza la separazione perfetta tra il luogo della prova ed il luogo del giudizio che l'intera fase ha documentato in forme parziali, e la spiegazione, che il registro annota senza attenuarla, appartiene alla fisiologia delle transizioni: la democrazia portoghese nata dal 1974 aveva da processare i propri carnefici e non i propri ospiti, e l'agenzia, che sul suolo lusitano non aveva ucciso nessuno, non apparteneva alle priorità di nessuna delle 2 giustizie possibili, quella del Paese offeso, che non aveva le carte, e quella del Paese ospite, che non aveva le vittime.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è certificato quale centrale documentata dalla cattura archivistica del 1974, con dottrina scritta della tensione al Livello A, transiti italiani al Livello B, condanne organiche assenti, e la coppia Aginter-Hyperion è elevata a dimostrazione empirica interna dell'asimmetria archivistica, i 2 gemelli topologici resi opposti dal solo regime di accesso alle carte.</w:t>
      </w:r>
    </w:p>
    <w:p>
      <w:pPr>
        <w:pStyle w:val="Heading3"/>
        <w:spacing w:after="80" w:before="160"/>
      </w:pPr>
      <w:r>
        <w:rPr>
          <w:rFonts w:ascii="Barlow Semi Condensed" w:cs="Barlow Semi Condensed" w:eastAsia="Barlow Semi Condensed" w:hAnsi="Barlow Semi Condensed"/>
          <w:sz w:val="24"/>
          <w:szCs w:val="24"/>
        </w:rPr>
        <w:t xml:space="preserve">Capitolo 2 — Le diaspore latinoamericane: il Condor, i golpe e le capitali-rifugio</w:t>
      </w:r>
    </w:p>
    <w:p>
      <w:pPr>
        <w:spacing w:after="120" w:line="276"/>
        <w:jc w:val="both"/>
      </w:pPr>
      <w:r>
        <w:rPr>
          <w:rFonts w:ascii="Barlow Semi Condensed" w:cs="Barlow Semi Condensed" w:eastAsia="Barlow Semi Condensed" w:hAnsi="Barlow Semi Condensed"/>
          <w:sz w:val="24"/>
          <w:szCs w:val="24"/>
        </w:rPr>
        <w:t xml:space="preserve">Il secondo nodo è il continente delle diaspore, il teatro nel quale i fili neri e i fili piduisti dell'opera trovarono rifugio, impiego e protezione. Il quadro di sistema è l'Operazione Condor, il coordinamento repressivo tra i regimi militari del cono sud formalizzato a Santiago del Cile nel novembre 1975, la rete interstatale di scambio informativo, cattura e trasferimento degli oppositori che la documentazione desecretata e i processi del secolo successivo hanno certificato; il registro certifica al Livello A l'esistenza, la data di formalizzazione e il funzionamento del sistema, quali dati documentali e giudiziari consolidati, e vi colloca i 3 fili italiani che i pilastri censiscono.</w:t>
      </w:r>
    </w:p>
    <w:p>
      <w:pPr>
        <w:spacing w:after="120" w:line="276"/>
        <w:jc w:val="both"/>
      </w:pPr>
      <w:r>
        <w:rPr>
          <w:rFonts w:ascii="Barlow Semi Condensed" w:cs="Barlow Semi Condensed" w:eastAsia="Barlow Semi Condensed" w:hAnsi="Barlow Semi Condensed"/>
          <w:sz w:val="24"/>
          <w:szCs w:val="24"/>
        </w:rPr>
        <w:t xml:space="preserve">Il primo pilastro segue la traiettoria di Stefano Delle Chiaie, il percorso di carriera transnazionale più documentato dell'estremismo nero italiano, applicazione maggiore del Pattern 7 sul teatro. Riparato in Spagna dopo la stagione italiana, l'uomo di Avanguardia Nazionale attraversò il decennio tra la penisola iberica e il continente americano, e la documentazione lo colloca in Cile e quindi in Bolivia, dove le risultanze convergenti ne certificano la presenza nell'orbita del golpe del 17 luglio 1980, il colpo di Stato del generale García Meza sostenuto dagli apparati del narcotraffico, insieme a Pierluigi Pagliai e nel medesimo ambiente in cui operava Klaus Barbie, l'ex ufficiale nazista consegnato alla Francia nel febbraio 1983; Pagliai fu catturato in Bolivia nell'ottobre 1982 nell'ambito della cooperazione con l'Italia e morì poco dopo per le ferite riportate nella cattura; Delle Chiaie proseguì la latitanza sino alla cattura in Venezuela nel 1987 e ai processi italiani. Il registro certifica al Livello A la traiettoria, le presenze boliviane e le catture, quali risultanze documentali e giudiziarie, e adempie la disciplina degli esiti riportando per esteso l'esito dei giudizi maggiori: Stefano Delle Chiaie fu assolto per la strage di piazza Fontana dalla Corte d'assise di Catanzaro nel 1989, con conferma dell'assoluzione in appello nel 1991, e l'assoluzione è definitiva; il registro trascrive l'esito con la medesima evidenza dei fatti certificati, secondo la regola che non ammette eccezioni.</w:t>
      </w:r>
    </w:p>
    <w:p>
      <w:pPr>
        <w:spacing w:after="120" w:line="276"/>
        <w:jc w:val="both"/>
      </w:pPr>
      <w:r>
        <w:rPr>
          <w:rFonts w:ascii="Barlow Semi Condensed" w:cs="Barlow Semi Condensed" w:eastAsia="Barlow Semi Condensed" w:hAnsi="Barlow Semi Condensed"/>
          <w:sz w:val="24"/>
          <w:szCs w:val="24"/>
        </w:rPr>
        <w:t xml:space="preserve">Il secondo pilastro censisce il versante piduista del teatro, l'Argentina di Licio Gelli. La documentazione della Commissione Anselmi e le acquisizioni convergenti certificano il radicamento argentino del Venerabile, i rapporti con gli ambienti della giunta militare, la presenza negli elenchi della loggia di figure di vertice del regime, tra le quali l'ammiraglio Emilio Massera, membro della prima giunta, e la funzione della piazza argentina quale retrovia degli affari e delle protezioni gelliane; alla stagione argentina appartiene la parabola successiva dell'uomo, l'arresto a Ginevra il 13 settembre 1982 nel tentativo di movimentazione bancaria, l'evasione dal carcere svizzero di Champ-Dollon il 10 agosto 1983 e la lunga latitanza sudamericana prima della consegna definitiva; il registro certifica al Livello A il radicamento, gli elenchi, l'arresto e l'evasione, quali dati documentali e giudiziari, e certifica al Livello A, quale dato del Pattern 10, la geografia che il pilastro compone con il primo: il medesimo continente ospitò simultaneamente, nella prima metà degli anni Ottanta, la diaspora nera operativa sul versante andino e la retrovia piduista sul versante atlantico, 2 reti italiane distinte per natura e parimenti protette da regimi militari, senza che alcun documento certifichi un coordinamento tra le 2 presenze, la compresenza restando censita quale fatto geografico al Livello A e ogni lettura unificante al Livello C.</w:t>
      </w:r>
    </w:p>
    <w:p>
      <w:pPr>
        <w:spacing w:after="120" w:line="276"/>
        <w:jc w:val="both"/>
      </w:pPr>
      <w:r>
        <w:rPr>
          <w:rFonts w:ascii="Barlow Semi Condensed" w:cs="Barlow Semi Condensed" w:eastAsia="Barlow Semi Condensed" w:hAnsi="Barlow Semi Condensed"/>
          <w:sz w:val="24"/>
          <w:szCs w:val="24"/>
        </w:rPr>
        <w:t xml:space="preserve">Il terzo pilastro censisce le capitali-rifugio quale sistema, la geografia delle protezioni che la Fase 4 ha consegnato. Il continente e i suoi margini ospitarono, in regimi e per ragioni diverse, le latitanze perpetue del corpus: il Nicaragua sandinista per Alessio Casimirri, l'uomo di via Fani mai raggiunto dall'esecuzione penale, il cono sud militare per la diaspora nera, il Venezuela per l'ultima latitanza di Delle Chiaie, e la serie compone la mappa che il registro formalizza: le protezioni non seguirono l'asse ideologico ma l'asse dell'utilità e dell'ostilità giurisdizionale, un regime rivoluzionario e regimi controrivoluzionari avendo prodotto il medesimo effetto, la sottrazione perpetua dei protetti alla giurisdizione italiana; il registro certifica al Livello A la mappa e la sua trasversalità ideologica, quali fatti, e ne trae il teorema del Pattern 10 che consegna alla verifica finale: nel campo studiato, la geografia del rifugio è una funzione della frattura tra gli ordinamenti e non della prossimità politica, e ogni lettura delle protezioni in chiave di campo deve preliminarmente superare il dato certificato della loro distribuzione bipolare.</w:t>
      </w:r>
    </w:p>
    <w:p>
      <w:pPr>
        <w:spacing w:after="120" w:line="276"/>
        <w:jc w:val="both"/>
      </w:pPr>
      <w:r>
        <w:rPr>
          <w:rFonts w:ascii="Barlow Semi Condensed" w:cs="Barlow Semi Condensed" w:eastAsia="Barlow Semi Condensed" w:hAnsi="Barlow Semi Condensed"/>
          <w:sz w:val="24"/>
          <w:szCs w:val="24"/>
        </w:rPr>
        <w:t xml:space="preserve">Il quarto pilastro censisce il caso che portò il Condor a Roma, l'attentato a Bernardo Leighton. Il 6 ottobre 1975 l'ex vicepresidente cileno Bernardo Leighton, esule democristiano oppositore del regime di Pinochet, fu gravemente ferito a Roma in un agguato con arma da fuoco insieme alla moglie Anita Fresno, che riportò lesioni permanenti: le indagini e i giudizi ricostruirono l'attentato quale operazione commissionata dalla polizia segreta cilena, la DINA, con l'esecuzione attribuita dalle risultanze all'ambiente dell'estremismo nero romano in rapporto con la centrale cilena, e la Corte d'assise di Roma condannò nel 1995, in contumacia, i vertici della DINA quali mandanti; il registro certifica al Livello A l'attentato, le vittime, la matrice cilena e le condanne contumaciali dei mandanti, quali risultanze giudiziarie, nomina Bernardo Leighton e Anita Fresno tra le vittime ferite della fase quale atto dovuto, mantiene al Livello B le attribuzioni esecutive all'orbita nera italiana nei termini non consacrati da condanna, e ne dichiara la funzione reticolare: il caso Leighton è l'arco documentato che congiunge il sistema Condor al territorio italiano e all'estremismo nero romano, la prova che la rete continentale del capitolo operò dentro Roma, e costituisce, con la strage di via Fani e con l'attentato del 1981, uno dei 3 casi del corpus in cui la capitale fu teatro di operazioni con committenza o esecuzione internazionale certificata o processata.</w:t>
      </w:r>
    </w:p>
    <w:p>
      <w:pPr>
        <w:spacing w:after="120" w:line="276"/>
        <w:jc w:val="both"/>
      </w:pPr>
      <w:r>
        <w:rPr>
          <w:rFonts w:ascii="Barlow Semi Condensed" w:cs="Barlow Semi Condensed" w:eastAsia="Barlow Semi Condensed" w:hAnsi="Barlow Semi Condensed"/>
          <w:sz w:val="24"/>
          <w:szCs w:val="24"/>
        </w:rPr>
        <w:t xml:space="preserve">Il quinto pilastro censisce l'esito giudiziario italiano di sistema, il processo Condor del secolo successivo. Sulla scomparsa e l'assassinio di cittadini italiani e italo-discendenti nel cono sud, la giustizia italiana celebrò il processo ai responsabili delle strutture repressive dei regimi coordinati, approdato alle condanne all'ergastolo estese in appello nel 2019 e rese definitive dalla Corte di cassazione nel 2021 per i vertici superstiti delle catene di comando sudamericane; il registro certifica al Livello A il processo e gli esiti definitivi, quali dati giudiziari, e ne trae la formalizzazione che il teatro consegna all'opera: il sistema Condor è, nel corpus internazionale, il caso di massima consacrazione giudiziaria, l'unica rete transnazionale del grafo i cui vertici siano stati condannati in via definitiva da una corte italiana per il funzionamento della rete quale tale, e la comparazione con gli esiti nulli dei nodi europei del corpus, Aginter senza condanne organiche e Hyperion senza imputazioni, misura la variabile che governa la giustiziabilità del livello internazionale: il Condor fu giudicabile perché i suoi regimi caddero e i suoi archivi si aprirono, secondo la legge del capitolo nono, e la sentenza del 2021 è, in questa lettura certificata, il frutto giudiziario maturo di un'apertura archivistica continentale.</w:t>
      </w:r>
    </w:p>
    <w:p>
      <w:pPr>
        <w:spacing w:after="120" w:line="276"/>
        <w:jc w:val="both"/>
      </w:pPr>
      <w:r>
        <w:rPr>
          <w:rFonts w:ascii="Barlow Semi Condensed" w:cs="Barlow Semi Condensed" w:eastAsia="Barlow Semi Condensed" w:hAnsi="Barlow Semi Condensed"/>
          <w:sz w:val="24"/>
          <w:szCs w:val="24"/>
        </w:rPr>
        <w:t xml:space="preserve">Il sesto pilastro censisce l'ambiente del golpe boliviano, la composizione che rende il caso unico nel corpus. Le ricostruzioni giudiziarie e documentali del colpo di Stato del 1980 descrivono la convergenza operativa, attorno agli apparati golpisti, di 3 componenti certificate: i quadri militari boliviani, le strutture del narcotraffico che finanziarono l'operazione, e il gruppo paramilitare internazionale raccolto attorno a Klaus Barbie, la formazione nota alle cronache quale i fidanzati della morte, nella cui orbita le risultanze collocano la componente della diaspora nera europea con le presenze italiane censite nel primo pilastro; il registro certifica al Livello A la convergenza delle 3 componenti, quale ricostruzione consolidata, e ne dichiara il valore paradigmatico per l'opera: il golpe del 1980 è il caso documentato in cui un potere statale fu conquistato dalla saldatura diretta tra apparato militare, criminalità del narcotraffico ed estremismo politico transnazionale, la configurazione che le fasi nazionali hanno incontrato soltanto in forme mediate e parziali, qui realizzata in forma pura e vittoriosa; il registro trascrive il caso quale massimo esemplare del corpus della coppia crimine-forze armate, la coppia a bassa densità che la Nota metodologica indicava quale potenzialmente rivelatrice, e annota che la sua realizzazione compiuta avvenne non nel teatro italiano ma nella periferia andina, dove le condizioni di sistema, la debolezza istituzionale e la forza del narcotraffico, consentirono ciò che il sistema italiano, per la lettura che i materiali sostengono, non consentì mai nella forma piena.</w:t>
      </w:r>
    </w:p>
    <w:p>
      <w:pPr>
        <w:spacing w:after="120" w:line="276"/>
        <w:jc w:val="both"/>
      </w:pPr>
      <w:r>
        <w:rPr>
          <w:rFonts w:ascii="Barlow Semi Condensed" w:cs="Barlow Semi Condensed" w:eastAsia="Barlow Semi Condensed" w:hAnsi="Barlow Semi Condensed"/>
          <w:sz w:val="24"/>
          <w:szCs w:val="24"/>
        </w:rPr>
        <w:t xml:space="preserve">Il settimo pilastro censisce l'epilogo del filo gelliano, la chiusura del percorso sudamericano. La latitanza seguita all'evasione del 1983 si chiuse con la costituzione a Ginevra nel settembre 1987 e con l'estradizione in Italia nel febbraio 1988, alle condizioni convenzionali che delimitarono i titoli di giudizio; ne seguirono le stagioni processuali che le fasi nazionali hanno certificato negli esiti, la condanna definitiva per la bancarotta del Banco Ambrosiano e la condanna definitiva per il depistaggio delle indagini sulla strage di Bologna, con le assoluzioni definitive dagli altri titoli che la Fase 3 ha riportato per esteso; il registro certifica al Livello A la sequenza costituzione-estradizione e recepisce gli esiti nella qualificazione delle fasi competenti, traendone la chiusura comparativa del teatro: i 2 massimi latitanti del corpus internazionale, il capo della diaspora nera e il Venerabile della loggia, percorsero il continente delle protezioni con traiettorie speculari e approdarono entrambi, per vie diverse, alla giurisdizione italiana, l'uno alla cattura del 1987 e ai processi con gli esiti assolutori maggiori riportati, l'altro alla consegna del 1988 e alle condanne definitive circoscritte; la coppia degli epiloghi, l'assolto catturato e il condannato consegnato, chiude il teatro latinoamericano con la dimostrazione che il registro affida alla disciplina degli esiti: la giurisdizione, quando infine raggiunse i protetti, produsse verdetti differenziati e non simmetrici alle attese di alcuna vulgata, e il registro li trascrive quali sono, secondo la regola che non corregge mai gli esiti nella direzione delle 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Chiaie-Bolivia-golpe del 1980, certifica al Livello A la presenza della diaspora nera italiana nell'evento andino, con l'esito assolutorio italiano riportato per esteso. La seconda, Gelli-Argentina-elenchi della loggia, certifica al Livello A la retrovia piduista e i suoi vertici militari. La terza, Casimirri-Nicaragua-capitali-rifugio, salda l'arco della Fase 4 al sistema continentale delle protezioni, con la trasversalità ideologica certificata quale fatto.</w:t>
      </w:r>
    </w:p>
    <w:p>
      <w:pPr>
        <w:spacing w:after="120" w:line="276"/>
        <w:jc w:val="both"/>
      </w:pPr>
      <w:r>
        <w:rPr>
          <w:rFonts w:ascii="Barlow Semi Condensed" w:cs="Barlow Semi Condensed" w:eastAsia="Barlow Semi Condensed" w:hAnsi="Barlow Semi Condensed"/>
          <w:sz w:val="24"/>
          <w:szCs w:val="24"/>
        </w:rPr>
        <w:t xml:space="preserve">Alla giurisdizione italiana sul sistema il registro deve infine i nomi che la radicarono, in ottemperanza alla disciplina delle vittime che governa l'intera opera: tra i cittadini italiani e i doppi cittadini scomparsi o assassinati nel quadro del coordinamento repressivo, per i quali le corti romane hanno celebrato il processo censito, figurano Juan Pablo Montiglio, italo-cileno della cerchia della sicurezza del presidente Allende, soppresso nella stagione immediatamente successiva al golpe, Omar Venturelli Leonelli, sacerdote e docente italo-cileno prelevato e scomparso nel 1973, e Lorenzo Ismael Viñas, italo-argentino sequestrato nel 1980 sulla rotta del confine con il Brasile, Livello A quanto ai casi, accertati nelle sedi giudiziarie italiane quali fatti del sistema. Il registro trascrive i 3 nomi quale rappresentanza dell'elenco più ampio che gli atti del processo custodiscono, e ne dichiara la funzione: essi sono la ragione giuridica per cui il Condor, sistema straniero operante su continenti lontani, appartiene di diritto a un'opera italiana, giacché la giurisdizione seguì il sangue, e la cittadinanza delle vittime trasformò il coordinamento dei regimi australi in materia penale della Repubblica, con la conseguenza, censita dal pilastro giudiziario, che una delle sentenze più vaste mai pronunciate al mondo sul terrorismo di Stato transnazionale porta l'intestazione di una Corte d'Assise romana.</w:t>
      </w:r>
    </w:p>
    <w:p>
      <w:pPr>
        <w:spacing w:after="120" w:line="276"/>
        <w:jc w:val="both"/>
      </w:pPr>
      <w:r>
        <w:rPr>
          <w:rFonts w:ascii="Barlow Semi Condensed" w:cs="Barlow Semi Condensed" w:eastAsia="Barlow Semi Condensed" w:hAnsi="Barlow Semi Condensed"/>
          <w:sz w:val="24"/>
          <w:szCs w:val="24"/>
        </w:rPr>
        <w:t xml:space="preserve">La scansione numerica degli esiti romani merita la trascrizione integrale, perché la sua progressione è essa stessa un reperto sull'accertamento tardivo: il primo grado, celebrato dinanzi alla Corte d'Assise di Roma e concluso nel gennaio 2017, pronunciò 8 condanne all'ergastolo a carico dei vertici superstiti dei regimi e un ampio ventaglio di assoluzioni per gli imputati di rango inferiore; il giudizio d'appello dell'8 luglio 2019 ribaltò in larga parte le assoluzioni portando a 24 gli ergastoli; la Corte di cassazione, il 9 luglio 2021, rese irrevocabile l'impianto, Livello A sull'intera scansione. Il registro annota la morfologia dell'esito: la forbice tra i 2 gradi di merito, da 8 a 24 ergastoli sul medesimo materiale, misura non un mutamento delle prove ma un mutamento del criterio di imputazione del sistema, il passaggio dalla responsabilità per il singolo fatto alla responsabilità per l'appartenenza consapevole all'apparato repressivo coordinato, e questa evoluzione, consacrata dalla Cassazione, costituisce il contributo dottrinale italiano alla giustizia internazionale sui crimini di sistema: il Condor fu giudicato a Roma non quale somma di omicidi ma quale organizzazione, con la medesima grammatica associativa che l'ordinamento aveva forgiato, nei decenni, sui propri sodalizi criminali interni.</w:t>
      </w:r>
    </w:p>
    <w:p>
      <w:pPr>
        <w:spacing w:after="120" w:line="276"/>
        <w:jc w:val="both"/>
      </w:pPr>
      <w:r>
        <w:rPr>
          <w:rFonts w:ascii="Barlow Semi Condensed" w:cs="Barlow Semi Condensed" w:eastAsia="Barlow Semi Condensed" w:hAnsi="Barlow Semi Condensed"/>
          <w:sz w:val="24"/>
          <w:szCs w:val="24"/>
        </w:rPr>
        <w:t xml:space="preserve">Alla topografia del sistema appartiene il luogo che il processo romano e i giudicati argentini hanno consegnato quale suo snodo fisico per gli stranieri: il centro clandestino di detenzione noto quale Automotores Orletti, l'officina di Buenos Aires adibita nel 1976 a stazione operativa per i prigionieri non argentini del coordinamento, teatro accertato del transito, della tortura e della sparizione di cittadini uruguaiani, cileni e di doppi cittadini italiani caduti nella rete, tra i quali casi giudicati nelle aule romane censite, Livello A quanto all'esistenza, alla funzione ed ai fatti accertati nelle sedi giudiziarie dei 2 continenti. Il registro assegna al luogo la funzione che i luoghi hanno in tutta l'opera, da Thompson Street a via Ruggiero Settimo: Orletti è la convergenza spaziale del Condor, il punto in cui il coordinamento cartaceo degli apparati diveniva stanza, catena, corpo, e la sua accertata specializzazione per i prigionieri stranieri documenta, meglio di ogni organigramma, la natura autenticamente transnazionale del sistema, che non si limitava a scambiare informazioni tra sovranità ma gestiva in comune, in un solo indirizzo, la fase terminale della repressione multinazionale. Nel grafo della fase, l'officina di Buenos Aires è perciò il nodo-luogo a massima densità dell'intero teatro australe, e la sua centralità postuma nelle sentenze di 2 continenti è la conferma, ancora una volta, che la giustizia raggiunge il sistema dove il sistema si fa spazio.</w:t>
      </w:r>
    </w:p>
    <w:p>
      <w:pPr>
        <w:spacing w:after="120" w:line="276"/>
        <w:jc w:val="both"/>
      </w:pPr>
      <w:r>
        <w:rPr>
          <w:rFonts w:ascii="Barlow Semi Condensed" w:cs="Barlow Semi Condensed" w:eastAsia="Barlow Semi Condensed" w:hAnsi="Barlow Semi Condensed"/>
          <w:sz w:val="24"/>
          <w:szCs w:val="24"/>
        </w:rPr>
        <w:t xml:space="preserve">All'antecedente civile del terrore australe appartiene la struttura che saldò, prima ancora dei golpe, il versante argentino al perimetro dell'opera: la Alianza Anticomunista Argentina, la formazione parastatale attiva dal 1973 al 1976 sotto il governo peronista, organizzata dal ministro José López Rega, responsabile di centinaia di omicidi politici nella stagione precedente il colpo di Stato, Livello A quanto all'esistenza, alla direzione ed all'attività accertate dalle giurisdizioni argentine. Il raccordo con il registro è nominale e documentale: López Rega figura negli elenchi della loggia coperta acquisiti dalla Commissione Anselmi, quale appartenente all'orbita gelliana argentina che il secondo pilastro certifica, sicché il fondatore dello squadrismo di Stato preperonista risulta iscritto alla medesima struttura riservata italiana che il registro ha censito quale massima intermediazione del grafo nazionale, Livello A quanto alla presenza negli elenchi, con la disciplina costante dell'opera sul valore della mera iscrizione. La parabola terminale completa la scheda: caduto con il governo che lo aveva espresso, López Rega riparò all'estero, fu arrestato negli Stati Uniti nel 1986, estradato in Argentina e morì nel 1989 in attesa di giudizio, senza sentenza definitiva sulla propria responsabilità, Livello A quanto agli esiti. Il registro consegna il nodo alla sua funzione: la Triple A dimostra che il terrore australe non nacque con le giunte ma le precedette in forma civile, e che l'orbita della loggia lambiva quel laboratorio prima ancora che il Condor lo istituzionalizzasse.</w:t>
      </w:r>
    </w:p>
    <w:p>
      <w:pPr>
        <w:spacing w:after="120" w:line="276"/>
        <w:jc w:val="both"/>
      </w:pPr>
      <w:r>
        <w:rPr>
          <w:rFonts w:ascii="Barlow Semi Condensed" w:cs="Barlow Semi Condensed" w:eastAsia="Barlow Semi Condensed" w:hAnsi="Barlow Semi Condensed"/>
          <w:sz w:val="24"/>
          <w:szCs w:val="24"/>
        </w:rPr>
        <w:t xml:space="preserve">Il teatro australe esige infine la sua comparazione giudiziaria interna, che il registro censisce quale contro-modello dell'intera fase: l'Argentina processò i propri vertici con il Juicio a las Juntas del 1985, il dibattimento civile che a 2 anni dalla fine del regime condannò i comandanti delle prime giunte, l'ergastolo a Videla, la condanna a Massera, primo caso al mondo di una democrazia che giudicava con i propri tribunali ordinari la propria dittatura appena caduta, Livello A quanto al processo ed agli esiti; la stagione successiva delle leggi di clemenza, il punto finale e l'obbedienza dovuta della fine degli anni Ottanta e gli indulti presidenziali, congelò per 15 anni quel primato, sino alla dichiarazione di incostituzionalità ed alla riapertura generalizzata dei giudizi nel primo decennio del nuovo secolo, che restituì alle aule argentine i processi censiti in questo capitolo, Livello A sull'intera parabola normativa. Il registro trae dalla comparazione la sua morale documentale: la giustizia argentina percorse in 20 anni l'intero ciclo, condanna, amnistia, annullamento dell'amnistia, nuova condanna, mentre la giustizia italiana sui fatti equivalenti del proprio corpus non ha mai completato neppure il primo movimento, e la circostanza che il Paese uscito da una dittatura genocida abbia giudicato sé stesso più rapidamente e più a fondo di quanto la democrazia continuativa più antica del corpus abbia giudicato le proprie stragi è il termine di paragone che la fase consegna, senza commento, alla verifica finale.</w:t>
      </w:r>
    </w:p>
    <w:p>
      <w:pPr>
        <w:spacing w:after="120" w:line="276"/>
        <w:jc w:val="both"/>
      </w:pPr>
      <w:r>
        <w:rPr>
          <w:rFonts w:ascii="Barlow Semi Condensed" w:cs="Barlow Semi Condensed" w:eastAsia="Barlow Semi Condensed" w:hAnsi="Barlow Semi Condensed"/>
          <w:sz w:val="24"/>
          <w:szCs w:val="24"/>
        </w:rPr>
        <w:t xml:space="preserve">Il versante uruguaiano del ponte piduista completa la geografia australe della loggia, ed il registro lo censisce accanto al caso argentino: Umberto Ortolani, il numero 2 della struttura censito nella prima fase dell'opera, aveva stabilito a Montevideo il proprio quartier generale finanziario sudamericano, con la banca di famiglia operante nella piazza uruguaiana, la naturalizzazione e le relazioni di vertice che le acquisizioni della Commissione Anselmi documentarono, facendo dell'Uruguay degli anni della dittatura la seconda capitale operativa della loggia dopo Buenos Aires, Livello A quanto agli insediamenti ed alle acquisizioni parlamentari. Il registro salda il dato alla struttura della fase: i 2 vertici della piramide gelliana risultano così stabilmente installati nei 2 Paesi cardine del coordinamento repressivo censito dal pilastro, l'Argentina di Gelli e López Rega, l'Uruguay di Ortolani, negli anni esatti in cui quel coordinamento operava, e questa doppia residenza documentata, quale che ne sia stata la funzione operativa mai integralmente giudicata, colloca fisicamente la massima struttura di intermediazione del grafo italiano dentro il perimetro geografico del Condor, con la conseguenza analitica che la fase consegna alla verifica finale: il ponte tra il capitolo italiano e il teatro australe non è un'inferenza degli analisti, è un indirizzo, anzi 2.</w:t>
      </w:r>
    </w:p>
    <w:p>
      <w:pPr>
        <w:spacing w:after="120" w:line="276"/>
        <w:jc w:val="both"/>
      </w:pPr>
      <w:r>
        <w:rPr>
          <w:rFonts w:ascii="Barlow Semi Condensed" w:cs="Barlow Semi Condensed" w:eastAsia="Barlow Semi Condensed" w:hAnsi="Barlow Semi Condensed"/>
          <w:sz w:val="24"/>
          <w:szCs w:val="24"/>
        </w:rPr>
        <w:t xml:space="preserve">Alla topografia argentina del sistema appartiene, accanto all'officina censita, il suo centro maggiore, che il registro riporta per completezza comparativa: la Escuela de Mecánica de la Armada di Buenos Aires, il più vasto centro clandestino di detenzione del regime, per il quale transitarono migliaia di prigionieri in gran parte mai riemersi, oggi convertito in museo e sito della memoria con il riconoscimento del patrimonio mondiale, Livello A quanto alla funzione storica accertata dai giudicati argentini ed alla destinazione memoriale. La comparazione con l'officina del coordinamento è la funzione del reperto: l'ESMA fu la macchina nazionale del terrore, Orletti la sua succursale multinazionale, e la coesistenza documentata delle 2 strutture nella medesima città certifica la doppia scala del sistema che il pilastro misura, quella interna della repressione di massa e quella transnazionale del coordinamento selettivo, con la conseguenza museale che il registro annota per la verifica finale: l'Argentina ha trasformato entrambe in luoghi pubblici della memoria, applicando ai propri edifici del terrore la stessa politica che il capitolo ha censito per i propri processi, mentre nessun luogo italiano del corpus, nessuna caserma, nessun ufficio, nessuna sede coperta, ha mai conosciuto conversione equivalente.</w:t>
      </w:r>
    </w:p>
    <w:p>
      <w:pPr>
        <w:spacing w:after="120" w:line="276"/>
        <w:jc w:val="both"/>
      </w:pPr>
      <w:r>
        <w:rPr>
          <w:rFonts w:ascii="Barlow Semi Condensed" w:cs="Barlow Semi Condensed" w:eastAsia="Barlow Semi Condensed" w:hAnsi="Barlow Semi Condensed"/>
          <w:sz w:val="24"/>
          <w:szCs w:val="24"/>
        </w:rPr>
        <w:t xml:space="preserve">Il teatro cileno del pilastro possiede infine il suo contrappunto luminoso, che il registro censisce per dovere di completezza e per disciplina d'equilibrio: nei mesi successivi al golpe del settembre 1973, la sede diplomatica italiana a Santiago, già evocata, divenne il maggiore rifugio occidentale della capitale, accogliendo entro i propri muri centinaia di perseguitati che vi scavalcarono la cinta, ospitati per mesi e progressivamente trasferiti in Italia con salvacondotti negoziati, senza che una sola persona accolta venisse mai consegnata al regime, Livello A quanto alla vicenda documentata dagli archivi diplomatici e dalle testimonianze convergenti. Il registro assegna al reperto la sua funzione strutturale nell'economia dell'opera: la medesima Repubblica i cui apparati la fase censisce nelle loro torsioni esprimeva, simultaneamente e attraverso altri suoi servitori, la più ampia operazione umanitaria occidentale del teatro cileno, e questa compresenza documentata delle 2 Italie nello stesso scacchiere, quella dei canali coperti e quella dei cancelli aperti, è la dimostrazione empirica della tesi anti-monolitica che governa l'intero metodo: gli Stati del corpus non sono attori unitari ma campi di forze, e la storia che l'opera ricostruisce non è quella di nazioni colpevoli, ma di domini in conflitto dentro ogni nazione, con la conseguenza che ogni giudizio sommario su un Paese intero è, per il metodo di quest'opera, un errore di risoluzione prima che di merito.</w:t>
      </w:r>
    </w:p>
    <w:p>
      <w:pPr>
        <w:spacing w:after="120" w:line="276"/>
        <w:jc w:val="both"/>
      </w:pPr>
      <w:r>
        <w:rPr>
          <w:rFonts w:ascii="Barlow Semi Condensed" w:cs="Barlow Semi Condensed" w:eastAsia="Barlow Semi Condensed" w:hAnsi="Barlow Semi Condensed"/>
          <w:sz w:val="24"/>
          <w:szCs w:val="24"/>
        </w:rPr>
        <w:t xml:space="preserve">Il fascicolo cileno conosce infine la sua chiusura documentale d'oltreoceano, che il registro censisce quale autocertificazione terminale del campo: il rapporto consegnato al Congresso nel settembre 2000 in esecuzione dell'emendamento che ne portava il nome, con cui l'agenzia americana ammise ufficialmente, a 27 anni dal golpe, la portata dei propri programmi cileni, i finanziamenti, i rapporti con gli apparati della giunta ed i contatti con figure coinvolte in crimini accertati, accompagnando l'ammissione con la declassificazione di decine di migliaia di carte disposta nella medesima stagione, Livello A quanto ai contenuti del rapporto ed al corpus declassificato. Il registro salda il documento alla struttura probatoria dell'intero pilastro: con il rapporto del 2000 il caso cileno raggiunse la configurazione documentale perfetta che quasi nessun altro nodo dell'opera possiede, la convergenza tra gli archivi delle vittime, i giudicati dei tribunali di 2 continenti e l'ammissione scritta del committente, e questa saturazione delle fonti spiega perché il pilastro australe costituisca, nell'economia del metodo, il caso di controllo dell'intera opera: è il teatro dove si può misurare come appare un sistema coperto quando tutte le sue carte, per una volta, sono uscite, ed è con quel metro che il registro ha pesato, per differenza, tutti i teatri dove le carte non sono uscite ancora.</w:t>
      </w:r>
    </w:p>
    <w:p>
      <w:pPr>
        <w:spacing w:after="120" w:line="276"/>
        <w:jc w:val="both"/>
      </w:pPr>
      <w:r>
        <w:rPr>
          <w:rFonts w:ascii="Barlow Semi Condensed" w:cs="Barlow Semi Condensed" w:eastAsia="Barlow Semi Condensed" w:hAnsi="Barlow Semi Condensed"/>
          <w:sz w:val="24"/>
          <w:szCs w:val="24"/>
        </w:rPr>
        <w:t xml:space="preserve">Il sistema australe conobbe il proprio punto di rottura strategica nella capitale del patrono, ed il registro lo censisce quale svolta documentata: il 21 settembre 1976 un ordigno collocato dalla polizia segreta cilena uccise a Washington, a pochi isolati dalla Casa Bianca, l'ex ministro Orlando Letelier e la collaboratrice americana Ronni Moffitt, nell'unica operazione del coordinamento consumata sul territorio degli Stati Uniti, e le indagini federali che ne seguirono, con le condanne americane degli esecutori e l'incriminazione dei vertici della DINA, aprirono la crisi che avrebbe progressivamente separato Washington dal sistema che aveva tollerato, Livello A quanto all'attentato, alle vittime ed agli esiti giudiziari americani. Il registro consegna l'attentato alla sua funzione di cerniera nell'economia del pilastro: Washington 1976 dimostrò che un apparato repressivo abituato all'impunità continentale aveva perso la percezione dei confini del tollerabile, colpendo nel cuore della potenza tutrice con la stessa disinvoltura usata a Buenos Aires, e la reazione americana che ne seguì, giudiziaria e politica, certifica la legge di sistema che l'intera fase documenta: i patroni dei campi non difendono i clienti dai crimini, li difendono dai crimini commessi nel posto sbagliato, e la geografia dell'impunità del Condor, totale a Sud e nulla sul Potomac, è la mappa più onesta che il corpus possieda di che cosa fosse davvero in vendita, e dove.</w:t>
      </w:r>
    </w:p>
    <w:p>
      <w:pPr>
        <w:spacing w:after="120" w:line="276"/>
        <w:jc w:val="both"/>
      </w:pPr>
      <w:r>
        <w:rPr>
          <w:rFonts w:ascii="Barlow Semi Condensed" w:cs="Barlow Semi Condensed" w:eastAsia="Barlow Semi Condensed" w:hAnsi="Barlow Semi Condensed"/>
          <w:sz w:val="24"/>
          <w:szCs w:val="24"/>
        </w:rPr>
        <w:t xml:space="preserve">La parabola giudiziaria del capo dell'apparato esige il suo censimento, che il registro riporta quale contrappasso documentato: il generale Manuel Contreras, fondatore e direttore della polizia segreta cilena negli anni del coordinamento, condannato una prima volta per l'attentato di Washington dopo la fine del regime, accumulò nei processi cileni dei 2 decenni successivi condanne cumulative per centinaia di anni di reclusione per le sparizioni e gli omicidi accertati caso per caso, e morì detenuto nel 2015, Livello A quanto alle condanne ed alla morte in carcere. Il registro consegna la parabola alla sua funzione di misura: l'uomo che aveva diretto l'apparato dell'impunità continentale morì sepolto da un contenzioso penale che i tribunali del suo Paese ricostruirono vittima per vittima, e la distanza tra le 2 stagioni della sua biografia, l'onnipotenza degli anni Settanta e la contabilità giudiziaria del nuovo secolo, certifica la legge che il pilastro australe consegna all'intera opera: l'impunità dei sistemi coperti non è una condizione ma una fase, dura quanto dura la protezione politica che la produce, e quando la protezione cade, la documentazione maniacale che ogni apparato produce di sé stesso, gli archivi, le liste, le catene di comando, si converte da strumento del potere in corpo del reato, sicché i tribunali di Santiago hanno condannato il generale, in larga parte, con le carte del generale.</w:t>
      </w:r>
    </w:p>
    <w:p>
      <w:pPr>
        <w:spacing w:after="120" w:line="276"/>
        <w:jc w:val="both"/>
      </w:pPr>
      <w:r>
        <w:rPr>
          <w:rFonts w:ascii="Barlow Semi Condensed" w:cs="Barlow Semi Condensed" w:eastAsia="Barlow Semi Condensed" w:hAnsi="Barlow Semi Condensed"/>
          <w:sz w:val="24"/>
          <w:szCs w:val="24"/>
        </w:rPr>
        <w:t xml:space="preserve">Il pilastro cileno possiede anche il suo contrappunto luminoso, che il registro censisce con il rilievo dovuto: il Vicariato della Solidarietà, l'organismo creato dalla Chiesa di Santiago nel 1976 dopo lo scioglimento forzato del primo comitato ecumenico, operò per l'intera durata del regime quale unica struttura legale di assistenza alle vittime, documentando caso per caso arresti, sparizioni e torture in un archivio sistematico che, alla caduta del regime, divenne la base documentale primaria delle commissioni verità e dei processi, Livello A quanto all'attività ed alla funzione documentale svolta. Il registro consegna l'istituzione alla sua doppia funzione nell'economia dell'opera: sul piano fattuale, l'archivio del Vicariato dimostra che la documentazione delle vittime, raccolta in tempo reale sotto il regime stesso, può sopravanzare per qualità gli archivi dei carnefici, ribaltando la dipendenza dai crolli altrui che il corpus ha censito quale legge; sul piano comparativo, la scelta della Chiesa cilena di schierare la propria extraterritorialità morale dalla parte dei perseguitati costituisce l'esatto rovescio degli usi della sponda vaticana censiti nella fase prima, e la compresenza dei 2 modelli nella stessa istituzione universale conferma il principio metodologico che governa l'intera opera: nessun dominio è monolitico, ogni struttura contiene i propri giusti ed i propri complici, e la storia si scrive contando gli uni e gli altri, mai presumendo né gli uni né gli altri.</w:t>
      </w:r>
    </w:p>
    <w:p>
      <w:pPr>
        <w:spacing w:after="120" w:line="276"/>
        <w:jc w:val="both"/>
      </w:pPr>
      <w:r>
        <w:rPr>
          <w:rFonts w:ascii="Barlow Semi Condensed" w:cs="Barlow Semi Condensed" w:eastAsia="Barlow Semi Condensed" w:hAnsi="Barlow Semi Condensed"/>
          <w:sz w:val="24"/>
          <w:szCs w:val="24"/>
        </w:rPr>
        <w:t xml:space="preserve">La transizione argentina produsse infine il prototipo documentale che il registro censisce quale modello esportato: la commissione nazionale sulla sparizione delle persone, istituita nel dicembre 1983 dal primo governo democratico e presieduta dallo scrittore Ernesto Sabato, consegnò in 9 mesi il rapporto Nunca Más, la prima grande inchiesta ufficiale di uno Stato sui crimini del proprio regime appena caduto, censimento sistematico dei casi, dei centri clandestini e delle metodologie che fornì la base probatoria del processo alle giunte e la matrice riconosciuta di tutte le commissioni verità successive, Livello A quanto all'istituzione, al rapporto ed alla sua funzione. Il registro colloca il prototipo nella comparazione che il capitolo ha costruito: l'Argentina inventò, a 9 mesi dalla caduta, lo strumento che l'Italia della stessa epoca non ha mai adottato in 50 anni, la commissione con mandato di sola verità, separata dal processo penale e perciò libera dai suoi tempi e dai suoi standard, e la differenza tra i 2 percorsi, il Paese che scrisse subito il proprio Nunca Más ed il Paese che affidò la propria verità a 5 decenni di dibattimenti ed a commissioni parlamentari per loro natura divise, spiega in parte l'asimmetria degli esiti che l'opera documenta: dove la verità fu separata dalla punizione, si ottenne almeno la verità; dove restarono congiunte, la prescrizione ed il ragionevole dubbio, uccidendo la seconda, ferirono per sempre anche la prima.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latinoamericano è certificato quale sistema di diaspore e retrovie con il Condor al Livello A quale cornice, le presenze italiane nere e piduiste documentate su versanti distinti senza coordinamento provato, gli esiti assolutori riportati per esteso, e la mappa delle capitali-rifugio elevata a teorema geografico: la protezione segue la frattura giurisdizionale, non l'asse ideologico.</w:t>
      </w:r>
    </w:p>
    <w:p>
      <w:pPr>
        <w:pStyle w:val="Heading3"/>
        <w:spacing w:after="80" w:before="160"/>
      </w:pPr>
      <w:r>
        <w:rPr>
          <w:rFonts w:ascii="Barlow Semi Condensed" w:cs="Barlow Semi Condensed" w:eastAsia="Barlow Semi Condensed" w:hAnsi="Barlow Semi Condensed"/>
          <w:sz w:val="24"/>
          <w:szCs w:val="24"/>
        </w:rPr>
        <w:t xml:space="preserve">Capitolo 3 — Il Sudafrica dell'apartheid: l'hub australe e lo Stato Zero esemplare</w:t>
      </w:r>
    </w:p>
    <w:p>
      <w:pPr>
        <w:spacing w:after="120" w:line="276"/>
        <w:jc w:val="both"/>
      </w:pPr>
      <w:r>
        <w:rPr>
          <w:rFonts w:ascii="Barlow Semi Condensed" w:cs="Barlow Semi Condensed" w:eastAsia="Barlow Semi Condensed" w:hAnsi="Barlow Semi Condensed"/>
          <w:sz w:val="24"/>
          <w:szCs w:val="24"/>
        </w:rPr>
        <w:t xml:space="preserve">Il terzo nodo è il Sudafrica dell'apartheid, il teatro che la lettura reticolare dei corpora internazionali dell'opera ha misurato quale nodo di massima intermediazione tra i dossier, il punto per cui passano i percorsi che collegano insiemi documentali altrimenti disconnessi, dalla rete Aginter alle trame delle sanzioni aggirate, dalle diaspore postbelliche alle verifiche sui circoli riservati. Il registro certifica al Livello A la posizione di hub, quale misura reticolare condotta sul corpus, e ne distende i fondamenti nei pilastri.</w:t>
      </w:r>
    </w:p>
    <w:p>
      <w:pPr>
        <w:spacing w:after="120" w:line="276"/>
        <w:jc w:val="both"/>
      </w:pPr>
      <w:r>
        <w:rPr>
          <w:rFonts w:ascii="Barlow Semi Condensed" w:cs="Barlow Semi Condensed" w:eastAsia="Barlow Semi Condensed" w:hAnsi="Barlow Semi Condensed"/>
          <w:sz w:val="24"/>
          <w:szCs w:val="24"/>
        </w:rPr>
        <w:t xml:space="preserve">Il primo pilastro censisce gli assi di complicità documentati. La monografia comparativa dell'opera ha certificato i 2 assi maggiori del sostegno esterno al regime, quello israeliano e quello britannico, ciascuno con la propria documentazione di cooperazione militare, tecnologica e finanziaria attraverso i decenni delle sanzioni, e il controcanto del campo opposto, la lunga ostilità sovietica e del blocco orientale con il sostegno ai movimenti di liberazione; il registro certifica al Livello A l'esistenza e la consistenza documentale degli assi, quali dati delle acquisizioni internazionali, e ne trae il primo fondamento della centralità: il regime australe fu, per mezzo secolo, il punto in cui gli interessi dei campi si incrociarono in configurazioni non riducibili alla logica bipolare, un teatro nel quale la geometria delle complicità attraversò gli schieramenti, e questa irriducibilità documentata è la ragione strutturale per cui i percorsi del grafo vi convergono.</w:t>
      </w:r>
    </w:p>
    <w:p>
      <w:pPr>
        <w:spacing w:after="120" w:line="276"/>
        <w:jc w:val="both"/>
      </w:pPr>
      <w:r>
        <w:rPr>
          <w:rFonts w:ascii="Barlow Semi Condensed" w:cs="Barlow Semi Condensed" w:eastAsia="Barlow Semi Condensed" w:hAnsi="Barlow Semi Condensed"/>
          <w:sz w:val="24"/>
          <w:szCs w:val="24"/>
        </w:rPr>
        <w:t xml:space="preserve">Il secondo pilastro censisce la rete europea dell'aggiramento delle sanzioni, il sistema di intermediari, società di comodo e canali finanziari che garantì al regime, negli anni dell'embargo, l'approvvigionamento militare e tecnologico attraverso piazze e operatori europei; la documentazione, emersa per inchieste giornalistiche, atti giudiziari sparsi e desecretazioni successive alla transizione, disegna una rete la cui consistenza il registro certifica al Livello B nel suo insieme, quale convergenza di fonti eterogenee non unificate da un accertamento organico, con i singoli episodi ai livelli propri; al medesimo pilastro appartiene il caso che salda il teatro alla cronaca europea, l'assassinio del primo ministro svedese Olof Palme, ucciso a Stoccolma il 28 febbraio 1986: tra le piste investigate dalla giustizia svedese figurò quella sudafricana, alimentata a metà degli anni Novanta da dichiarazioni di ex appartenenti agli apparati del regime sul movente dell'ostilità di Palme alle politiche dell'apartheid, e mai approdata a riscontro; l'inchiesta svedese fu chiusa nel 2020 con l'indicazione di un sospettato deceduto e senza processo. Il registro certifica al Livello A l'omicidio, la data, l'esistenza della pista e la chiusura del 2020, quali fatti documentali, nomina Olof Palme tra le vittime richiamate della fase, e mantiene al Livello C la pista sudafricana quale ipotesi investigata e non provata, secondo la disciplina che il caso, il più celebre omicidio politico irrisolto d'Europa, esige nella forma più severa.</w:t>
      </w:r>
    </w:p>
    <w:p>
      <w:pPr>
        <w:spacing w:after="120" w:line="276"/>
        <w:jc w:val="both"/>
      </w:pPr>
      <w:r>
        <w:rPr>
          <w:rFonts w:ascii="Barlow Semi Condensed" w:cs="Barlow Semi Condensed" w:eastAsia="Barlow Semi Condensed" w:hAnsi="Barlow Semi Condensed"/>
          <w:sz w:val="24"/>
          <w:szCs w:val="24"/>
        </w:rPr>
        <w:t xml:space="preserve">Il terzo pilastro censisce la verifica sui circoli riservati, il triangolo tra il teatro australe, il circolo transnazionale noto quale Le Cercle e l'orbita di Ordre et Tradition, che la monografia dedicata dell'opera ha sottoposto a stress documentale: la verifica ha certificato l'esistenza dei circoli, la documentazione delle loro composizioni per le stagioni note e i punti di contatto attestati con gli ambienti del regime, e ha negato la certificazione a ogni lettura funzionale unificante, mantenendo i contatti al Livello B e le funzioni al Livello C; il registro recepisce l'esito quale modello della propria disciplina sui mondi riservati transnazionali, nei quali l'esistenza è documentabile, la composizione parzialmente ricostruibile e la funzione strutturalmente eccedente le fonti.</w:t>
      </w:r>
    </w:p>
    <w:p>
      <w:pPr>
        <w:spacing w:after="120" w:line="276"/>
        <w:jc w:val="both"/>
      </w:pPr>
      <w:r>
        <w:rPr>
          <w:rFonts w:ascii="Barlow Semi Condensed" w:cs="Barlow Semi Condensed" w:eastAsia="Barlow Semi Condensed" w:hAnsi="Barlow Semi Condensed"/>
          <w:sz w:val="24"/>
          <w:szCs w:val="24"/>
        </w:rPr>
        <w:t xml:space="preserve">Il quarto pilastro censisce lo Stato Zero esemplare della fase, la verifica condotta sul raccordo tra le radici australi contemporanee e le reti storiche del corpus. L'opera ha condotto il riscontro sistematico tra i profili biografici dei membri del gruppo imprenditoriale contemporaneo noto quale PayPal Mafia e i nodi storici del teatro: la verifica ha certificato al Livello A le radici biografiche sudafricane o namibiane di 4 profili, quali dati pubblici documentati, e ha certificato, con eguale nettezza, l'esito negativo integrale del riscontro sulle connessioni, nessun elemento documentale collegando alcuno dei profili verificati alla rete Aginter, all'orbita di Delle Chiaie o ad alcun nodo storico del corpus; il registro dichiara lo Stato Zero con il perimetro della ricerca che lo fonda, l'intero corpus documentale dell'opera, e lo eleva a esemplare della categoria: la verifica fu condotta perché la suggestione geografica la sollecitava, fu condotta integralmente, e restituì il nulla documentato, che il registro trascrive quale risultato di prima classe, la delimitazione certificata dello spazio delle ipotesi, con il divieto assoluto, dichiarato in avvertenza, di ogni inferenza associativa dalla mera menzione dei profili verificati.</w:t>
      </w:r>
    </w:p>
    <w:p>
      <w:pPr>
        <w:spacing w:after="120" w:line="276"/>
        <w:jc w:val="both"/>
      </w:pPr>
      <w:r>
        <w:rPr>
          <w:rFonts w:ascii="Barlow Semi Condensed" w:cs="Barlow Semi Condensed" w:eastAsia="Barlow Semi Condensed" w:hAnsi="Barlow Semi Condensed"/>
          <w:sz w:val="24"/>
          <w:szCs w:val="24"/>
        </w:rPr>
        <w:t xml:space="preserve">Il quinto pilastro censisce il sostrato storico del teatro, le diaspore postbelliche che il corpus dell'opera ha documentato. La monografia dedicata ha censito la presenza in Africa australe delle reti della diaspora tedesca e filotedesca, dagli internamenti bellici dei simpatizzanti nell'Unione Sudafricana alla permanenza postbellica di comunità e ambienti che le acquisizioni collocano nel tessuto del regime successivo; il registro certifica al Livello A l'esistenza documentata del sostrato, quale dato storico consolidato dalle acquisizioni del corpus, mantiene ai livelli propri le singole traiettorie individuali censite, e ne dichiara la funzione strutturale: il teatro australe entra nel dopoguerra già dotato di un tessuto di reti riservate a matrice europea, e la sua successiva funzione di hub non nasce dal nulla ma si innesta su questa stratificazione, che il registro trascrive quale primo strato documentale del nodo, secondo il metodo della lettura per strati che l'opera ha applicato ai propri nodi di massima profondità.</w:t>
      </w:r>
    </w:p>
    <w:p>
      <w:pPr>
        <w:spacing w:after="120" w:line="276"/>
        <w:jc w:val="both"/>
      </w:pPr>
      <w:r>
        <w:rPr>
          <w:rFonts w:ascii="Barlow Semi Condensed" w:cs="Barlow Semi Condensed" w:eastAsia="Barlow Semi Condensed" w:hAnsi="Barlow Semi Condensed"/>
          <w:sz w:val="24"/>
          <w:szCs w:val="24"/>
        </w:rPr>
        <w:t xml:space="preserve">Il sesto pilastro censisce il vertice tecnologico dell'asse, il programma nucleare. Il regime sviluppò, nei decenni dell'isolamento, un programma nucleare militare giunto alla produzione di 6 ordigni, condotto con la cooperazione tecnologica che la documentazione attribuisce in misura maggiore all'asse israeliano censito nel primo pilastro, e lo smantellò unilateralmente nella transizione, con l'annuncio pubblico del presidente de Klerk del 24 marzo 1993 che rese il Sudafrica l'unico Stato ad avere costruito e volontariamente dismesso un arsenale nucleare; il registro certifica al Livello A il programma, la consistenza, lo smantellamento e l'annuncio, quali dati consolidati, certifica al Livello B la componente israeliana della cooperazione nei termini che la documentazione non ufficiale consente, e ne trae il dato che consegna alla mappa dell'opera: il teatro australe fu, per 2 decenni, l'unico nodo del grafo internazionale dotato di capacità nucleare autonoma extra-bipolare, e questa singolarità certificata, sommata all'irriducibilità degli assi del primo pilastro, completa il fondamento strutturale della sua centralità: il punto del sistema mondiale in cui le regole dei campi valevano meno era, necessariamente, il punto per cui passavano i percorsi che le regole dei campi vietavano.</w:t>
      </w:r>
    </w:p>
    <w:p>
      <w:pPr>
        <w:spacing w:after="120" w:line="276"/>
        <w:jc w:val="both"/>
      </w:pPr>
      <w:r>
        <w:rPr>
          <w:rFonts w:ascii="Barlow Semi Condensed" w:cs="Barlow Semi Condensed" w:eastAsia="Barlow Semi Condensed" w:hAnsi="Barlow Semi Condensed"/>
          <w:sz w:val="24"/>
          <w:szCs w:val="24"/>
        </w:rPr>
        <w:t xml:space="preserve">Il settimo pilastro censisce la transizione quale evento archivistico, il ponte del nodo verso la legge del capitolo nono. La sequenza della transizione sudafricana, dalla liberazione di Nelson Mandela dell'11 febbraio 1990 alle prime elezioni universali del 27 aprile 1994, costituì per il teatro l'evento di apertura che la tassonomia classifica quale collasso negoziato del regime protettore, e produsse i frutti documentali che la fase ha impiegato, dal processo di verità e riconciliazione ai versamenti che illuminarono la rete delle sanzioni e le complicità esterne; il registro certifica al Livello A la sequenza e la sua funzione di apertura, quali dati storici, e ne trae l'annotazione riflessiva che il nodo consegna: la centralità del teatro australe nel grafo internazionale dell'opera è essa stessa, in parte misurabile, un prodotto della transizione, giacché il Sudafrica è, tra i regimi protettori del corpus, quello la cui caduta ha aperto gli archivi nella forma più organica, e la sua densità documentale, dalla quale la misura di intermediazione dipende, incorpora il vantaggio archivistico; il registro applica al proprio hub la correzione del lampione che esso stesso ha formalizzato, dichiara che la posizione di massimo nodo inter-dossier resta certificata quale misura sul corpus disponibile e non quale gerarchia storica assoluta, e consegna l'autocorrezione quale esempio terminale della disciplina, il registro che applica a se stesso, sul proprio risultato più visibile, la cautela che ha imposto a ogni comparazione.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Sudafrica-assi di complicità-irriducibilità bipolare, certifica il fondamento strutturale della centralità del teatro. La seconda, sanzioni aggirate-rete europea-caso Palme, congiunge il sistema documentato al suo caso limite, con la pista al Livello C e la disciplina della non prova. La terza, radici biografiche-corpus storico-Stato Zero, formalizza la verifica negativa esemplare quale lascito metodologico della fase.</w:t>
      </w:r>
    </w:p>
    <w:p>
      <w:pPr>
        <w:spacing w:after="120" w:line="276"/>
        <w:jc w:val="both"/>
      </w:pPr>
      <w:r>
        <w:rPr>
          <w:rFonts w:ascii="Barlow Semi Condensed" w:cs="Barlow Semi Condensed" w:eastAsia="Barlow Semi Condensed" w:hAnsi="Barlow Semi Condensed"/>
          <w:sz w:val="24"/>
          <w:szCs w:val="24"/>
        </w:rPr>
        <w:t xml:space="preserve">Al Dominio 8 del teatro australe appartiene lo scandalo che ne rivelò la strategia, e che il registro censisce quale reperto sulla guerra dell'informazione condotta dal regime: la vicenda nota quale Muldergate, esplosa tra il 1978 ed il 1979, accertò che il dipartimento dell'informazione di Pretoria aveva alimentato con fondi neri un programma clandestino di condizionamento mediatico, comprensivo della creazione di una testata nazionale compiacente e di tentativi di acquisizione occulta di organi di stampa esteri, e la deflagrazione pubblica del programma travolse i suoi responsabili politici sino a lambire la successione al vertice dello Stato, Livello A quanto allo scandalo, agli accertamenti ed alle conseguenze politiche. Il registro assegna al reperto la sua funzione comparativa: il Muldergate documenta che il regime isolato considerava il campo mediatico internazionale un teatro operativo alla pari di quello militare e finanziario, e la sua strumentazione, fondi riservati, prestanome editoriali, acquisizioni schermate, replica punto per punto la grammatica che le fasi nazionali hanno certificato sul versante italiano nella stagione della scalata piduista al maggiore quotidiano del Paese, sicché il caso australe vale quale conferma indipendente, maturata in tutt'altro ordinamento, di una legge del Dominio 8 che l'opera ha già misurato in casa: chi non può comprare il consenso alla luce lo compra al buio, e il prezzo occulto dell'informazione è una costante dei sistemi assediati.</w:t>
      </w:r>
    </w:p>
    <w:p>
      <w:pPr>
        <w:spacing w:after="120" w:line="276"/>
        <w:jc w:val="both"/>
      </w:pPr>
      <w:r>
        <w:rPr>
          <w:rFonts w:ascii="Barlow Semi Condensed" w:cs="Barlow Semi Condensed" w:eastAsia="Barlow Semi Condensed" w:hAnsi="Barlow Semi Condensed"/>
          <w:sz w:val="24"/>
          <w:szCs w:val="24"/>
        </w:rPr>
        <w:t xml:space="preserve">Alla rete dell'aggiramento va premessa la sua data-cerniera, che ne muta la qualificazione giuridica e che il registro fissa quale spartiacque del nodo: nel novembre 1977 il Consiglio di sicurezza delle Nazioni Unite, con la risoluzione 418, rese obbligatorio l'embargo sulle forniture di armi al regime, sino ad allora raccomandato su base volontaria, trasformando da quel momento ogni canale di approvvigionamento militare in violazione di un obbligo internazionale vincolante per tutti gli Stati membri, Livello A quanto all'atto ed alla sua portata. La cerniera ordina la cronologia del pilastro: prima del 1977 l'assistenza militare al regime era materia di scelta politica nazionale, censurabile ma legale; dopo, divenne contrabbando di sistema, e la rete europea di intermediari e società di comodo che il pilastro certifica operò, per l'intero quindicennio successivo, nella piena consapevolezza dell'illiceità internazionale, con la conseguenza analitica che il registro ne trae: la continuità dei flussi attraverso la soglia del 1977, documentata dalle acquisizioni, misura l'esatta differenza tra il diritto internazionale e la sua esecuzione, e consegna al teatro australe il suo teorema, che un embargo obbligatorio senza apparato coercitivo non chiude i canali, li riprezza, spostando il traffico dalla contabilità degli Stati a quella, più costosa e più opaca, degli intermediari che l'opera ha censito.</w:t>
      </w:r>
    </w:p>
    <w:p>
      <w:pPr>
        <w:spacing w:after="120" w:line="276"/>
        <w:jc w:val="both"/>
      </w:pPr>
      <w:r>
        <w:rPr>
          <w:rFonts w:ascii="Barlow Semi Condensed" w:cs="Barlow Semi Condensed" w:eastAsia="Barlow Semi Condensed" w:hAnsi="Barlow Semi Condensed"/>
          <w:sz w:val="24"/>
          <w:szCs w:val="24"/>
        </w:rPr>
        <w:t xml:space="preserve">Il pilastro australe possiede infine il suo ponte biografico diretto con il capitolo italiano dell'opera, che il registro censisce quale saldatura fisica tra i 2 teatri: il generale Gianadelio Maletti, il vertice del controspionaggio italiano destinatario delle condanne definitive censite nella fase seconda, riparò all'inizio degli anni Ottanta proprio nel Sudafrica dell'apartheid, dove visse da allora stabilmente, sottratto di fatto all'esecuzione ed alle successive vicende giudiziarie italiane dall'assenza di estradizione, sino ad essere ascoltato dalle autorità parlamentari italiane in trasferta a Johannesburg nel marzo 1997, Livello A quanto al rifugio, alla sua durata ed all'audizione. Il registro consegna la traiettoria alla sua doppia funzione documentale: sul piano del grafo, l'ufficiale che aveva governato la zona grigia tra apparati e trame censita dall'opera scelse quale rifugio l'ordinamento che il pilastro certifica quale terminale delle reti occidentali di aggiramento, saldando in una sola biografia il capitolo italiano ed il teatro australe; sul piano del metodo, il caso dimostra che la geografia degli esili non è mai neutra, e che la mappa dei Paesi che accolsero i condannati e gli imputati della stagione italiana, la Spagna franchista per gli ordinovisti, il Cono Sud per i latitanti neri, il Sudafrica per il generale, coincide con esattezza con la mappa dei regimi che i pilastri della fase hanno censito, sicché le latitanze disegnano, in negativo, la stessa rete che i documenti disegnano in positivo.</w:t>
      </w:r>
    </w:p>
    <w:p>
      <w:pPr>
        <w:spacing w:after="120" w:line="276"/>
        <w:jc w:val="both"/>
      </w:pPr>
      <w:r>
        <w:rPr>
          <w:rFonts w:ascii="Barlow Semi Condensed" w:cs="Barlow Semi Condensed" w:eastAsia="Barlow Semi Condensed" w:hAnsi="Barlow Semi Condensed"/>
          <w:sz w:val="24"/>
          <w:szCs w:val="24"/>
        </w:rPr>
        <w:t xml:space="preserve">Il versante nucleare del pilastro possiede il suo enigma strumentale, che il registro censisce quale caso limite della propria scala: il 22 settembre 1979 un satellite americano della rete di sorveglianza rilevò sull'Atlantico australe il doppio lampo caratteristico di una detonazione nucleare atmosferica, in un'area compatibile con una cooperazione di test tra il programma sudafricano censito dal pilastro e quello israeliano, e l'evento, mai rivendicato da alcuno Stato, fu sottoposto ad un riesame tecnico americano che ne prospettò la possibile natura di artefatto strumentale, con conclusioni contestate da parte della comunità scientifica e mai seguite da un accertamento definitivo in alcuna sede, Livello A quanto alla rilevazione ed alla controversia documentata, Livello B quanto alla natura nucleare dell'evento secondo le valutazioni tecniche prevalenti, Livello C quanto ad ogni attribuzione statuale. Il registro censisce il doppio lampo per la sua unicità epistemologica nel corpus: si tratta dell'unico evento dell'intera opera del quale è incerta non la paternità ma l'esistenza stessa, un possibile fatto senza autore che nessuna desecretazione ha mai promosso né a fatto pieno né a non-fatto, e questa sospensione quarantennale, mantenuta da tutte le potenze interessate al silenzio, è la dimostrazione estrema della legge che il pilastro australe consegna alla fase: dove convergono i segreti di 2 programmi nucleari clandestini, il mondo può non sapere per sempre nemmeno se qualcosa è accaduto, ed il registro archivia il caso quale confine esterno del conoscibile, il punto oltre il quale il metodo dell'opera dichiara onestamente di non poter procedere.</w:t>
      </w:r>
    </w:p>
    <w:p>
      <w:pPr>
        <w:spacing w:after="120" w:line="276"/>
        <w:jc w:val="both"/>
      </w:pPr>
      <w:r>
        <w:rPr>
          <w:rFonts w:ascii="Barlow Semi Condensed" w:cs="Barlow Semi Condensed" w:eastAsia="Barlow Semi Condensed" w:hAnsi="Barlow Semi Condensed"/>
          <w:sz w:val="24"/>
          <w:szCs w:val="24"/>
        </w:rPr>
        <w:t xml:space="preserve">Il pilastro australe e quello africano esigono infine la loro comparazione terminale, che il registro formula quale tripartizione degli esiti: i 3 grandi teatri della violenza di Stato censiti dalla fase approdarono a 3 scioglimenti diversi, l'Argentina del processo immediato alle giunte, poi sospeso dalle leggi del perdono e riaperto con il loro annullamento sino alle condanne del nuovo secolo, il Cile della transizione pattuita, dove la giustizia penetrò tardi e per accumulo di casi individuali sino alla morte del capo mai condannato, ed il Sudafrica della commissione per verità e riconciliazione, che scambiò formalmente l'amnistia individuale contro la confessione integrale e pubblica, Livello A quanto ai 3 percorsi ed ai loro esiti documentati. Il registro consegna la tripartizione alla sua funzione di specchio per il caso italiano che l'intera opera serve: punizione, prescrizione negoziata e verità scambiata sono le 3 vie che il mondo ha sperimentato davanti ai propri sotterranei, e l'Italia del corpus non ne ha percorsa per intero nessuna, non la prima, che i suoi processi hanno realizzato solo per frammenti, non la terza, che il suo ordinamento non ha mai istituito, restando sospesa nella seconda senza nemmeno il patto esplicito che altrove la fondò, e questa incompiutezza comparata, che il registro constata senza retorica, è forse la definizione più esatta del problema italiano che l'opera consegna al lettore: non un Paese senza giustizia né un Paese senza verità, ma un Paese che non ha mai scelto, tra le 2, quale volesse davvero, ottenendo di ciascuna la metà.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australe è certificato quale hub di massima intermediazione inter-dossier, con gli assi di complicità al Livello A, la rete delle sanzioni al Livello B, il caso Palme censito con la pista al Livello C e la chiusura del 2020 quale esito, e lo Stato Zero del riscontro contemporaneo elevato a esemplare della categoria, la connessione cercata su tutto il corpus e non trovata.</w:t>
      </w:r>
    </w:p>
    <w:p>
      <w:pPr>
        <w:pStyle w:val="Heading3"/>
        <w:spacing w:after="80" w:before="160"/>
      </w:pPr>
      <w:r>
        <w:rPr>
          <w:rFonts w:ascii="Barlow Semi Condensed" w:cs="Barlow Semi Condensed" w:eastAsia="Barlow Semi Condensed" w:hAnsi="Barlow Semi Condensed"/>
          <w:sz w:val="24"/>
          <w:szCs w:val="24"/>
        </w:rPr>
        <w:t xml:space="preserve">Capitolo 4 — La Francia: il santuario, la dottrina del rifugio e gli archivi chiusi</w:t>
      </w:r>
    </w:p>
    <w:p>
      <w:pPr>
        <w:spacing w:after="120" w:line="276"/>
        <w:jc w:val="both"/>
      </w:pPr>
      <w:r>
        <w:rPr>
          <w:rFonts w:ascii="Barlow Semi Condensed" w:cs="Barlow Semi Condensed" w:eastAsia="Barlow Semi Condensed" w:hAnsi="Barlow Semi Condensed"/>
          <w:sz w:val="24"/>
          <w:szCs w:val="24"/>
        </w:rPr>
        <w:t xml:space="preserve">Il quarto nodo è la Francia, il santuario europeo che la Fase 4 ha consegnato con il nodo Hyperion e che la fase eleva a sistema. Il registro certifica al Livello A, quali dati ordinamentali documentati, i 3 elementi costitutivi del sistema: la prassi della non estradizione per i reati a movente politico, consolidatasi di fatto negli anni Settanta; la sua elevazione a dottrina dichiarata alla metà degli anni Ottanta, con l'impegno pubblico della presidenza a non consegnare i militanti che avessero rotto con la violenza, la formulazione nota quale dottrina del rifugio; e la conseguente costituzione, sul territorio francese, della più ampia comunità di fuoriusciti della sinistra armata italiana, con le implicazioni documentali che la Fase 4 ha censito per il nodo parigino.</w:t>
      </w:r>
    </w:p>
    <w:p>
      <w:pPr>
        <w:spacing w:after="120" w:line="276"/>
        <w:jc w:val="both"/>
      </w:pPr>
      <w:r>
        <w:rPr>
          <w:rFonts w:ascii="Barlow Semi Condensed" w:cs="Barlow Semi Condensed" w:eastAsia="Barlow Semi Condensed" w:hAnsi="Barlow Semi Condensed"/>
          <w:sz w:val="24"/>
          <w:szCs w:val="24"/>
        </w:rPr>
        <w:t xml:space="preserve">Il primo pilastro riepiloga, quale recezione, il nodo Hyperion nello stato terminale che la fase precedente ha fissato: esistenza, sede al Quai de la Tournelle 27, copertura didattica reale, genealogia comune con l'organizzazione esecutrice nel ceppo milanese, contatti al Livello B, funzioni al Livello C, assenza integrale di condanne, 3 stagioni di accertamento convergenti sul medesimo punto di arresto, archivi mai aperti quale vuoto capitale; il registro recepisce lo stato senza modificarlo e vi salda il dato di sistema del capitolo: il punto di arresto delle 3 stagioni coincide esattamente con il perimetro della cooperazione che l'ordinamento ospitante concesse, e il profilo conoscitivo del nodo è, per costruzione, una funzione della dottrina del rifugio.</w:t>
      </w:r>
    </w:p>
    <w:p>
      <w:pPr>
        <w:spacing w:after="120" w:line="276"/>
        <w:jc w:val="both"/>
      </w:pPr>
      <w:r>
        <w:rPr>
          <w:rFonts w:ascii="Barlow Semi Condensed" w:cs="Barlow Semi Condensed" w:eastAsia="Barlow Semi Condensed" w:hAnsi="Barlow Semi Condensed"/>
          <w:sz w:val="24"/>
          <w:szCs w:val="24"/>
        </w:rPr>
        <w:t xml:space="preserve">Il secondo pilastro censisce la prova di durata della dottrina, l'arco terminale che chiude il sistema sul presente. Nell'aprile 2021 le autorità francesi, su richiesta italiana, procedettero all'arresto di 9 ex militanti delle organizzazioni armate italiane da decenni residenti nel Paese, condannati in via definitiva in Italia per fatti della stagione, avviando la procedura estradizionale che parve segnare la revoca della dottrina; la procedura si concluse in senso opposto, con il diniego delle estradizioni pronunciato dalla giustizia francese e reso definitivo dalla Corte di cassazione francese nel marzo 2023, sul fondamento dei principi convenzionali del radicamento familiare e dell'equità processuale; il registro certifica al Livello A gli arresti, la procedura e il diniego definitivo, quali dati giudiziari, e ne trae la formalizzazione che il sistema esige: la dottrina del rifugio, nata quale atto politico revocabile, si è trasformata, per il decorso di mezzo secolo, in una barriera giuridica convenzionale non più revocabile per via politica, e la sottrazione dei fuoriusciti alla giurisdizione italiana è divenuta, con la pronuncia del 2023, un esito ordinamentale definitivo; il registro trascrive la trasformazione quale fatto giuridico datato e la consegna al capitolo nono quale caso della regolarità generale, l'ordinamento che non ha mai aperto ciò che proteggeva e che ha infine reso l'apertura giuridicamente impossibile.</w:t>
      </w:r>
    </w:p>
    <w:p>
      <w:pPr>
        <w:spacing w:after="120" w:line="276"/>
        <w:jc w:val="both"/>
      </w:pPr>
      <w:r>
        <w:rPr>
          <w:rFonts w:ascii="Barlow Semi Condensed" w:cs="Barlow Semi Condensed" w:eastAsia="Barlow Semi Condensed" w:hAnsi="Barlow Semi Condensed"/>
          <w:sz w:val="24"/>
          <w:szCs w:val="24"/>
        </w:rPr>
        <w:t xml:space="preserve">Il terzo pilastro formalizza il portato per l'opera. La Francia è, nel grafo internazionale, il caso puro del santuario stabile, il teatro la cui protezione non è mai caduta, e la comparazione con il caso portoghese del capitolo primo compone la coppia dimostrativa terminale: Lisbona cadde e Aginter divenne il nodo più documentato del corpus internazionale; Parigi non cadde e Hyperion resta il nodo più vuoto; il registro certifica la coppia quale dimostrazione a 2 casi del teorema archivistico e dichiara l'implicazione operativa che ne discende per ogni ricerca futura, già consegnata quale primo obiettivo: nessun progresso conoscitivo sul santuario francese è atteso da nuove stagioni di accertamento a regime invariato, e l'unica variabile capace di mutare lo stato del nodo è il regime di accesso agli archivi, la variabile che non dipende dalla ricerca ma dalla politica.</w:t>
      </w:r>
    </w:p>
    <w:p>
      <w:pPr>
        <w:spacing w:after="120" w:line="276"/>
        <w:jc w:val="both"/>
      </w:pPr>
      <w:r>
        <w:rPr>
          <w:rFonts w:ascii="Barlow Semi Condensed" w:cs="Barlow Semi Condensed" w:eastAsia="Barlow Semi Condensed" w:hAnsi="Barlow Semi Condensed"/>
          <w:sz w:val="24"/>
          <w:szCs w:val="24"/>
        </w:rPr>
        <w:t xml:space="preserve">Il quarto pilastro recepisce la stagione delle rogatorie del 1982, il primo accertamento del sistema. La stagione rogatoriale che la Fase 4 ha censito quale prima delle 3 stagioni sul nodo parigino, con gli atti eseguiti dall'autorità francese nel perimetro richiesto e non oltre, resta certificata al Livello A nei suoi esiti e nella sua data, e la fase vi aggiunge la qualificazione di sistema: quella stagione fu il test originario della dottrina allora non ancora dichiarata, e il suo esito, la cooperazione formale entro il perimetro e il diniego sostanziale oltre, anticipò di 4 decenni la configurazione che la pronuncia del 2023 avrebbe reso definitiva; il registro trascrive la continuità quarantennale della condotta ordinamentale francese quale dato certificato, la più lunga costante di politica giudiziaria estera che il corpus registri, attraversata indenne da 8 presidenze e da ogni alternanza.</w:t>
      </w:r>
    </w:p>
    <w:p>
      <w:pPr>
        <w:spacing w:after="120" w:line="276"/>
        <w:jc w:val="both"/>
      </w:pPr>
      <w:r>
        <w:rPr>
          <w:rFonts w:ascii="Barlow Semi Condensed" w:cs="Barlow Semi Condensed" w:eastAsia="Barlow Semi Condensed" w:hAnsi="Barlow Semi Condensed"/>
          <w:sz w:val="24"/>
          <w:szCs w:val="24"/>
        </w:rPr>
        <w:t xml:space="preserve">Il quinto pilastro censisce la controprova individuale, il caso di Cesare Battisti. Il condannato definitivo per omicidi della stagione armata, protetto per anni dalla dottrina sul territorio francese, ne uscì per scelta propria con la fuga verso il Brasile nel 2004, all'approssimarsi della revisione del suo caso, e la traiettoria extra-francese si chiuse con l'arresto in Bolivia il 12 gennaio 2019 e la consegna all'Italia il 14 gennaio 2019, dove sconta la pena; il registro certifica al Livello A la traiettoria e gli esiti, quali dati giudiziari, e ne trae la controprova che il sistema esige: la protezione della dottrina operò quale attributo del territorio e non della persona, e l'uomo che abbandonò il territorio perse la protezione sino alla consegna, mentre gli uomini che vi rimasero la videro trasformarsi, con la pronuncia del 2023, in barriera definitiva; la coppia delle traiettorie, il rifugiato rimasto e protetto per sempre e il rifugiato uscito e consegnato, è la dimostrazione a 2 casi della natura territoriale del santuario, che il registro certifica quale proprietà del sistema e consegna alla mappa dei rifugi del Pattern 10.</w:t>
      </w:r>
    </w:p>
    <w:p>
      <w:pPr>
        <w:spacing w:after="120" w:line="276"/>
        <w:jc w:val="both"/>
      </w:pPr>
      <w:r>
        <w:rPr>
          <w:rFonts w:ascii="Barlow Semi Condensed" w:cs="Barlow Semi Condensed" w:eastAsia="Barlow Semi Condensed" w:hAnsi="Barlow Semi Condensed"/>
          <w:sz w:val="24"/>
          <w:szCs w:val="24"/>
        </w:rPr>
        <w:t xml:space="preserve">Il sesto pilastro censisce la comunità dei fuoriusciti quale oggetto documentale. La popolazione dei militanti e condannati italiani riparati in Francia sotto la protezione della prassi e poi della dottrina, stimata dagli atti nell'ordine delle centinaia attraverso i decenni, costituì un tessuto sociale stabile, con i percorsi di reinserimento professionale e intellettuale che le cronache e gli studi hanno documentato, e divenne essa stessa, per la ricerca, una fonte: dalla comunità provennero le memorialistiche, le testimonianze e le ricostruzioni interne che l'opera ha impiegato con la disciplina propria delle fonti di parte, e attorno alla comunità si costituì il campo intellettuale francese della causa dei rifugiati, l'ambiente che sostenne la dottrina nella sfera pubblica e ne accompagnò la trasformazione in barriera; il registro certifica al Livello A l'esistenza, l'ordine di grandezza e la funzione documentale della comunità, quali dati consolidati, e ne trae l'annotazione metodologica: una quota rilevante della conoscenza interna della stagione armata italiana è stata prodotta fuori dalla giurisdizione italiana, da testimoni sottratti per statuto al contraddittorio processuale, e questa dislocazione della fonte, effetto derivato del santuario, è una condizione permanente della storiografia del terrorismo italiano che il registro dichiara e incorpora, trattando le ricostruzioni della comunità quale materiale di Livello B ove non riscontrate e mai quale sostituto del giudicato.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prassi-dottrina-comunità dei fuoriusciti, certifica al Livello A la costituzione del sistema del rifugio. La seconda, Hyperion-3 stagioni-punto di arresto, salda il nodo della Fase 4 al suo fondamento ordinamentale. La terza, arresti del 2021-diniego del 2023-barriera convenzionale, certifica la trasformazione della dottrina in esito giuridico definitivo.</w:t>
      </w:r>
    </w:p>
    <w:p>
      <w:pPr>
        <w:spacing w:after="120" w:line="276"/>
        <w:jc w:val="both"/>
      </w:pPr>
      <w:r>
        <w:rPr>
          <w:rFonts w:ascii="Barlow Semi Condensed" w:cs="Barlow Semi Condensed" w:eastAsia="Barlow Semi Condensed" w:hAnsi="Barlow Semi Condensed"/>
          <w:sz w:val="24"/>
          <w:szCs w:val="24"/>
        </w:rPr>
        <w:t xml:space="preserve">All'età della dichiarazione il registro assegna la sua scena e il suo autore, che la pubblicistica ha reso canonici e che gli atti confermano: fu il presidente François Mitterrand, nel 1985, dinanzi a una platea associativa dei diritti dell'uomo, a enunciare pubblicamente la linea che la prassi amministrativa seguiva da anni, l'impegno a non estradare i fuoriusciti italiani della stagione armata che avessero rotto con la violenza e rifatto vita in Francia, Livello A quanto all'enunciazione pubblica ed al suo tenore, che il registro parafrasa. La formalizzazione presidenziale trasformò una tolleranza in una dottrina eponima, e il registro ne fissa il rilievo sistemico: da quel momento il santuario cessò di essere una condizione di fatto contestabile caso per caso e divenne una politica dichiarata dello Stato ospitante, opponibile all'Italia nelle sedi bilaterali e capace di sopravvivere, come il pilastro terminale certifica, al suo stesso autore, alle alternanze politiche francesi e persino alla svolta cooperativa dell'aprile 2021, sino alla barriera convenzionale definitiva del 2023. Nella tassonomia della fase, la dottrina è perciò il raro esemplare di protezione internazionale che non ebbe mai bisogno del segreto: il santuario francese operò alla luce, con un discorso pubblico quale atto istitutivo, e questa trasparenza dell'ostacolo, opposta al buio degli archivi che il capitolo censisce, compone il paradosso documentale del nodo, tutto visibile e nulla consegnato.</w:t>
      </w:r>
    </w:p>
    <w:p>
      <w:pPr>
        <w:spacing w:after="120" w:line="276"/>
        <w:jc w:val="both"/>
      </w:pPr>
      <w:r>
        <w:rPr>
          <w:rFonts w:ascii="Barlow Semi Condensed" w:cs="Barlow Semi Condensed" w:eastAsia="Barlow Semi Condensed" w:hAnsi="Barlow Semi Condensed"/>
          <w:sz w:val="24"/>
          <w:szCs w:val="24"/>
        </w:rPr>
        <w:t xml:space="preserve">Alla dottrina del rifugio il registro deve infine la sua profondità storica, che una digressione sorvegliata può fissare perché appartiene alla lunga durata del nodo: la Francia che accolse i fuoriusciti italiani della stagione armata esercitava una funzione che il suo ordinamento e la sua cultura politica coltivavano da un secolo e mezzo, la terra d'asilo dei proscritti d'Europa, che nell'Ottocento aveva ospitato gli esuli italiani del Risorgimento, i proscritti delle rivoluzioni fallite e dei moti repressi, facendo di Parigi la capitale continentale del fuoriuscitismo politico, Livello A quanto alla tradizione storica documentata. La simmetria che ne risulta è un reperto di lunga durata che il registro consegna senza forzarlo: a un secolo di distanza, la medesima capitale accolse 2 generazioni opposte di italiani in fuga dalla propria giustizia, i patrioti dell'Ottocento perseguitati da Stati che la storia avrebbe giudicato illegittimi ed i condannati del Novecento in fuga da uno Stato democratico, e la dottrina del 1985 poté attingere la propria legittimazione retorica proprio dall'indistinzione tra le 2 figure, l'esule ed il latitante, che la tradizione dell'asilo consentiva di sovrapporre. Il registro fissa la distinzione che la retorica dissolse: l'asilo ottocentesco proteggeva dal difetto di giusto processo, quello novecentesco protesse dal giudicato di un ordinamento membro delle medesime convenzioni europee, e la barriera definitiva del 2023 ha chiuso la vicenda confermando, nell'esito, la sovrapposizione che l'aveva aperta.</w:t>
      </w:r>
    </w:p>
    <w:p>
      <w:pPr>
        <w:spacing w:after="120" w:line="276"/>
        <w:jc w:val="both"/>
      </w:pPr>
      <w:r>
        <w:rPr>
          <w:rFonts w:ascii="Barlow Semi Condensed" w:cs="Barlow Semi Condensed" w:eastAsia="Barlow Semi Condensed" w:hAnsi="Barlow Semi Condensed"/>
          <w:sz w:val="24"/>
          <w:szCs w:val="24"/>
        </w:rPr>
        <w:t xml:space="preserve">La dottrina conobbe la sua prima eccezione formale 20 anni prima della svolta, ed il registro la censisce quale precedente isolato: nell'agosto 2002 la Francia consegnò all'Italia Paolo Persichetti, già condannato in via definitiva quale partecipe dell'organizzazione responsabile dell'omicidio del generale Giorgieri, prima ed unica estradizione concessa in deroga alla prassi mitterrandiana prima del ciclo del 2021, Livello A quanto al provvedimento ed alla sua unicità ventennale. Il registro fissa il valore sistemico del caso: la consegna del 2002 dimostrò che la dottrina non era un vincolo giuridico ma una scelta politica reversibile per decisione di governo, e la circostanza che alla prima deroga non ne seguissero altre per 19 anni dimostra, simmetricamente, che la reversibilità restò per 2 decenni una facoltà esercitata una sola volta, sicché il caso isolato del 2002 misura con precisione la natura del santuario censito dal capitolo: non un ordinamento, ma una politica, capace di eccezioni quando lo voleva e di durare quando non lo voleva, con la conseguenza che il registro consegna al bilancio della fase, che i tempi della giustizia italiana sui latitanti di Francia furono decisi, per mezzo secolo, a Parigi e non a Roma.</w:t>
      </w:r>
    </w:p>
    <w:p>
      <w:pPr>
        <w:spacing w:after="120" w:line="276"/>
        <w:jc w:val="both"/>
      </w:pPr>
      <w:r>
        <w:rPr>
          <w:rFonts w:ascii="Barlow Semi Condensed" w:cs="Barlow Semi Condensed" w:eastAsia="Barlow Semi Condensed" w:hAnsi="Barlow Semi Condensed"/>
          <w:sz w:val="24"/>
          <w:szCs w:val="24"/>
        </w:rPr>
        <w:t xml:space="preserve">Il santuario ebbe infine il suo caso costituzionalmente più anomalo, che il registro censisce quale variante parlamentare della rotta: il leader dell'autonomia operaia Antonio Negri, detenuto dall'aprile 1979 nel procedimento censito nella fase quarta, fu eletto deputato nel giugno 1983 e scarcerato per l'immunità conseguente, e nel settembre dello stesso anno, alla vigilia delle deliberazioni parlamentari sulla sua posizione, riparò in Francia, dove trascorse 14 anni sotto la protezione della dottrina censita, sino al rientro volontario del 1997 per scontare il residuo delle condanne definitive frattanto consolidatesi per i reati associativi, cadute in appello le imputazioni maggiori, con la pena esaurita nei primi anni Duemila, Livello A sull'intera parabola. Il registro isola la specificità del caso nella tipologia del capitolo: qui la rotta verso il santuario non fu aperta da una latitanza ma da un mandato parlamentare, con l'elezione usata quale ponte tra la cella e la frontiera, e questa saldatura documentata tra un istituto di garanzia della democrazia rappresentativa e la geografia della protezione estera costituisce l'unicum che nessuna riforma ha mai replicato, mentre l'epilogo, il ritorno spontaneo per chiudere il conto con una pena ormai ridotta, anticipò di un quarto di secolo la logica delle soluzioni individuali che avrebbe poi chiuso, caso per caso, l'intera vicenda dei rifugiati, dimostrando che il santuario censito dal capitolo non fu mai una fortezza ma una moratoria, dalla quale ciascuno uscì quando il tempo ebbe abbassato abbastanza il prezzo.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Francia è certificata quale santuario stabile con la dottrina del rifugio al Livello A nelle sue 3 età, prassi, dichiarazione e barriera convenzionale definitiva del marzo 2023, il nodo Hyperion è recepito nello stato terminale della Fase 4 con la sua inconoscibilità spiegata per via ordinamentale, e la coppia Lisbona-Parigi è elevata a dimostrazione terminale del teorema archivistico dell'opera.</w:t>
      </w:r>
    </w:p>
    <w:p>
      <w:pPr>
        <w:pStyle w:val="Heading3"/>
        <w:spacing w:after="80" w:before="160"/>
      </w:pPr>
      <w:r>
        <w:rPr>
          <w:rFonts w:ascii="Barlow Semi Condensed" w:cs="Barlow Semi Condensed" w:eastAsia="Barlow Semi Condensed" w:hAnsi="Barlow Semi Condensed"/>
          <w:sz w:val="24"/>
          <w:szCs w:val="24"/>
        </w:rPr>
        <w:t xml:space="preserve">Capitolo 5 — Il Mediterraneo: il lodo, i canali palestinesi e la notte di Sigonella</w:t>
      </w:r>
    </w:p>
    <w:p>
      <w:pPr>
        <w:spacing w:after="120" w:line="276"/>
        <w:jc w:val="both"/>
      </w:pPr>
      <w:r>
        <w:rPr>
          <w:rFonts w:ascii="Barlow Semi Condensed" w:cs="Barlow Semi Condensed" w:eastAsia="Barlow Semi Condensed" w:hAnsi="Barlow Semi Condensed"/>
          <w:sz w:val="24"/>
          <w:szCs w:val="24"/>
        </w:rPr>
        <w:t xml:space="preserve">Il quinto nodo è il Mediterraneo, il teatro dell'autonomia italiana entro il vincolo di campo, che le fasi hanno incontrato nella prassi riservata nota quale lodo e che la fase ricompone quale sistema attraverso 2 decenni. Il registro certifica al Livello B l'esistenza della prassi di non belligeranza tra lo Stato italiano e le organizzazioni palestinesi, il patto informale, mai consacrato da un documento unico, per cui il territorio italiano sarebbe stato risparmiato dalle azioni in cambio di margini di transito, quale convergenza di testimonianze istituzionali di vertice, atti parlamentari e riscontri episodici, mantenendo la qualificazione al livello che la natura non documentale della prassi impone.</w:t>
      </w:r>
    </w:p>
    <w:p>
      <w:pPr>
        <w:spacing w:after="120" w:line="276"/>
        <w:jc w:val="both"/>
      </w:pPr>
      <w:r>
        <w:rPr>
          <w:rFonts w:ascii="Barlow Semi Condensed" w:cs="Barlow Semi Condensed" w:eastAsia="Barlow Semi Condensed" w:hAnsi="Barlow Semi Condensed"/>
          <w:sz w:val="24"/>
          <w:szCs w:val="24"/>
        </w:rPr>
        <w:t xml:space="preserve">Il primo pilastro censisce i riscontri della prassi nel corpus. Il caso di Ortona del 7 novembre 1979, il sequestro dei 2 lanciamissili trasportati per conto del Fronte popolare con l'arresto di Daniele Pifano e dei coimputati, e la vicenda diplomatica che ne seguì, con le pressioni documentate per la composizione della crisi e il ruolo del colonnello Stefano Giovannone, il capocentro del servizio militare a Beirut e terminale della relazione riservata, costituiscono il riscontro maggiore, censito dalla Fase 4; il registro certifica al Livello A i fatti di Ortona e la funzione documentata di Giovannone, quali dati giudiziari e parlamentari, e al Livello B la loro lettura quale manifestazione della prassi, secondo la disciplina già fissata.</w:t>
      </w:r>
    </w:p>
    <w:p>
      <w:pPr>
        <w:spacing w:after="120" w:line="276"/>
        <w:jc w:val="both"/>
      </w:pPr>
      <w:r>
        <w:rPr>
          <w:rFonts w:ascii="Barlow Semi Condensed" w:cs="Barlow Semi Condensed" w:eastAsia="Barlow Semi Condensed" w:hAnsi="Barlow Semi Condensed"/>
          <w:sz w:val="24"/>
          <w:szCs w:val="24"/>
        </w:rPr>
        <w:t xml:space="preserve">Il secondo pilastro censisce la crisi che portò il sistema alla superficie, la sequenza dell'ottobre 1985. Il 7 ottobre 1985 la nave da crociera italiana Achille Lauro fu sequestrata da un commando palestinese, e l'8 ottobre fu assassinato a bordo il passeggero americano Leon Klinghoffer, cittadino statunitense invalido, che il registro nomina tra le vittime della fase quale atto dovuto; la composizione della crisi per via negoziale, con lo sbarco del commando e la mediazione egiziana, sfociò nella notte tra il 10 e l'11 ottobre nel confronto della base siciliana di Sigonella, dove i reparti italiani e quelli americani si fronteggiarono attorno all'aereo che trasportava il commando e il mediatore, con il governo italiano che rivendicò e ottenne l'esercizio della giurisdizione nazionale contro la pretesa alleata; il registro certifica al Livello A la sequenza integrale, il sequestro, l'assassinio, lo sbarco, il confronto e l'esito giurisdizionale, quali dati documentali della crisi più studiata delle relazioni bilaterali, e ne dichiara la funzione nel nodo: la notte di Sigonella è il punto in cui la politica mediterranea riservata dei 2 decenni divenne, per poche ore, confronto pubblico tra gli apparati dei 2 alleati, e la crisi certificò dinanzi al mondo l'esistenza dell'autonomia che il lodo aveva amministrato in silenzio.</w:t>
      </w:r>
    </w:p>
    <w:p>
      <w:pPr>
        <w:spacing w:after="120" w:line="276"/>
        <w:jc w:val="both"/>
      </w:pPr>
      <w:r>
        <w:rPr>
          <w:rFonts w:ascii="Barlow Semi Condensed" w:cs="Barlow Semi Condensed" w:eastAsia="Barlow Semi Condensed" w:hAnsi="Barlow Semi Condensed"/>
          <w:sz w:val="24"/>
          <w:szCs w:val="24"/>
        </w:rPr>
        <w:t xml:space="preserve">Il terzo pilastro formalizza la continuità del sistema e il suo rilievo per la verifica finale. La linea che congiunge l'apertura mediterranea morotea, la prassi riservata degli anni Settanta, la gestione delle crisi levantine e la rivendicazione giurisdizionale del 1985 disegna una costante documentata della politica estera italiana attraverso governi e stagioni, l'esercizio di margini di autonomia regionale entro il vincolo atlantico, sistematicamente attritivo con l'alleato maggiore; il registro certifica al Livello A la costante, quale dato della documentazione diplomatica e delle crisi censite, e ne dichiara il rilievo per le macro-ipotesi: la politica mediterranea è il terreno sul quale la contrarietà del campo occidentale all'autonomia italiana è documentata nelle forme più esplicite, dalle pressioni della crisi di Ortona al confronto di Sigonella, e la fase consegna questa serie certificata alla verifica del capitolo decimo quale versante mediterraneo del fatto già elevato al Livello A dalla Fase 4, l'esistenza pubblica e documentata delle contrarietà, con la consueta e integrale distinzione dalle loro traduzioni operative, che restano al livello che i documenti consentono.</w:t>
      </w:r>
    </w:p>
    <w:p>
      <w:pPr>
        <w:spacing w:after="120" w:line="276"/>
        <w:jc w:val="both"/>
      </w:pPr>
      <w:r>
        <w:rPr>
          <w:rFonts w:ascii="Barlow Semi Condensed" w:cs="Barlow Semi Condensed" w:eastAsia="Barlow Semi Condensed" w:hAnsi="Barlow Semi Condensed"/>
          <w:sz w:val="24"/>
          <w:szCs w:val="24"/>
        </w:rPr>
        <w:t xml:space="preserve">Il quarto pilastro censisce il limite di sangue del sistema, la strage della Sinagoga di Roma. Il 9 ottobre 1982, all'uscita della funzione, un commando palestinese attaccò con granate e armi automatiche i fedeli del Tempio Maggiore di Roma, uccidendo Stefano Gaj Taché, un bambino di 2 anni, che il registro nomina tra le vittime della fase quale atto dovuto, e ferendo decine di persone; l'attacco, maturato nella stagione successiva alla guerra libanese di quell'estate, colpì la comunità ebraica italiana nel cuore della capitale e pose dinanzi all'opinione pubblica la questione dei limiti e delle infrazioni della prassi riservata che il capitolo censisce, la protezione del territorio essendo clamorosamente mancata per il bersaglio ebraico italiano; il registro certifica al Livello A la strage, la vittima e le circostanze, quali dati giudiziari e documentali, e trascrive la questione interpretativa al livello che le compete: se l'attacco costituisca l'infrazione del patto o la rivelazione del suo perimetro reale, la protezione essendo stata negoziata per lo Stato e non per ogni bersaglio sul territorio, è materia che le testimonianze istituzionali divergenti non consentono di certificare, e il registro consegna la strage quale fatto e la questione quale interrogazione aperta al Livello C, annotando che la Repubblica ha riconosciuto nel bambino ucciso, con la memoria istituzionale successiva, una vittima del proprio suolo e della propria stagione.</w:t>
      </w:r>
    </w:p>
    <w:p>
      <w:pPr>
        <w:spacing w:after="120" w:line="276"/>
        <w:jc w:val="both"/>
      </w:pPr>
      <w:r>
        <w:rPr>
          <w:rFonts w:ascii="Barlow Semi Condensed" w:cs="Barlow Semi Condensed" w:eastAsia="Barlow Semi Condensed" w:hAnsi="Barlow Semi Condensed"/>
          <w:sz w:val="24"/>
          <w:szCs w:val="24"/>
        </w:rPr>
        <w:t xml:space="preserve">Il quinto pilastro censisce la serie aeroportuale, il prezzo mediterraneo pagato sul territorio prima e dopo il lodo. Il 17 dicembre 1973 l'aeroporto di Fiumicino fu teatro dell'attacco palestinese contro l'aeromobile della Pan Am, con 32 vittime, la più grave strage su suolo italiano sino a quella data; il 27 dicembre 1985 il medesimo aeroporto fu attaccato dal commando del gruppo di Abu Nidal, con 13 vittime, nell'azione gemella di quella condotta lo stesso giorno a Vienna; il registro certifica al Livello A i 2 attacchi, le date e i bilanci, quali dati documentali, richiama le vittime nel loro numero rinviando la nominazione integrale agli atti delle rispettive sedi, secondo la disciplina dichiarata per le stragi plurime a censimento esterno, e ne trae la lettura seriale che il capitolo consegna: la serie 1973-1982-1985 delimita empiricamente il perimetro della prassi censita, documentando che la protezione riservata, quale che ne fosse l'estensione negoziata, non coprì l'intero arco delle organizzazioni né l'intero arco dei bersagli, e che il territorio italiano pagò alla guerra mediterranea un prezzo di sangue certificato ai 2 estremi e al centro della stagione del lodo; la serie è consegnata alla verifica quale correttivo documentale di ogni lettura totalizzante della prassi, nel senso che il registro impone: il lodo è certificato al Livello B quale prassi esistita, non quale sistema onnipotente, e le sue infrazioni certificate ne misurano i limiti reali.</w:t>
      </w:r>
    </w:p>
    <w:p>
      <w:pPr>
        <w:spacing w:after="120" w:line="276"/>
        <w:jc w:val="both"/>
      </w:pPr>
      <w:r>
        <w:rPr>
          <w:rFonts w:ascii="Barlow Semi Condensed" w:cs="Barlow Semi Condensed" w:eastAsia="Barlow Semi Condensed" w:hAnsi="Barlow Semi Condensed"/>
          <w:sz w:val="24"/>
          <w:szCs w:val="24"/>
        </w:rPr>
        <w:t xml:space="preserve">Il sesto pilastro censisce la coda politica interna della crisi, la verifica di governo che ne seguì. Il confronto di Sigonella e la gestione complessiva della vicenda aprirono, nelle settimane successive, la crisi nella maggioranza di governo, con il dissenso della componente repubblicana sulla linea tenuta verso l'organizzazione palestinese e verso l'alleato, le dimissioni del governo e la sua ricomposizione nel novembre 1985 sulla medesima formula; il registro certifica al Livello A la crisi, il suo motivo dichiarato e la ricomposizione, quali dati parlamentari, e ne trae il valore di reperto per il sistema del capitolo: la politica mediterranea riservata, portata alla superficie dalla crisi internazionale, produsse immediatamente una crisi di sistema interna, la dimostrazione che l'autonomia amministrata nel segreto non disponeva di un consenso esplicito unanime nella stessa maggioranza che la esercitava, e la ricomposizione rapida sulla medesima formula documenta, per converso, che nessuna componente intese trarre dalla crisi la revisione della politica; il registro trascrive la coppia crisi-ricomposizione quale misura certificata del rapporto tra il sistema mediterraneo e il sistema politico, un'autonomia esercitata senza mandato esplicito e tollerata senza sconfessione, la configurazione del consenso implicito che il corpus dell'opera ha incontrato in ogni prassi riservata censita.</w:t>
      </w:r>
    </w:p>
    <w:p>
      <w:pPr>
        <w:spacing w:after="120" w:line="276"/>
        <w:jc w:val="both"/>
      </w:pPr>
      <w:r>
        <w:rPr>
          <w:rFonts w:ascii="Barlow Semi Condensed" w:cs="Barlow Semi Condensed" w:eastAsia="Barlow Semi Condensed" w:hAnsi="Barlow Semi Condensed"/>
          <w:sz w:val="24"/>
          <w:szCs w:val="24"/>
        </w:rPr>
        <w:t xml:space="preserve">Il settimo pilastro censisce il terminale umano del sistema, il profilo di Stefano Giovannone. L'ufficiale del servizio militare resse il centro di Beirut per circa un decennio, attraverso la guerra civile libanese e le stagioni della relazione riservata, quale interlocutore permanente delle organizzazioni palestinesi per conto dello Stato, la funzione che gli atti parlamentari e giudiziari censiti dalla Fase 4 documentano nel caso di Ortona e che le testimonianze istituzionali della stagione collocano al centro dell'intera prassi; il colonnello morì nel 1985, senza che le sedi di accertamento successive potessero più escuterne la testimonianza diretta, e la conoscenza della sua attività resta affidata alle carte del servizio, versate solo in parte con le soglie censite, e alle deposizioni di terzi; il registro certifica al Livello A la funzione, la durata e la centralità documentata del terminale, quali dati degli atti, e ne trae l'annotazione strutturale che il sistema consegna: la prassi mediterranea fu amministrata, per il decennio cruciale, attraverso un canale personale unico, e la concentrazione della relazione in un solo uomo, efficiente quale garanzia di riservatezza, produsse la conseguenza documentale che il corpus registra, la morte del terminale quale perdita irreversibile della fonte primaria, il caso mediterraneo della firma delle assenze che la Fase 4 ha formalizzato, qui nella variante naturale e non violenta, con l'identico effetto sull'accertabilità; il registro trascrive la configurazione, il sistema a canale unico e la sua mortalità, quale ultima proprietà certificata del nodo.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lodo-Ortona-Giovannone, salda la prassi al suo riscontro maggiore, con i fatti al Livello A e la prassi al Livello B. La seconda, Achille Lauro-Klinghoffer-Sigonella, certifica al Livello A la crisi che rese pubblica l'autonomia, con la vittima nominata. La terza, apertura morotea-costante mediterranea-attrito atlantico, formalizza la continuità del sistema quale materiale certificato per la verifica finale.</w:t>
      </w:r>
    </w:p>
    <w:p>
      <w:pPr>
        <w:spacing w:after="120" w:line="276"/>
        <w:jc w:val="both"/>
      </w:pPr>
      <w:r>
        <w:rPr>
          <w:rFonts w:ascii="Barlow Semi Condensed" w:cs="Barlow Semi Condensed" w:eastAsia="Barlow Semi Condensed" w:hAnsi="Barlow Semi Condensed"/>
          <w:sz w:val="24"/>
          <w:szCs w:val="24"/>
        </w:rPr>
        <w:t xml:space="preserve">La notte tra il 10 e l'11 ottobre 1985 esige la sua sequenza, perché in essa il sistema dell'autonomia mediterranea uscì dalla prassi riservata e si misurò in campo aperto con l'alleato maggiore: il velivolo di linea egiziano che trasportava i 4 sequestratori della nave, con Abu Abbas, fu intercettato in volo internazionale dai caccia imbarcati americani e costretto all'atterraggio nella base siciliana di Sigonella; attorno all'aereo si dispose il reparto d'assalto americano giunto al seguito, e attorno al reparto americano si dispose, in un doppio cerchio che le ricostruzioni convergenti hanno consegnato all'iconografia della Repubblica, il presidio italiano di avieri e carabinieri, a rivendicare la giurisdizione territoriale sullo scalo e sugli uomini; il braccio di ferro si sciolse nella notte, attraverso il contatto diretto tra il presidente del Consiglio Craxi e la presidenza americana, con la prevalenza della posizione italiana, il trasferimento dell'aereo a Ciampino sotto ulteriore marcatura aerea e la successiva partenza di Abbas dal territorio italiano, che aprì la crisi politica interna censita dal sesto pilastro, Livello A sull'intera sequenza, quale risulta dalle ricostruzioni istituzionali e parlamentari convergenti. Il registro consegna la notte alla sua funzione probatoria nella fase: Sigonella è il solo episodio dell'intero corpus in cui il vincolo di campo e l'autonomia nazionale si fronteggiarono fisicamente, armi in pugno, su suolo italiano, e il suo esito, la prevalenza formale della sovranità con il logoramento politico immediato di chi l'aveva esercitata, è la misura sperimentale esatta dello spazio che il sistema del lodo aveva occupato per un quindicennio: uno spazio reale, difendibile una notte, e non oltre.</w:t>
      </w:r>
    </w:p>
    <w:p>
      <w:pPr>
        <w:spacing w:after="120" w:line="276"/>
        <w:jc w:val="both"/>
      </w:pPr>
      <w:r>
        <w:rPr>
          <w:rFonts w:ascii="Barlow Semi Condensed" w:cs="Barlow Semi Condensed" w:eastAsia="Barlow Semi Condensed" w:hAnsi="Barlow Semi Condensed"/>
          <w:sz w:val="24"/>
          <w:szCs w:val="24"/>
        </w:rPr>
        <w:t xml:space="preserve">Al teatro mediterraneo appartiene infine il suo evento più conteso, che il registro censisce con lo statuto probatorio esatto che 4 decenni di accertamenti gli hanno assegnato: la notte del 27 giugno 1980 il DC-9 della compagnia Itavia in volo di linea da Bologna a Palermo precipitò in mare presso Ustica con la morte delle 81 persone a bordo, passeggeri ed equipaggio, i cui nomi il memoriale civile dedicato custodisce e scandisce, Livello A quanto all'evento ed alle vittime. Il doppio binario giudiziario che ne seguì consegna al registro 2 esiti di segno formalmente distinto, che la disciplina impone di riportare entrambi per esteso: sul versante penale, il lunghissimo procedimento per l'ipotesi di attentato alla sicurezza e di ostacolo alle indagini a carico di alti ufficiali dell'Aeronautica si chiuse con assoluzioni divenute irrevocabili all'esito del giudizio di legittimità del 2007, sicché per la strage e per il suo occultamento non esiste alcun condannato penale, Livello A; sul versante civile, la giurisdizione risarcitoria accertò, con conferma della Corte di cassazione nel 2013, la responsabilità dei ministeri per il difetto di sorveglianza e di sicurezza dello scenario aereo in cui il velivolo civile fu coinvolto, condannando lo Stato ai risarcimenti secondo lo standard probabilistico proprio di quella sede, Livello A quanto al giudicato civile.</w:t>
      </w:r>
    </w:p>
    <w:p>
      <w:pPr>
        <w:spacing w:after="120" w:line="276"/>
        <w:jc w:val="both"/>
      </w:pPr>
      <w:r>
        <w:rPr>
          <w:rFonts w:ascii="Barlow Semi Condensed" w:cs="Barlow Semi Condensed" w:eastAsia="Barlow Semi Condensed" w:hAnsi="Barlow Semi Condensed"/>
          <w:sz w:val="24"/>
          <w:szCs w:val="24"/>
        </w:rPr>
        <w:t xml:space="preserve">La qualificazione dello scenario resta, ed il registro la dichiara quale sua frontiera: le ricostruzioni tecniche contrapposte che attraversarono le perizie, la quasi-collisione nel quadro di un'azione aerea militare, il missile, l'ordigno a bordo, non furono mai risolte in sede penale con forza di giudicato, e ogni attribuzione specifica dello scenario a velivoli, forze o Stati determinati resta al Livello C, materia di ipotesi concorrenti che il registro censisce senza sciogliere. Ne discende lo statuto documentale unico dell'evento nell'economia dell'opera: Ustica è il caso in cui la Repubblica ha risarcito civilmente uno scenario che non ha accertato penalmente, riconoscendo per equivalente ciò che non ha saputo nominare per esteso, e questa forbice tra le 2 giurisdizioni, la civile che paga e la penale che assolve, è la forma istituzionale esatta dell'irrisolto, misurata con gli strumenti del diritto anziché con quelli della retorica. Il registro colloca l'evento nel proprio teatro, il Mediterraneo del 1980, accanto ai fatti censiti del medesimo cielo e del medesimo mare, e ne fissa la funzione nella fase: la notte di Ustica documenta che lo spazio aereo nazionale era attraversato da attività militari non dichiarate che nessuna autorità ha mai integralmente ricostruito, e questa porosità certificata della sovranità sul proprio cielo è il complemento esatto, sul piano fisico, della porosità che l'intera opera ha misurato sul piano istituzionale, con la memoria delle 81 vittime affidata al museo bolognese che ne custodisce i nomi e il relitto, ottantuno luci sospese sul mare recuperato.</w:t>
      </w:r>
    </w:p>
    <w:p>
      <w:pPr>
        <w:spacing w:after="120" w:line="276"/>
        <w:jc w:val="both"/>
      </w:pPr>
      <w:r>
        <w:rPr>
          <w:rFonts w:ascii="Barlow Semi Condensed" w:cs="Barlow Semi Condensed" w:eastAsia="Barlow Semi Condensed" w:hAnsi="Barlow Semi Condensed"/>
          <w:sz w:val="24"/>
          <w:szCs w:val="24"/>
        </w:rPr>
        <w:t xml:space="preserve">Il teatro libico del Mediterraneo consegna al registro la sua notte maggiore, che il capitolo censisce con la scansione esatta: nella notte tra il 14 ed il 15 aprile 1986 l'aviazione americana colpì Tripoli e Bengasi nell'operazione di rappresaglia contro il regime di Gheddafi seguita all'attentato di Berlino, e la sera del 15 aprile la Libia rispose lanciando 2 missili verso l'isola di Lampedusa, sede di una stazione tecnica americana, ordigni caduti in mare senza danni ma costituenti l'unica azione bellica diretta contro il territorio italiano dalla fine della Seconda guerra mondiale, Livello A quanto ai fatti ed alle date. Attorno alla notte si addensa il contorno dichiarativo che il registro riporta con il suo statuto: le ricostruzioni successive, alimentate da dichiarazioni di protagonisti politici italiani rese a distanza di anni, riferirono di un avvertimento fatto pervenire per canali italiani al regime libico alla vigilia dell'attacco, circostanza mai certificata da atti e rimasta al Livello B nella forma di convergenza dichiarativa tardiva, con il suo contenuto preciso al Livello C. Il registro colloca la notte nella serie che il capitolo ha costruito: a 6 mesi da Sigonella, la crisi dell'aprile 1986 ripropone l'identico schema del doppio binario, la lealtà atlantica formale e la tutela parallela del canale mediterraneo, e la traiettoria dei 2 missili su Lampedusa, quale che ne fosse l'intenzione balistica, resta il punto del corpus in cui la guerra fredda mediterranea smise per una sera di essere coperta, misurando quanto vicino alla superficie corresse, da sempre, ciò che l'opera censisce di norma solo negli archivi.</w:t>
      </w:r>
    </w:p>
    <w:p>
      <w:pPr>
        <w:spacing w:after="120" w:line="276"/>
        <w:jc w:val="both"/>
      </w:pPr>
      <w:r>
        <w:rPr>
          <w:rFonts w:ascii="Barlow Semi Condensed" w:cs="Barlow Semi Condensed" w:eastAsia="Barlow Semi Condensed" w:hAnsi="Barlow Semi Condensed"/>
          <w:sz w:val="24"/>
          <w:szCs w:val="24"/>
        </w:rPr>
        <w:t xml:space="preserve">Alla contabilità mediterranea della stagione precedente appartiene infine il velivolo che ne è divenuto il reperto simbolico: l'aereo da trasporto del servizio noto con la sigla Argo 16, impiegato per le missioni riservate del SID, precipitò il 23 novembre 1973 in area industriale presso Marghera con la morte dei 4 militari dell'equipaggio, poche settimane dopo essere stato utilizzato, secondo le acquisizioni parlamentari e giudiziarie convergenti, per ricondurre in area mediorientale uomini dell'area palestinese rilasciati nel quadro della gestione riservata censita in questo capitolo, Livello A quanto alla caduta, alle vittime ed all'impiego del velivolo, Livello B quanto alla specifica missione di riconduzione. Sull'origine della caduta il registro applica la propria disciplina: l'ipotesi del sabotaggio quale ritorsione per la linea dei rilasci, coltivata da un'istruttoria durata decenni e chiusasi senza condanne, resta al Livello C, ipotesi processualmente esplorata e mai certificata, accanto a quella dell'incidente. La funzione del reperto nell'economia della fase è tuttavia indipendente dallo scioglimento: Argo 16 è il punto in cui il canale riservato mediterraneo dell'Italia smette di essere una politica e diventa una carlinga, un luogo fisico con un equipaggio ed una rotta, e la sua fine mai spiegata, qualunque ne sia stata la causa, apparteneva già allora al prezzo possibile di quella politica, che il registro ha censito nei suoi benefici dichiarati e censisce qui nel suo primo, possibile, costo occulto.</w:t>
      </w:r>
    </w:p>
    <w:p>
      <w:pPr>
        <w:spacing w:after="120" w:line="276"/>
        <w:jc w:val="both"/>
      </w:pPr>
      <w:r>
        <w:rPr>
          <w:rFonts w:ascii="Barlow Semi Condensed" w:cs="Barlow Semi Condensed" w:eastAsia="Barlow Semi Condensed" w:hAnsi="Barlow Semi Condensed"/>
          <w:sz w:val="24"/>
          <w:szCs w:val="24"/>
        </w:rPr>
        <w:t xml:space="preserve">La scheda del dirottamento si chiude con l'epilogo del suo regista, che il registro riporta per completezza di casellario: il capo dell'organizzazione responsabile dell'azione, condannato all'ergastolo in via definitiva dalla giustizia italiana quale organizzatore, rimase latitante per 18 anni tra i santuari mediorientali sino alla cattura da parte delle forze americane a Baghdad nell'aprile 2003, nel quadro dell'occupazione dell'Iraq, e morì in detenzione americana nel marzo 2004, senza estradizione verso l'Italia e senza processo americano per i fatti del 1985, Livello A quanto all'intera sequenza. Il registro annota la geometria finale del caso: l'uomo conteso nella notte di Sigonella tra la sovranità italiana e la pretesa americana finì i propri giorni, 18 anni dopo, in mani americane e fuori da ogni aula, sicché nessuna delle 2 giurisdizioni che se lo erano disputato sulla pista siciliana lo ha mai avuto davanti a un giudice in carne ed ossa, e l'ergastolo italiano in contumacia resta l'unico verdetto mai pronunciato su di lui, eseguito dalla storia nella forma che il corpus conosce meglio, la morte in custodia altrui prima del dibattimento.</w:t>
      </w:r>
    </w:p>
    <w:p>
      <w:pPr>
        <w:spacing w:after="120" w:line="276"/>
        <w:jc w:val="both"/>
      </w:pPr>
      <w:r>
        <w:rPr>
          <w:rFonts w:ascii="Barlow Semi Condensed" w:cs="Barlow Semi Condensed" w:eastAsia="Barlow Semi Condensed" w:hAnsi="Barlow Semi Condensed"/>
          <w:sz w:val="24"/>
          <w:szCs w:val="24"/>
        </w:rPr>
        <w:t xml:space="preserve">La genealogia energetica del teatro mediterraneo impone al registro di risalire al suo evento fondativo, che l'opera censisce quale primo caso della propria serie e più antico dei suoi irrisolti certificati: la sera del 27 ottobre 1962 l'aereo personale del presidente dell'ENI Enrico Mattei precipitò a Bascapè, nel Pavese, in fase di avvicinamento a Linate, uccidendo Mattei, il pilota Irnerio Bertuzzi ed il giornalista americano William McHale, Livello A quanto all'evento ed alle vittime. La vicenda giudiziaria, chiusa in prima battuta quale incidente, fu riaperta 3 decenni dopo dalla procura di Pavia, e l'istruttoria condotta negli anni Novanta approdò nel 2003 ad un'archiviazione di natura eccezionale, che il registro riporta nel suo esatto dispositivo: sulla scorta delle perizie sui reperti riesumati, il provvedimento accertò che la caduta fu provocata da una carica esplosiva collocata a bordo, qualificando il fatto quale attentato doloso, e dispose l'archiviazione per l'impossibilità di identificarne, a 40 anni di distanza, esecutori e mandanti, Livello A quanto all'accertamento del dolo contenuto nel provvedimento, con autori e moventi rimasti al Livello C tra le ipotesi concorrenti, dalla pista interna dei poteri petroliferi a quella internazionale, mai discriminate. Il registro consegna il caso alla sua funzione di chiave: Mattei fu l'uomo che sfidò l'oligopolio petrolifero occidentale trattando direttamente con i produttori mediterranei e con Mosca, e la certificazione postuma che la sua morte fu un omicidio senza colpevoli colloca all'origine stessa del teatro censito da questo capitolo, un decennio prima del lodo e 2 decenni prima delle notti siciliane, la dimostrazione che la sovranità energetica italiana nel Mediterraneo era una posta per la quale, in questo Paese, si poteva morire.</w:t>
      </w:r>
    </w:p>
    <w:p>
      <w:pPr>
        <w:spacing w:after="120" w:line="276"/>
        <w:jc w:val="both"/>
      </w:pPr>
      <w:r>
        <w:rPr>
          <w:rFonts w:ascii="Barlow Semi Condensed" w:cs="Barlow Semi Condensed" w:eastAsia="Barlow Semi Condensed" w:hAnsi="Barlow Semi Condensed"/>
          <w:sz w:val="24"/>
          <w:szCs w:val="24"/>
        </w:rPr>
        <w:t xml:space="preserve">Alla scia di Bascapè appartiene la seconda vittima, che il registro censisce quale caso di sparizione perfetta: il giornalista palermitano Mauro De Mauro, che nel settembre 1970 lavorava alla ricostruzione delle ultime giornate di Mattei per conto di una produzione cinematografica, fu sequestrato sotto casa la sera del 16 settembre 1970 e mai più ritrovato, né vivo né morto, Livello A quanto alla sparizione ed alla sua data; il procedimento celebrato a distanza di decenni contro il vertice corleonese quale mandante si chiuse con assoluzione divenuta definitiva, che il registro riporta per esteso secondo la propria disciplina, sicché per la sparizione di De Mauro non esiste alcun condannato, Livello A quanto all'esito assolutorio; ed il ventaglio dei moventi esplorati, l'inchiesta su Mattei, altre piste palermitane concorrenti, resta al Livello C, materia di ipotesi che 50 anni di indagini non hanno gerarchizzato. Il registro annota la geometria che i 2 casi compongono: l'uomo che indagava sulla morte dell'uomo del petrolio scomparve senza lasciare corpo né verità, e questa concatenazione di irrisolti al quadrato, l'omicidio certificato senza autori e la sparizione senza neppure il reato accertabile, apre la serie mediterranea dell'opera con la sua legge più dura, che il capitolo ha poi ritrovato ad ogni tornante: in questo teatro, chi tocca la questione energetica e chi tocca chi l'ha toccata appartengono alla medesima contabilità.</w:t>
      </w:r>
    </w:p>
    <w:p>
      <w:pPr>
        <w:spacing w:after="120" w:line="276"/>
        <w:jc w:val="both"/>
      </w:pPr>
      <w:r>
        <w:rPr>
          <w:rFonts w:ascii="Barlow Semi Condensed" w:cs="Barlow Semi Condensed" w:eastAsia="Barlow Semi Condensed" w:hAnsi="Barlow Semi Condensed"/>
          <w:sz w:val="24"/>
          <w:szCs w:val="24"/>
        </w:rPr>
        <w:t xml:space="preserve">Il Mediterraneo del 1980 completa la propria costellazione con la crisi che il registro censisce quale terza scena del medesimo mare: nell'agosto di quell'anno unità militari libiche imposero la sospensione delle attività della piattaforma di perforazione operata per conto maltese da una società italiana del gruppo pubblico sul banco conteso di Medina, costringendo al ritiro il naviglio civile e aprendo una crisi diplomatica tra La Valletta, Tripoli e Roma sulla delimitazione delle acque e sulle concessioni energetiche del canale di Sicilia, ricomposta per via negoziale e arbitrale negli anni seguenti, Livello A quanto all'episodio ed alla sua composizione. Il registro colloca la cannoniera libica nella sequenza che il capitolo ha costruito: l'estate del 1980 vide concentrarsi sul medesimo quadrante, in 6 settimane, la notte di Ustica, la strage alla stazione della città da cui quel volo era partito e la prova di forza energetica sul banco di Medina, e la disciplina del Pattern 3, che vieta di convertire la densità in disegno, impone qui la sua applicazione più severa e la sua annotazione più ferma: i 3 eventi restano, allo stato degli atti, privi di ogni connessione certificata, e ciò che la loro compresenza documenta non è una trama ma una condizione, quella di un mare che nell'estate del 1980 era simultaneamente teatro di guerra aerea non dichiarata, bersaglio di terrorismo interno e posta di conflitto energetico, la condizione mediterranea dell'Italia che questo capitolo ha censito e che nessuna singola inchiesta, per statuto, poteva vedere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mediterraneo è certificato quale sistema continuo dell'autonomia italiana, con la prassi al Livello B, i riscontri e la crisi del 1985 al Livello A, Leon Klinghoffer nominato tra le vittime, e la serie degli attriti documentati con l'alleato maggiore consegnata quale versante mediterraneo delle contrarietà certificate alla verifica delle macro-ipotesi.</w:t>
      </w:r>
    </w:p>
    <w:p>
      <w:pPr>
        <w:pStyle w:val="Heading3"/>
        <w:spacing w:after="80" w:before="160"/>
      </w:pPr>
      <w:r>
        <w:rPr>
          <w:rFonts w:ascii="Barlow Semi Condensed" w:cs="Barlow Semi Condensed" w:eastAsia="Barlow Semi Condensed" w:hAnsi="Barlow Semi Condensed"/>
          <w:sz w:val="24"/>
          <w:szCs w:val="24"/>
        </w:rPr>
        <w:t xml:space="preserve">Capitolo 6 — L'Est: gli archivi trasferiti, il caso bulgaro e l'asimmetria della prova</w:t>
      </w:r>
    </w:p>
    <w:p>
      <w:pPr>
        <w:spacing w:after="120" w:line="276"/>
        <w:jc w:val="both"/>
      </w:pPr>
      <w:r>
        <w:rPr>
          <w:rFonts w:ascii="Barlow Semi Condensed" w:cs="Barlow Semi Condensed" w:eastAsia="Barlow Semi Condensed" w:hAnsi="Barlow Semi Condensed"/>
          <w:sz w:val="24"/>
          <w:szCs w:val="24"/>
        </w:rPr>
        <w:t xml:space="preserve">Il sesto nodo è il campo orientale, il versante del grafo la cui conoscibilità dipende integralmente dal collasso del 1989-1991 e dai trasferimenti archivistici che ne seguirono. Il registro dichiara in apertura la condizione che governa l'intero capitolo: sino alla caduta, il campo orientale non produsse verso l'esterno documentazione propria se non per defezione, e ogni certificazione del nodo porta la data del proprio regime di accesso, la disciplina dell'asimmetria nella sua applicazione più pura.</w:t>
      </w:r>
    </w:p>
    <w:p>
      <w:pPr>
        <w:spacing w:after="120" w:line="276"/>
        <w:jc w:val="both"/>
      </w:pPr>
      <w:r>
        <w:rPr>
          <w:rFonts w:ascii="Barlow Semi Condensed" w:cs="Barlow Semi Condensed" w:eastAsia="Barlow Semi Condensed" w:hAnsi="Barlow Semi Condensed"/>
          <w:sz w:val="24"/>
          <w:szCs w:val="24"/>
        </w:rPr>
        <w:t xml:space="preserve">Il primo pilastro censisce il compendio maggiore, l'archivio Mitrokhin. La documentazione esfiltrata nel 1992 dall'ex archivista del servizio sovietico e trasmessa ai servizi occidentali, il compendio dal quale derivano i rapporti trasmessi all'Italia noti quali dossier Impedian, fu recepita in sede parlamentare dalla Commissione dedicata, istituita nel 2002 e conclusa nel 2006, con gli esiti divisi che la natura della fonte e la stagione politica produssero; il registro certifica al Livello A l'esistenza, la provenienza e la recezione parlamentare del compendio, quali fatti documentali, e fissa la disciplina della fonte, che l'opera ha già applicato al caso Conforto della Fase 4: le schedature del compendio sono documentazione d'archivio di servizio, non giudicati, e le qualità che esse attribuiscono sono certificate al Livello B quali risultanze documentali di parte recepite in sede istituzionale, con ogni lettura operativa al livello proprio; il caso Conforto, l'agente schedato quale Dario sotto il cui tetto fu sequestrata l'arma dell'esecuzione di via Caetani, resta l'applicazione esemplare della disciplina, il fatto materiale al Livello A, la qualità al Livello B, il nesso al Livello C.</w:t>
      </w:r>
    </w:p>
    <w:p>
      <w:pPr>
        <w:spacing w:after="120" w:line="276"/>
        <w:jc w:val="both"/>
      </w:pPr>
      <w:r>
        <w:rPr>
          <w:rFonts w:ascii="Barlow Semi Condensed" w:cs="Barlow Semi Condensed" w:eastAsia="Barlow Semi Condensed" w:hAnsi="Barlow Semi Condensed"/>
          <w:sz w:val="24"/>
          <w:szCs w:val="24"/>
        </w:rPr>
        <w:t xml:space="preserve">Il secondo pilastro censisce il caso giudiziario maggiore del versante, l'attentato al pontefice e la pista bulgara. Il 13 maggio 1981 Giovanni Paolo II fu gravemente ferito in piazza San Pietro da Mehmet Ali Ağca, l'estremista turco proveniente dall'organizzazione dei Lupi Grigi, condannato all'ergastolo dalla giustizia italiana nel luglio 1981 e graziato dal presidente della Repubblica nel giugno 2000 con successiva estradizione in Turchia; sull'ipotesi del mandato orientale, la pista bulgara alimentata dalle dichiarazioni del condannato, si celebrò il processo ai presunti coordinatori, e la Corte d'assise di Roma, con la sentenza del marzo 1986, assolse per insufficienza di prove Sergej Antonov e i coimputati bulgari e turchi, esito che il registro riporta per esteso in ottemperanza alla propria disciplina; il registro certifica al Livello A l'attentato, la condanna dell'esecutore, la grazia e l'esito assolutorio del processo sul mandato, quali dati giudiziari, mantiene al Livello C l'ipotesi del mandato orientale, quale lettura processualmente non provata, e annota la struttura che il caso consegna all'opera: il massimo attentato del decennio sul territorio italiano ha un esecutore giudicato e un mandato mai accertato, la configurazione dei piani che la Fase 4 ha formalizzato, replicata qui sul terreno internazionale con l'aggravante dell'asimmetria, giacché gli archivi capaci di sciogliere la questione appartenevano al campo che la questione investiva, e le aperture successive al 1989 non hanno prodotto la prova in alcuna direzione.</w:t>
      </w:r>
    </w:p>
    <w:p>
      <w:pPr>
        <w:spacing w:after="120" w:line="276"/>
        <w:jc w:val="both"/>
      </w:pPr>
      <w:r>
        <w:rPr>
          <w:rFonts w:ascii="Barlow Semi Condensed" w:cs="Barlow Semi Condensed" w:eastAsia="Barlow Semi Condensed" w:hAnsi="Barlow Semi Condensed"/>
          <w:sz w:val="24"/>
          <w:szCs w:val="24"/>
        </w:rPr>
        <w:t xml:space="preserve">Il terzo pilastro censisce il canale finanziario documentato, il sostegno economico del campo orientale al maggiore partito comunista occidentale. La documentazione emersa dagli archivi sovietici dopo il 1991 ha certificato l'esistenza pluridecennale del canale di finanziamento del Partito comunista italiano da parte del partito sovietico, con le consistenze e la cronologia che gli studi d'archivio hanno ricostruito e con l'esaurimento del canale negli anni Settanta-Ottanta parallelo all'autonomizzazione eurocomunista; il registro certifica al Livello A l'esistenza storica del canale, quale dato archivistico consolidato, e ne dichiara la funzione nella verifica: esso è il canale documentato del campo orientale verso il sistema politico italiano, simmetrico per esistenza ai canali occidentali che il capitolo settimo censisce, e la simmetria certificata delle interferenze ordinarie dei 2 campi, ciascuno sul proprio versante del sistema politico, è il fatto di base che la verifica finale erediterà, con la consueta distinzione tra l'interferenza ordinaria documentata e le regie straordinarie che i documenti non certificano.</w:t>
      </w:r>
    </w:p>
    <w:p>
      <w:pPr>
        <w:spacing w:after="120" w:line="276"/>
        <w:jc w:val="both"/>
      </w:pPr>
      <w:r>
        <w:rPr>
          <w:rFonts w:ascii="Barlow Semi Condensed" w:cs="Barlow Semi Condensed" w:eastAsia="Barlow Semi Condensed" w:hAnsi="Barlow Semi Condensed"/>
          <w:sz w:val="24"/>
          <w:szCs w:val="24"/>
        </w:rPr>
        <w:t xml:space="preserve">Il quarto pilastro censisce i servizi satelliti, il versante minore del campo. Le acquisizioni successive al 1989, dalle aperture parziali degli archivi orientali agli atti delle commissioni dei Paesi già satelliti, hanno documentato l'attività verso l'Italia e verso il terrorismo internazionale transitato per l'Italia dei servizi del blocco, con i casi che la documentazione colloca ai livelli propri, dal sostegno logistico e addestrativo prestato da strutture orientali alle organizzazioni palestinesi, documentato dalle carte aperte, alle attività informative ordinarie sul Paese di frontiera; il registro certifica al Livello A l'esistenza documentata delle attività per i casi consacrati dalle carte aperte, mantiene al Livello B le ricostruzioni fondate su acquisizioni parziali, e ribadisce la disciplina dell'asimmetria: la conoscenza del versante satellite è integralmente figlia delle aperture del 1989-1991, cresce dove gli ordinamenti successori hanno legiferato l'accesso e tace dove non lo hanno fatto, e ogni comparazione interna al campo orientale incorpora questa non uniformità quale condizione.</w:t>
      </w:r>
    </w:p>
    <w:p>
      <w:pPr>
        <w:spacing w:after="120" w:line="276"/>
        <w:jc w:val="both"/>
      </w:pPr>
      <w:r>
        <w:rPr>
          <w:rFonts w:ascii="Barlow Semi Condensed" w:cs="Barlow Semi Condensed" w:eastAsia="Barlow Semi Condensed" w:hAnsi="Barlow Semi Condensed"/>
          <w:sz w:val="24"/>
          <w:szCs w:val="24"/>
        </w:rPr>
        <w:t xml:space="preserve">Il quinto pilastro censisce l'esito istituzionale italiano del compendio, il bilancio della Commissione. La Commissione parlamentare sul dossier Mitrokhin, operante dal 2002 al 2006, si concluse con relazioni divise lungo la frattura politica della stagione, senza approdi condivisi e senza che dalle sue carte scaturisse alcun seguito giudiziario di rilievo, e il registro certifica al Livello A l'esito diviso e l'assenza di seguiti, quali dati parlamentari, traendone l'annotazione metodologica che il caso consegna: la recezione istituzionale di un archivio di parte, in un sistema politico polarizzato, produsse non l'accertamento ma la trasposizione della polarizzazione sull'archivio stesso, e il compendio, fonte documentale di valore per la ricerca, fu consumato dalla stagione quale arma della contesa; il registro trascrive il caso quale controesempio interno alla legge del capitolo nono, l'apertura archivistica che non produce conoscenza consolidata quando la recezione avviene nel campo della lotta politica anziché in quello dell'accertamento, e ne trae la cautela permanente con cui l'opera stessa ha trattato il compendio, la disciplina della fonte fissata nel primo pilastro.</w:t>
      </w:r>
    </w:p>
    <w:p>
      <w:pPr>
        <w:spacing w:after="120" w:line="276"/>
        <w:jc w:val="both"/>
      </w:pPr>
      <w:r>
        <w:rPr>
          <w:rFonts w:ascii="Barlow Semi Condensed" w:cs="Barlow Semi Condensed" w:eastAsia="Barlow Semi Condensed" w:hAnsi="Barlow Semi Condensed"/>
          <w:sz w:val="24"/>
          <w:szCs w:val="24"/>
        </w:rPr>
        <w:t xml:space="preserve">Il sesto pilastro censisce l'epilogo archivistico del caso bulgaro, la prova dell'asimmetria anche nell'apertura. Dopo il 1989, l'ordinamento bulgaro conobbe le proprie stagioni di accesso alle carte della sicurezza del regime, con le aperture parziali e regolate che la transizione produsse, e dalle carte accessibili non emerse la prova del mandato nell'una né nell'altra direzione, l'assoluzione per insufficienza di prove del 1986 restando l'ultimo atto giudiziario del caso e la questione storiografica restando aperta con le letture contrapposte che la letteratura custodisce; il registro certifica al Livello A l'esistenza delle aperture parziali e l'assenza di prova sopravvenuta, quali dati, e ne trae la lezione terminale del versante: l'apertura archivistica è condizione necessaria e non sufficiente dell'accertamento, giacché essa restituisce soltanto ciò che fu scritto e conservato, e un mandato, se vi fu, appartiene per natura alla classe degli atti che gli apparati non scrivono o non conservano; il registro salda la lezione alla firma delle assenze certificata dalla Fase 4, la coincidenza sistematica tra la sensibilità dell'atto e il silenzio della carta, e consegna il caso quale memento metodologico permanente: nel campo studiato, esistono questioni strutturalmente inaccertabili per via documentale, e la maturità del metodo consiste nel dichiararle tali, mantenendole al livello dell'ipotesi viva, anziché forzarle verso conclusioni che nessun archivio, aperto o chiuso, potrà mai fondare.</w:t>
      </w:r>
    </w:p>
    <w:p>
      <w:pPr>
        <w:spacing w:after="120" w:line="276"/>
        <w:jc w:val="both"/>
      </w:pPr>
      <w:r>
        <w:rPr>
          <w:rFonts w:ascii="Barlow Semi Condensed" w:cs="Barlow Semi Condensed" w:eastAsia="Barlow Semi Condensed" w:hAnsi="Barlow Semi Condensed"/>
          <w:sz w:val="24"/>
          <w:szCs w:val="24"/>
        </w:rPr>
        <w:t xml:space="preserve">Il settimo pilastro fissa il perimetro della trasmissione italiana, i rapporti Impedian. La quota del compendio trasmessa all'Italia consiste nei 261 rapporti della serie Impedian, il sottoinsieme che il servizio britannico destinò alla controparte italiana e che costituì la base documentale della Commissione; il registro certifica al Livello A la consistenza e la natura derivata della trasmissione, quale dato degli atti, e ne trae la precisazione metodologica che il perimetro impone: la conoscenza italiana del compendio è una conoscenza doppiamente mediata, dall'esfiltrazione selettiva dell'archivista prima e dalla selezione del servizio trasmittente poi, e ogni impiego dei rapporti incorpora le 2 selezioni non verificabili che ne hanno determinato il contenuto; il registro applica al caso la disciplina dell'autocertificazione formalizzata per le liste della rete stay-behind, l'elenco che documenta ciò che contiene e nulla certifica su ciò che esclude, e chiude il pilastro con la qualificazione terminale della fonte: il compendio è, per l'opera, un giacimento di piste di Livello B da riscontrare caso per caso, mai un archivio probante, e il caso Conforto resta la dimostrazione del rendimento possibile, la pista del compendio che un fatto materiale italiano, il sequestro dell'arma, ha trasformato in nodo certificato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Mitrokhin-Impedian-disciplina della fonte, fissa lo statuto probatorio del compendio con il caso Conforto quale applicazione esemplare. La seconda, attentato del 1981-processo del mandato-assoluzione del 1986, certifica la replica internazionale della struttura dei piani, con l'esito riportato per esteso. La terza, canale finanziario-archivi post-1991-simmetria delle interferenze, consegna alla verifica il fatto di base del versante orientale.</w:t>
      </w:r>
    </w:p>
    <w:p>
      <w:pPr>
        <w:spacing w:after="120" w:line="276"/>
        <w:jc w:val="both"/>
      </w:pPr>
      <w:r>
        <w:rPr>
          <w:rFonts w:ascii="Barlow Semi Condensed" w:cs="Barlow Semi Condensed" w:eastAsia="Barlow Semi Condensed" w:hAnsi="Barlow Semi Condensed"/>
          <w:sz w:val="24"/>
          <w:szCs w:val="24"/>
        </w:rPr>
        <w:t xml:space="preserve">Alle aperture parziali del campo il registro deve i loro istituti, perché la conoscibilità del versante ha assunto, dopo il 1989, forme ordinamentali precise che la legge del capitolo nono avrebbe poi classificato: la Germania riunificata creò nel 1991 l'autorità federale per le carte del servizio di sicurezza della disciolta Repubblica democratica, il modello dell'accesso amministrato agli archivi della Stasi che ha reso quel fondo il più consultato archivio di polizia segreta della storia; l'ordinamento ceco e slovacco affidò le carte dello StB agli istituti della memoria nel quadro delle leggi di lustrazione; la Romania istituì nel 1999 il consiglio nazionale per lo studio degli archivi della Securitate, con accesso regolato ai fascicoli personali, Livello A quanto agli istituti ed alle loro date. Il registro giustappone al censimento l'eccezione che lo definisce: l'archivio centrale del servizio sovietico, il fondo maggiore del campo, non conobbe alcun istituto equivalente, e la sua conoscibilità resta affidata alle esfiltrazioni individuali, delle quali il compendio Mitrokhin censito è l'esemplare massimo, sicché il versante orientale si presenta all'analista come un arcipelago di satelliti illuminati attorno a un centro rimasto buio, e questa geometria rovesciata, la periferia leggibile ed il centro opaco, è la forma specifica che l'asimmetria della prova assume ad Est, con la conseguenza metodologica che la fase ha già tratto: sul campo orientale, ogni affermazione sul centro è, per statuto archivistico, più debole di ogni affermazione sui satelliti.</w:t>
      </w:r>
    </w:p>
    <w:p>
      <w:pPr>
        <w:spacing w:after="120" w:line="276"/>
        <w:jc w:val="both"/>
      </w:pPr>
      <w:r>
        <w:rPr>
          <w:rFonts w:ascii="Barlow Semi Condensed" w:cs="Barlow Semi Condensed" w:eastAsia="Barlow Semi Condensed" w:hAnsi="Barlow Semi Condensed"/>
          <w:sz w:val="24"/>
          <w:szCs w:val="24"/>
        </w:rPr>
        <w:t xml:space="preserve">Al versante bulgaro del campo appartiene infine lo snodo commerciale che gli atti parlamentari italiani censirono quale infrastruttura dei traffici: la società di Stato Kintex, l'ente di commercio estero di Sofia che le Commissioni d'inchiesta della Repubblica, sulla scorta di acquisizioni investigative e di convergenze internazionali, indicarono quale terminale organizzato di flussi di armi e di stupefacenti lungo le rotte balcanico-adriatiche verso l'Italia, in un intreccio tra commercio ufficiale e canali clandestini che la letteratura parlamentare del decennio documentò senza che ne seguisse mai un giudicato penale italiano organico sull'ente, Livello B quanto alle acquisizioni ed alle indicazioni delle sedi parlamentari, in assenza di certificazione giudiziaria di sistema. Il registro colloca il reperto nel suo perimetro esatto: la Kintex appartiene alla categoria degli snodi indicati e mai giudicati, e la sua funzione nel nodo è documentale prima che accusatoria, dimostrare che il campo orientale disponeva, accanto ai canali politici e informativi censiti dai pilastri, di un'infrastruttura commerciale di Stato idonea ai traffici paralleli, secondo il modello, speculare a quello occidentale delle società di comodo censite nel teatro australe, per cui ogni campo affida ai propri enti opachi ciò che la propria diplomazia non può firmare. La simmetria delle infrastrutture, l'ente di Stato ad Est e la società di comodo ad Ovest, è l'ultima delle specularità che il capitolo consegna alla verifica finale.</w:t>
      </w:r>
    </w:p>
    <w:p>
      <w:pPr>
        <w:spacing w:after="120" w:line="276"/>
        <w:jc w:val="both"/>
      </w:pPr>
      <w:r>
        <w:rPr>
          <w:rFonts w:ascii="Barlow Semi Condensed" w:cs="Barlow Semi Condensed" w:eastAsia="Barlow Semi Condensed" w:hAnsi="Barlow Semi Condensed"/>
          <w:sz w:val="24"/>
          <w:szCs w:val="24"/>
        </w:rPr>
        <w:t xml:space="preserve">Il compendio orientale impone infine la verifica sul quesito italiano per eccellenza, ed il registro la censisce quale Stato Zero maggiore della fase: la ricerca sistematica, condotta per decenni da istruttorie e commissioni sulla scorta delle carte transitate ad Occidente, di una direzione o di un finanziamento orientale organico del terrorismo brigatista, non ha prodotto la certificazione attesa, ed il materiale documentale disponibile, incluso il compendio censito, restituisce sul punto tracce frammentarie di contatti, transiti e attenzioni informative, ma non la catena di comando che la vulgata di ciascuna stagione ha ripetutamente annunciato, Livello A quanto all'esito delle ricerche documentali e parlamentari, Livello C quanto ad ogni ricostruzione di direzione esterna, mai consolidata. Il registro applica al risultato la propria dottrina dello Stato Zero: l'assenza sistematicamente cercata e non trovata è un dato di prima classe, e nel caso di specie essa delimita il perimetro che i giudicati italiani hanno sempre confermato, quello di un terrorismo autoctono nelle decisioni e nelle strutture, comunque collocato in un ecosistema internazionale che gli forniva sponde logistiche e santuari censiti altrove in questa fase; la disciplina impone di consegnare entrambe le metà del dato, contro le 2 vulgate speculari che il corpus ha attraversato, quella che voleva ogni bomba italiana comandata da una centrale straniera e quella che negava ogni dimensione internazionale, ed il registro le respinge entrambe con lo stesso strumento, la distinzione tra ambiente e mandato, che regge l'intera opera: l'ambiente internazionale del terrorismo italiano è documentato, il mandato internazionale non lo è, e chi confonde i 2 piani non sta leggendo gli atti, li sta riscrivendo.</w:t>
      </w:r>
    </w:p>
    <w:p>
      <w:pPr>
        <w:spacing w:after="120" w:line="276"/>
        <w:jc w:val="both"/>
      </w:pPr>
      <w:r>
        <w:rPr>
          <w:rFonts w:ascii="Barlow Semi Condensed" w:cs="Barlow Semi Condensed" w:eastAsia="Barlow Semi Condensed" w:hAnsi="Barlow Semi Condensed"/>
          <w:sz w:val="24"/>
          <w:szCs w:val="24"/>
        </w:rPr>
        <w:t xml:space="preserve">Al repertorio operativo del campo orientale il registro aggiunge il caso che ne certificò il metodo davanti all'opinione mondiale: l'assassinio a Londra, nel settembre 1978, del dissidente bulgaro Georgi Markov, colpito su un ponte da un minuscolo proiettile ad agente tossico inoculato con un congegno dissimulato, morto in 4 giorni, caso mai giunto a condanne ma attribuito dalle acquisizioni successive alla collaborazione tra il servizio bulgaro e le strutture tecniche sovietiche, Livello A quanto al fatto ed alle modalità accertate, Livello B quanto all'attribuzione risultante dalle acquisizioni post-1989 mai processate. Il registro censisce l'ombrello di Londra per la sua funzione contestuale: il caso dimostrò, nel medesimo autunno del 1978 che questo capitolo attraversa, che l'apparato bulgaro disponeva della volontà e della tecnica per l'omicidio politico extraterritoriale di precisione, e questa capacità certificata è l'esatto contesto nel quale, 3 anni dopo, il mondo avrebbe soppesato l'accusa di Roma censita nel capitolo, con la disciplina che il registro ribadisce: la capacità dimostrata a Londra rendeva l'ipotesi romana plausibile, non provata, e la distanza tra questi 2 aggettivi è precisamente ciò che le assoluzioni italiane per insufficienza hanno misurato.</w:t>
      </w:r>
    </w:p>
    <w:p>
      <w:pPr>
        <w:spacing w:after="120" w:line="276"/>
        <w:jc w:val="both"/>
      </w:pPr>
      <w:r>
        <w:rPr>
          <w:rFonts w:ascii="Barlow Semi Condensed" w:cs="Barlow Semi Condensed" w:eastAsia="Barlow Semi Condensed" w:hAnsi="Barlow Semi Condensed"/>
          <w:sz w:val="24"/>
          <w:szCs w:val="24"/>
        </w:rPr>
        <w:t xml:space="preserve">La genealogia dei servizi del campo occidentale contiene il precedente fondativo che il registro censisce quale matrice del riciclo istituzionale: l'Organizzazione Gehlen, la struttura informativa costituita nel 1946 sotto egida americana attorno al generale Reinhard Gehlen, già capo del servizio dell'esercito tedesco per il fronte orientale, transitata nel 1956, con il medesimo vertice e con quadri in parte reclutati tra gli ex appartenenti agli apparati del regime sconfitto, nel servizio federale di intelligence della nuova Germania, che Gehlen diresse sino al 1968, con la componente di ex membri delle strutture di sicurezza naziste che la commissione storica indipendente istituita dallo stesso servizio ha documentato nei propri studi, Livello A quanto alla parabola istituzionale ed alle acquisizioni della storiografia ufficiale tedesca. Il registro consegna il precedente alla sua funzione di chiave per l'intera fase: la conversione dell'apparato informativo del Reich in apparato informativo dell'alleanza, decisa a guerra appena finita in nome della continuità delle conoscenze sull'Est, è il prototipo documentato della logica che il corpus ritrova in ogni suo teatro, il primato del nemico prossimo venturo sulla giustizia per il nemico appena sconfitto, e la circostanza che questa conversione sia oggi certificata dalla storiografia commissionata dal servizio medesimo dimostra, sul piano del metodo, che anche il più compromettente dei segreti fondativi può essere metabolizzato da un'istituzione democratica, a condizione, che il registro annota per il bilancio finale, di una sola cosa: che passino abbastanza decenni perché nessuno dei nomi negli archivi sia più vivo per rispondere.</w:t>
      </w:r>
    </w:p>
    <w:p>
      <w:pPr>
        <w:spacing w:after="120" w:line="276"/>
        <w:jc w:val="both"/>
      </w:pPr>
      <w:r>
        <w:rPr>
          <w:rFonts w:ascii="Barlow Semi Condensed" w:cs="Barlow Semi Condensed" w:eastAsia="Barlow Semi Condensed" w:hAnsi="Barlow Semi Condensed"/>
          <w:sz w:val="24"/>
          <w:szCs w:val="24"/>
        </w:rPr>
        <w:t xml:space="preserve">Il capitolo degli archivi orientali si completa con il caso più romanzesco della loro trasmigrazione, che il registro censisce quale paradigma della guerra postuma per le carte: lo schedario operativo del servizio estero della Germania orientale, sottratto nella forma di microfilm nel naufragio del 1990 e finito oltreoceano, fu restituito alla Germania riunificata solo nel 2003, dopo un decennio di negoziati, nel corpus documentale noto quale dossier Rosenholz, consentendo l'identificazione retrospettiva di reti di collaboratori attive per decenni nell'Europa occidentale, con le ricadute nazionali gestite da ciascun Paese secondo le proprie procedure, Livello A quanto alla vicenda del fondo ed alla sua restituzione. Il registro consegna il caso alla sua funzione di chiusura per il capitolo: la parabola del dossier, un archivio di spionaggio conteso per 13 anni tra 2 alleati come bottino di guerra fredda postuma, dimostra che le carte censite in questo capitolo non furono mai semplici fonti ma poste strategiche esse stesse, possedute, negoziate e restituite secondo convenienze di Stato, e la conseguenza per il metodo dell'opera è quella che l'intera fase ha costruito: ogni archivio del corpus è arrivato allo storico attraverso una catena di custodie interessate, e la prima domanda del metodo davanti ad ogni carta non è mai che cosa dice, ma per quali mani è passata e perché proprio ora è leggibile.</w:t>
      </w:r>
    </w:p>
    <w:p>
      <w:pPr>
        <w:spacing w:after="120" w:line="276"/>
        <w:jc w:val="both"/>
      </w:pPr>
      <w:r>
        <w:rPr>
          <w:rFonts w:ascii="Barlow Semi Condensed" w:cs="Barlow Semi Condensed" w:eastAsia="Barlow Semi Condensed" w:hAnsi="Barlow Semi Condensed"/>
          <w:sz w:val="24"/>
          <w:szCs w:val="24"/>
        </w:rPr>
        <w:t xml:space="preserve">La contabilità dei flussi orientali esige infine la sua voce maggiore, che il registro censisce in simmetria documentale con il capitolo americano della fase: gli archivi del partito sovietico, aperti dopo il 1991, hanno documentato i finanziamenti pluridecennali erogati da Mosca ai partiti comunisti occidentali attraverso i canali riservati del comitato centrale, con il partito italiano tra i principali destinatari europei dei trasferimenti, protrattisi dalla ricostruzione postbellica sino alla soglia degli anni Ottanta, quali risultano dalle carte moscovite acquisite e pubblicate e dalle ricognizioni storiografiche e parlamentari che ne sono seguite, Livello A quanto ai flussi documentati dagli archivi del finanziatore. Il registro colloca il reperto nella propria architettura con la disciplina della doppia entrata: censiti nel capitolo atlantico i finanziamenti americani ai partiti ed agli uomini del campo occidentale italiano, la simmetria documentale impone la registrazione del flusso speculare, e la loro lettura congiunta consegna alla verifica finale il dato strutturale che nessuna delle 2 vulgate contrapposte ha mai voluto pronunciare per intero: per l'arco maggiore del corpus, i 2 principali partiti italiani ricevettero sostegno finanziario riservato dalle 2 superpotenze contrapposte, sicché la sovranità del sistema politico censito dall'opera era limitata non da una dipendenza ma da 2, e la competizione democratica italiana della guerra fredda fu, anche sul piano contabile documentato, un teatro nel quale entrambi i campi esterni pagavano il proprio attore, con la conseguenza di metodo che il registro affida al bilancio: chi racconta una sola delle 2 dipendenze non sta descrivendo il sistema, ne sta arbitrando la memoria.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orientale è certificato nella misura che gli archivi trasferiti consentono, con la disciplina della fonte Mitrokhin al Livello B per le schedature, l'attentato al pontefice censito con esecutore giudicato e mandato assolto per insufficienza di prove nel 1986, e il canale finanziario storico al Livello A quale interferenza ordinaria documentata, simmetrica al versante occidentale nella struttura che la verifica finale erediterà.</w:t>
      </w:r>
    </w:p>
    <w:p>
      <w:pPr>
        <w:pStyle w:val="Heading3"/>
        <w:spacing w:after="80" w:before="160"/>
      </w:pPr>
      <w:r>
        <w:rPr>
          <w:rFonts w:ascii="Barlow Semi Condensed" w:cs="Barlow Semi Condensed" w:eastAsia="Barlow Semi Condensed" w:hAnsi="Barlow Semi Condensed"/>
          <w:sz w:val="24"/>
          <w:szCs w:val="24"/>
        </w:rPr>
        <w:t xml:space="preserve">Capitolo 7 — L'Atlantico: i canali occidentali, la parabola di Sindona e il ponte piduista</w:t>
      </w:r>
    </w:p>
    <w:p>
      <w:pPr>
        <w:spacing w:after="120" w:line="276"/>
        <w:jc w:val="both"/>
      </w:pPr>
      <w:r>
        <w:rPr>
          <w:rFonts w:ascii="Barlow Semi Condensed" w:cs="Barlow Semi Condensed" w:eastAsia="Barlow Semi Condensed" w:hAnsi="Barlow Semi Condensed"/>
          <w:sz w:val="24"/>
          <w:szCs w:val="24"/>
        </w:rPr>
        <w:t xml:space="preserve">Il settimo nodo è il campo occidentale, il versante del grafo la cui documentazione, per l'asimmetria dichiarata, è la più antica e la più stratificata, dalle desecretazioni americane della prima guerra fredda agli atti delle Commissioni italiane. Il registro ne censisce i 3 canali documentati verso il sistema italiano.</w:t>
      </w:r>
    </w:p>
    <w:p>
      <w:pPr>
        <w:spacing w:after="120" w:line="276"/>
        <w:jc w:val="both"/>
      </w:pPr>
      <w:r>
        <w:rPr>
          <w:rFonts w:ascii="Barlow Semi Condensed" w:cs="Barlow Semi Condensed" w:eastAsia="Barlow Semi Condensed" w:hAnsi="Barlow Semi Condensed"/>
          <w:sz w:val="24"/>
          <w:szCs w:val="24"/>
        </w:rPr>
        <w:t xml:space="preserve">Il primo pilastro censisce il canale politico-finanziario della fondazione. La documentazione desecretata americana, dalle direttive del Consiglio per la sicurezza nazionale del 1948 alle carte operative del periodo, certifica l'esistenza del sostegno finanziario e organizzativo degli Stati Uniti ai partiti anticomunisti italiani nella stagione fondativa della Repubblica, il canale della prima guerra fredda che gli studi d'archivio hanno ricostruito nelle sue forme, dai finanziamenti elettorali alle operazioni di influenza; il registro certifica al Livello A l'esistenza storica del canale, quale dato archivistico consolidato, e ne fissa la simmetria strutturale con il canale orientale del capitolo precedente: i 2 campi finanziarono per decenni i rispettivi versanti del sistema politico italiano, e la coppia dei canali, entrambi al Livello A per esistenza, costituisce il fatto di base bilaterale che la verifica finale erediterà quale interferenza ordinaria documentata dei 2 imperi sul medesimo Paese di frontiera.</w:t>
      </w:r>
    </w:p>
    <w:p>
      <w:pPr>
        <w:spacing w:after="120" w:line="276"/>
        <w:jc w:val="both"/>
      </w:pPr>
      <w:r>
        <w:rPr>
          <w:rFonts w:ascii="Barlow Semi Condensed" w:cs="Barlow Semi Condensed" w:eastAsia="Barlow Semi Condensed" w:hAnsi="Barlow Semi Condensed"/>
          <w:sz w:val="24"/>
          <w:szCs w:val="24"/>
        </w:rPr>
        <w:t xml:space="preserve">Il secondo pilastro censisce la parabola atlantica di Michele Sindona, il ponte finanziario tra i domini che la Fase 2 ha certificato sul versante italiano e che la fase completa sul versante americano. Il banchiere siciliano costruì negli Stati Uniti l'apice della propria rete con l'acquisizione della Franklin National Bank, il cui crollo nell'ottobre 1974 costituì all'epoca il maggiore fallimento bancario della storia americana; condannato negli Stati Uniti nel 1980 a 25 anni per la bancarotta, fu estradato in Italia nel settembre 1984, condannato all'ergastolo il 18 marzo 1986 quale mandante dell'omicidio dell'avvocato Giorgio Ambrosoli, il liquidatore ucciso a Milano l'11 luglio 1979 che la Fase 4 ha censito nella serie romana, e morì 4 giorni dopo la condanna, il 22 marzo 1986, nel carcere di Voghera, per il caffè avvelenato al cianuro, in circostanze giudizialmente definite ma perennemente discusse tra suicidio e omicidio; il registro certifica al Livello A l'intera parabola, il crollo, le condanne, l'estradizione, l'ergastolo e la morte, quali dati giudiziari, e ne dichiara la funzione reticolare: Sindona è il nodo individuale che congiunge, con archi tutti certificati, il Dominio 6 dei 2 continenti, il Dominio 1 dei capitali riciclati, il Dominio 4 della loggia cui apparteneva, il Dominio 5 delle relazioni vaticane e il Dominio 2 delle protezioni politiche, la figura che la lettura conclusiva misura tra le massime intermediazioni individuali del grafo intero.</w:t>
      </w:r>
    </w:p>
    <w:p>
      <w:pPr>
        <w:spacing w:after="120" w:line="276"/>
        <w:jc w:val="both"/>
      </w:pPr>
      <w:r>
        <w:rPr>
          <w:rFonts w:ascii="Barlow Semi Condensed" w:cs="Barlow Semi Condensed" w:eastAsia="Barlow Semi Condensed" w:hAnsi="Barlow Semi Condensed"/>
          <w:sz w:val="24"/>
          <w:szCs w:val="24"/>
        </w:rPr>
        <w:t xml:space="preserve">Il terzo pilastro censisce il ponte piduista e i fatti atlantici della Fase 4. La loggia coperta operò quale struttura a proiezione atlantica documentata, con le presenze americane e latinoamericane negli elenchi, le relazioni transnazionali certificate dalla Commissione Anselmi e la funzione di cerniera tra gli ambienti dei 2 continenti che gli atti descrivono; al medesimo versante appartengono i fatti che la Fase 4 ha elevato, la dichiarazione del Dipartimento di Stato del 12 gennaio 1978 sull'indesiderabilità della partecipazione comunista ai governi occidentali, certificata al Livello A quale contrarietà pubblica, e la consulenza americana presso il comitato di crisi dei 55 giorni, certificata nei fatti al Livello A; il registro ricompone il versante nella formalizzazione che la verifica erediterà: il campo occidentale è documentato nel canale fondativo, nella contrarietà pubblica al progetto di allargamento democratico e nelle presenze consultive dentro la crisi capitale, 3 specie di fatti tutti certificati ai livelli dichiarati, e resta non documentato in ogni traduzione operativa straordinaria, la configurazione identica, per struttura, a quella del campo opposto, che il registro consegna alla verifica quale simmetria terminale delle evidenze.</w:t>
      </w:r>
    </w:p>
    <w:p>
      <w:pPr>
        <w:spacing w:after="120" w:line="276"/>
        <w:jc w:val="both"/>
      </w:pPr>
      <w:r>
        <w:rPr>
          <w:rFonts w:ascii="Barlow Semi Condensed" w:cs="Barlow Semi Condensed" w:eastAsia="Barlow Semi Condensed" w:hAnsi="Barlow Semi Condensed"/>
          <w:sz w:val="24"/>
          <w:szCs w:val="24"/>
        </w:rPr>
        <w:t xml:space="preserve">Il quarto pilastro censisce la proiezione americana della loggia. Gli atti della Commissione Anselmi e le acquisizioni convergenti documentano i rapporti del Venerabile con ambienti politici e d'affari statunitensi, le presenze d'oltreoceano nell'orbita della loggia e la funzione di cerniera tra gli ambienti conservatori dei 2 continenti che la documentazione descrive per la stagione a cavallo del 1980, ivi compresa la presenza di Gelli a cerimonie pubbliche americane della stagione documentata dalle cronache; il registro certifica al Livello A l'esistenza dei rapporti documentati dagli atti parlamentari, mantiene al Livello B le ricostruzioni delle loro funzioni, e ne trae il dato reticolare: la loggia operò quale struttura a doppio ancoraggio, italiana nella composizione e atlantica nelle relazioni, e la sua massima intermediazione, misurata dalla lettura conclusiva, incorpora questa doppiezza certificata, il ponte che non congiungeva soltanto i domini italiani tra loro ma il sistema italiano con gli ambienti del campo maggiore.</w:t>
      </w:r>
    </w:p>
    <w:p>
      <w:pPr>
        <w:spacing w:after="120" w:line="276"/>
        <w:jc w:val="both"/>
      </w:pPr>
      <w:r>
        <w:rPr>
          <w:rFonts w:ascii="Barlow Semi Condensed" w:cs="Barlow Semi Condensed" w:eastAsia="Barlow Semi Condensed" w:hAnsi="Barlow Semi Condensed"/>
          <w:sz w:val="24"/>
          <w:szCs w:val="24"/>
        </w:rPr>
        <w:t xml:space="preserve">Il quinto pilastro censisce la fonte americana quale via di apertura, la stagione delle inchieste congressuali. Negli anni 1975-1976 le commissioni d'inchiesta del Congresso degli Stati Uniti sulla comunità di intelligence, la stagione nota dal nome del senatore Church, portarono alla luce e agli atti pubblici il perimetro delle operazioni coperte americane, ivi comprese le operazioni di finanziamento e influenza condotte in Italia nei decenni precedenti, consegnando alla conoscenza pubblica, per via di inchiesta parlamentare del Paese operante, ciò che nessuna fonte italiana avrebbe potuto certificare; il registro certifica al Livello A la stagione, gli atti e il loro contenuto italiano, quali dati documentali, e ne trae la duplice annotazione: sul piano del metodo, la stagione congressuale è il caso maggiore della quarta via della tassonomia archivistica, l'apertura per scandalo e inchiesta, applicata al cuore dell'impero e non alla sua periferia, e dimostra che la legge del capitolo nono governa anche il campo dominante; sul piano del merito, essa costituisce la fonte primaria non italiana del canale fondativo certificato nel primo pilastro, sicché la conoscenza italiana del proprio condizionamento fondativo è, in misura rilevante, un prodotto derivato dell'autocritica istituzionale americana degli anni Settanta, l'asimmetria delle fonti che il registro dichiara quale condizione del versante.</w:t>
      </w:r>
    </w:p>
    <w:p>
      <w:pPr>
        <w:spacing w:after="120" w:line="276"/>
        <w:jc w:val="both"/>
      </w:pPr>
      <w:r>
        <w:rPr>
          <w:rFonts w:ascii="Barlow Semi Condensed" w:cs="Barlow Semi Condensed" w:eastAsia="Barlow Semi Condensed" w:hAnsi="Barlow Semi Condensed"/>
          <w:sz w:val="24"/>
          <w:szCs w:val="24"/>
        </w:rPr>
        <w:t xml:space="preserve">Il sesto pilastro recepisce il versante vaticano-atlantico, il triangolo finanziario della Fase 2 nel suo esito ordinamentale. Il crollo del Banco Ambrosiano del 1982, con la morte londinese di Roberto Calvi censita dalla Fase 2 e la posizione dell'Istituto per le Opere di Religione quale azionista e controparte documentata, produsse sul piano giudiziario italiano il tentativo di perseguire i vertici dell'Istituto, chiuso dalla pronuncia che riconobbe l'immunità derivante dallo statuto internazionale dell'ente centrale vaticano, con l'annullamento nel 1987 dei provvedimenti restrittivi richiesti; il registro certifica al Livello A il crollo, la posizione documentata dell'Istituto e l'esito di immunità, quali dati giudiziari e ordinamentali, e ne trae la formalizzazione che il versante consegna alla mappa: il Dominio 5 è l'unico dominio del sistema il cui vertice finanziario risultò, per statuto internazionale, integralmente sottratto alla giurisdizione italiana, e il triangolo Ambrosiano-Istituto-immunità è il caso puro della frattura giurisdizionale interna al territorio, la stessa variabile che il capitolo secondo ha certificato per i rifugi esteri qui operante nel cuore di Roma; il registro trascrive la simmetria tra il santuario estero e l'enclave interna quale dato strutturale della coppia religione-economia, la coppia che la Nota metodologica collocava tra le più dense e che il corpus ha confermato tale, con l'aggravante certificata dell'inaccertabilità perpetua del suo vertice.</w:t>
      </w:r>
    </w:p>
    <w:p>
      <w:pPr>
        <w:spacing w:after="120" w:line="276"/>
        <w:jc w:val="both"/>
      </w:pPr>
      <w:r>
        <w:rPr>
          <w:rFonts w:ascii="Barlow Semi Condensed" w:cs="Barlow Semi Condensed" w:eastAsia="Barlow Semi Condensed" w:hAnsi="Barlow Semi Condensed"/>
          <w:sz w:val="24"/>
          <w:szCs w:val="24"/>
        </w:rPr>
        <w:t xml:space="preserve">Il settimo pilastro censisce l'infrastruttura permanente del vincolo, il sistema delle basi. La presenza militare americana e atlantica sul territorio italiano, con le installazioni maggiori che la Nota metodologica elenca, Aviano, Sigonella, Vicenza, Napoli, e la rete dei siti minori, costituisce l'infrastruttura fisica del rapporto di campo, stabilita dagli accordi bilaterali della fondazione e attraversata indenne da ogni stagione politica della Repubblica; il registro certifica al Livello A l'esistenza, la consistenza e la continuità del sistema, quali dati pubblici, e ne dichiara la funzione nel versante: le basi sono il fatto strutturale che distingue l'interferenza occidentale da quella orientale nella loro stessa natura, il campo maggiore essendo presente sul territorio quale infrastruttura permanente e non quale influenza esterna, e la notte di Sigonella, censita nel capitolo quinto, fu precisamente il momento in cui questa presenza infrastrutturale e la sovranità territoriale entrarono in attrito fisico documentato, i 2 apparati armati fronteggiandosi sul medesimo sedime; il registro consegna il dato alla verifica quale correttivo strutturale della simmetria bilaterale certificata: i 2 campi furono simmetrici nei canali di interferenza ordinaria e radicalmente asimmetrici nella presenza fisica, e ogni lettura del condizionamento del sistema italiano incorpora questa asimmetria di base, che non prova alcuna condotta e definisce, quale condizione permanente certificata, il differenziale di prossimità dei 2 imperi al territorio conteso.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canale del 1948-sistema politico-simmetria bilaterale, certifica il fatto di base occidentale e la sua specularità orientale. La seconda, Sindona-Franklin-ergastolo del 1986, certifica la parabola del massimo ponte finanziario individuale del grafo. La terza, loggia-dichiarazione del 1978-consulenza nella crisi, ricompone i fatti atlantici certificati della Fase 4 nel versante che la verifica erediterà.</w:t>
      </w:r>
    </w:p>
    <w:p>
      <w:pPr>
        <w:spacing w:after="120" w:line="276"/>
        <w:jc w:val="both"/>
      </w:pPr>
      <w:r>
        <w:rPr>
          <w:rFonts w:ascii="Barlow Semi Condensed" w:cs="Barlow Semi Condensed" w:eastAsia="Barlow Semi Condensed" w:hAnsi="Barlow Semi Condensed"/>
          <w:sz w:val="24"/>
          <w:szCs w:val="24"/>
        </w:rPr>
        <w:t xml:space="preserve">Alla stagione congressuale il registro deve i nomi propri che la resero possibile: furono la commissione del Senato presieduta da Frank Church e la commissione della Camera presieduta da Otis Pike, operanti tra il 1975 ed il 1976, a sottoporre per la prima volta gli apparati americani a un'inchiesta parlamentare sistematica sulle operazioni estere, con audizioni, rapporti e desecretazioni che investirono anche il capitolo dei finanziamenti politici in Europa, e fu la circolazione, anche irrituale, dei materiali di quella stagione a immettere nel dibattito pubblico italiano, alla metà degli anni Settanta, le prime quantificazioni documentate del canale fondativo che il primo pilastro certifica, Livello A quanto alle commissioni, ai loro atti ed alla loro ricaduta documentale. Il registro assegna alla stagione il suo posto nella legge delle aperture: le inchieste del 1975-1976 sono l'esemplare capitale della via del contraccolpo interno, l'apertura prodotta non dal collasso del sistema ma dalla sua crisi di legittimazione domestica, e la circostanza che la prima luce sul versante occidentale del caso italiano sia stata accesa a Washington, da organi americani per ragioni americane, conferma sul campo opposto il teorema già certificato ad Est: nessun apparato illumina sé stesso per virtù propria, e la conoscenza dei 2 campi è figlia, in forme diverse, delle loro rispettive crisi.</w:t>
      </w:r>
    </w:p>
    <w:p>
      <w:pPr>
        <w:spacing w:after="120" w:line="276"/>
        <w:jc w:val="both"/>
      </w:pPr>
      <w:r>
        <w:rPr>
          <w:rFonts w:ascii="Barlow Semi Condensed" w:cs="Barlow Semi Condensed" w:eastAsia="Barlow Semi Condensed" w:hAnsi="Barlow Semi Condensed"/>
          <w:sz w:val="24"/>
          <w:szCs w:val="24"/>
        </w:rPr>
        <w:t xml:space="preserve">Al sistema delle basi il registro aggiunge l'esemplare che ne rivela il metodo costitutivo: l'installazione navale americana di Santo Stefano, nell'arcipelago della Maddalena, che dal 1972 ospitò la nave appoggio ed i sommergibili a propulsione nucleare della flotta atlantica sulla base di intese bilaterali riservate, perfezionate in via amministrativa senza passaggio parlamentare di autorizzazione, e rimaste operative per 36 anni sino alla dismissione del 2008, Livello A quanto all'installazione, al suo regime ed alla sua durata. Il valore del caso non sta nella base ma nella procedura: la decisione di ospitare stabilmente in acque italiane il naviglio nucleare dell'alleato fu assunta e mantenuta interamente sotto la soglia della deliberazione parlamentare, secondo il modello delle intese tecniche derivate dai trattati-quadro che il pilastro certifica per l'intero sistema, e la sua emersione nel dibattito pubblico avvenne per gradi, a installazione avvenuta, con la geografia del vincolo già consolidata in fatto. Il registro ne trae il teorema infrastrutturale del versante occidentale, speculare a quello archivistico: come la conoscenza del sistema è postuma alle sue crisi, così la deliberazione democratica sul sistema è postuma alle sue installazioni, e la mappa delle basi, da Sigonella alla Maddalena, è la forma fisica di un consenso che fu sempre ratificante e mai costituente, il vincolo di campo fatto cemento prima che dibattito.</w:t>
      </w:r>
    </w:p>
    <w:p>
      <w:pPr>
        <w:spacing w:after="120" w:line="276"/>
        <w:jc w:val="both"/>
      </w:pPr>
      <w:r>
        <w:rPr>
          <w:rFonts w:ascii="Barlow Semi Condensed" w:cs="Barlow Semi Condensed" w:eastAsia="Barlow Semi Condensed" w:hAnsi="Barlow Semi Condensed"/>
          <w:sz w:val="24"/>
          <w:szCs w:val="24"/>
        </w:rPr>
        <w:t xml:space="preserve">Il sistema atlantico ebbe infine il suo apice missilistico siciliano, che il registro censisce quale capitolo maggiore del vincolo infrastrutturale: in attuazione della doppia decisione NATO del 12 dicembre 1979, l'Italia accettò l'installazione dei missili da crociera a testata nucleare presso l'aeroporto di Comiso, che negli anni Ottanta divenne la maggiore base di euromissili del fianco Sud, al centro di mobilitazioni pacifiste di massa e di un dibattito parlamentare che, a differenza dei casi censiti in precedenza, vi fu, con la deliberazione politica esplicita dell'autunno 1979, sino allo smantellamento seguito al trattato INF del dicembre 1987, che eliminò l'intera categoria di vettori e riconsegnò la base entro l'inizio degli anni Novanta, Livello A sull'intera parabola. Il registro colloca Comiso nella tipologia della fase quale caso di controllo: qui la procedura democratica funzionò, il Parlamento deliberò prima dell'installazione e la geografia del vincolo seguì la decisione politica anziché precederla, sicché il confronto interno al medesimo capitolo, La Maddalena decisa in via riservata e Comiso votata in aula, dimostra che il metodo del consenso ratificante non era una necessità tecnica dell'alleanza ma una scelta caso per caso, e che quando la Repubblica volle deliberare prima di ospitare, poté farlo; la conseguenza documentale, che il registro annota per la verifica finale, è che ogni installazione non deliberata del corpus fu tale non perché non si potesse, ma perché non si volle chiedere.</w:t>
      </w:r>
    </w:p>
    <w:p>
      <w:pPr>
        <w:spacing w:after="120" w:line="276"/>
        <w:jc w:val="both"/>
      </w:pPr>
      <w:r>
        <w:rPr>
          <w:rFonts w:ascii="Barlow Semi Condensed" w:cs="Barlow Semi Condensed" w:eastAsia="Barlow Semi Condensed" w:hAnsi="Barlow Semi Condensed"/>
          <w:sz w:val="24"/>
          <w:szCs w:val="24"/>
        </w:rPr>
        <w:t xml:space="preserve">Il capitolo americano del vincolo possiede infine la sua contabilità documentata, che il registro censisce dal più ufficiale dei canali: il rapporto conclusivo della commissione della Camera dei rappresentanti censita in questo capitolo, divulgato nel 1976 attraverso la stampa dopo che l'aula ne aveva vietato la pubblicazione, dedicò all'Italia un capitolo specifico, documentando i programmi di finanziamento copertο ai partiti ed a singoli esponenti politici italiani protratti per decenni, e riportando, quale caso di scuola, il canale diretto attivato nei primi anni Settanta dall'ambasciata di Roma verso il vertice del servizio militare italiano, con l'indicazione di 800.000 dollari destinati, secondo il rapporto, al generale che la seconda fase di quest'opera censisce quale direttore imputato, Livello A quanto ai contenuti del rapporto parlamentare ed alla loro divulgazione, con la qualificazione che la disciplina impone, trattandosi di accertamento politico-parlamentare straniero mai tradotto in giudicato italiano. Il registro salda il documento all'architettura dell'opera: il rapporto americano certifica dall'interno del campo occidentale ciò che le fasi italiane hanno censito dall'esterno, che il vertice dell'intelligence della Repubblica era simultaneamente destinatario di flussi riservati alleati ed imputato nei procedimenti eversivi nazionali, e la convergenza tra la carta di Washington e le carte di Roma sul medesimo nome è uno dei rari punti dell'intero corpus in cui i 2 archivi, quello del patrono e quello del cliente, si confermano a vicenda senza essersi consultati, realizzando, per una volta, la triangolazione perfetta che il metodo dell'opera persegue: la stessa notizia, da 2 sovranità, per 2 vie indipendenti.</w:t>
      </w:r>
    </w:p>
    <w:p>
      <w:pPr>
        <w:spacing w:after="120" w:line="276"/>
        <w:jc w:val="both"/>
      </w:pPr>
      <w:r>
        <w:rPr>
          <w:rFonts w:ascii="Barlow Semi Condensed" w:cs="Barlow Semi Condensed" w:eastAsia="Barlow Semi Condensed" w:hAnsi="Barlow Semi Condensed"/>
          <w:sz w:val="24"/>
          <w:szCs w:val="24"/>
        </w:rPr>
        <w:t xml:space="preserve">Il capitolo atlantico si chiude sul suo segreto più longevo, che il registro censisce nella sua forma peculiare: la presenza sul territorio italiano, a partire dagli anni Sessanta, di ordigni nucleari americani in custodia congiunta presso installazioni dell'alleanza, documentata da carte declassificate d'oltreoceano e da convergenze storiografiche consolidate, non è mai stata né confermata né smentita ufficialmente dalle autorità italiane, secondo la politica del riserbo assoluto mantenuta ininterrottamente da ogni governo del corpus, Livello A quanto alla documentazione declassificata americana ed alla costanza del riserbo italiano, Livello B quanto ad ogni dettaglio di consistenza e dislocazione nelle diverse epoche. Il registro censisce il caso per la sua unicità formale: si tratta dell'unico segreto dell'intera opera che non è mai stato violato, rivelato, desecretato o processato, ma semplicemente non pronunciato per 60 anni da nessuna istituzione nazionale, e questa forma estrema del non-detto, il segreto che sopravvive non perché custodito ma perché mai formalmente esistito nel discorso pubblico italiano, chiude la tipologia del capitolo con il suo caso limite: il vincolo di campo, che l'opera ha censito nelle sue forme scritte, ratificate e riservate, conosce anche la forma perfetta del vincolo muto, quello su cui il patto tacito tra tutte le maggioranze e tutte le opposizioni di mezzo secolo ha retto meglio di qualunque classifica di segretezza.</w:t>
      </w:r>
    </w:p>
    <w:p>
      <w:pPr>
        <w:spacing w:after="120" w:line="276"/>
        <w:jc w:val="both"/>
      </w:pPr>
      <w:r>
        <w:rPr>
          <w:rFonts w:ascii="Barlow Semi Condensed" w:cs="Barlow Semi Condensed" w:eastAsia="Barlow Semi Condensed" w:hAnsi="Barlow Semi Condensed"/>
          <w:sz w:val="24"/>
          <w:szCs w:val="24"/>
        </w:rPr>
        <w:t xml:space="preserve">Il vuoto operativo aperto dalla stagione delle commissioni ebbe infine la sua risposta extra-istituzionale, che il registro censisce quale reperto sulla plasticità del sistema: l'intesa riservata nota quale Safari Club, sottoscritta nel 1976 tra i servizi di Francia, Egitto, Arabia Saudita, Iran imperiale e Marocco, costituì un consorzio informale per operazioni anticomuniste condotte principalmente sui teatri africani, finanziate dai membri e deliberatamente collocate fuori dal perimetro dei controlli parlamentari che il Congresso americano aveva appena istituito, con l'esistenza dell'intesa rimasta segreta sino alla sua rivelazione pubblica, decenni dopo, da parte di uno dei suoi stessi protagonisti, Livello A quanto all'esistenza, ai membri ed alla funzione dell'intesa, quali risultano dalle rivelazioni e dalle acquisizioni storiografiche convergenti. Il registro fissa la lezione strutturale che il caso consegna al capitolo: la via del contraccolpo interno censita, la stagione in cui l'America sottopose i propri apparati al controllo democratico, produsse per reazione immediata la delocalizzazione delle operazioni presso sovranità prive di quei controlli, sicché il sistema non fu ridotto ma trasferito, e la parabola del consorzio, nato l'anno dopo le commissioni e operante dove esse non arrivavano, è la dimostrazione sperimentale della legge idraulica che l'intera fase documenta: nel campo delle operazioni coperte, il controllo democratico esercitato in un solo punto del sistema non riduce la pressione, la sposta, e la mappa dei luoghi dove la pressione riemerge, i santuari, i consorzi, le periferie, coincide con la mappa che quest'opera ha censito.</w:t>
      </w:r>
    </w:p>
    <w:p>
      <w:pPr>
        <w:spacing w:after="120" w:line="276"/>
        <w:jc w:val="both"/>
      </w:pPr>
      <w:r>
        <w:rPr>
          <w:rFonts w:ascii="Barlow Semi Condensed" w:cs="Barlow Semi Condensed" w:eastAsia="Barlow Semi Condensed" w:hAnsi="Barlow Semi Condensed"/>
          <w:sz w:val="24"/>
          <w:szCs w:val="24"/>
        </w:rPr>
        <w:t xml:space="preserve">La geografia del vincolo si completa con il suo deposito maggiore, che il registro censisce per la funzione logistica: la base di Camp Darby, insediata dal 1951 nella pineta tra Pisa e Livorno, costituì per l'intero arco del corpus uno dei principali arsenali americani del teatro mediterraneo, lo scalo logistico dove munizionamento e materiali per le forze del fianco Sud giacevano a ridosso del porto e della ferrovia, in forza degli accordi bilaterali della prima stagione atlantica, Livello A quanto all'installazione, alla funzione ed alla continuità. Il registro colloca il deposito nella tipologia del capitolo quale terzo tipo puro: dopo la base decisa in riservatezza e la base votata in Parlamento, Darby rappresenta la base ereditata, quella insediata nell'Italia ancora sotto il vincolo pieno del dopoguerra e semplicemente mai più discussa, transitata di decennio in decennio quale dato di natura del paesaggio, e questa terza modalità del consenso, né negato né prestato ma prescritto dal tempo, è la più silenziosa e la più solida delle 3, con l'annotazione che il registro consegna al bilancio della fase: la parte maggiore del vincolo di campo italiano non fu mai decisa da nessuno dei governi del corpus, fu ereditata da tutti, e l'inerzia, nella contabilità della sovranità, pesa più dei trattati.</w:t>
      </w:r>
    </w:p>
    <w:p>
      <w:pPr>
        <w:spacing w:after="120" w:line="276"/>
        <w:jc w:val="both"/>
      </w:pPr>
      <w:r>
        <w:rPr>
          <w:rFonts w:ascii="Barlow Semi Condensed" w:cs="Barlow Semi Condensed" w:eastAsia="Barlow Semi Condensed" w:hAnsi="Barlow Semi Condensed"/>
          <w:sz w:val="24"/>
          <w:szCs w:val="24"/>
        </w:rPr>
        <w:t xml:space="preserve">Il catalogo maggiore della stagione delle commissioni merita il suo censimento specifico, perché il registro vi trova il ponte documentale con il teatro australe: il rapporto interinale sui complotti omicidiari contro leader stranieri, pubblicato dalla commissione senatoriale nel novembre 1975, documentò ufficialmente il coinvolgimento dell'agenzia in trame contro Lumumba nel Congo, nei reiterati tentativi contro Castro, e nelle vicende terminate con le morti di Trujillo, di Diem e, per il capitolo che qui rileva, del generale cileno René Schneider, il capo di stato maggiore costituzionalista ucciso nell'ottobre 1970 nel tentativo di sequestro organizzato da gruppi finanziati per impedire l'insediamento di Allende, Livello A quanto ai contenuti del rapporto pubblicato. Il registro salda il documento all'architettura della fase: il caso Schneider certificò dalla fonte più ufficiale del campo occidentale che la via cilena censita nel pilastro australe non cominciò con il golpe del 1973 ma 3 anni prima, con l'eliminazione mirata dell'ufficiale che garantiva la neutralità dell'esercito, e la circostanza che questa certificazione provenga dal Senato del Paese committente, e non dalle vittime o dagli avversari, la colloca al vertice della scala probatoria dell'intera fase, con la lezione di metodo che il registro ne trae per il bilancio finale: nel corpus internazionale, i documenti più schiaccianti sui campi non li hanno prodotti i nemici dei campi, li hanno prodotti, nelle loro rare stagioni di autocoscienza istituzionale, i campi medesimi, e l'opera che qui si conclude ha potuto essere scritta soprattutto grazie a quelle stagioni.</w:t>
      </w:r>
    </w:p>
    <w:p>
      <w:pPr>
        <w:spacing w:after="120" w:line="276"/>
        <w:jc w:val="both"/>
      </w:pPr>
      <w:r>
        <w:rPr>
          <w:rFonts w:ascii="Barlow Semi Condensed" w:cs="Barlow Semi Condensed" w:eastAsia="Barlow Semi Condensed" w:hAnsi="Barlow Semi Condensed"/>
          <w:sz w:val="24"/>
          <w:szCs w:val="24"/>
        </w:rPr>
        <w:t xml:space="preserve">Il capitolo delle presenze militari esige infine la messa a punto probatoria sul suo attore maggiore, che il registro formula quale statuto: l'Alleanza atlantica attraversa l'intero corpus quale attore assente-presente, documentata al Livello A in ogni sua struttura, i comandi, le basi censite, le pianificazioni stay-behind riconosciute dai governi, ed assente al livello dei giudicati in ogni singolo evento criminale dell'opera, poiché nessuna sentenza italiana ha mai accertato una responsabilità dell'organizzazione in quanto tale in alcuna delle vicende censite, sicché il suo statuto probatorio complessivo è la compresenza permanente di un Livello A strutturale e di uno Stato Zero eventale. Il registro consegna lo statuto alla sua funzione disciplinare: tra la vulgata che legge l'Alleanza quale regista di ogni pagina nera e la vulgata opposta che la dichiara estranea per definizione, il corpus documenta un terzo oggetto, una cornice egemonica reale dentro la quale attori nazionali e transnazionali, alcuni dei quali giudizialmente accertati, operarono secondo convergenze che la cornice rendeva possibili senza che gli atti ne certifichino la committenza, e questa distinzione tra la cornice e la mano, tra il campo che orienta ed il mandato che ordina, è forse la più importante che l'intera opera consegna al lettore, perché confonderle produce, nelle 2 direzioni opposte, le 2 forme di cecità che il metodo è nato per evitare.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occidentale è certificato nei suoi 3 canali documentati, il finanziamento fondativo al Livello A, la parabola di Sindona quale massima intermediazione individuale con l'intera sequenza giudiziaria riportata, e il ponte piduista con i fatti atlantici della crisi capitale, in configurazione strutturalmente simmetrica al versante orientale: interferenza ordinaria documentata, traduzione straordinaria non documentata.</w:t>
      </w:r>
    </w:p>
    <w:p>
      <w:pPr>
        <w:pStyle w:val="Heading3"/>
        <w:spacing w:after="80" w:before="160"/>
      </w:pPr>
      <w:r>
        <w:rPr>
          <w:rFonts w:ascii="Barlow Semi Condensed" w:cs="Barlow Semi Condensed" w:eastAsia="Barlow Semi Condensed" w:hAnsi="Barlow Semi Condensed"/>
          <w:sz w:val="24"/>
          <w:szCs w:val="24"/>
        </w:rPr>
        <w:t xml:space="preserve">Capitolo 8 — Il sistema stay-behind: Gladio, le reti sorelle e l'autunno delle rivelazioni</w:t>
      </w:r>
    </w:p>
    <w:p>
      <w:pPr>
        <w:spacing w:after="120" w:line="276"/>
        <w:jc w:val="both"/>
      </w:pPr>
      <w:r>
        <w:rPr>
          <w:rFonts w:ascii="Barlow Semi Condensed" w:cs="Barlow Semi Condensed" w:eastAsia="Barlow Semi Condensed" w:hAnsi="Barlow Semi Condensed"/>
          <w:sz w:val="24"/>
          <w:szCs w:val="24"/>
        </w:rPr>
        <w:t xml:space="preserve">L'ottavo nodo è il sistema continentale delle reti clandestine di permanenza, l'architettura che la Fase 3 ha incontrato sul versante italiano e che la fase censisce quale sistema europeo. Il registro certifica al Livello A l'esistenza del sistema, quale dato consacrato dalla stagione delle rivelazioni del 1990, e ne distende la struttura nei pilastri.</w:t>
      </w:r>
    </w:p>
    <w:p>
      <w:pPr>
        <w:spacing w:after="120" w:line="276"/>
        <w:jc w:val="both"/>
      </w:pPr>
      <w:r>
        <w:rPr>
          <w:rFonts w:ascii="Barlow Semi Condensed" w:cs="Barlow Semi Condensed" w:eastAsia="Barlow Semi Condensed" w:hAnsi="Barlow Semi Condensed"/>
          <w:sz w:val="24"/>
          <w:szCs w:val="24"/>
        </w:rPr>
        <w:t xml:space="preserve">Il primo pilastro censisce la rivelazione italiana. Il 3 agosto 1990 il presidente del Consiglio Giulio Andreotti annunciò alla Commissione parlamentare sulle stragi l'esistenza della struttura, e il 24 ottobre 1990 ne trasmise la relazione ufficiale, rivelando l'organizzazione Gladio quale rete clandestina di permanenza costituita nel dopoguerra entro la cornice atlantica, con i depositi, la base di addestramento di Capo Marrargiu e le liste degli arruolati che la stagione successiva avrebbe discusso; il registro certifica al Livello A le date, gli atti e i contenuti della rivelazione, quali dati parlamentari, e certifica al Livello A la circostanza strutturale che essa illumina retrospettivamente: la rete operò per oltre 4 decenni in regime di segreto integrale verso il Parlamento, e la sua esistenza divenne materia pubblica non per apertura volontaria ma per la convergenza di pressioni giudiziarie e politiche della stagione, il caso italiano della regolarità che il capitolo nono formalizza.</w:t>
      </w:r>
    </w:p>
    <w:p>
      <w:pPr>
        <w:spacing w:after="120" w:line="276"/>
        <w:jc w:val="both"/>
      </w:pPr>
      <w:r>
        <w:rPr>
          <w:rFonts w:ascii="Barlow Semi Condensed" w:cs="Barlow Semi Condensed" w:eastAsia="Barlow Semi Condensed" w:hAnsi="Barlow Semi Condensed"/>
          <w:sz w:val="24"/>
          <w:szCs w:val="24"/>
        </w:rPr>
        <w:t xml:space="preserve">Il secondo pilastro censisce la dimensione continentale. La rivelazione italiana innescò l'autunno europeo delle ammissioni: i governi di più Paesi dell'Alleanza e di Paesi neutrali riconobbero l'esistenza di strutture analoghe, il Parlamento europeo adottò il 22 novembre 1990 la risoluzione che chiedeva lo scioglimento delle reti e le inchieste nazionali, e le sedi parlamentari nazionali produssero gli accertamenti maggiori, la commissione d'inchiesta belga sui fatti del proprio teatro e il rapporto svizzero sulla struttura P26, entrambi della stagione 1990-1991; il registro certifica al Livello A la sequenza continentale, quali dati parlamentari europei, e ne trae la formalizzazione comparativa: il sistema era continentale per costruzione e la sua emersione fu continentale per contagio, ma la profondità degli accertamenti fu radicalmente nazionale, massima nei Paesi a inchiesta parlamentare formale e minima altrove, sicché la conoscenza del sistema replica, al proprio interno, l'asimmetria archivistica che governa l'intera fase.</w:t>
      </w:r>
    </w:p>
    <w:p>
      <w:pPr>
        <w:spacing w:after="120" w:line="276"/>
        <w:jc w:val="both"/>
      </w:pPr>
      <w:r>
        <w:rPr>
          <w:rFonts w:ascii="Barlow Semi Condensed" w:cs="Barlow Semi Condensed" w:eastAsia="Barlow Semi Condensed" w:hAnsi="Barlow Semi Condensed"/>
          <w:sz w:val="24"/>
          <w:szCs w:val="24"/>
        </w:rPr>
        <w:t xml:space="preserve">Il terzo pilastro fissa la disciplina italiana degli impieghi. Sul nodo che la stagione rese incandescente, l'ipotesi dell'impiego interno della rete o dei suoi materiali nella stagione eversiva, il registro recepisce lo stato che la Fase 3 ha certificato: l'esistenza della rete e dei depositi al Livello A, i singoli episodi di intersezione documentati ai livelli propri, e ogni lettura dell'impiego sistematico interno al Livello C, nessun accertamento avendo consacrato la traduzione della struttura di permanenza in strumento della strategia interna; il registro ribadisce la disciplina sul terreno continentale, annotando che gli accertamenti degli altri ordinamenti approdarono a configurazioni analoghe, esistenza certificata e impieghi controversi, e consegna alla verifica finale il sistema nella sua qualificazione esatta: la prova materiale dell'esistenza di un'architettura clandestina multinazionale coordinata entro il campo occidentale, certificata al Livello A, che costituisce il massimo fatto strutturale del versante atlantico dell'opera, e che non certifica, di per sé, alcuno degli impieghi che le letture eccedenti le attribuiscono.</w:t>
      </w:r>
    </w:p>
    <w:p>
      <w:pPr>
        <w:spacing w:after="120" w:line="276"/>
        <w:jc w:val="both"/>
      </w:pPr>
      <w:r>
        <w:rPr>
          <w:rFonts w:ascii="Barlow Semi Condensed" w:cs="Barlow Semi Condensed" w:eastAsia="Barlow Semi Condensed" w:hAnsi="Barlow Semi Condensed"/>
          <w:sz w:val="24"/>
          <w:szCs w:val="24"/>
        </w:rPr>
        <w:t xml:space="preserve">Il quarto pilastro censisce l'innesco giudiziario della rivelazione, il filo che congiunge il capitolo alla Fase 3. La sequenza che condusse all'annuncio del 3 agosto 1990 non nacque da un'iniziativa politica ma da un'istruttoria: il giudice istruttore veneziano Felice Casson, riaprendo il caso della strage di Peteano del 1972, quella per cui Vincenzo Vinciguerra avrebbe riportato l'ergastolo con le dichiarazioni autoaccusatorie che la Fase 3 ha censito, giunse a richiedere l'accesso agli archivi del servizio militare sui depositi clandestini di armi, e fu quella richiesta, autorizzata dal vertice politico, a rendere ineludibile l'ammissione dell'esistenza della struttura; il registro certifica al Livello A la sequenza istruttoria, la richiesta di accesso e il suo nesso causale con l'annuncio, quali dati documentali della stagione, e ne trae la formalizzazione: la massima rivelazione strutturale del versante atlantico fu prodotta dalla convergenza tra la quarta via della tassonomia, l'inchiesta, e un singolo caso di strage della fase nazionale, e il filo Peteano-Gladio, dal delitto del 1972 alla rivelazione del 1990 passando per la confessione di un ergastolano, è l'arco causale più lungo e meglio documentato che il corpus registri tra un evento della strategia interna e un'apertura archivistica di sistema.</w:t>
      </w:r>
    </w:p>
    <w:p>
      <w:pPr>
        <w:spacing w:after="120" w:line="276"/>
        <w:jc w:val="both"/>
      </w:pPr>
      <w:r>
        <w:rPr>
          <w:rFonts w:ascii="Barlow Semi Condensed" w:cs="Barlow Semi Condensed" w:eastAsia="Barlow Semi Condensed" w:hAnsi="Barlow Semi Condensed"/>
          <w:sz w:val="24"/>
          <w:szCs w:val="24"/>
        </w:rPr>
        <w:t xml:space="preserve">Il quinto pilastro censisce l'epilogo della struttura. All'esito della stagione delle rivelazioni, il governo dispose entro la fine del 1990 la cessazione della struttura, e lo scioglimento formale chiuse l'esistenza operativa della rete italiana mentre si aprivano le stagioni parallele degli accertamenti parlamentari e giudiziari sui suoi 4 decenni; il registro certifica al Livello A lo scioglimento e la sua collocazione temporale, quale dato ufficiale, e ne trae l'annotazione comparativa che chiude il nodo: la rete fu sciolta per effetto della propria emersione e non di una decisione strategica autonoma, l'ordine causale che replica, sul piano delle strutture, la legge che il capitolo nono certifica sul piano degli archivi, nulla di clandestino essendosi mai chiuso, nel corpus dell'opera, prima di essere stato scoperto; la simmetria tra la legge delle aperture e la legge delle chiusure, entrambe governate dalla pressione esterna e mai dalla spontaneità, è consegnata alla riflessione conclusiva quale ultima regolarità empirica del sistema studiato.</w:t>
      </w:r>
    </w:p>
    <w:p>
      <w:pPr>
        <w:spacing w:after="120" w:line="276"/>
        <w:jc w:val="both"/>
      </w:pPr>
      <w:r>
        <w:rPr>
          <w:rFonts w:ascii="Barlow Semi Condensed" w:cs="Barlow Semi Condensed" w:eastAsia="Barlow Semi Condensed" w:hAnsi="Barlow Semi Condensed"/>
          <w:sz w:val="24"/>
          <w:szCs w:val="24"/>
        </w:rPr>
        <w:t xml:space="preserve">Il sesto pilastro censisce le liste degli arruolati e la questione della completezza. La rivelazione consegnò alle Camere l'elenco dei 622 nominativi degli appartenenti civili alla rete, la lista che divenne l'oggetto del dibattito della stagione, tra chi vi lesse la prova della natura circoscritta della struttura e chi ne contestò la completezza, rilevando che un'organizzazione clandestina quarantennale documentata da un solo elenco consegnato dal medesimo apparato che l'aveva gestita poneva, per costruzione, un problema di verificabilità; il registro certifica al Livello A l'esistenza e la consegna dell'elenco dei 622, quale dato parlamentare, certifica al Livello A l'esistenza della controversia sulla completezza, quale dato del dibattito istituzionale, e mantiene la questione di merito al livello che la struttura delle fonti impone: la completezza di un elenco è indimostrabile per via interna, giacché nessun elenco può certificare di non avere omissioni, e il registro applica al caso la propria disciplina delle assenze, trattando l'elenco quale documento certificato per ciò che contiene e non per ciò che esclude; l'annotazione metodologica che il pilastro consegna vale per l'intero corpus: ogni documentazione proveniente in via esclusiva dall'apparato documentato porta con sé il limite strutturale dell'autocertificazione, e il registro lo dichiara quale condizione permanente della conoscenza del versante, la stessa che governa le liste della loggia, i compendi orientali e ogni archivio che il proprio produttore ha selezionato prima di consegnare.</w:t>
      </w:r>
    </w:p>
    <w:p>
      <w:pPr>
        <w:spacing w:after="120" w:line="276"/>
        <w:jc w:val="both"/>
      </w:pPr>
      <w:r>
        <w:rPr>
          <w:rFonts w:ascii="Barlow Semi Condensed" w:cs="Barlow Semi Condensed" w:eastAsia="Barlow Semi Condensed" w:hAnsi="Barlow Semi Condensed"/>
          <w:sz w:val="24"/>
          <w:szCs w:val="24"/>
        </w:rPr>
        <w:t xml:space="preserve">Il settimo pilastro censisce il conflitto istituzionale della stagione, la coda italiana della rivelazione. Nei mesi successivi all'annuncio, la questione della legittimità della struttura aprì il confronto istituzionale più aspro del biennio, con il Capo dello Stato, che della vicenda era stato protagonista ministeriale nella stagione fondativa, schierato nella difesa pubblica della legittimità atlantica della rete, e settori del Parlamento e della magistratura orientati alla qualificazione opposta, sino alle iniziative e alle polemiche costituzionali che segnarono la fase terminale del settennato; il registro certifica al Livello A l'esistenza, i termini e l'intensità del conflitto, quali dati del dibattito istituzionale documentato, si astiene per statuto da ogni adesione alle qualificazioni contrapposte, e ne trae il dato di sistema che il nodo consegna: la rivelazione di una struttura segreta quarantennale produsse, nell'ordinamento che l'aveva ospitata, non una ricomposizione ma una frattura al vertice dello Stato, e la frattura documentata è essa stessa la misura della posta, la circostanza che i massimi organi della Repubblica si divisero pubblicamente sulla qualificazione della rete certificando, meglio di ogni analisi, che la questione investiva il fondamento stesso del patto istituzionale del dopoguerra; il registro trascrive il conflitto quale ultimo reperto del nodo e lo consegna alla verifica finale quale documento della profondità del vincolo di campo nell'ordinamento interno.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annuncio del 3 agosto-relazione del 24 ottobre-Capo Marrargiu, certifica la rivelazione italiana nelle sue date e nei suoi contenuti. La seconda, risoluzione europea-inchiesta belga-rapporto svizzero, certifica la dimensione continentale e l'asimmetria degli accertamenti. La terza, esistenza-depositi-impieghi controversi, fissa la disciplina dei livelli che la verifica erediterà.</w:t>
      </w:r>
    </w:p>
    <w:p>
      <w:pPr>
        <w:spacing w:after="120" w:line="276"/>
        <w:jc w:val="both"/>
      </w:pPr>
      <w:r>
        <w:rPr>
          <w:rFonts w:ascii="Barlow Semi Condensed" w:cs="Barlow Semi Condensed" w:eastAsia="Barlow Semi Condensed" w:hAnsi="Barlow Semi Condensed"/>
          <w:sz w:val="24"/>
          <w:szCs w:val="24"/>
        </w:rPr>
        <w:t xml:space="preserve">Alla dimensione continentale il registro deve il censimento nominativo che le ammissioni della stagione resero possibile: accanto alla rete italiana, i riconoscimenti governativi e le inchieste nazionali dell'autunno 1990 e dei mesi successivi documentarono la rete svizzera P-26, accertata da un'inchiesta amministrativa federale e disciolta, la struttura belga collegata ai servizi militari, investita da un'inchiesta parlamentare che ne vagliò anche le eventuali contiguità con la stagione insoluta delle stragi del Brabante senza approdare ad accertamenti di responsabilità, le organizzazioni tedesco-federali gestite nell'orbita dei servizi, la rete greca innestata sull'apparato che aveva accompagnato la stagione dei colonnelli, e le strutture turche della contro-guerriglia, riconosciute da dichiarazioni ufficiali coeve, oltre alle ammissioni di governi minori e neutrali che completarono la mappa, Livello A quanto alle esistenze ammesse e agli atti istituzionali nazionali, Livello C quanto ad ogni ipotesi di impiego interno nelle singole giurisdizioni, che il registro sigilla con la medesima disciplina applicata al caso italiano. Il censimento fonda la conclusione comparativa del nodo: l'Italia non fu l'eccezione ma il caso di massima trasparenza di una regola continentale, l'unico ordinamento in cui la rete fu esposta da un'istruttoria giudiziaria interna anziché da una decisione politica, e la profondità dell'accertamento italiano, che la sintesi certifica quale rara, misura non una singolarità della struttura ma una singolarità del controllo, il punto del continente in cui la magistratura ordinaria arrivò dove altrove giunsero, più tardi e meno a fondo, commissioni e governi.</w:t>
      </w:r>
    </w:p>
    <w:p>
      <w:pPr>
        <w:spacing w:after="120" w:line="276"/>
        <w:jc w:val="both"/>
      </w:pPr>
      <w:r>
        <w:rPr>
          <w:rFonts w:ascii="Barlow Semi Condensed" w:cs="Barlow Semi Condensed" w:eastAsia="Barlow Semi Condensed" w:hAnsi="Barlow Semi Condensed"/>
          <w:sz w:val="24"/>
          <w:szCs w:val="24"/>
        </w:rPr>
        <w:t xml:space="preserve">Al dossier documentale del sistema appartiene infine il reperto conteso per eccellenza, che il registro censisce quale caso di scuola della fonte avvelenata: il documento circolato quale supplemento riservato di un manuale da campo americano sulla stabilità interna, noto nella pubblicistica con la sigla FM 30-31B, apparso sulla stampa turca nel 1973 e quindi rimbalzato nei circuiti europei, che teorizzava l'infiltrazione dei movimenti di sinistra e le operazioni speciali negli Stati alleati, e che attraversò le istruttorie e le inchieste italiane della stagione quale possibile chiave dottrinale del sistema. Le autorità americane ne dichiararono costantemente la falsità, e le acquisizioni successive al 1989, incluse quelle del compendio orientale censito nel capitolo sesto, lo hanno classificato tra i prodotti delle misure attive di disinformazione del campo opposto, senza che alcuna sede abbia mai certificato in via definitiva né l'autenticità né la fabbricazione, Livello A quanto all'esistenza, alla circolazione ed all'impiego del documento nel dibattito e nelle istruttorie, Livello C quanto alla sua paternità, in entrambe le direzioni. Il registro eleva il caso a paradigma della guerra documentale che attraversa l'intero campo della fase: il FM 30-31B è un testo il cui valore probatorio dipende integralmente da chi lo ha scritto, e poiché la paternità è l'unica cosa che di esso non si è mai potuta stabilire, il documento resta sospeso nella condizione più istruttiva dell'intero corpus, quella del reperto che prova con certezza una sola cosa, che nella guerra fredda anche le carte combattevano, e che l'analista il quale fondasse una ricostruzione su un documento conteso costruirebbe sull'arma dell'avversario, quale che sia l'avversario.</w:t>
      </w:r>
    </w:p>
    <w:p>
      <w:pPr>
        <w:spacing w:after="120" w:line="276"/>
        <w:jc w:val="both"/>
      </w:pPr>
      <w:r>
        <w:rPr>
          <w:rFonts w:ascii="Barlow Semi Condensed" w:cs="Barlow Semi Condensed" w:eastAsia="Barlow Semi Condensed" w:hAnsi="Barlow Semi Condensed"/>
          <w:sz w:val="24"/>
          <w:szCs w:val="24"/>
        </w:rPr>
        <w:t xml:space="preserve">La rete continentale possiede infine il suo caso di attivazione compiuta, che il registro censisce quale esperimento naturale dell'intera ipotesi: il colpo di Stato dei colonnelli greci del 21 aprile 1967 fu eseguito mettendo in moto il piano di emergenza di derivazione atlantica denominato Prometheus, lo schema di mobilitazione contro la sovversione interna predisposto nel quadro dell'alleanza, che i golpisti applicarono nella notte secondo le sue sequenze, occupando i gangli previsti ed arrestando le liste predisposte, con l'esito che la Grecia entrò in 7 anni di dittatura militare attraverso l'esecuzione letterale di un dispositivo concepito per difenderne l'ordinamento, Livello A quanto al golpe, alla sua meccanica ed all'impiego dello schema, secondo le ricostruzioni storiche e gli accertamenti della transizione democratica greca. Il registro consegna il caso alla sua funzione probatoria nell'architettura del capitolo: Atene dimostra che il rischio teorico attorno al quale ruota l'intero dibattito italiano censito, la convertibilità dei dispositivi di protezione in strumenti di rovesciamento, non è una congettura ma un precedente storico consumato entro la medesima alleanza e nel medesimo decennio delle trame italiane, sicché la domanda corretta che la comparazione impone non è se una simile conversione fosse possibile, questione chiusa dalla notte greca, ma perché in Grecia avvenne ed in Italia no, ed a questa domanda il corpus italiano offre la risposta che le fasi hanno documentato: non per mancanza di piani, che il registro ha censito, ma per il fallimento ricorrente della loro esecuzione, per le divisioni interne dei campi e per la tenuta, ogni volta, di segmenti decisivi dello Stato legale, con la conseguenza che la differenza tra Atene e Roma non fu di progetto ma di esito, e la storia della Repubblica censita dall'opera è, in questa luce comparata, la storia di una Grecia continuamente tentata e mai riuscita.</w:t>
      </w:r>
    </w:p>
    <w:p>
      <w:pPr>
        <w:spacing w:after="120" w:line="276"/>
        <w:jc w:val="both"/>
      </w:pPr>
      <w:r>
        <w:rPr>
          <w:rFonts w:ascii="Barlow Semi Condensed" w:cs="Barlow Semi Condensed" w:eastAsia="Barlow Semi Condensed" w:hAnsi="Barlow Semi Condensed"/>
          <w:sz w:val="24"/>
          <w:szCs w:val="24"/>
        </w:rPr>
        <w:t xml:space="preserve">Il caso greco possiede infine il suo versante italiano diretto, che il registro censisce dagli atti delle istruttorie: nei mesi attorno al colpo di Stato ed a quelli successivi, esponenti dell'eversione nera italiana censita nella fase terza compirono viaggi e soggiorni documentati ad Atene, dove la giunta offriva ospitalità, contatti e l'esempio operativo di un rovesciamento riuscito, con la Grecia dei colonnelli assunta ad esplicito modello ed a retrovia politica dagli ambienti che di lì a poco avrebbero animato la stagione italiana della tensione, secondo quanto le istruttorie milanesi e le acquisizioni parlamentari hanno documentato, Livello A quanto ai viaggi ed ai contatti risultanti dagli atti, Livello B quanto alla consistenza dei sostegni materiali riferiti dalle fonti interne. Il registro salda il ponte alla comparazione già svolta: la Grecia non fu soltanto, per l'Italia del corpus, il precedente dimostrativo della convertibilità dei dispositivi, fu una destinazione fisica frequentata dai protagonisti italiani della stagione che quella convertibilità tentò di replicare, e la circostanza che il pellegrinaggio ateniese preceda di pochi mesi l'inizio della campagna stragista italiana appartiene alla cronologia oggettiva che il Pattern 3 registra, con la disciplina consueta sull'inferenza: il modello è documentato, l'ispirazione è documentata, il mandato greco non lo è, e la differenza tra i 3 gradini, che la pubblicistica dell'epoca confuse sistematicamente, è esattamente ciò che 50 anni di processi hanno faticosamente insegnato a distinguere.</w:t>
      </w:r>
    </w:p>
    <w:p>
      <w:pPr>
        <w:spacing w:after="120" w:line="276"/>
        <w:jc w:val="both"/>
      </w:pPr>
      <w:r>
        <w:rPr>
          <w:rFonts w:ascii="Barlow Semi Condensed" w:cs="Barlow Semi Condensed" w:eastAsia="Barlow Semi Condensed" w:hAnsi="Barlow Semi Condensed"/>
          <w:sz w:val="24"/>
          <w:szCs w:val="24"/>
        </w:rPr>
        <w:t xml:space="preserve">Il caso greco si chiude con il contro-modello giudiziario che il registro censisce quale termine di comparazione capitale: la Grecia restaurata processò i propri golpisti immediatamente, celebrando nell'estate del 1975, a 12 mesi dalla caduta del regime, il processo ai protagonisti del colpo di Stato del 1967, concluso con condanne capitali per i capi, commutate in ergastoli effettivamente scontati sino alla morte in detenzione dei principali condannati, Livello A quanto al processo ed agli esiti. Il registro formula la comparazione che il corpus impone e che nessuna cautela può attenuare: il Paese del golpe riuscito giudicò e condannò i suoi autori in 16 mesi, mentre il Paese dei golpe falliti censiti nella fase seconda impiegò decenni per approdare ad amnistie, proscioglimenti e condanne miti, sicché la Repubblica che non fu mai rovesciata punì l'eversione infinitamente meno della democrazia che lo era stata davvero, ed il paradosso, che una lettura frettolosa ascriverebbe a clemenza, appartiene per il metodo dell'opera alla struttura: la Grecia poté processare il proprio golpe perché il golpe aveva vinto e perso da solo, visibile ed intero, mentre l'Italia non poté processare i propri perché non furono mai interi né visibili, dissolti prima del compimento dentro la zona grigia tra apparati che questa opera ha censito, e la mitezza italiana non fu perdono, fu l'impossibilità di punire ciò che si era lasciato evaporare.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sistema stay-behind è certificato al Livello A quale architettura clandestina continentale del campo occidentale, rivelata nell'autunno 1990 per pressione e non per apertura volontaria, accertata con profondità radicalmente nazionale, con gli impieghi interni mantenuti al Livello C secondo la disciplina della Fase 3, e consegnato alla verifica quale massimo fatto strutturale certificato del versante atlantico.</w:t>
      </w:r>
    </w:p>
    <w:p>
      <w:pPr>
        <w:pStyle w:val="Heading3"/>
        <w:spacing w:after="80" w:before="160"/>
      </w:pPr>
      <w:r>
        <w:rPr>
          <w:rFonts w:ascii="Barlow Semi Condensed" w:cs="Barlow Semi Condensed" w:eastAsia="Barlow Semi Condensed" w:hAnsi="Barlow Semi Condensed"/>
          <w:sz w:val="24"/>
          <w:szCs w:val="24"/>
        </w:rPr>
        <w:t xml:space="preserve">Capitolo 9 — L'empirica degli archivi: la regolarità delle aperture e il lampione quale reperto</w:t>
      </w:r>
    </w:p>
    <w:p>
      <w:pPr>
        <w:spacing w:after="120" w:line="276"/>
        <w:jc w:val="both"/>
      </w:pPr>
      <w:r>
        <w:rPr>
          <w:rFonts w:ascii="Barlow Semi Condensed" w:cs="Barlow Semi Condensed" w:eastAsia="Barlow Semi Condensed" w:hAnsi="Barlow Semi Condensed"/>
          <w:sz w:val="24"/>
          <w:szCs w:val="24"/>
        </w:rPr>
        <w:t xml:space="preserve">Il nono nodo non è un teatro ma una legge empirica, che la fase eleva a oggetto di studio autonomo: la regolarità delle aperture archivistiche degli apparati di sicurezza, censita dall'opera attraverso i 15 ordinamenti che il proprio corpus attraversa. Il registro formula la regolarità nella sua forma nuda: in nessuno dei casi censiti un apparato di sicurezza ha aperto volontariamente i propri archivi; ogni apertura documentata è avvenuta per una delle 5 vie che il primo pilastro tassonomizza, e la regolarità, verificata senza eccezioni sul perimetro censito, è certificata al Livello A quale reperto empirico dell'opera.</w:t>
      </w:r>
    </w:p>
    <w:p>
      <w:pPr>
        <w:spacing w:after="120" w:line="276"/>
        <w:jc w:val="both"/>
      </w:pPr>
      <w:r>
        <w:rPr>
          <w:rFonts w:ascii="Barlow Semi Condensed" w:cs="Barlow Semi Condensed" w:eastAsia="Barlow Semi Condensed" w:hAnsi="Barlow Semi Condensed"/>
          <w:sz w:val="24"/>
          <w:szCs w:val="24"/>
        </w:rPr>
        <w:t xml:space="preserve">Il primo pilastro distende la tassonomia delle 5 vie, ciascuna con i casi del corpus. La prima via è il collasso del regime protettore: la rivoluzione portoghese del 1974 che consegnò l'archivio di Aginter, e la caduta del blocco orientale del 1989-1991 che aprì gli archivi della sicurezza tedesco-orientale, regolati dalla legge del 1991 sull'accesso alle carte, e rese possibili i trasferimenti sovietici. La seconda via è la defezione individuale: l'esfiltrazione del 1992 da cui deriva il compendio Mitrokhin, il caso in cui l'archivio si apre perché un uomo lo porta via. La terza via è la legislazione speciale, imposta dalla politica della memoria o dalle vittime: la legge americana del 1992 sul rilascio delle carte dell'assassinio del presidente Kennedy, e il processo sudafricano di verità e riconciliazione istituito nel 1995, che scambiò verità contro amnistia. La quarta via è lo scandalo e l'inchiesta: la scoperta degli elenchi della loggia nel 1981, che aprì per sequestro giudiziario un archivio privato di potere, e la stagione delle rivelazioni stay-behind del 1990, aperta per pressione giudiziaria e politica convergente. La quinta via è il contenzioso e la desecretazione amministrata: le direttive italiane di versamento, dalla direttiva del 22 aprile 2014 in avanti, che hanno trasferito la documentazione per atto politico sotto pressione pubblica. Il registro certifica al Livello A la tassonomia e i casi, quali fatti archivistici datati, e certifica l'assenza della sesta via, l'apertura spontanea, quale Stato Zero della categoria: cercata in 15 ordinamenti, non trovata in alcuno.</w:t>
      </w:r>
    </w:p>
    <w:p>
      <w:pPr>
        <w:spacing w:after="120" w:line="276"/>
        <w:jc w:val="both"/>
      </w:pPr>
      <w:r>
        <w:rPr>
          <w:rFonts w:ascii="Barlow Semi Condensed" w:cs="Barlow Semi Condensed" w:eastAsia="Barlow Semi Condensed" w:hAnsi="Barlow Semi Condensed"/>
          <w:sz w:val="24"/>
          <w:szCs w:val="24"/>
        </w:rPr>
        <w:t xml:space="preserve">Il secondo pilastro formalizza il corollario metodologico, l'effetto lampione elevato da cautela a reperto. Poiché la documentazione disponibile è funzione delle aperture e le aperture sono funzione di eventi politici discreti, la densità documentale di ogni teatro misura la storia dei suoi accessi e non l'intensità della sua storia: l'opera ha verificato il corollario sul proprio corpus, documentando che i picchi temporali della densità si spostano con la finestra di costruzione della base documentale, e la fase lo ha dimostrato con la coppia terminale Lisbona-Parigi, i 2 gemelli topologici resi opposti dal solo regime di accesso; il registro certifica al Livello A il corollario quale proprietà misurata del proprio corpus e ne dichiara la conseguenza normativa, che ha governato ogni comparazione dell'opera: nessuna inferenza di intensità dalla densità, nessuna inferenza di assenza dal silenzio, e l'obbligo permanente di dichiarare, per ogni certificazione, il regime archivistico che l'ha resa possibile.</w:t>
      </w:r>
    </w:p>
    <w:p>
      <w:pPr>
        <w:spacing w:after="120" w:line="276"/>
        <w:jc w:val="both"/>
      </w:pPr>
      <w:r>
        <w:rPr>
          <w:rFonts w:ascii="Barlow Semi Condensed" w:cs="Barlow Semi Condensed" w:eastAsia="Barlow Semi Condensed" w:hAnsi="Barlow Semi Condensed"/>
          <w:sz w:val="24"/>
          <w:szCs w:val="24"/>
        </w:rPr>
        <w:t xml:space="preserve">Il terzo pilastro applica la legge al caso italiano e ne trae la proiezione. La conoscenza italiana del proprio novecento riservato è cresciuta per le soglie datate che l'opera ha censito, il 1981 degli elenchi, il 1990 delle rivelazioni e dei ritrovamenti, il 2014 dei versamenti, ciascuna prodotta da una delle vie della tassonomia e nessuna da apertura spontanea; il registro certifica al Livello A la serie e la sua conformità integrale alla regolarità, e chiude il nodo con la proiezione che la legge autorizza: poiché il perimetro del versato non coincide con il perimetro dell'esistente, e poiché la storia insegna che le soglie future dipenderanno da eventi politici e non dalla ricerca, l'opera dichiara il proprio stato di conoscenza strutturalmente provvisorio, datato alla configurazione archivistica del proprio tempo, e consegna alla ricerca futura non previsioni ma obiettivi, gli archivi francesi, il non versato italiano e ogni archivio che una delle 5 vie dovesse aprire, con la certezza empirica che nessuno si aprirà da sé.</w:t>
      </w:r>
    </w:p>
    <w:p>
      <w:pPr>
        <w:spacing w:after="120" w:line="276"/>
        <w:jc w:val="both"/>
      </w:pPr>
      <w:r>
        <w:rPr>
          <w:rFonts w:ascii="Barlow Semi Condensed" w:cs="Barlow Semi Condensed" w:eastAsia="Barlow Semi Condensed" w:hAnsi="Barlow Semi Condensed"/>
          <w:sz w:val="24"/>
          <w:szCs w:val="24"/>
        </w:rPr>
        <w:t xml:space="preserve">Il quarto pilastro distende il caso maggiore della terza via, il modello sudafricano dello scambio. Il processo di verità e riconciliazione istituito nel 1995 dal nuovo ordinamento democratico costruì l'apertura degli archivi umani del regime attraverso lo scambio regolato tra verità e amnistia: la confessione integrale e pubblica dei fatti, resa nelle udienze della Commissione dinanzi alle vittime e al Paese, quale corrispettivo dell'immunità individuale, con il diniego dell'amnistia per chi tacesse o mentisse; il registro certifica al Livello A l'architettura e il funzionamento del modello, quali dati documentali, e ne trae la lezione che la tassonomia consegna: il modello dimostrò che l'archivio umano di un apparato, la memoria dei suoi operatori, può essere aperto soltanto pagando un prezzo di giustizia, e che l'alternativa reale, nei sistemi in transizione, non è tra verità con giustizia e verità senza giustizia, ma tra verità pagata e segreto perpetuo; il registro trascrive la lezione senza addolcirla, quale forma più esplicita della legge del capitolo, l'apertura che anche nel caso più virtuoso del corpus avvenne per scambio e non per spontaneità.</w:t>
      </w:r>
    </w:p>
    <w:p>
      <w:pPr>
        <w:spacing w:after="120" w:line="276"/>
        <w:jc w:val="both"/>
      </w:pPr>
      <w:r>
        <w:rPr>
          <w:rFonts w:ascii="Barlow Semi Condensed" w:cs="Barlow Semi Condensed" w:eastAsia="Barlow Semi Condensed" w:hAnsi="Barlow Semi Condensed"/>
          <w:sz w:val="24"/>
          <w:szCs w:val="24"/>
        </w:rPr>
        <w:t xml:space="preserve">Il quinto pilastro distende il caso maggiore della legislazione speciale, il modello americano del rilascio programmato. La legge del 1992 sulle carte dell'assassinio del presidente Kennedy impose il versamento centralizzato della documentazione di tutte le agenzie e ne programmò il rilascio integrale a scadenza venticinquennale, con la facoltà presidenziale di proroga per singoli documenti motivata da danno identificabile; l'attuazione, con i rilasci scaglionati dal 2017 in avanti e le proroghe reiterate esercitate da presidenze successive su un residuo di carte, documenta insieme la forza e il limite del modello; il registro certifica al Livello A la legge, il meccanismo e l'attuazione con le proroghe, quali dati normativi e documentali, e ne trae la seconda lezione della tassonomia: anche la via legislativa, la più ordinata delle 5, non produce l'apertura integrale ma un'apertura amministrata nel tempo, con il residuo discrezionale che si rinnova, e la coppia dei modelli, lo scambio sudafricano e il rilascio americano, delimita empiricamente ciò che gli ordinamenti hanno saputo costruire di meglio, un'apertura sempre condizionata, mai totale e mai spontanea, la conferma per via positiva della legge che il capitolo certifica per via negativa.</w:t>
      </w:r>
    </w:p>
    <w:p>
      <w:pPr>
        <w:spacing w:after="120" w:line="276"/>
        <w:jc w:val="both"/>
      </w:pPr>
      <w:r>
        <w:rPr>
          <w:rFonts w:ascii="Barlow Semi Condensed" w:cs="Barlow Semi Condensed" w:eastAsia="Barlow Semi Condensed" w:hAnsi="Barlow Semi Condensed"/>
          <w:sz w:val="24"/>
          <w:szCs w:val="24"/>
        </w:rPr>
        <w:t xml:space="preserve">Il sesto pilastro completa la tassonomia con la specie del contenzioso, la quinta via nella sua forma giudiziale. Accanto alla desecretazione amministrata per atto politico, gli ordinamenti a legislazione sull'accesso conoscono l'apertura per causa, lo strumento con cui ricercatori, testate e famiglie delle vittime hanno ottenuto per via giudiziaria il rilascio di documenti negati, la prassi consolidata nell'ordinamento americano attorno alla legge sulla libertà di informazione e replicata, con rendimenti minori, negli ordinamenti europei dotati di strumenti analoghi; il registro certifica al Livello A l'esistenza e il funzionamento della via, quali dati ordinamentali, e ne registra la caratteristica che la distingue nella tassonomia: è l'unica via attivabile dal basso, dalla società e non dagli eventi, e insieme la più lenta e la più frammentaria, producendo aperture per singoli documenti e mai per sistemi; la comparazione dei rendimenti chiude la tassonomia con la gerarchia empirica che il corpus documenta: i collassi aprono sistemi interi, le leggi speciali aprono giacimenti amministrati, gli scandali aprono per squarci, le defezioni aprono per campioni e i contenziosi aprono per gocce, e la conoscenza cumulata dell'opera è, in ogni sua pagina, la somma stratificata di queste 5 velocità.</w:t>
      </w:r>
    </w:p>
    <w:p>
      <w:pPr>
        <w:spacing w:after="120" w:line="276"/>
        <w:jc w:val="both"/>
      </w:pPr>
      <w:r>
        <w:rPr>
          <w:rFonts w:ascii="Barlow Semi Condensed" w:cs="Barlow Semi Condensed" w:eastAsia="Barlow Semi Condensed" w:hAnsi="Barlow Semi Condensed"/>
          <w:sz w:val="24"/>
          <w:szCs w:val="24"/>
        </w:rPr>
        <w:t xml:space="preserve">Il settimo pilastro censisce la serie italiana della quinta via, le direttive di versamento. La direttiva del 22 aprile 2014, che dispose il versamento anticipato agli archivi di Stato della documentazione sugli eventi stragisti della stagione, fu seguita dagli atti di estensione e attuazione degli anni successivi, che ampliarono il perimetro delle tipologie e degli organismi versanti, componendo la serie della desecretazione amministrata italiana che il registro certifica al Livello A nella sua esistenza e nella sua natura; la qualificazione che il registro ne dà è quella che la tassonomia impone: la serie appartiene alla specie dell'apertura per atto politico sotto pressione pubblica, condivide con il modello americano la natura amministrata e con esso il limite strutturale, il perimetro definito dal versante e non dal ricercatore, e il suo rendimento documentale, che le fasi dell'opera hanno impiegato quale terza soglia, resta condizionato dal residuo non versato che le chiusure hanno consegnato quale obiettivo; il registro trascrive la serie quale caso nazionale conforme alla legge, con l'annotazione che essa costituisce, a oggi, l'unica via attiva sull'ordinamento italiano, e che la sua prosecuzione, dipendendo da atti politici futuri, appartiene alla classe degli eventi che la ricerca può sollecitare e non produrre.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5 vie-15 ordinamenti-assenza dell'apertura spontanea, certifica la regolarità e il suo Stato Zero. La seconda, densità-accessi-corollario del lampione, formalizza il reperto metodologico con la dimostrazione Lisbona-Parigi. La terza, soglie italiane-conformità alla legge-provvisorietà dichiarata, applica la regolarità al caso nazionale e fissa lo statuto temporale dell'opera.</w:t>
      </w:r>
    </w:p>
    <w:p>
      <w:pPr>
        <w:spacing w:after="120" w:line="276"/>
        <w:jc w:val="both"/>
      </w:pPr>
      <w:r>
        <w:rPr>
          <w:rFonts w:ascii="Barlow Semi Condensed" w:cs="Barlow Semi Condensed" w:eastAsia="Barlow Semi Condensed" w:hAnsi="Barlow Semi Condensed"/>
          <w:sz w:val="24"/>
          <w:szCs w:val="24"/>
        </w:rPr>
        <w:t xml:space="preserve">La serie italiana della quinta via si completa con il suo secondo atto, che il registro affianca alla direttiva del 2014 già censita: la direttiva dell'agosto 2021, che dispose il versamento straordinario agli archivi di Stato della documentazione concernente l'organizzazione Gladio e la loggia P2, estendendo alle 2 strutture centrali dell'opera il regime di anticipazione che la prima direttiva aveva riservato alla stagione delle stragi, Livello A quanto all'atto ed al suo oggetto. La sequenza delle 2 direttive, 2014 e 2021, consegna alla legge del capitolo la sua declinazione italiana matura: l'ordinamento ha scelto la via amministrativa dell'apertura per atto di governo, periodica e tematica, e il registro ne fissa tanto il valore, l'unico flusso di versamento anticipato attivo sul perimetro dell'opera, quanto il limite strutturale, che la regolarità empirica impone di dichiarare: la direttiva ordina il versamento di ciò che le amministrazioni detengono e dichiarano, e il suo perimetro effettivo coincide, per costruzione, con la diligenza e la completezza dei versanti, sicché la misura dell'apertura italiana resta affidata, in ultima istanza, alla stessa variabile che l'intera legge del capitolo ha isolato, la volontà degli apparati di consegnare i propri specchi.</w:t>
      </w:r>
    </w:p>
    <w:p>
      <w:pPr>
        <w:spacing w:after="120" w:line="276"/>
        <w:jc w:val="both"/>
      </w:pPr>
      <w:r>
        <w:rPr>
          <w:rFonts w:ascii="Barlow Semi Condensed" w:cs="Barlow Semi Condensed" w:eastAsia="Barlow Semi Condensed" w:hAnsi="Barlow Semi Condensed"/>
          <w:sz w:val="24"/>
          <w:szCs w:val="24"/>
        </w:rPr>
        <w:t xml:space="preserve">La tassonomia della via legislativa esige la distinzione di specie che il caso americano rende visibile: accanto al rilascio programmato del 1992, legge speciale su un singolo evento con termine e autorità dedicata, opera dal 1966 lo strumento generale del Freedom of Information Act, potenziato nel 1974 nella stagione del contraccolpo post-Watergate, che attribuisce a chiunque il diritto azionabile di ottenere i documenti delle amministrazioni federali salvo esenzioni tassative, sindacabili dal giudice, Livello A quanto agli istituti ed alle date. La distinzione è strutturale e la legge del capitolo la incorpora: il rilascio programmato apre un fondo definito per decisione politica una tantum, lo strumento generale apre un fronte permanente affidato all'iniziativa diffusa dei richiedenti, ricercatori, giornalisti, parti processuali, e la conoscenza che ne discende cresce per accumulo capillare anziché per soglie, con la conseguenza, misurabile nel corpus dell'opera, che una quota rilevante della documentazione americana citata nelle 5 fasi è frutto non di desecretazioni solenni ma di istanze ordinarie evase in via amministrativa o giudiziale. Il registro annota il termine di paragone italiano senza infierire: l'ordinamento della Repubblica non dispone di uno strumento generale equivalente azionabile sul patrimonio riservato degli apparati, e le sue aperture, come la serie delle direttive censita, restano della specie amministrata, sicché la quinta via italiana conosce una sola delle sue 2 forme, quella che dipende dal governo, non quella che dipenderebbe dai cittadini.</w:t>
      </w:r>
    </w:p>
    <w:p>
      <w:pPr>
        <w:spacing w:after="120" w:line="276"/>
        <w:jc w:val="both"/>
      </w:pPr>
      <w:r>
        <w:rPr>
          <w:rFonts w:ascii="Barlow Semi Condensed" w:cs="Barlow Semi Condensed" w:eastAsia="Barlow Semi Condensed" w:hAnsi="Barlow Semi Condensed"/>
          <w:sz w:val="24"/>
          <w:szCs w:val="24"/>
        </w:rPr>
        <w:t xml:space="preserve">La via legislativa conosce infine il suo compimento ordinamentale, che il registro censisce quale chiusura del ciclo aperto nel 1977: la legge 3 agosto 2007 numero 124 riformò integralmente il sistema dell'informazione per la sicurezza, istituendo il Dipartimento unitario, ridisegnando le agenzie, portando il controllo parlamentare al rango di organo con poteri effettivi e, soprattutto per l'economia di quest'opera, disciplinando per la prima volta in via generale la durata massima del segreto di Stato, con il limite dei 15 anni prorogabili sino a 30, e ribadendo con forza di sistema l'inopponibilità del segreto sui fatti eversivi dell'ordine costituzionale, principio già posto dalla riforma del 1977, Livello A quanto ai contenuti della riforma. Il registro consegna la legge alla sua funzione di verifica: la conferma rafforzata dell'ineccepibilità del segreto per i fatti di strage e di eversione è la traduzione in diritto positivo dell'intera esperienza che le fasi terza e quarta hanno censito, il riconoscimento legislativo che il segreto di Stato era stato, nel corpus, anche uno strumento delle ostruzioni, e la sua approvazione a 30 anni esatti dalla prima riforma misura il passo della metabolizzazione istituzionale italiana: una generazione per ammettere il problema con la legge del 1977, una seconda per scrivere nella legge la sua soluzione, con l'avvertenza documentale che il registro annota per il bilancio finale, che le norme censite in questo capitolo disciplinano il segreto futuro, mentre sul segreto passato, quello che grava sugli archivi del corpus, la partita resta affidata alle direttive di versamento censite, cioè ad atti amministrativi revocabili, e non alla forza stabile della legge.</w:t>
      </w:r>
    </w:p>
    <w:p>
      <w:pPr>
        <w:spacing w:after="120" w:line="276"/>
        <w:jc w:val="both"/>
      </w:pPr>
      <w:r>
        <w:rPr>
          <w:rFonts w:ascii="Barlow Semi Condensed" w:cs="Barlow Semi Condensed" w:eastAsia="Barlow Semi Condensed" w:hAnsi="Barlow Semi Condensed"/>
          <w:sz w:val="24"/>
          <w:szCs w:val="24"/>
        </w:rPr>
        <w:t xml:space="preserve">La via legislativa conosce infine la sua unica declinazione sovranazionale, che il registro censisce quale atto europeo del corpus: il 22 novembre 1990, nelle settimane della rivelazione italiana, il Parlamento europeo approvò una risoluzione sulla vicenda delle reti clandestine, con cui protestava per l'esistenza quarantennale di strutture operative sottratte ad ogni controllo democratico, invitava i governi degli Stati membri a procedere al loro scioglimento ed i parlamenti nazionali ad istituire commissioni d'inchiesta, Livello A quanto all'atto ed ai suoi contenuti. Il seguito misura la distanza tra la parola europea e le sovranità nazionali, ed il registro lo riporta quale esito: alle sollecitazioni dell'assemblea diedero seguito con inchieste organiche soltanto l'Italia, il Belgio e la Svizzera, mentre la maggioranza degli Stati membri archiviò la questione senza accertamenti pubblici, Livello A quanto alla geografia delle inchieste effettivamente svolte. Il registro consegna il caso alla verifica finale con la sua doppia lezione: la risoluzione del novembre 1990 dimostra che la dimensione europea del sistema fu riconosciuta ufficialmente dall'unica istituzione parlamentare continentale, e la sua inesecuzione diffusa dimostra che il controllo democratico sugli apparati restò, anche dopo il riconoscimento, una variabile interamente nazionale, con il paradosso che chiude il capitolo: il Paese del corpus, quello che l'opera ha censito quale teatro massimo delle deviazioni, fu anche, nella risposta, il più trasparente del continente, e la Repubblica che non seppe impedire è la stessa che, sola con 2 altre, volle almeno sapere.</w:t>
      </w:r>
    </w:p>
    <w:p>
      <w:pPr>
        <w:spacing w:after="120" w:line="276"/>
        <w:jc w:val="both"/>
      </w:pPr>
      <w:r>
        <w:rPr>
          <w:rFonts w:ascii="Barlow Semi Condensed" w:cs="Barlow Semi Condensed" w:eastAsia="Barlow Semi Condensed" w:hAnsi="Barlow Semi Condensed"/>
          <w:sz w:val="24"/>
          <w:szCs w:val="24"/>
        </w:rPr>
        <w:t xml:space="preserve">Il capitolo delle aperture esige la sua cornice comparata, che il registro formula quale bilancio della finestra: il decennio 1990-2000 costituì la stagione irripetibile in cui il pianeta aprì simultaneamente i propri armadi, con la rivelazione delle reti clandestine occidentali, la spalancatura degli archivi orientali censita, le commissioni verità australi ed africane, le declassificazioni americane sul Cile ed i primi protocolli italiani di versamento, una convergenza planetaria di trasparenza prodotta dal medesimo evento generatore, la fine della contrapposizione che aveva giustificato mezzo secolo di segreti, Livello A quanto alla cronologia comparata delle aperture. Il registro consegna la finestra alla sua lezione malinconica: quella stagione non si è ripetuta, poiché i decenni successivi hanno visto in più teatri il riflusso, le richiusure selettive, i segreti nuovi sedimentare sui vecchi, e l'opera, che di quella finestra è integralmente debitrice, perché quasi ogni Livello A internazionale del corpus discende da carte uscite in quel decennio, ne registra la natura per il lettore futuro: la conoscenza del potere occulto non cresce linearmente, respira con la geopolitica, si dilata quando i sistemi che produssero i segreti muoiono e si contrae quando i loro eredi si riorganizzano, sicché ogni generazione di studiosi lavora con la finestra che la propria epoca le concede, e questa opera dichiara di avere lavorato con la più grande che la storia contemporanea abbia mai aperto, sapendo che era già in via di richiusura.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regolarità delle aperture è certificata al Livello A quale legge empirica senza eccezioni sul perimetro censito, con la tassonomia delle 5 vie, lo Stato Zero dell'apertura spontanea, il lampione elevato a reperto misurato e la provvisorietà archivistica dell'opera dichiarata quale statuto e non quale limite.</w:t>
      </w:r>
    </w:p>
    <w:p>
      <w:pPr>
        <w:pStyle w:val="Heading3"/>
        <w:spacing w:after="80" w:before="160"/>
      </w:pPr>
      <w:r>
        <w:rPr>
          <w:rFonts w:ascii="Barlow Semi Condensed" w:cs="Barlow Semi Condensed" w:eastAsia="Barlow Semi Condensed" w:hAnsi="Barlow Semi Condensed"/>
          <w:sz w:val="24"/>
          <w:szCs w:val="24"/>
        </w:rPr>
        <w:t xml:space="preserve">Capitolo 10 — La verifica finale: le macro-ipotesi al giudizio del grafo e la lettura reticolare conclusiva</w:t>
      </w:r>
    </w:p>
    <w:p>
      <w:pPr>
        <w:spacing w:after="120" w:line="276"/>
        <w:jc w:val="both"/>
      </w:pPr>
      <w:r>
        <w:rPr>
          <w:rFonts w:ascii="Barlow Semi Condensed" w:cs="Barlow Semi Condensed" w:eastAsia="Barlow Semi Condensed" w:hAnsi="Barlow Semi Condensed"/>
          <w:sz w:val="24"/>
          <w:szCs w:val="24"/>
        </w:rPr>
        <w:t xml:space="preserve">Il decimo nodo è la verifica, l'adempimento per il quale l'opera è stata costruita. Il registro vi sottopone le macro-ipotesi allo stato terminale dei materiali, con il metodo delle ipotesi concorrenti applicato al grafo completo, e dichiara gli esiti senza eccedere di una riga ciò che i documenti consentono.</w:t>
      </w:r>
    </w:p>
    <w:p>
      <w:pPr>
        <w:spacing w:after="120" w:line="276"/>
        <w:jc w:val="both"/>
      </w:pPr>
      <w:r>
        <w:rPr>
          <w:rFonts w:ascii="Barlow Semi Condensed" w:cs="Barlow Semi Condensed" w:eastAsia="Barlow Semi Condensed" w:hAnsi="Barlow Semi Condensed"/>
          <w:sz w:val="24"/>
          <w:szCs w:val="24"/>
        </w:rPr>
        <w:t xml:space="preserve">Il primo pilastro fissa lo stato dell'ipotesi H1, la convergenza delle potenze contro l'autonomia e l'integrazione europea. La verifica ricompone i fatti di base certificati dalle fasi: le contrarietà pubbliche dei 2 campi al progetto di allargamento democratico italiano, elevate al Livello A dalla Fase 4; la simmetria delle interferenze ordinarie documentate, i canali finanziari dei 2 imperi verso i rispettivi versanti del sistema politico, entrambi al Livello A per esistenza; la serie mediterranea degli attriti con l'alleato maggiore, al Livello A; e l'architettura stay-behind quale massimo fatto strutturale del campo occidentale, al Livello A. La verifica ricompone parimenti ciò che manca: nessun documento, in alcun teatro e in alcuna stagione, certifica il coordinamento tra i 2 campi, la cabina comune che la forma forte dell'ipotesi esige, e le 2 varianti dell'interferenza si escludono reciprocamente in ogni caso concreto censito; e ricompone l'esito del test quantitativo che l'opera ha pre-registrato ed eseguito, la verifica statistica dell'addensamento degli eventi stragisti attorno alle scadenze dell'integrazione europea, conclusasi con il risultato nullo, la probabilità del 60 per cento che la distribuzione osservata sia casuale, che ha falsificato la tesi della densità nella sua forma misurabile. Il verdetto è dichiarato: l'ipotesi H1 esce dall'opera non falsificata nella sua forma debole, la convergenza oggettiva di interessi certificata al Livello B dalla Fase 4, falsificata nella sua unica articolazione misurabile, e non avanzata oltre, il falsificatore milwardiano, per il quale le potenze perseguono interessi ordinari senza cabine comuni, restando integralmente compatibile con ogni fatto certificato; H1 è perciò archiviata quale ipotesi di Livello C con fatti di base certificati, non promossa e non rimossa, secondo lo statuto che il metodo assegna alle ipotesi vive e non provate.</w:t>
      </w:r>
    </w:p>
    <w:p>
      <w:pPr>
        <w:spacing w:after="120" w:line="276"/>
        <w:jc w:val="both"/>
      </w:pPr>
      <w:r>
        <w:rPr>
          <w:rFonts w:ascii="Barlow Semi Condensed" w:cs="Barlow Semi Condensed" w:eastAsia="Barlow Semi Condensed" w:hAnsi="Barlow Semi Condensed"/>
          <w:sz w:val="24"/>
          <w:szCs w:val="24"/>
        </w:rPr>
        <w:t xml:space="preserve">Il secondo pilastro fissa lo stato dell'ipotesi concorrente e della formulazione di sintesi. L'ipotesi concorrente registrata dall'opera, la lettura dei 2 progetti rivali di ordinamento autoritario del continente, l'uno di matrice atlantico-controinsurrezionale e l'altro di matrice orientale, esce dalla fase con i propri successi esplicativi censiti, la capacità di rendere conto della bipolarità documentata delle interferenze senza postulare la cabina comune, e con il medesimo statuto di Livello C, nessun documento certificando i progetti quali disegni unitari; tra le 2 ipotesi il registro non decide, dichiarando l'evidenza non diagnostica al livello delle macro-letture. Ciò che il registro promuove è l'enunciato di sintesi che i materiali sostengono, la formulazione che la proposta parlamentare del giugno 2000 consegnò e che l'opera ha verificato quale massimo enunciato compatibile con il certificato: l'oggetto della stagione non fu la restaurazione di un regime, ma il mantenimento di una democrazia a sovranità ed evoluzione limitate, l'esclusione permanente di una parte del sistema politico dalla piena legittimazione di governo, perseguita e ottenuta attraverso un equilibrio precario continuamente amministrato; il registro certifica che questo enunciato, e soltanto questo, è sostenuto dall'intero corpus senza residui contrari, e lo consegna quale conclusione di merito dell'opera, al livello di una sintesi storiografica fondata e non di un teorema dimostrato.</w:t>
      </w:r>
    </w:p>
    <w:p>
      <w:pPr>
        <w:spacing w:after="120" w:line="276"/>
        <w:jc w:val="both"/>
      </w:pPr>
      <w:r>
        <w:rPr>
          <w:rFonts w:ascii="Barlow Semi Condensed" w:cs="Barlow Semi Condensed" w:eastAsia="Barlow Semi Condensed" w:hAnsi="Barlow Semi Condensed"/>
          <w:sz w:val="24"/>
          <w:szCs w:val="24"/>
        </w:rPr>
        <w:t xml:space="preserve">Il terzo pilastro consegna la lettura reticolare conclusiva, le misure finali sul grafo completo. Le centralità terminali confermano e ordinano: la loggia P2 detiene la massima intermediazione complessiva dell'opera, presente in tutti i teatri maggiori nazionali e dotata di proiezione transnazionale certificata; il Dominio 3 conferma la natura di connettivo universale; Giuseppe Calò resta l'individuo con il maggior numero di giudicati capitali; Michele Sindona e Licio Gelli si confermano le massime intermediazioni individuali tra i domini e tra i continenti; il Sudafrica dell'apartheid detiene la massima intermediazione tra i dossier internazionali; e la stratificazione massima del corpus appartiene al nodo triestino censito dalle fasi, con i suoi 7 strati documentali indipendenti. I pattern chiudono il proprio bilancio sul grafo intero: il Pattern 3 consegna le finestre critiche censite, il Pattern 5 la firma delle assenze selettive, verificata dalla Fase 4 nella coincidenza sistematica tra l'eliminazione dei detentori e la scomparsa delle carte, il Pattern 7 le carriere transnazionali con il caso Delle Chiaie quale massimo percorso censito, il Pattern 10 la geografia dei rifugi e degli hub, il Pattern 11 l'isomorfismo Aginter-Hyperion quale grammatica comune della clandestinità. Il registro dichiara compiuta la lettura e chiude l'opera con il congedo che il metodo impone: 5 fasi, i cerchi nazionali e il mondo, un inventario di fatti certificati ai loro livelli, di assenze documentate, di esiti riportati per esteso e di ipotesi mantenute vive al loro posto, consegnato al tempo archivistico che solo potrà accrescerlo, con la sola certezza che l'opera rivendica, quella del proprio metodo: in un campo dove l'oggetto manipola le condizioni della propria osservabilità, la trasparenza del metodo non è un ornamento, è la condizione di possibilità della conoscenza, e l'opera consegna al lettore, prima di ogni contenuto, esattamente questa.</w:t>
      </w:r>
    </w:p>
    <w:p>
      <w:pPr>
        <w:spacing w:after="120" w:line="276"/>
        <w:jc w:val="both"/>
      </w:pPr>
      <w:r>
        <w:rPr>
          <w:rFonts w:ascii="Barlow Semi Condensed" w:cs="Barlow Semi Condensed" w:eastAsia="Barlow Semi Condensed" w:hAnsi="Barlow Semi Condensed"/>
          <w:sz w:val="24"/>
          <w:szCs w:val="24"/>
        </w:rPr>
        <w:t xml:space="preserve">Il quarto pilastro censisce le coppie inter-dominio attivate dal teatro internazionale, il completamento della matrice delle 45. La fase attiva sul grafo internazionale le coppie che le fasi nazionali non avevano saturato: la coppia intelligence-terrorismo nella sua proiezione estera, con i canali mediterranei e i satelliti orientali; la coppia crimine-economia sulla scala dei 2 continenti, con la parabola sindoniana quale arco maggiore; la coppia massoneria-politica nella proiezione transnazionale della loggia; la coppia forze armate-intelligence nel sistema stay-behind continentale; e le coppie a bassa densità che la Nota metodologica indicava quali potenzialmente rivelatrici, tra cui la coppia religione-intelligence, attivata dal caso dell'attentato al pontefice con il suo mandato non accertato; il registro certifica al Livello A l'attivazione documentale delle coppie, quale dato della struttura del corpus, e consegna la matrice completa alla lettura: delle 45 coppie possibili, il corpus dell'opera ne documenta quali empiricamente significative un numero conforme alla stima preliminare della Nota, tra le 25 e le 30, con le densità massime sulle coppie che le fasi hanno percorso e le assenze anch'esse censite, secondo il principio per cui la coppia vuota è un dato quanto la coppia satura.</w:t>
      </w:r>
    </w:p>
    <w:p>
      <w:pPr>
        <w:spacing w:after="120" w:line="276"/>
        <w:jc w:val="both"/>
      </w:pPr>
      <w:r>
        <w:rPr>
          <w:rFonts w:ascii="Barlow Semi Condensed" w:cs="Barlow Semi Condensed" w:eastAsia="Barlow Semi Condensed" w:hAnsi="Barlow Semi Condensed"/>
          <w:sz w:val="24"/>
          <w:szCs w:val="24"/>
        </w:rPr>
        <w:t xml:space="preserve">Il quinto pilastro consegna il programma ordinato degli obiettivi, il lascito operativo alla ricerca. Il registro ordina gli obiettivi per rendimento atteso: il primo è l'accesso agli archivi francesi del periodo, l'unica variabile capace di mutare lo stato del nodo Hyperion e del santuario; il secondo è il completamento del versamento italiano, il perimetro non versato delle direttive; il terzo è lo sfruttamento sistematico del versato del 2014 e successivi, il lavoro possibile a regime invariato che le fasi hanno soltanto iniziato; il quarto è il monitoraggio delle 5 vie sugli ordinamenti non ancora aperti, con la certezza empirica che ogni futura apertura verrà da un evento e la conseguente necessità di prontezza metodologica; il quinto è l'estensione del riscontro sistematico, la pratica dello Stato Zero, a ogni suggestione che il dibattito pubblico produca, la funzione igienica che l'opera ha esercitato sul proprio campo e che consegna quale servizio permanente; il registro certifica il programma quale ordinamento di priorità fondato sui rendimenti documentati delle vie, non quale previsione, e lo consegna con l'avvertenza che la legge del capitolo nono impone: la ricerca può preparare le aperture, non produrle, e il suo compito, negli intervalli tra le soglie, è mantenere il registro pronto, citabile e falsificabile per il giorno in cui una via si aprirà.</w:t>
      </w:r>
    </w:p>
    <w:p>
      <w:pPr>
        <w:spacing w:after="120" w:line="276"/>
        <w:jc w:val="both"/>
      </w:pPr>
      <w:r>
        <w:rPr>
          <w:rFonts w:ascii="Barlow Semi Condensed" w:cs="Barlow Semi Condensed" w:eastAsia="Barlow Semi Condensed" w:hAnsi="Barlow Semi Condensed"/>
          <w:sz w:val="24"/>
          <w:szCs w:val="24"/>
        </w:rPr>
        <w:t xml:space="preserve">Il sesto pilastro distende, in prosa, la matrice terminale delle ipotesi concorrenti, l'adempimento formale del metodo di Heuer sull'intero corpus. Le evidenze maggiori sono passate in rassegna contro le 3 letture in campo, la convergenza coordinata dei 2 imperi, i 2 progetti rivali e la lettura ordinaria degli interessi paralleli senza cabina, il falsificatore milwardiano. Le contrarietà pubbliche dei 2 campi sono coerenti con tutte e 3 le letture, e perciò non diagnostiche. La simmetria dei canali di finanziamento è coerente con tutte e 3, e non diagnostica. L'architettura stay-behind è coerente con la seconda e con la terza, e contro la prima soltanto ove se ne provasse il coordinamento con strutture del campo opposto, prova assente: non diagnostica in assenza. La bipolarità documentata delle varianti di interferenza nel caso capitale, le 2 piste reciprocamente escludentisi della Fase 4, è più coerente con la seconda e la terza lettura che con la prima, cui oppone la difficoltà logica censita: debolmente diagnostica contro la convergenza. Il test statistico nullo sull'addensamento è direttamente contrario alla forma misurabile della prima lettura e neutro verso le altre: diagnostico contro la forma forte di H1. Nessuna evidenza del corpus è contraria alla lettura ordinaria. Il registro trascrive l'esito che la matrice impone: la lettura meno contraddetta dall'insieme delle evidenze è il falsificatore, gli interessi paralleli senza cabina, e le 2 macro-ipotesi sopravvivono quali letture possibili di fatti che non le esigono; il metodo, applicato sino in fondo, consegna la conclusione più sobria del suo repertorio, e il registro la dichiara senza attenuarla, quale prova terminale che l'opera ha obbedito al proprio statuto anche contro la suggestione dei propri materiali.</w:t>
      </w:r>
    </w:p>
    <w:p>
      <w:pPr>
        <w:spacing w:after="120" w:line="276"/>
        <w:jc w:val="both"/>
      </w:pPr>
      <w:r>
        <w:rPr>
          <w:rFonts w:ascii="Barlow Semi Condensed" w:cs="Barlow Semi Condensed" w:eastAsia="Barlow Semi Condensed" w:hAnsi="Barlow Semi Condensed"/>
          <w:sz w:val="24"/>
          <w:szCs w:val="24"/>
        </w:rPr>
        <w:t xml:space="preserve">Il settimo pilastro consegna la periodizzazione reticolare del teatro, le finestre critiche del Pattern 3 sul grafo internazionale. La distribuzione temporale degli eventi certificati dalla fase addensa 4 finestre che il registro formalizza: la finestra del 1974-1975, con la caduta di Lisbona, la diaspora iberica, la formalizzazione del Condor e l'attentato Leighton, la ricomposizione continentale del campo nero attorno ai nuovi protettori; la finestra del 1980-1982, con il golpe boliviano, la scoperta della loggia, l'attentato al pontefice, l'arresto ginevrino del Venerabile e la strage della Sinagoga, il biennio di massima attività simultanea dei fili del corpus; la finestra del 1985-1986, con la crisi dell'Achille Lauro, l'assassinio di Palme, la morte di Sindona a 4 giorni dall'ergastolo e l'assoluzione del processo bulgaro, il biennio degli epiloghi in cui i massimi fili individuali e giudiziari del teatro si chiusero in rapida successione; e la finestra del 1990-1992, con le rivelazioni continentali, i collassi orientali e le prime grandi aperture, la soglia in cui il sistema studiato passò dalla fase operativa alla fase archivistica; il registro certifica al Livello A l'addensamento descrittivo delle 4 finestre, quale distribuzione osservata sui fatti censiti, si astiene, in coerenza con l'esito del test statistico dell'opera, dall'attribuire alle finestre qualsiasi significatività causale non dimostrata, e le consegna quale periodizzazione di servizio, lo scheletro temporale certificato sul quale la ricerca futura potrà disporre i documenti che le aperture verranno consegnando.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fatti di base-assenza di coordinamento-test nullo, fissa il verdetto su H1 quale ipotesi archiviata viva al Livello C. La seconda, ipotesi concorrente-evidenza non diagnostica-formulazione del 2000, consegna la conclusione di merito al livello della sintesi fondata. La terza, centralità finali-bilancio dei pattern-congedo, chiude la lettura reticolare e l'opera.</w:t>
      </w:r>
    </w:p>
    <w:p>
      <w:pPr>
        <w:spacing w:after="120" w:line="276"/>
        <w:jc w:val="both"/>
      </w:pPr>
      <w:r>
        <w:rPr>
          <w:rFonts w:ascii="Barlow Semi Condensed" w:cs="Barlow Semi Condensed" w:eastAsia="Barlow Semi Condensed" w:hAnsi="Barlow Semi Condensed"/>
          <w:sz w:val="24"/>
          <w:szCs w:val="24"/>
        </w:rPr>
        <w:t xml:space="preserve">La verifica finale dell'opera si completa, nell'edizione definitiva, con il recepimento della triangolazione cumulata che ne costituisce il sigillo esterno: le 5 fasi del volume sono state incrociate con le 7 tranche di un registro di verifica indipendente, 438 blocchi certificati che hanno saggiato la coerenza dell'opera con il corpus di progetto, con i giudicati e con i blocchi delle stagioni precedenti, dalla rete nera transnazionale al coordinamento australe sino al caso capitale, restituendo un esito che questa fase, per statuto deputata alla falsificazione, ha il dovere di registrare con la stessa freddezza con cui avrebbe registrato il contrario: nessuna contraddizione fattuale certificata, tenuta integrale delle gradazioni al campionamento esterno, conferma degli Stati Zero quali risultati, Livello A quale esito della campagna. Il registro consegna il recepimento alla chiusura che l'intera opera esige: la verifica finale non è più soltanto l'autoesame interno che questo capitolo ha condotto sulle proprie ipotesi, è divenuta un contraddittorio documentale a 2 corpi indipendenti, l'opera che afferma ed il registro che verifica, e la sopravvivenza dell'opera a quel contraddittorio, che il metodo popperiano assume quale unico titolo provvisorio di conoscenza, è il solo senso in cui questa edizione può dirsi definitiva: non perché non potrà essere corretta, ma perché è stata, sino all'ultimo enunciato disponibile, messa alla prova.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verifica finale archivia H1 quale ipotesi viva di Livello C con fatti di base certificati e articolazione misurabile falsificata dal test nullo, dichiara l'evidenza non diagnostica tra le macro-letture, promuove la formulazione del giugno 2000 quale massimo enunciato di merito sostenuto dal corpus, e consegna le centralità terminali del grafo, la loggia quale massima intermediazione, i ponti individuali di Sindona e Gelli, l'hub australe e la firma delle assenze, chiudendo l'opera quale inventario verificato e dichiaratamente provvisorio.</w:t>
      </w:r>
    </w:p>
    <w:p>
      <w:pPr>
        <w:pStyle w:val="Heading3"/>
        <w:spacing w:after="80" w:before="160"/>
      </w:pPr>
      <w:r>
        <w:rPr>
          <w:rFonts w:ascii="Barlow Semi Condensed" w:cs="Barlow Semi Condensed" w:eastAsia="Barlow Semi Condensed" w:hAnsi="Barlow Semi Condensed"/>
          <w:sz w:val="24"/>
          <w:szCs w:val="24"/>
        </w:rPr>
        <w:t xml:space="preserve">Repertorio consolidato della Fase 5 — Inventario unitario dei teatri, degli esiti e degli Stati Zero</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le certificazioni della fase, ordinate per versanti, quale riferimento citabile per ogni richiamo interno dell'opera al grafo internazionale.</w:t>
      </w:r>
    </w:p>
    <w:p>
      <w:pPr>
        <w:spacing w:after="120" w:line="276"/>
        <w:jc w:val="both"/>
      </w:pPr>
      <w:r>
        <w:rPr>
          <w:rFonts w:ascii="Barlow Semi Condensed" w:cs="Barlow Semi Condensed" w:eastAsia="Barlow Semi Condensed" w:hAnsi="Barlow Semi Condensed"/>
          <w:sz w:val="24"/>
          <w:szCs w:val="24"/>
        </w:rPr>
        <w:t xml:space="preserve">Il primo versante è quello dei teatri certificati. Vi appartengono: la centrale Aginter Press, con esistenza, direzione, dottrina scritta, corsi, costellazione denominativa e cattura archivistica del 1974 al Livello A, transiti italiani al Livello B e condanne organiche assenti; il sistema Condor, formalizzato nel novembre 1975, al Livello A, con l'attentato Leighton del 6 ottobre 1975 e le condanne del 1995 e del 2021; le presenze italiane latinoamericane, la diaspora nera nell'orbita del golpe boliviano del 17 luglio 1980 e la retrovia argentina della loggia, entrambe al Livello A senza coordinamento provato tra loro, con gli epiloghi di Delle Chiaie e di Gelli riportati; l'hub sudafricano, con la posizione di massima intermediazione inter-dossier al Livello A, gli assi di complicità al Livello A, la rete delle sanzioni al Livello B, il programma nucleare con lo smantellamento del 1993 e la transizione quale apertura; il santuario francese, con la dottrina del rifugio nelle sue 3 età al Livello A, la comunità dei fuoriusciti, la controprova Battisti e il diniego estradizionale definitivo del marzo 2023; il sistema mediterraneo, con la prassi del lodo al Livello B, i fatti di Ortona, il terminale Giovannone, la serie delle infrazioni certificate e la crisi dell'ottobre 1985 con la coda di governo al Livello A; il versante orientale, con il compendio Mitrokhin e i 261 rapporti Impedian recepiti con la disciplina della fonte al Livello B per le schedature, e il canale finanziario storico al Livello A; il versante occidentale, con il canale fondativo del 1948 al Livello A, la fonte congressuale del 1975-1976, la parabola di Sindona integralmente certificata, l'infrastruttura delle basi e l'enclave di immunità del 1987; e il sistema stay-behind, al Livello A per esistenza continentale con l'innesco Casson, l'elenco dei 622, lo scioglimento del 1990, il conflitto istituzionale e gli impieghi interni al Livello C.</w:t>
      </w:r>
    </w:p>
    <w:p>
      <w:pPr>
        <w:spacing w:after="120" w:line="276"/>
        <w:jc w:val="both"/>
      </w:pPr>
      <w:r>
        <w:rPr>
          <w:rFonts w:ascii="Barlow Semi Condensed" w:cs="Barlow Semi Condensed" w:eastAsia="Barlow Semi Condensed" w:hAnsi="Barlow Semi Condensed"/>
          <w:sz w:val="24"/>
          <w:szCs w:val="24"/>
        </w:rPr>
        <w:t xml:space="preserve">Il secondo versante è quello degli Stati Zero, che la fase eleva a inventario proprio: la connessione operativa Aginter-Hyperion, cercata sull'intero corpus e non trovata, con il solo isomorfismo strutturale certificato; il coordinamento tra la diaspora nera andina e la retrovia piduista atlantica, non documentato; il riscontro tra i profili contemporanei a radici australi e le reti storiche del corpus, condotto integralmente e negativo, con divieto assoluto di inferenza associativa; il coordinamento tra i 2 campi imperiali, cercato in ogni teatro e in ogni stagione e mai documentato; e l'apertura archivistica spontanea, cercata in 15 ordinamenti e assente in tutti. I 5 Stati Zero sono certificati quali risultati di prima classe, ciascuno con il perimetro della ricerca dichiarato.</w:t>
      </w:r>
    </w:p>
    <w:p>
      <w:pPr>
        <w:spacing w:after="120" w:line="276"/>
        <w:jc w:val="both"/>
      </w:pPr>
      <w:r>
        <w:rPr>
          <w:rFonts w:ascii="Barlow Semi Condensed" w:cs="Barlow Semi Condensed" w:eastAsia="Barlow Semi Condensed" w:hAnsi="Barlow Semi Condensed"/>
          <w:sz w:val="24"/>
          <w:szCs w:val="24"/>
        </w:rPr>
        <w:t xml:space="preserve">Il terzo versante è quello degli esiti personali, riportati per esteso in ottemperanza alla disciplina. Gli esiti assolutori definitivi della fase sono: l'assoluzione di Stefano Delle Chiaie per la strage di piazza Fontana, pronunciata dalla Corte d'assise di Catanzaro nel 1989 e confermata in appello nel 1991; e l'assoluzione per insufficienza di prove di Sergej Antonov e dei coimputati bulgari e turchi nel processo sul mandato dell'attentato al pontefice, pronunciata dalla Corte d'assise di Roma nel marzo 1986. Gli esiti di condanna certificati comprendono: le condanne contumaciali dei vertici della DINA pronunciate dalla Corte d'assise di Roma nel 1995 per l'attentato a Bernardo Leighton; gli ergastoli del processo Condor, estesi in appello nel 2019 e definitivi in Cassazione nel 2021; l'ergastolo di Mehmet Ali Ağca per l'attentato del 13 maggio 1981, con la grazia del giugno 2000; le condanne americane e italiane di Michele Sindona, sino all'ergastolo del 18 marzo 1986 per l'omicidio Ambrosoli, con la morte del 22 marzo 1986; la consegna di Cesare Battisti del 14 gennaio 2019 quale esecuzione differita di condanne definitive; e il diniego estradizionale francese del marzo 2023 quale esito ordinamentale sui condannati definitivi rifugiati. Le vittime nominate della fase sono Leon Klinghoffer, assassinato l'8 ottobre 1985 sull'Achille Lauro, Stefano Gaj Taché, il bambino di 2 anni assassinato nella strage della Sinagoga di Roma del 9 ottobre 1982, e Olof Palme, assassinato a Stoccolma il 28 febbraio 1986 con la pista australe al Livello C e la chiusura del 2020 quale esito; le vittime ferite nominate sono Bernardo Leighton e Anita Fresno, colpiti a Roma il 6 ottobre 1975; le vittime plurime delle stragi aeroportuali di Fiumicino, 32 il 17 dicembre 1973 e 13 il 27 dicembre 1985, sono richiamate nel numero con rinvio della nominazione integrale agli atti; a esse la fase salda, per richiamo, il censimento integrale delle vittime delle 4 fasi nazionali, che il repertorio della Fase 4 custodisce.</w:t>
      </w:r>
    </w:p>
    <w:p>
      <w:pPr>
        <w:spacing w:after="120" w:line="276"/>
        <w:jc w:val="both"/>
      </w:pPr>
      <w:r>
        <w:rPr>
          <w:rFonts w:ascii="Barlow Semi Condensed" w:cs="Barlow Semi Condensed" w:eastAsia="Barlow Semi Condensed" w:hAnsi="Barlow Semi Condensed"/>
          <w:sz w:val="24"/>
          <w:szCs w:val="24"/>
        </w:rPr>
        <w:t xml:space="preserve">Il quarto versante è quello dei reperti metodologici: la regolarità delle aperture archivistiche, al Livello A quale legge empirica con la tassonomia delle 5 vie e la gerarchia dei rendimenti; il corollario del lampione, elevato a reperto misurato con la dimostrazione Lisbona-Parigi e con l'autocorrezione applicata all'hub australe; l'asimmetria della prova tra i campi, dichiarata quale condizione e corretta in ogni comparazione; il limite dell'autocertificazione per ogni documentazione a fonte esclusiva, formalizzato sulle liste della rete, sui compendi orientali e sugli elenchi della loggia; la figura del consenso implicito quale configurazione ricorrente delle prassi riservate; la legge della chiusura per scoperta, simmetrica alla legge delle aperture; e la categoria dello Stato Zero, formalizzata quale strumento ordinario con l'inventario del secondo versante.</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che la fase consegna aperti: gli archivi di Hyperion e il perimetro non versato degli archivi italiani, ereditati dalla Fase 4 quali obiettivi; gli archivi dei servizi dei regimi protettori non collassati, per i teatri che la tassonomia colloca fuori dalle 5 vie storicamente date; il mandato dell'attentato del 13 maggio 1981, il massimo accertamento internazionale rimasto senza esito nel corpus; le carte del terminale mediterraneo non versate, con la fonte primaria estinta nel 1985; e la questione della completezza di ogni elenco a fonte esclusiva, dichiarata strutturalmente indecidibile e perciò censita quale buco permanente di specie propria.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9 teatri certificati, 5 Stati Zero con perimetro dichiarato, 2 blocchi di esiti riportati per esteso, 2 vittime nominate con il richiamo integrale al censimento delle fasi nazionali, 4 reperti metodologici e 3 famiglie di buchi aperti; esso costituisce, con il repertorio della Fase 4, il riferimento citabile terminale dell'opera.</w:t>
      </w:r>
    </w:p>
    <w:p>
      <w:pPr>
        <w:pStyle w:val="Heading3"/>
        <w:spacing w:after="80" w:before="160"/>
      </w:pPr>
      <w:r>
        <w:rPr>
          <w:rFonts w:ascii="Barlow Semi Condensed" w:cs="Barlow Semi Condensed" w:eastAsia="Barlow Semi Condensed" w:hAnsi="Barlow Semi Condensed"/>
          <w:sz w:val="24"/>
          <w:szCs w:val="24"/>
        </w:rPr>
        <w:t xml:space="preserve">Chiusura della Fase 5 e dell'opera — I risultati terminali, il verdetto sulle ipotesi e il congedo</w:t>
      </w:r>
    </w:p>
    <w:p>
      <w:pPr>
        <w:spacing w:after="120" w:line="276"/>
        <w:jc w:val="both"/>
      </w:pPr>
      <w:r>
        <w:rPr>
          <w:rFonts w:ascii="Barlow Semi Condensed" w:cs="Barlow Semi Condensed" w:eastAsia="Barlow Semi Condensed" w:hAnsi="Barlow Semi Condensed"/>
          <w:sz w:val="24"/>
          <w:szCs w:val="24"/>
        </w:rPr>
        <w:t xml:space="preserve">La chiusura della fase è la chiusura dell'opera, e il registro vi dichiara i risultati terminali nella forma che il metodo impone, l'inventario ordinato di ciò che 5 fasi hanno certificato.</w:t>
      </w:r>
    </w:p>
    <w:p>
      <w:pPr>
        <w:spacing w:after="120" w:line="276"/>
        <w:jc w:val="both"/>
      </w:pPr>
      <w:r>
        <w:rPr>
          <w:rFonts w:ascii="Barlow Semi Condensed" w:cs="Barlow Semi Condensed" w:eastAsia="Barlow Semi Condensed" w:hAnsi="Barlow Semi Condensed"/>
          <w:sz w:val="24"/>
          <w:szCs w:val="24"/>
        </w:rPr>
        <w:t xml:space="preserve">Il primo risultato è il grafo compiuto. L'opera consegna il registro dei nodi e dei ponti certificati nella sua estensione integrale: le 4 fasi nazionali, i cerchi criminali, il quadrilatero degli apparati e della loggia, lo stragismo con la tassonomia dell'ostruzione, il caso Moro con la decomposizione in 3 piani, e la fase internazionale con i 9 teatri; l'apparato cumulato conta, attraverso le 5 fasi, oltre 50 nodi maggiori, un ordine di 300 pilastri documentali e di 150 triangolazioni, i repertori citabili delle fasi, il censimento integrale delle vittime nominate, i blocchi assolutori riportati per esteso, l'inventario degli Stati Zero e le 3 soglie archivistiche dichiarate del 1981, del 1990 e del 2014 quali condizioni storiche della conoscenza consegnata; e il grafo, costruito dai dati secondo la prescrizione fondativa della Nota metodologica, ha restituito le proprie misure senza che una sola struttura espositiva sia stata organizzata attorno a una tesi, l'adempimento del divieto del pollo di Popper che l'opera ha tenuto quale prima regola dalla prima riga all'ultima.</w:t>
      </w:r>
    </w:p>
    <w:p>
      <w:pPr>
        <w:spacing w:after="120" w:line="276"/>
        <w:jc w:val="both"/>
      </w:pPr>
      <w:r>
        <w:rPr>
          <w:rFonts w:ascii="Barlow Semi Condensed" w:cs="Barlow Semi Condensed" w:eastAsia="Barlow Semi Condensed" w:hAnsi="Barlow Semi Condensed"/>
          <w:sz w:val="24"/>
          <w:szCs w:val="24"/>
        </w:rPr>
        <w:t xml:space="preserve">Il secondo risultato è il verdetto sulle macro-ipotesi, che il registro riepiloga nella formulazione terminale. L'ipotesi H1 della convergenza imperiale esce archiviata viva: fatti di base certificati sino al Livello A nelle contrarietà pubbliche e nella simmetria delle interferenze ordinarie, convergenza oggettiva al Livello B, articolazione misurabile falsificata dal test statistico nullo pre-registrato, coordinamento mai documentato in alcun teatro, e il falsificatore milwardiano integralmente compatibile con ogni fatto certificato; l'ipotesi concorrente dei 2 progetti rivali esce con i propri successi esplicativi censiti e il medesimo statuto ipotetico; tra le 2 il registro dichiara l'evidenza non diagnostica e non decide. La conclusione di merito che l'opera promuove è la formulazione del giugno 2000, verificata quale massimo enunciato sostenuto dall'intero corpus senza residui contrari: non la restaurazione di un regime, ma il mantenimento di una democrazia a sovranità ed evoluzione limitate, con l'esclusione permanente di una parte del sistema dalla piena legittimazione di governo, amministrata attraverso un equilibrio precario continuo; il registro la consegna quale sintesi storiografica fondata, dichiarandone il livello e rifiutando di travestirla da teorema.</w:t>
      </w:r>
    </w:p>
    <w:p>
      <w:pPr>
        <w:spacing w:after="120" w:line="276"/>
        <w:jc w:val="both"/>
      </w:pPr>
      <w:r>
        <w:rPr>
          <w:rFonts w:ascii="Barlow Semi Condensed" w:cs="Barlow Semi Condensed" w:eastAsia="Barlow Semi Condensed" w:hAnsi="Barlow Semi Condensed"/>
          <w:sz w:val="24"/>
          <w:szCs w:val="24"/>
        </w:rPr>
        <w:t xml:space="preserve">Il terzo risultato è la mappa terminale delle centralità. La loggia P2 chiude quale massima intermediazione complessiva del grafo, presente in tutti i teatri maggiori nazionali con proiezione transnazionale certificata; il Dominio 3 quale connettivo universale; Michele Sindona e Licio Gelli quali massime intermediazioni individuali tra domini e continenti; Giuseppe Calò quale individuo con il maggior numero di giudicati capitali; il Sudafrica dell'apartheid quale hub inter-dossier del teatro internazionale; il nodo triestino quale massima stratificazione documentale con i suoi 7 strati indipendenti; e Mario Moretti quale massima centralità esecutiva individuale, ereditata dalla Fase 4. La mappa è consegnata quale misura, non quale gerarchia di colpe, secondo la distinzione che l'opera ha tenuto tra la posizione nella rete e la responsabilità nel giudizio, la seconda appartenendo soltanto agli esiti riportati.</w:t>
      </w:r>
    </w:p>
    <w:p>
      <w:pPr>
        <w:spacing w:after="120" w:line="276"/>
        <w:jc w:val="both"/>
      </w:pPr>
      <w:r>
        <w:rPr>
          <w:rFonts w:ascii="Barlow Semi Condensed" w:cs="Barlow Semi Condensed" w:eastAsia="Barlow Semi Condensed" w:hAnsi="Barlow Semi Condensed"/>
          <w:sz w:val="24"/>
          <w:szCs w:val="24"/>
        </w:rPr>
        <w:t xml:space="preserve">Il quarto risultato è il lascito metodologico. L'opera consegna alla ricerca gli strumenti che le 5 fasi hanno collaudato: i 3 livelli di certificazione con l'obbligo del livello dichiarato su ogni enunciato; la Regola Ferrea del divieto inferenziale; la disciplina degli esiti con le assoluzioni per esteso; la nominazione delle vittime; la decomposizione in piani; la tassonomia dell'ostruzione e la figura complementare dell'assenza selettiva; la categoria dello Stato Zero con il perimetro dichiarato; la legge empirica delle aperture con la tassonomia delle 5 vie; e il corollario del lampione quale correzione permanente delle comparazioni. Il registro dichiara che questi strumenti, e non le conclusioni, sono il prodotto primario dell'opera, giacché le conclusioni invecchieranno con gli archivi e gli strumenti no.</w:t>
      </w:r>
    </w:p>
    <w:p>
      <w:pPr>
        <w:spacing w:after="120" w:line="276"/>
        <w:jc w:val="both"/>
      </w:pPr>
      <w:r>
        <w:rPr>
          <w:rFonts w:ascii="Barlow Semi Condensed" w:cs="Barlow Semi Condensed" w:eastAsia="Barlow Semi Condensed" w:hAnsi="Barlow Semi Condensed"/>
          <w:sz w:val="24"/>
          <w:szCs w:val="24"/>
        </w:rPr>
        <w:t xml:space="preserve">Il quinto risultato è la mappa dei teatri e delle loro leggi. La fase consegna i 9 teatri internazionali ciascuno con la propria legge certificata: il ceppo iberico con la legge della copertura reale e della conoscibilità per collasso; il continente latinoamericano con la legge del rifugio per frattura giurisdizionale e l'unico caso di giustiziabilità piena del livello internazionale, il processo Condor; l'hub australe con la legge dell'irriducibilità bipolare e l'autocorrezione del lampione applicata al proprio primato; il santuario francese con la legge della protezione territoriale divenuta barriera; il Mediterraneo con la legge del consenso implicito e dei limiti di sangue certificati; l'Est con la legge della prova differita al collasso e della questione strutturalmente inaccertabile; l'Atlantico con la legge dell'autocritica imperiale quale fonte derivata della conoscenza italiana; il sistema stay-behind con la legge della chiusura per scoperta; e l'empirica degli archivi quale legge delle leggi, la regolarità che le governa tutte. La mappa è consegnata quale sintesi operativa del quinto cerchio, il livello dell'opera in cui ogni teatro ha restituito, oltre ai propri fatti, la propria regola.</w:t>
      </w:r>
    </w:p>
    <w:p>
      <w:pPr>
        <w:spacing w:after="120" w:line="276"/>
        <w:jc w:val="both"/>
      </w:pPr>
      <w:r>
        <w:rPr>
          <w:rFonts w:ascii="Barlow Semi Condensed" w:cs="Barlow Semi Condensed" w:eastAsia="Barlow Semi Condensed" w:hAnsi="Barlow Semi Condensed"/>
          <w:sz w:val="24"/>
          <w:szCs w:val="24"/>
        </w:rPr>
        <w:t xml:space="preserve">Il congedo è una dichiarazione di statuto. L'opera si chiude provvisoria per costituzione, datata alla configurazione archivistica del proprio tempo, con gli obiettivi consegnati, gli archivi francesi, il non versato italiano, gli archivi dei protettori non caduti, e con la certezza empirica che nessuna soglia futura verrà da sé; essa non consegna una verità sul potere occulto italiano, consegna l'inventario verificato di ciò che del potere occulto italiano è dimostrabile alla data, con i suoi livelli, i suoi vuoti e le sue ipotesi vive, e rivendica quale proprio compimento esattamente questa forma: in un campo dove l'oggetto di studio manipola le condizioni della propria osservabilità, avere reso ogni affermazione falsificabile, ogni assenza dichiarata e ogni metodo trasparente è la sola vittoria che la conoscenza possa conseguire. L'opera fu aperta, nella sua Nota fondativa, con il monito di Falcone sulla natura umana e perciò conoscibile del fatto criminale, e si chiude sulla sua verifica: 5 fasi hanno dimostrato che il fatto umano occulto è conoscibile nella misura in cui le sue tracce sopravvivono e i suoi archivi si aprono, che questa misura è storica e non teorica, e che il compito della conoscenza, dentro questa misura, è tenerne il registro con una probità tale che ogni riga possa essere impugnata; il registro dei nodi e dei ponti certificati è consegnato al lettore, alla ricerca e al tempo, citabile e aperto, e con esso l'opera adempie la sola promessa che aveva fatto, quella del metodo.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l'opera si chiude con il grafo compiuto delle 5 fasi, il verdetto che archivia vive le 2 macro-ipotesi sotto evidenza non diagnostica, la promozione della formulazione del giugno 2000 quale massima sintesi fondata, la mappa terminale delle centralità con la loggia quale massima intermediazione e i ponti individuali certificati, il lascito degli strumenti quale prodotto primario e la dichiarazione di provvisorietà archivistica quale statuto; il registro dei nodi e dei ponti certificati è consegnato, citabile e aperto.</w:t>
      </w:r>
    </w:p>
    <w:p>
      <w:pPr>
        <w:pStyle w:val="Heading2"/>
        <w:spacing w:after="100" w:before="200"/>
      </w:pPr>
      <w:r>
        <w:rPr>
          <w:rFonts w:ascii="Barlow Semi Condensed" w:cs="Barlow Semi Condensed" w:eastAsia="Barlow Semi Condensed" w:hAnsi="Barlow Semi Condensed"/>
          <w:sz w:val="24"/>
          <w:szCs w:val="24"/>
        </w:rPr>
        <w:t xml:space="preserve">APPARATO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Registro di Verifica e Triangolazione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Otto tranche — 538 blocchi certificati</w:t>
      </w:r>
    </w:p>
    <w:p>
      <w:pPr>
        <w:pStyle w:val="Heading3"/>
        <w:spacing w:after="80" w:before="160"/>
      </w:pPr>
      <w:r>
        <w:rPr>
          <w:rFonts w:ascii="Barlow Semi Condensed" w:cs="Barlow Semi Condensed" w:eastAsia="Barlow Semi Condensed" w:hAnsi="Barlow Semi Condensed"/>
          <w:sz w:val="24"/>
          <w:szCs w:val="24"/>
        </w:rPr>
        <w:t xml:space="preserve">Avvertenza di lettura</w:t>
      </w:r>
    </w:p>
    <w:p>
      <w:pPr>
        <w:spacing w:after="120" w:line="276"/>
        <w:jc w:val="both"/>
      </w:pPr>
      <w:r>
        <w:rPr>
          <w:rFonts w:ascii="Barlow Semi Condensed" w:cs="Barlow Semi Condensed" w:eastAsia="Barlow Semi Condensed" w:hAnsi="Barlow Semi Condensed"/>
          <w:sz w:val="24"/>
          <w:szCs w:val="24"/>
        </w:rPr>
        <w:t xml:space="preserve">Questo documento non è una narrazione a tesi. È un registro di verifica costruito applicando alla lettera il vincolo epistemologico più stringente della Nota Metodologica di ITALIA NERA: la struttura dell’opera non deve irradiare da un’ipotesi, ma dai dati. La stessa Nota indica come esempio di ciò che va evitato la formula secondo cui Stati Uniti e Unione Sovietica convergerebbero segretamente per impedire l’integrazione europea, disposta in cerchi concentrici attorno a quel centro interpretativo. Organizzare il materiale attorno a quella tesi collocherebbe l’analista nella posizione del tacchino di Russell descritta da Popper: accumulerebbe conferme senza mai sottoporre l’ipotesi alla prova della falsificazione. Per questa ragione il presente registro tratta quella tesi come una delle ipotesi in competizione, non come cornice, e la sottopone al vaglio dell’Analysis of Competing Hypotheses.</w:t>
      </w:r>
    </w:p>
    <w:p>
      <w:pPr>
        <w:spacing w:after="120" w:line="276"/>
        <w:jc w:val="both"/>
      </w:pPr>
      <w:r>
        <w:rPr>
          <w:rFonts w:ascii="Barlow Semi Condensed" w:cs="Barlow Semi Condensed" w:eastAsia="Barlow Semi Condensed" w:hAnsi="Barlow Semi Condensed"/>
          <w:sz w:val="24"/>
          <w:szCs w:val="24"/>
        </w:rPr>
        <w:t xml:space="preserve">Ogni asserzione è accompagnata dalla sua classificazione probatoria secondo la scala di triangolazione Savona adottata dall’opera: Livello A per la connessione documentata da almeno tre fonti indipendenti di natura diversa; Livello B per la connessione indiziaria sorretta da due fonti indipendenti o da una singola fonte di alta affidabilità; Livello C per la connessione ipotetica basata su una fonte singola o su indizi circostanziali. Una connessione sistematicamente cercata e non trovata è registrata come Stato Zero, che nella metodologia dell’opera è un risultato di prima classe, non una lacuna da colmare. Vige su ogni riga la Regola Ferrea: nessun salto inferenziale tra piani probatori distinti, e in particolare il divieto di inferire il mandato dalla copertura.</w:t>
      </w:r>
    </w:p>
    <w:p>
      <w:pPr>
        <w:spacing w:after="120" w:line="276"/>
        <w:jc w:val="both"/>
      </w:pPr>
      <w:r>
        <w:rPr>
          <w:rFonts w:ascii="Barlow Semi Condensed" w:cs="Barlow Semi Condensed" w:eastAsia="Barlow Semi Condensed" w:hAnsi="Barlow Semi Condensed"/>
          <w:sz w:val="24"/>
          <w:szCs w:val="24"/>
        </w:rPr>
        <w:t xml:space="preserve">Il documento distingue con rigore tre statuti del sapere che il linguaggio corrente tende a confondere: il fatto storico documentato, l’accusa formulata da una fonte qualificata ma non accertata in giudizio, e la mera associazione o coincidenza. Per le persone viventi nominate il registro riporta esclusivamente fatti pubblici e documentati, senza inferenza associativa; le caratterizzazioni provenienti da inchieste giornalistiche o da rapporti di organizzazioni specializzate sono attribuite alla loro fonte e non presentate come verità processuali. La Fase V è dedicata per intero al vaglio dei possibili rilievi civili e penali, in materia di diffamazione e di calunnia, e al protocollo redazionale che ne discende.</w:t>
      </w:r>
    </w:p>
    <w:p>
      <w:pPr>
        <w:pStyle w:val="Heading3"/>
        <w:spacing w:after="80" w:before="160"/>
      </w:pPr>
      <w:r>
        <w:rPr>
          <w:rFonts w:ascii="Barlow Semi Condensed" w:cs="Barlow Semi Condensed" w:eastAsia="Barlow Semi Condensed" w:hAnsi="Barlow Semi Condensed"/>
          <w:sz w:val="24"/>
          <w:szCs w:val="24"/>
        </w:rPr>
        <w:t xml:space="preserve">FASE 0 — PREMESSA EPISTEMOLOGICA E PROTOCOLLO OPERATIVO</w:t>
      </w:r>
    </w:p>
    <w:p>
      <w:pPr>
        <w:spacing w:after="120" w:line="276"/>
        <w:jc w:val="both"/>
      </w:pPr>
      <w:r>
        <w:rPr>
          <w:rFonts w:ascii="Barlow Semi Condensed" w:cs="Barlow Semi Condensed" w:eastAsia="Barlow Semi Condensed" w:hAnsi="Barlow Semi Condensed"/>
          <w:sz w:val="24"/>
          <w:szCs w:val="24"/>
        </w:rPr>
        <w:t xml:space="preserve">0.1 — Oggetto, perimetro e limiti del documento</w:t>
      </w:r>
    </w:p>
    <w:p>
      <w:pPr>
        <w:spacing w:after="120" w:line="276"/>
        <w:jc w:val="both"/>
      </w:pPr>
      <w:r>
        <w:rPr>
          <w:rFonts w:ascii="Barlow Semi Condensed" w:cs="Barlow Semi Condensed" w:eastAsia="Barlow Semi Condensed" w:hAnsi="Barlow Semi Condensed"/>
          <w:sz w:val="24"/>
          <w:szCs w:val="24"/>
        </w:rPr>
        <w:t xml:space="preserve">Il registro triangola il contenuto integrale di un corpus documentale eterogeneo, composto dai materiali allegati e dagli approfondimenti tematici prodotti nell’ambito del progetto. Il corpus copre due oggetti storicamente e cronologicamente distinti. Il primo è una rete transnazionale di matrice controrivoluzionaria e anticomunista che si struttura all’indomani della Seconda guerra mondiale, salda la diaspora nazista, gli apparati iberici, il neofascismo italiano in fuga, la Loggia P2 e il terrore coordinato del Cono Sur. Il secondo è un’operazione di influenza contemporanea, diretta dalla Federazione Russa e da attori ad essa collegati, finalizzata all’erosione dell’ordine euro-atlantico dall’interno. Il documento ricostruisce ciascuna formazione con la propria gradazione probatoria, ne analizza la struttura secondo le misure e i pattern della network analysis, e infine mette le due formazioni a confronto per stabilire cosa il corpus autorizzi effettivamente a inferire sul loro rapporto.</w:t>
      </w:r>
    </w:p>
    <w:p>
      <w:pPr>
        <w:spacing w:after="120" w:line="276"/>
        <w:jc w:val="both"/>
      </w:pPr>
      <w:r>
        <w:rPr>
          <w:rFonts w:ascii="Barlow Semi Condensed" w:cs="Barlow Semi Condensed" w:eastAsia="Barlow Semi Condensed" w:hAnsi="Barlow Semi Condensed"/>
          <w:sz w:val="24"/>
          <w:szCs w:val="24"/>
        </w:rPr>
        <w:t xml:space="preserve">Il perimetro è definito anche in negativo. Il documento non attribuisce responsabilità penali che non risultino da sentenze; non promuove congetture al rango di fatti; non ricostruisce l’architettura interna di operazioni che darebbero istruzioni operative; non fornisce consulenza legale. La ricognizione dei profili di responsabilità civile e penale che l’opera contiene è informazione generale di orientamento, non parere professionale.</w:t>
      </w:r>
    </w:p>
    <w:p>
      <w:pPr>
        <w:spacing w:after="120" w:line="276"/>
        <w:jc w:val="both"/>
      </w:pPr>
      <w:r>
        <w:rPr>
          <w:rFonts w:ascii="Barlow Semi Condensed" w:cs="Barlow Semi Condensed" w:eastAsia="Barlow Semi Condensed" w:hAnsi="Barlow Semi Condensed"/>
          <w:sz w:val="24"/>
          <w:szCs w:val="24"/>
        </w:rPr>
        <w:t xml:space="preserve">0.2 — Perché la struttura non irradia da un’ipotesi</w:t>
      </w:r>
    </w:p>
    <w:p>
      <w:pPr>
        <w:spacing w:after="120" w:line="276"/>
        <w:jc w:val="both"/>
      </w:pPr>
      <w:r>
        <w:rPr>
          <w:rFonts w:ascii="Barlow Semi Condensed" w:cs="Barlow Semi Condensed" w:eastAsia="Barlow Semi Condensed" w:hAnsi="Barlow Semi Condensed"/>
          <w:sz w:val="24"/>
          <w:szCs w:val="24"/>
        </w:rPr>
        <w:t xml:space="preserve">La scelta di non organizzare il materiale in cerchi concentrici attorno a una tesi non è una preferenza stilistica: è la traduzione operativa del falsificazionismo. Popper mostra che nessuna quantità di osservazioni conformi dimostra una legge universale, mentre una sola osservazione contraria la falsifica. Una struttura che dispone i dati attorno a un centro interpretativo produce conferme per effetto della propria forma, non per forza intrinseca dell’evidenza: è la struttura stessa a generare il consenso apparente. Il registro adotta perciò l’architettura opposta. Ricostruisce prima, e separatamente, le due formazioni empiriche che emergono dal corpus; solo dopo, e come esito del vaglio, formula il giudizio sulla loro relazione. In questo modo il momento della prova precede il momento della sintesi, secondo la distinzione — cardine della metodologia dell’opera — tra ordine dell’esposizione e ordine della prova.</w:t>
      </w:r>
    </w:p>
    <w:p>
      <w:pPr>
        <w:spacing w:after="120" w:line="276"/>
        <w:jc w:val="both"/>
      </w:pPr>
      <w:r>
        <w:rPr>
          <w:rFonts w:ascii="Barlow Semi Condensed" w:cs="Barlow Semi Condensed" w:eastAsia="Barlow Semi Condensed" w:hAnsi="Barlow Semi Condensed"/>
          <w:sz w:val="24"/>
          <w:szCs w:val="24"/>
        </w:rPr>
        <w:t xml:space="preserve">0.3 — Le ipotesi in competizione e il metodo ACH</w:t>
      </w:r>
    </w:p>
    <w:p>
      <w:pPr>
        <w:spacing w:after="120" w:line="276"/>
        <w:jc w:val="both"/>
      </w:pPr>
      <w:r>
        <w:rPr>
          <w:rFonts w:ascii="Barlow Semi Condensed" w:cs="Barlow Semi Condensed" w:eastAsia="Barlow Semi Condensed" w:hAnsi="Barlow Semi Condensed"/>
          <w:sz w:val="24"/>
          <w:szCs w:val="24"/>
        </w:rPr>
        <w:t xml:space="preserve">Il corpus è vagliato rispetto a tre ipotesi esplicite, secondo la procedura dell’Analysis of Competing Hypotheses di Richards Heuer, che impone di valutare non quale ipotesi accumuli più conferme — perché tutte tendono ad accumularne — ma quale sia meno contraddetta dalle evidenze diagnostiche. La prima ipotesi, denominata H1, è la tesi del condominio: Stati Uniti e Unione Sovietica, poi Stati Uniti e Russia, pur essendo avversari, agirebbero di concerto per indebolire i singoli Stati europei e impedire l’integrazione. La seconda ipotesi, denominata H2, è la tesi delle due internazionali rivali: esistono, in due epoche successive, due formazioni autoritarie transnazionali distinte e in larga parte opposte quanto a sponsor — una a matrice atlantica e anticomunista, l’altra a matrice eurasiatista — che condividono però la funzione di destabilizzare il centro liberale a partire dal fianco. La terza ipotesi, denominata H3, è l’ipotesi nulla o della convergenza emergente: gli effetti destabilizzanti convergenti non presuppongono coordinamento, ma discendono da interessi paralleli e indipendenti che l’osservatore retrospettivo tende a leggere come disegno. La Fase IV espone la matrice di consistenza e il giudizio.</w:t>
      </w:r>
    </w:p>
    <w:p>
      <w:pPr>
        <w:spacing w:after="120" w:line="276"/>
        <w:jc w:val="both"/>
      </w:pPr>
      <w:r>
        <w:rPr>
          <w:rFonts w:ascii="Barlow Semi Condensed" w:cs="Barlow Semi Condensed" w:eastAsia="Barlow Semi Condensed" w:hAnsi="Barlow Semi Condensed"/>
          <w:sz w:val="24"/>
          <w:szCs w:val="24"/>
        </w:rPr>
        <w:t xml:space="preserve">0.4 — Standard probatorio: i tre livelli Savona e la Regola Ferrea</w:t>
      </w:r>
    </w:p>
    <w:p>
      <w:pPr>
        <w:spacing w:after="120" w:line="276"/>
        <w:jc w:val="both"/>
      </w:pPr>
      <w:r>
        <w:rPr>
          <w:rFonts w:ascii="Barlow Semi Condensed" w:cs="Barlow Semi Condensed" w:eastAsia="Barlow Semi Condensed" w:hAnsi="Barlow Semi Condensed"/>
          <w:sz w:val="24"/>
          <w:szCs w:val="24"/>
        </w:rPr>
        <w:t xml:space="preserve">La scala di attendibilità replica lo standard di triangolazione delle fonti. Una connessione è certificata a Livello A quando convergono almeno tre fonti indipendenti di natura eterogenea: ad esempio un provvedimento sanzionatorio istituzionale, un’inchiesta giornalistica documentata e un’analisi tecnica di soggetti specializzati. È classificata a Livello B quando poggia su due fonti indipendenti oppure su una singola fonte di alta affidabilità, come una relazione parlamentare circostanziata o un documento desecretato. È marcata a Livello C quando si fonda su una fonte singola o su una convergenza di indizi circostanziali, ossia coincidenza temporale, prossimità geografica, appartenenza al medesimo ambiente. La Regola Ferrea impedisce di trasformare un livello inferiore in uno superiore per accumulo narrativo: la ripetizione di un indizio non lo promuove a prova, e la dimostrazione che un fatto è stato coperto non dimostra chi lo abbia ordinato.</w:t>
      </w:r>
    </w:p>
    <w:p>
      <w:pPr>
        <w:spacing w:after="120" w:line="276"/>
        <w:jc w:val="both"/>
      </w:pPr>
      <w:r>
        <w:rPr>
          <w:rFonts w:ascii="Barlow Semi Condensed" w:cs="Barlow Semi Condensed" w:eastAsia="Barlow Semi Condensed" w:hAnsi="Barlow Semi Condensed"/>
          <w:sz w:val="24"/>
          <w:szCs w:val="24"/>
        </w:rPr>
        <w:t xml:space="preserve">0.5 — Disciplina delle persone viventi e vaglio dei rilievi</w:t>
      </w:r>
    </w:p>
    <w:p>
      <w:pPr>
        <w:spacing w:after="120" w:line="276"/>
        <w:jc w:val="both"/>
      </w:pPr>
      <w:r>
        <w:rPr>
          <w:rFonts w:ascii="Barlow Semi Condensed" w:cs="Barlow Semi Condensed" w:eastAsia="Barlow Semi Condensed" w:hAnsi="Barlow Semi Condensed"/>
          <w:sz w:val="24"/>
          <w:szCs w:val="24"/>
        </w:rPr>
        <w:t xml:space="preserve">Il corpus nomina persone viventi, alcune delle quali titolari di cariche pubbliche. Per esse il registro applica una disciplina rigorosa: riferisce solo fatti pubblici e documentati — un accordo sottoscritto, un’espulsione da un gruppo parlamentare, una partecipazione a una missione di osservazione — e si astiene da ogni inferenza associativa che trasformi la contiguità in complicità. Le qualificazioni discreditanti che provengono da inchieste o da rapporti di organizzazioni non governative sono presentate come tesi della fonte, con indicazione della fonte, e non come accertamenti. Questa disciplina non è cautela formale: come la Fase V argomenta, è precisamente la presentazione di un’accusa non provata come fatto certo a generare l’esposizione civile e penale che il progetto intende scongiurare. La protezione non consiste nel certificare, ma nel graduare e nell’attribuire.</w:t>
      </w:r>
    </w:p>
    <w:p>
      <w:pPr>
        <w:spacing w:after="120" w:line="276"/>
        <w:jc w:val="both"/>
      </w:pPr>
      <w:r>
        <w:rPr>
          <w:rFonts w:ascii="Barlow Semi Condensed" w:cs="Barlow Semi Condensed" w:eastAsia="Barlow Semi Condensed" w:hAnsi="Barlow Semi Condensed"/>
          <w:sz w:val="24"/>
          <w:szCs w:val="24"/>
        </w:rPr>
        <w:t xml:space="preserve">0.6 — Ambito e trasparenza della verifica effettuata</w:t>
      </w:r>
    </w:p>
    <w:p>
      <w:pPr>
        <w:spacing w:after="120" w:line="276"/>
        <w:jc w:val="both"/>
      </w:pPr>
      <w:r>
        <w:rPr>
          <w:rFonts w:ascii="Barlow Semi Condensed" w:cs="Barlow Semi Condensed" w:eastAsia="Barlow Semi Condensed" w:hAnsi="Barlow Semi Condensed"/>
          <w:sz w:val="24"/>
          <w:szCs w:val="24"/>
        </w:rPr>
        <w:t xml:space="preserve">L’ordine di eseguire un vaglio a cascata su cento blocchi va inteso come processo iterativo e pluri-sessione, coerente con la pratica cumulativa dell’opera, che conserva ogni versione e la incrementa. Il presente documento costituisce la prima tranche certificata di quel processo. La verifica indipendente è stata concentrata, in questa fase, sulle asserzioni a più alto rischio: quelle contemporanee, verificabili in fonti primarie recenti, e quelle relative a persone viventi, dove l’esattezza è insieme un dovere metodologico e una tutela legale. Il materiale storico — ratlines, P2, Condor, elusione dell’embargo dell’apartheid — poggia su un corpo consolidato di documentazione accademica, giudiziaria e archivistica, e i documenti del corpus ne citano le fonti; per esso il registro rinvia a quel corpo e ne certifica i nodi principali. La Fase VI riporta in forma di schede in prosa i blocchi di verifica effettivamente eseguiti, con esito e livello, e dichiara con trasparenza i blocchi rinviati alle tranche successive.</w:t>
      </w:r>
    </w:p>
    <w:p>
      <w:pPr>
        <w:pStyle w:val="Heading3"/>
        <w:spacing w:after="80" w:before="160"/>
      </w:pPr>
      <w:r>
        <w:rPr>
          <w:rFonts w:ascii="Barlow Semi Condensed" w:cs="Barlow Semi Condensed" w:eastAsia="Barlow Semi Condensed" w:hAnsi="Barlow Semi Condensed"/>
          <w:sz w:val="24"/>
          <w:szCs w:val="24"/>
        </w:rPr>
        <w:t xml:space="preserve">FASE I — FORMAZIONE ALFA: LA RETE NERA ANTICOMUNISTA TRANSNAZIONALE (1945–1990)</w:t>
      </w:r>
    </w:p>
    <w:p>
      <w:pPr>
        <w:spacing w:after="120" w:line="276"/>
        <w:jc w:val="both"/>
      </w:pPr>
      <w:r>
        <w:rPr>
          <w:rFonts w:ascii="Barlow Semi Condensed" w:cs="Barlow Semi Condensed" w:eastAsia="Barlow Semi Condensed" w:hAnsi="Barlow Semi Condensed"/>
          <w:sz w:val="24"/>
          <w:szCs w:val="24"/>
        </w:rPr>
        <w:t xml:space="preserve">La prima formazione si dispone lungo un asse temporale che muove dal 1945 e lungo un asse spaziale che dall’Europa continentale procede verso la penisola iberica, poi verso il Sud America e infine verso l’Africa australe. Il criterio espositivo è geografico-processuale: si segue il flusso — di persone, competenze, capitali e violenza — così come esso attraversa i domini e le frontiere. Il codice che tiene insieme la formazione, nel senso sistemico dell’opera, è l’anticomunismo radicale; la sua collocazione geopolitica, come il capitolo conclusivo della Fase argomenta, è di allineamento con l’anticomunismo occidentale, non di equidistanza tra i blocchi.</w:t>
      </w:r>
    </w:p>
    <w:p>
      <w:pPr>
        <w:spacing w:after="120" w:line="276"/>
        <w:jc w:val="both"/>
      </w:pPr>
      <w:r>
        <w:rPr>
          <w:rFonts w:ascii="Barlow Semi Condensed" w:cs="Barlow Semi Condensed" w:eastAsia="Barlow Semi Condensed" w:hAnsi="Barlow Semi Condensed"/>
          <w:sz w:val="24"/>
          <w:szCs w:val="24"/>
        </w:rPr>
        <w:t xml:space="preserve">1.1 — La diaspora nazista e le ratlines: il fatto documentato</w:t>
      </w:r>
    </w:p>
    <w:p>
      <w:pPr>
        <w:spacing w:after="120" w:line="276"/>
        <w:jc w:val="both"/>
      </w:pPr>
      <w:r>
        <w:rPr>
          <w:rFonts w:ascii="Barlow Semi Condensed" w:cs="Barlow Semi Condensed" w:eastAsia="Barlow Semi Condensed" w:hAnsi="Barlow Semi Condensed"/>
          <w:sz w:val="24"/>
          <w:szCs w:val="24"/>
        </w:rPr>
        <w:t xml:space="preserve">Che decine di migliaia di criminali di guerra e collaborazionisti nazisti siano sfuggiti alla giustizia rifugiandosi oltreoceano nel dopoguerra è acquisizione storiografica consolidata, non congettura: è pertanto certificato a Livello A. Le stime più accreditate collocano nella sola area sudamericana un numero dell’ordine di alcune migliaia di individui, con l’Argentina di Juan Domingo Perón come polo principale di accoglienza. La documentazione converge nell’indicare tre elementi ricorrenti del meccanismo di esfiltrazione: il rilascio di documenti di viaggio, spesso lasciapassare del Comitato Internazionale della Croce Rossa ottenuti con generalità false; la mediazione di settori ecclesiastici, con figure come il vescovo Alois Hudal a Roma e, sul versante argentino, l’azione del cardinale Antonio Caggiano; e l’esistenza di canali logistici stabili lungo la direttrice che dall’Italia settentrionale conduceva ai porti di imbarco.</w:t>
      </w:r>
    </w:p>
    <w:p>
      <w:pPr>
        <w:spacing w:after="120" w:line="276"/>
        <w:jc w:val="both"/>
      </w:pPr>
      <w:r>
        <w:rPr>
          <w:rFonts w:ascii="Barlow Semi Condensed" w:cs="Barlow Semi Condensed" w:eastAsia="Barlow Semi Condensed" w:hAnsi="Barlow Semi Condensed"/>
          <w:sz w:val="24"/>
          <w:szCs w:val="24"/>
        </w:rPr>
        <w:t xml:space="preserve">La distinzione tra il dato documentato e il mito è qui essenziale. L’esistenza di vie di fuga strutturate è a Livello A; l’immagine di un’unica organizzazione centralizzata denominata ODESSA, dotata di comando unitario, appartiene invece alla vulgata e va classificata a Livello C, poiché la ricerca storica documenta piuttosto una pluralità di reti parzialmente sovrapposte — la cosiddetta linea dei conventi, i circuiti di reduci, gli sportelli consolari compiacenti — più che un apparato unico. I casi individuali meglio accertati confermano il meccanismo senza richiedere l’ipotesi centralistica: la fuga di Adolf Eichmann in Argentina e la sua successiva cattura, la lunga latitanza di Josef Mengele tra Argentina, Paraguay e Brasile, la protezione di cui godette Klaus Barbie in Bolivia, la fuga di Franz Stangl. Ciascuno di questi percorsi è documentato a Livello A; la loro riconduzione a un’unica regia è un’inferenza che il corpus non sostiene.</w:t>
      </w:r>
    </w:p>
    <w:p>
      <w:pPr>
        <w:spacing w:after="120" w:line="276"/>
        <w:jc w:val="both"/>
      </w:pPr>
      <w:r>
        <w:rPr>
          <w:rFonts w:ascii="Barlow Semi Condensed" w:cs="Barlow Semi Condensed" w:eastAsia="Barlow Semi Condensed" w:hAnsi="Barlow Semi Condensed"/>
          <w:sz w:val="24"/>
          <w:szCs w:val="24"/>
        </w:rPr>
        <w:t xml:space="preserve">1.2 — L’hub iberico: economia, esfiltrazione, ideologia</w:t>
      </w:r>
    </w:p>
    <w:p>
      <w:pPr>
        <w:spacing w:after="120" w:line="276"/>
        <w:jc w:val="both"/>
      </w:pPr>
      <w:r>
        <w:rPr>
          <w:rFonts w:ascii="Barlow Semi Condensed" w:cs="Barlow Semi Condensed" w:eastAsia="Barlow Semi Condensed" w:hAnsi="Barlow Semi Condensed"/>
          <w:sz w:val="24"/>
          <w:szCs w:val="24"/>
        </w:rPr>
        <w:t xml:space="preserve">La penisola iberica funziona, nel dopoguerra, come camera di compensazione tra l’Europa sconfitta e le rotte atlantiche. La documentazione converge su un nucleo di elementi certificabili a Livello A o a Livello B. Sul piano economico, la persistenza di strutture d’affari tedesche in Spagna — attorno a figure come Johannes Bernhardt e al gruppo SOFINDUS — costituisce il retroterra materiale che finanzia e occulta. Sul piano dell’assistenza ai latitanti, l’attività di reti di sostegno legate ad ambienti falangisti, con figure come Clara Stauffer, è documentata. Sul versante alleato, l’operazione Safehaven, condotta per rintracciare e neutralizzare i capitali e i beni trafugati dal Reich, testimonia in negativo l’esistenza stessa di quei flussi.</w:t>
      </w:r>
    </w:p>
    <w:p>
      <w:pPr>
        <w:spacing w:after="120" w:line="276"/>
        <w:jc w:val="both"/>
      </w:pPr>
      <w:r>
        <w:rPr>
          <w:rFonts w:ascii="Barlow Semi Condensed" w:cs="Barlow Semi Condensed" w:eastAsia="Barlow Semi Condensed" w:hAnsi="Barlow Semi Condensed"/>
          <w:sz w:val="24"/>
          <w:szCs w:val="24"/>
        </w:rPr>
        <w:t xml:space="preserve">Attorno a questo hub gravitano figure-cerniera di lungo periodo la cui rilevanza è strutturale più che numerica, secondo la logica della betweenness centrality: individui poco visibili al pubblico ma cruciali per collegare ambienti altrimenti disconnessi. Il collaborazionista belga Léon Degrelle trova rifugio e continuità politica in Spagna. Soprattutto Otto Skorzeny opera come snodo tra il mondo dei reduci, i servizi e il mercato della sicurezza: la sua associazione con circuiti di mutuo soccorso tra ex combattenti e, in fase successiva, con strutture di consulenza paramilitare come il gruppo Paladin, è documentata a Livello B, mentre le versioni massimaliste che ne fanno il regista di un’unica internazionale nera restano a Livello C. La rete iberica illustra un pattern che ricorrerà: la saldatura tra un retroterra economico, una copertura ideologica e una capacità operativa di sicurezza.</w:t>
      </w:r>
    </w:p>
    <w:p>
      <w:pPr>
        <w:spacing w:after="120" w:line="276"/>
        <w:jc w:val="both"/>
      </w:pPr>
      <w:r>
        <w:rPr>
          <w:rFonts w:ascii="Barlow Semi Condensed" w:cs="Barlow Semi Condensed" w:eastAsia="Barlow Semi Condensed" w:hAnsi="Barlow Semi Condensed"/>
          <w:sz w:val="24"/>
          <w:szCs w:val="24"/>
        </w:rPr>
        <w:t xml:space="preserve">1.3 — Il ponte italiano: il neofascismo in fuga</w:t>
      </w:r>
    </w:p>
    <w:p>
      <w:pPr>
        <w:spacing w:after="120" w:line="276"/>
        <w:jc w:val="both"/>
      </w:pPr>
      <w:r>
        <w:rPr>
          <w:rFonts w:ascii="Barlow Semi Condensed" w:cs="Barlow Semi Condensed" w:eastAsia="Barlow Semi Condensed" w:hAnsi="Barlow Semi Condensed"/>
          <w:sz w:val="24"/>
          <w:szCs w:val="24"/>
        </w:rPr>
        <w:t xml:space="preserve">Il neofascismo italiano costituisce il ponte che collega l’eredità europea alla sua proiezione sudamericana. Dopo la stagione della cosiddetta strategia della tensione e sotto la pressione delle inchieste, alcuni esponenti dell’eversione di destra lasciano l’Italia e trovano impiego e protezione oltreoceano. La figura emblematica è Stefano Delle Chiaie, fondatore di Avanguardia Nazionale, la cui traiettoria attraverso Spagna, Cile, Bolivia e altri Paesi del continente è documentata a Livello A dalle risultanze giudiziarie e archivistiche. Analoga la parabola di altri militanti di area — tra cui Elio Massagrande — che si inseriscono nei circuiti di sicurezza dei regimi. La rilevanza di questo ponte non è quantitativa ma funzionale: esso trasferisce una competenza specifica, quella della violenza politica organizzata, dal contesto europeo a quello dei regimi del Cono Sur, dove essa viene messa al servizio della repressione interna e transnazionale.</w:t>
      </w:r>
    </w:p>
    <w:p>
      <w:pPr>
        <w:spacing w:after="120" w:line="276"/>
        <w:jc w:val="both"/>
      </w:pPr>
      <w:r>
        <w:rPr>
          <w:rFonts w:ascii="Barlow Semi Condensed" w:cs="Barlow Semi Condensed" w:eastAsia="Barlow Semi Condensed" w:hAnsi="Barlow Semi Condensed"/>
          <w:sz w:val="24"/>
          <w:szCs w:val="24"/>
        </w:rPr>
        <w:t xml:space="preserve">1.4 — La P2 come camera di compensazione: fatto, gradazione, falsi positivi</w:t>
      </w:r>
    </w:p>
    <w:p>
      <w:pPr>
        <w:spacing w:after="120" w:line="276"/>
        <w:jc w:val="both"/>
      </w:pPr>
      <w:r>
        <w:rPr>
          <w:rFonts w:ascii="Barlow Semi Condensed" w:cs="Barlow Semi Condensed" w:eastAsia="Barlow Semi Condensed" w:hAnsi="Barlow Semi Condensed"/>
          <w:sz w:val="24"/>
          <w:szCs w:val="24"/>
        </w:rPr>
        <w:t xml:space="preserve">La Loggia Propaganda 2 diretta da Licio Gelli è, nel corpus, il nodo italiano a più alta centralità di grado, poiché interseca simultaneamente politica, apparati, forze armate, finanza e informazione. La sua esistenza e la sua natura sono documentate a Livello A. Il 17 marzo 1981 la Guardia di Finanza, su mandato dei giudici milanesi Gherardo Colombo e Giuliano Turone che indagavano sul crac di Michele Sindona, rinvenne negli uffici di Gelli a Castiglion Fibocchi l’elenco dei circa 962 iscritti, reso pubblico dalla Presidenza del Consiglio il 21 maggio 1981. La Commissione parlamentare d’inchiesta presieduta da Tina Anselmi, nella relazione del 12 luglio 1984, giudicò le liste «autentiche» e «attendibili» sotto il profilo sia formale sia sostanziale, sulla base di riscontri contabili puntuali per centinaia di nominativi.</w:t>
      </w:r>
    </w:p>
    <w:p>
      <w:pPr>
        <w:spacing w:after="120" w:line="276"/>
        <w:jc w:val="both"/>
      </w:pPr>
      <w:r>
        <w:rPr>
          <w:rFonts w:ascii="Barlow Semi Condensed" w:cs="Barlow Semi Condensed" w:eastAsia="Barlow Semi Condensed" w:hAnsi="Barlow Semi Condensed"/>
          <w:sz w:val="24"/>
          <w:szCs w:val="24"/>
        </w:rPr>
        <w:t xml:space="preserve">Proprio la P2 impone però la disciplina più severa sui falsi positivi, ed è per questo un modello per l’intero registro. La stessa documentazione avverte che la presenza di un nominativo nell’elenco non equivale all’acclarata appartenenza alla loggia: diversi soggetti contestarono con successo la propria inclusione davanti alla magistratura. Va inoltre tenuta ferma la distinzione tra l’accertamento parlamentare, di natura storico-politica, e l’esito giudiziario, che non ravvisò la fattispecie della cospirazione politica nei termini prospettati dalla Commissione. Ne discende una regola operativa: l’appartenenza formale è certificabile a Livello A solo per i nominativi assistiti da riscontro documentale autonomo, mentre per gli altri va mantenuto un livello inferiore. La medesima cautela si applica alle presunte affiliazioni internazionali della loggia: la presenza tra gli iscritti di figure del regime argentino — è documentata la posizione di Emilio Massera — è distinta dalle attribuzioni per omonimia o per contiguità che non trovano riscontro nell’elenco, le quali vanno respinte come falsi positivi e non annoverate tra le prove.</w:t>
      </w:r>
    </w:p>
    <w:p>
      <w:pPr>
        <w:spacing w:after="120" w:line="276"/>
        <w:jc w:val="both"/>
      </w:pPr>
      <w:r>
        <w:rPr>
          <w:rFonts w:ascii="Barlow Semi Condensed" w:cs="Barlow Semi Condensed" w:eastAsia="Barlow Semi Condensed" w:hAnsi="Barlow Semi Condensed"/>
          <w:sz w:val="24"/>
          <w:szCs w:val="24"/>
        </w:rPr>
        <w:t xml:space="preserve">1.5 — Operazione Condor e la WACL: il terrore coordinato</w:t>
      </w:r>
    </w:p>
    <w:p>
      <w:pPr>
        <w:spacing w:after="120" w:line="276"/>
        <w:jc w:val="both"/>
      </w:pPr>
      <w:r>
        <w:rPr>
          <w:rFonts w:ascii="Barlow Semi Condensed" w:cs="Barlow Semi Condensed" w:eastAsia="Barlow Semi Condensed" w:hAnsi="Barlow Semi Condensed"/>
          <w:sz w:val="24"/>
          <w:szCs w:val="24"/>
        </w:rPr>
        <w:t xml:space="preserve">L’Operazione Condor è il sistema di coordinamento delle polizie segrete del Cono Sur per l’identificazione, la cattura e l’eliminazione degli oppositori di sinistra. La sua formalizzazione è documentata a Livello A: fu istituita nella riunione tenutasi a Santiago del Cile tra il 25 novembre e il 1º dicembre 1975, convocata dal direttore della DINA cilena Manuel Contreras, con la partecipazione dei servizi di Cile, Argentina, Bolivia, Paraguay e Uruguay, cui si aggiunse in seguito il Brasile. La prova documentale prima e più solida è emersa dall’Archivo del Terror, rinvenuto in Paraguay il 22 dicembre 1992 dall’attivista Martín Almada, che conteneva l’invito di Contreras e l’atto conclusivo della riunione. Le azioni omicide extraterritoriali del sistema sono anch’esse accertate a Livello A: l’attentato di Washington del 21 settembre 1976 contro l’ex ministro cileno Orlando Letelier, eseguito da Michael Townley con documenti paraguaiani falsi ottenuti attraverso i protocolli di Condor, valse a Contreras una condanna.</w:t>
      </w:r>
    </w:p>
    <w:p>
      <w:pPr>
        <w:spacing w:after="120" w:line="276"/>
        <w:jc w:val="both"/>
      </w:pPr>
      <w:r>
        <w:rPr>
          <w:rFonts w:ascii="Barlow Semi Condensed" w:cs="Barlow Semi Condensed" w:eastAsia="Barlow Semi Condensed" w:hAnsi="Barlow Semi Condensed"/>
          <w:sz w:val="24"/>
          <w:szCs w:val="24"/>
        </w:rPr>
        <w:t xml:space="preserve">La saldatura tra Condor e il ponte italiano descritto sopra è documentata a Livello A e costituisce l’arco inter-dominio più significativo della Fase: l’attentato di Roma del 6 ottobre 1975 contro l’esule democristiano cileno Bernardo Leighton e la moglie fu eseguito da Stefano Delle Chiaie per conto della DINA. Attorno a questo nucleo operativo gravita la dimensione ideologica e associativa della World Anti-Communist League, che federava a livello globale l’anticomunismo militante, e la rete di mutuo soccorso tra reduci tedeschi attiva in Sud America attorno a figure come Hans-Ulrich Rudel, la cui protezione a favore di latitanti come Mengele è documentata. La collocazione di questa intera architettura è inequivoca sul piano geopolitico e va sottolineata per il vaglio delle ipotesi: Condor era una rete anticomunista, ostile all’Unione Sovietica, e beneficiò di forme di sostegno da parte statunitense documentate negli archivi. L’Unione Sovietica ne era l’avversario, non il partner.</w:t>
      </w:r>
    </w:p>
    <w:p>
      <w:pPr>
        <w:spacing w:after="120" w:line="276"/>
        <w:jc w:val="both"/>
      </w:pPr>
      <w:r>
        <w:rPr>
          <w:rFonts w:ascii="Barlow Semi Condensed" w:cs="Barlow Semi Condensed" w:eastAsia="Barlow Semi Condensed" w:hAnsi="Barlow Semi Condensed"/>
          <w:sz w:val="24"/>
          <w:szCs w:val="24"/>
        </w:rPr>
        <w:t xml:space="preserve">1.6 — L’asse dei paria: apartheid, armi ed elusione dell’embargo</w:t>
      </w:r>
    </w:p>
    <w:p>
      <w:pPr>
        <w:spacing w:after="120" w:line="276"/>
        <w:jc w:val="both"/>
      </w:pPr>
      <w:r>
        <w:rPr>
          <w:rFonts w:ascii="Barlow Semi Condensed" w:cs="Barlow Semi Condensed" w:eastAsia="Barlow Semi Condensed" w:hAnsi="Barlow Semi Condensed"/>
          <w:sz w:val="24"/>
          <w:szCs w:val="24"/>
        </w:rPr>
        <w:t xml:space="preserve">L’ultimo segmento spaziale della Formazione Alfa è l’Africa australe. La documentazione ricostruisce l’esistenza di un asse tra i regimi isolati dalla comunità internazionale — il Sudafrica dell’apartheid, il Paraguay di Alfredo Stroessner, il Cile di Pinochet, altri — fondato sulla comune condizione di Stati paria e sull’elusione degli embarghi. Sul piano militare, la cooperazione del Sudafrica con fornitori e mediatori per aggirare l’embargo sulle armi, attraverso l’agenzia statale Armscor e una rete di intermediari, è documentata a Livello B. Il valore di questo segmento per l’analisi è che esso mostra il pattern del transito applicato su scala intercontinentale: competenze e materiali circolano lungo una catena di regimi accomunati non da un’ideologia positiva unica, ma dalla necessità di sottrarsi alle sanzioni. Anche qui la polarità geopolitica è coerente con il resto della Formazione Alfa: si tratta di un allineamento nel campo anticomunista, non di un ponte verso il blocco orientale.</w:t>
      </w:r>
    </w:p>
    <w:p>
      <w:pPr>
        <w:spacing w:after="120" w:line="276"/>
        <w:jc w:val="both"/>
      </w:pPr>
      <w:r>
        <w:rPr>
          <w:rFonts w:ascii="Barlow Semi Condensed" w:cs="Barlow Semi Condensed" w:eastAsia="Barlow Semi Condensed" w:hAnsi="Barlow Semi Condensed"/>
          <w:sz w:val="24"/>
          <w:szCs w:val="24"/>
        </w:rPr>
        <w:t xml:space="preserve">1.7 — Il codice unificante di Alfa e la sua collocazione geopolitica</w:t>
      </w:r>
    </w:p>
    <w:p>
      <w:pPr>
        <w:spacing w:after="120" w:line="276"/>
        <w:jc w:val="both"/>
      </w:pPr>
      <w:r>
        <w:rPr>
          <w:rFonts w:ascii="Barlow Semi Condensed" w:cs="Barlow Semi Condensed" w:eastAsia="Barlow Semi Condensed" w:hAnsi="Barlow Semi Condensed"/>
          <w:sz w:val="24"/>
          <w:szCs w:val="24"/>
        </w:rPr>
        <w:t xml:space="preserve">Ricostruita la Formazione Alfa nei suoi segmenti, se ne può enunciare il codice unificante senza forzature. Ciò che tiene insieme la diaspora nazista, l’hub iberico, il ponte neofascista italiano, la P2, Condor e l’asse dei paria non è un’organizzazione unitaria — l’ipotesi centralistica resta a Livello C — ma una funzione condivisa: la reazione controrivoluzionaria, il contenimento e la repressione della sinistra, dentro e fuori i confini nazionali. Questa è la constatazione decisiva per il vaglio delle ipotesi. In tutti i suoi segmenti documentati, la Formazione Alfa si colloca nel campo anticomunista e in posizione avversa all’Unione Sovietica; dove è documentato un sostegno esterno di grande potenza, esso proviene dal campo occidentale. Ne segue che la Formazione Alfa, presa per ciò che il corpus effettivamente documenta, non offre alcun riscontro alla tesi di un condominio operativo tra Stati Uniti e Unione Sovietica: essa testimonia semmai un’internazionale anticomunista allineata a Occidente. Questo esito sarà pesato nella Fase IV.</w:t>
      </w:r>
    </w:p>
    <w:p>
      <w:pPr>
        <w:pStyle w:val="Heading3"/>
        <w:spacing w:after="80" w:before="160"/>
      </w:pPr>
      <w:r>
        <w:rPr>
          <w:rFonts w:ascii="Barlow Semi Condensed" w:cs="Barlow Semi Condensed" w:eastAsia="Barlow Semi Condensed" w:hAnsi="Barlow Semi Condensed"/>
          <w:sz w:val="24"/>
          <w:szCs w:val="24"/>
        </w:rPr>
        <w:t xml:space="preserve">FASE II — FORMAZIONE BETA: L’OPERAZIONE DI INFLUENZA RUSSA CONTEMPORANEA (2010–2026)</w:t>
      </w:r>
    </w:p>
    <w:p>
      <w:pPr>
        <w:spacing w:after="120" w:line="276"/>
        <w:jc w:val="both"/>
      </w:pPr>
      <w:r>
        <w:rPr>
          <w:rFonts w:ascii="Barlow Semi Condensed" w:cs="Barlow Semi Condensed" w:eastAsia="Barlow Semi Condensed" w:hAnsi="Barlow Semi Condensed"/>
          <w:sz w:val="24"/>
          <w:szCs w:val="24"/>
        </w:rPr>
        <w:t xml:space="preserve">La seconda formazione si dispone lungo un asse temporale che muove dagli anni Dieci del nuovo secolo e conosce due accelerazioni, nel 2014 e nel 2022, e lungo un asse spaziale che da un centro russo si irradia verso l’Europa orientale, poi verso quella occidentale e infine verso il Sud globale. A differenza della Formazione Alfa, i cui protagonisti sono in larga parte defunti e i cui fatti sono consolidati, la Formazione Beta è in corso: ciò impone un supplemento di cautela sulle persone viventi e un aggiornamento costante, poiché alcuni fatti si sono evoluti dopo la redazione dei documenti del corpus. Il codice unificante è, come il capitolo conclusivo argomenta, il sovranismo anti-europeo e anti-atlantico; la collocazione geopolitica vede la Russia come agente attivo e gli Stati Uniti come avversario sanzionatore.</w:t>
      </w:r>
    </w:p>
    <w:p>
      <w:pPr>
        <w:spacing w:after="120" w:line="276"/>
        <w:jc w:val="both"/>
      </w:pPr>
      <w:r>
        <w:rPr>
          <w:rFonts w:ascii="Barlow Semi Condensed" w:cs="Barlow Semi Condensed" w:eastAsia="Barlow Semi Condensed" w:hAnsi="Barlow Semi Condensed"/>
          <w:sz w:val="24"/>
          <w:szCs w:val="24"/>
        </w:rPr>
        <w:t xml:space="preserve">2.1 — L’architettura Shor: frode, fuga, riciclaggio, influenza</w:t>
      </w:r>
    </w:p>
    <w:p>
      <w:pPr>
        <w:spacing w:after="120" w:line="276"/>
        <w:jc w:val="both"/>
      </w:pPr>
      <w:r>
        <w:rPr>
          <w:rFonts w:ascii="Barlow Semi Condensed" w:cs="Barlow Semi Condensed" w:eastAsia="Barlow Semi Condensed" w:hAnsi="Barlow Semi Condensed"/>
          <w:sz w:val="24"/>
          <w:szCs w:val="24"/>
        </w:rPr>
        <w:t xml:space="preserve">Il primo pilastro della Formazione Beta è la rete che fa capo a Ilan Shor, oligarca moldavo di cittadinanza israeliana riparato a Mosca. Il suo nucleo è documentato a Livello A dalla convergenza di provvedimenti sanzionatori istituzionali, inchieste giornalistiche e analisi tecniche indipendenti. Shor fu designato dall’Ufficio per il controllo dei beni esteri del Tesoro statunitense nell’ottobre 2022, in forza dell’ordine esecutivo 14024, per interferenza elettorale a beneficio della Federazione Russa; fu condannato in contumacia nell’aprile 2023 a quindici anni per la frode bancaria da circa un miliardo di dollari ai danni del sistema moldavo; il suo partito fu messo al bando nel giugno 2023. L’Unione Europea ha progressivamente ampliato le misure restrittive contro di lui e la sua rete, con nuove designazioni nel luglio 2025 e nel giugno 2026. Trasferitosi in Russia, Shor ha costituito la fondazione Eurasia, i cui bilanci indicano una spesa dell’ordine delle centinaia di milioni di dollari in due anni per progetti mediatici, borse e programmi giovanili nello spazio post-sovietico; secondo inchieste giornalistiche, tra cui quelle di testate indipendenti russe in esilio, la fondazione sarebbe stata impiegata per l’acquisto di voti in Moldova.</w:t>
      </w:r>
    </w:p>
    <w:p>
      <w:pPr>
        <w:spacing w:after="120" w:line="276"/>
        <w:jc w:val="both"/>
      </w:pPr>
      <w:r>
        <w:rPr>
          <w:rFonts w:ascii="Barlow Semi Condensed" w:cs="Barlow Semi Condensed" w:eastAsia="Barlow Semi Condensed" w:hAnsi="Barlow Semi Condensed"/>
          <w:sz w:val="24"/>
          <w:szCs w:val="24"/>
        </w:rPr>
        <w:t xml:space="preserve">2.1.1 — La rete cripto: Garantex, Grinex, A7A5</w:t>
      </w:r>
    </w:p>
    <w:p>
      <w:pPr>
        <w:spacing w:after="120" w:line="276"/>
        <w:jc w:val="both"/>
      </w:pPr>
      <w:r>
        <w:rPr>
          <w:rFonts w:ascii="Barlow Semi Condensed" w:cs="Barlow Semi Condensed" w:eastAsia="Barlow Semi Condensed" w:hAnsi="Barlow Semi Condensed"/>
          <w:sz w:val="24"/>
          <w:szCs w:val="24"/>
        </w:rPr>
        <w:t xml:space="preserve">Il sottosistema finanziario della rete è certificato a Livello A da una convergenza particolarmente ricca di fonti eterogenee: i provvedimenti dell’Ufficio per il controllo dei beni esteri statunitense e dell’omologo britannico dell’agosto 2025, le misure dell’Unione Europea dell’ottobre 2025, e le analisi tecniche di più società di intelligence sulla blockchain. Il meccanismo ricostruito è il seguente: dopo la chiusura dell’exchange di criptovalute Garantex, i suoi gestori crearono la piattaforma successore Grinex e trasferirono i fondi della clientela; per ripristinare l’accesso fu impiegato il token A7A5, uno stablecoin ancorato al rublo emesso dalla società kirghisa Old Vector, garantito da depositi presso la banca statale russa Promsvyazbank e collegato alla piattaforma di regolamento transfrontaliero A7. Le analisi indipendenti hanno stimato in decine di miliardi di dollari il volume complessivo transitato attraverso questo strumento, individuandone la funzione di canale di elusione delle sanzioni. Il beneficiario ultimo della piattaforma A7 è indicato, da inchieste giornalistiche di primarie testate internazionali, in Ilan Shor: questo specifico collegamento è certificato a Livello A per la sua convergenza documentale.</w:t>
      </w:r>
    </w:p>
    <w:p>
      <w:pPr>
        <w:spacing w:after="120" w:line="276"/>
        <w:jc w:val="both"/>
      </w:pPr>
      <w:r>
        <w:rPr>
          <w:rFonts w:ascii="Barlow Semi Condensed" w:cs="Barlow Semi Condensed" w:eastAsia="Barlow Semi Condensed" w:hAnsi="Barlow Semi Condensed"/>
          <w:sz w:val="24"/>
          <w:szCs w:val="24"/>
        </w:rPr>
        <w:t xml:space="preserve">2.1.2 — I falsi osservatori elettorali e il caso Petrocelli</w:t>
      </w:r>
    </w:p>
    <w:p>
      <w:pPr>
        <w:spacing w:after="120" w:line="276"/>
        <w:jc w:val="both"/>
      </w:pPr>
      <w:r>
        <w:rPr>
          <w:rFonts w:ascii="Barlow Semi Condensed" w:cs="Barlow Semi Condensed" w:eastAsia="Barlow Semi Condensed" w:hAnsi="Barlow Semi Condensed"/>
          <w:sz w:val="24"/>
          <w:szCs w:val="24"/>
        </w:rPr>
        <w:t xml:space="preserve">Il secondo strumento della rete è la fabbricazione di legittimità elettorale attraverso finte missioni di osservazione, condotte da soggetti privi di mandato internazionale che presenziano a consultazioni in regimi allineati per certificarne pubblicamente la regolarità. La caratterizzazione di questo dispositivo come rete organizzata è tesi documentata da organizzazioni specializzate nel monitoraggio elettorale, tra cui la rete European Platform for Democratic Elections, e come tale è attribuita alla fonte e certificata a Livello B. All’interno di questo quadro il corpus nomina l’ex senatore italiano Vito Petrocelli. Su di lui il registro riporta esclusivamente fatti pubblici e documentati: fu oggetto di procedura di espulsione dal Movimento 5 Stelle nel 2022 in ragione del voto contrario agli aiuti militari all’Ucraina; presiede l’Istituto Italia-BRICS; ha preso parte a delegazioni di osservatori internazionali in occasione delle elezioni presidenziali russa del 2024 e bielorussa del 2025, circostanza confermata dalla biografia ufficiale del suo stesso istituto. La qualificazione della sua partecipazione come inserimento in una rete di influenza etero-diretta è tesi di terzi, attribuita alla fonte, e non un accertamento giudiziario: il registro la mantiene distinta dai fatti pubblici sopra riportati e non compie alcun salto inferenziale tra i due piani.</w:t>
      </w:r>
    </w:p>
    <w:p>
      <w:pPr>
        <w:spacing w:after="120" w:line="276"/>
        <w:jc w:val="both"/>
      </w:pPr>
      <w:r>
        <w:rPr>
          <w:rFonts w:ascii="Barlow Semi Condensed" w:cs="Barlow Semi Condensed" w:eastAsia="Barlow Semi Condensed" w:hAnsi="Barlow Semi Condensed"/>
          <w:sz w:val="24"/>
          <w:szCs w:val="24"/>
        </w:rPr>
        <w:t xml:space="preserve">2.1.3 — Clero, automazione, intelligenza artificiale: la guerra cognitiva</w:t>
      </w:r>
    </w:p>
    <w:p>
      <w:pPr>
        <w:spacing w:after="120" w:line="276"/>
        <w:jc w:val="both"/>
      </w:pPr>
      <w:r>
        <w:rPr>
          <w:rFonts w:ascii="Barlow Semi Condensed" w:cs="Barlow Semi Condensed" w:eastAsia="Barlow Semi Condensed" w:hAnsi="Barlow Semi Condensed"/>
          <w:sz w:val="24"/>
          <w:szCs w:val="24"/>
        </w:rPr>
        <w:t xml:space="preserve">Il terzo strumento è la manipolazione dell’ambiente informativo, che il corpus descrive attraverso l’uso di reti di account automatizzati, la produzione di contenuti sintetici e, in alcuni contesti, la strumentalizzazione di figure religiose come moltiplicatori di consenso. Questo strumento, per sua natura diffuso e di difficile documentazione puntuale, è certificato prevalentemente a Livello B quando poggia su rapporti circostanziati di organismi di monitoraggio, e a Livello C dove si basa su indizi non ancora consolidati. La sua rilevanza analitica sta nel fatto che esso agisce sul piano dell’osservazione, nel senso sistemico dell’opera: non modifica direttamente le operazioni di un dominio, ma altera la percezione che l’opinione pubblica ha di esse, abbassando la soglia di porosità tra i domini in periodi di crisi.</w:t>
      </w:r>
    </w:p>
    <w:p>
      <w:pPr>
        <w:spacing w:after="120" w:line="276"/>
        <w:jc w:val="both"/>
      </w:pPr>
      <w:r>
        <w:rPr>
          <w:rFonts w:ascii="Barlow Semi Condensed" w:cs="Barlow Semi Condensed" w:eastAsia="Barlow Semi Condensed" w:hAnsi="Barlow Semi Condensed"/>
          <w:sz w:val="24"/>
          <w:szCs w:val="24"/>
        </w:rPr>
        <w:t xml:space="preserve">2.2 — La diplomazia partitica di Russia Unita e Zheleznyak</w:t>
      </w:r>
    </w:p>
    <w:p>
      <w:pPr>
        <w:spacing w:after="120" w:line="276"/>
        <w:jc w:val="both"/>
      </w:pPr>
      <w:r>
        <w:rPr>
          <w:rFonts w:ascii="Barlow Semi Condensed" w:cs="Barlow Semi Condensed" w:eastAsia="Barlow Semi Condensed" w:hAnsi="Barlow Semi Condensed"/>
          <w:sz w:val="24"/>
          <w:szCs w:val="24"/>
        </w:rPr>
        <w:t xml:space="preserve">Il secondo pilastro della Formazione Beta è la costruzione, da parte del partito Russia Unita, di una rete di relazioni bilaterali formalizzate con partiti stranieri, coordinata per il tramite di figure come Sergej Zheleznyak. L’esistenza di questa rete di accordi di cooperazione tra partiti è documentata; il numero complessivo, dell’ordine delle decine, è riferito dalle fonti del corpus e va tenuto a Livello B in attesa di riscontro esaustivo dei singoli strumenti. Ciò che è invece certificato a Livello A è lo strumento italiano, che funge da modello dell’intero dispositivo.</w:t>
      </w:r>
    </w:p>
    <w:p>
      <w:pPr>
        <w:spacing w:after="120" w:line="276"/>
        <w:jc w:val="both"/>
      </w:pPr>
      <w:r>
        <w:rPr>
          <w:rFonts w:ascii="Barlow Semi Condensed" w:cs="Barlow Semi Condensed" w:eastAsia="Barlow Semi Condensed" w:hAnsi="Barlow Semi Condensed"/>
          <w:sz w:val="24"/>
          <w:szCs w:val="24"/>
        </w:rPr>
        <w:t xml:space="preserve">2.2.1 — L’architettura legale dell’accordo: il modello Lega</w:t>
      </w:r>
    </w:p>
    <w:p>
      <w:pPr>
        <w:spacing w:after="120" w:line="276"/>
        <w:jc w:val="both"/>
      </w:pPr>
      <w:r>
        <w:rPr>
          <w:rFonts w:ascii="Barlow Semi Condensed" w:cs="Barlow Semi Condensed" w:eastAsia="Barlow Semi Condensed" w:hAnsi="Barlow Semi Condensed"/>
          <w:sz w:val="24"/>
          <w:szCs w:val="24"/>
        </w:rPr>
        <w:t xml:space="preserve">Il 6 marzo 2017 il segretario della Lega Matteo Salvini sottoscrisse a Mosca un accordo di cooperazione e collaborazione con Russia Unita, rappresentata da Sergej Zheleznyak. Il fatto è certificato a Livello A: il testo è pubblico ed è stato riportato da una pluralità di testate italiane e internazionali. L’accordo prevede consultazioni e scambio di informazioni su temi di attualità e relazioni internazionali, cooperazione tra organizzazioni giovanili e nei settori dell’economia e del commercio, e si fonda dichiaratamente su un partenariato definito paritario e confidenziale. Due elementi vanno registrati con precisione, perché delimitano ciò che il fatto autorizza a concludere. Il primo è la clausola finale, che qualifica l’accordo come non giuridicamente vincolante e come mera manifestazione di interesse. Il secondo è il meccanismo di durata: validità quinquennale con proroga automatica salvo disdetta, sicché in assenza di recesso lo strumento è stato tacitamente rinnovato nel 2022 con scadenza al 2027. La registrazione del fatto e delle sue clausole è cosa distinta dalla sua interpretazione: il registro certifica l’esistenza, il contenuto e la vigenza dell’accordo, e si astiene dall’inferire da esso una subordinazione operativa, che il documento non prova.</w:t>
      </w:r>
    </w:p>
    <w:p>
      <w:pPr>
        <w:spacing w:after="120" w:line="276"/>
        <w:jc w:val="both"/>
      </w:pPr>
      <w:r>
        <w:rPr>
          <w:rFonts w:ascii="Barlow Semi Condensed" w:cs="Barlow Semi Condensed" w:eastAsia="Barlow Semi Condensed" w:hAnsi="Barlow Semi Condensed"/>
          <w:sz w:val="24"/>
          <w:szCs w:val="24"/>
        </w:rPr>
        <w:t xml:space="preserve">2.2.2 — Europa occidentale e i contatti del Movimento 5 Stelle</w:t>
      </w:r>
    </w:p>
    <w:p>
      <w:pPr>
        <w:spacing w:after="120" w:line="276"/>
        <w:jc w:val="both"/>
      </w:pPr>
      <w:r>
        <w:rPr>
          <w:rFonts w:ascii="Barlow Semi Condensed" w:cs="Barlow Semi Condensed" w:eastAsia="Barlow Semi Condensed" w:hAnsi="Barlow Semi Condensed"/>
          <w:sz w:val="24"/>
          <w:szCs w:val="24"/>
        </w:rPr>
        <w:t xml:space="preserve">Sul versante dell’Europa occidentale, oltre allo strumento italiano, il corpus registra rapporti privilegiati con il Partito della Libertà austriaco, che aveva a sua volta formalizzato un’intesa con Russia Unita, e una diffusa contiguità di posizioni con formazioni sovraniste in Francia, nei Paesi Bassi e altrove. Il corpus riferisce inoltre di contatti e di prossimità programmatica con settori del Movimento 5 Stelle su temi di politica estera. Su quest’ultimo punto è necessaria la massima cautela: la prossimità di posizioni pubbliche su singoli dossier è un fatto osservabile, ma non equivale a un accordo formale né a una direzione etero-diretta, e va perciò tenuta a Livello C, come indizio circostanziale, senza alcuna promozione a prova di collusione.</w:t>
      </w:r>
    </w:p>
    <w:p>
      <w:pPr>
        <w:spacing w:after="120" w:line="276"/>
        <w:jc w:val="both"/>
      </w:pPr>
      <w:r>
        <w:rPr>
          <w:rFonts w:ascii="Barlow Semi Condensed" w:cs="Barlow Semi Condensed" w:eastAsia="Barlow Semi Condensed" w:hAnsi="Barlow Semi Condensed"/>
          <w:sz w:val="24"/>
          <w:szCs w:val="24"/>
        </w:rPr>
        <w:t xml:space="preserve">2.2.3 — Balcani, spazio post-sovietico e Sud globale</w:t>
      </w:r>
    </w:p>
    <w:p>
      <w:pPr>
        <w:spacing w:after="120" w:line="276"/>
        <w:jc w:val="both"/>
      </w:pPr>
      <w:r>
        <w:rPr>
          <w:rFonts w:ascii="Barlow Semi Condensed" w:cs="Barlow Semi Condensed" w:eastAsia="Barlow Semi Condensed" w:hAnsi="Barlow Semi Condensed"/>
          <w:sz w:val="24"/>
          <w:szCs w:val="24"/>
        </w:rPr>
        <w:t xml:space="preserve">La proiezione della rete partitica verso i Balcani è documentata a Livello B attraverso i rapporti con il Partito Progressista Serbo e con la leadership della Republika Srpska, in particolare Milorad Dodik, e con formazioni in Montenegro. Verso lo spazio post-sovietico la rete si salda con l’architettura Shor descritta nella sezione precedente, condividendone gli obiettivi di destabilizzazione degli Stati candidati all’adesione europea. Verso il Sud globale, infine, il corpus registra la persistenza di relazioni storiche con movimenti di liberazione divenuti partiti di governo — tra cui il Congresso Nazionale Africano e formazioni analoghe in Africa australe — eredità in parte risalente all’epoca sovietica e riattivata in chiave contemporanea. Questa proiezione meridionale, tenuta a Livello B, è rilevante perché mostra la continuità di un capitale relazionale di lunga durata, distinto per origine dalla Formazione Alfa ma parzialmente sovrapposto per teatro geografico.</w:t>
      </w:r>
    </w:p>
    <w:p>
      <w:pPr>
        <w:spacing w:after="120" w:line="276"/>
        <w:jc w:val="both"/>
      </w:pPr>
      <w:r>
        <w:rPr>
          <w:rFonts w:ascii="Barlow Semi Condensed" w:cs="Barlow Semi Condensed" w:eastAsia="Barlow Semi Condensed" w:hAnsi="Barlow Semi Condensed"/>
          <w:sz w:val="24"/>
          <w:szCs w:val="24"/>
        </w:rPr>
        <w:t xml:space="preserve">2.3 — Il caso Balan: dallo spionaggio alla condanna</w:t>
      </w:r>
    </w:p>
    <w:p>
      <w:pPr>
        <w:spacing w:after="120" w:line="276"/>
        <w:jc w:val="both"/>
      </w:pPr>
      <w:r>
        <w:rPr>
          <w:rFonts w:ascii="Barlow Semi Condensed" w:cs="Barlow Semi Condensed" w:eastAsia="Barlow Semi Condensed" w:hAnsi="Barlow Semi Condensed"/>
          <w:sz w:val="24"/>
          <w:szCs w:val="24"/>
        </w:rPr>
        <w:t xml:space="preserve">Il corpus registra, tra gli episodi della Formazione Beta, l’arresto dell’ex vicedirettore del Servizio di Informazione e Sicurezza della Moldova, Alexandru Balan. La verifica indipendente conferma il fatto a Livello A e lo aggiorna oltre la redazione del documento. Balan fu fermato in Romania, a Timișoara, nel settembre 2025, nell’ambito di un’operazione congiunta dei servizi di Romania, Ungheria e Repubblica Ceca coordinata da Eurojust, con l’accusa di tradimento per aver trasmesso segreti di Stato a ufficiali del Comitato per la sicurezza dello Stato della Bielorussia in incontri tenuti a Budapest tra il 2024 e il 2025. Successivamente alla stesura del documento, il caso si è evoluto: Balan è stato condannato nell’aprile 2026 a diciotto mesi di reclusione, è stato consegnato alla Bielorussia nell’ambito di uno scambio di prigionieri e nel giugno 2026 è stato privato della cittadinanza moldava. Su questo episodio il registro impone una precisazione dettata dalla Regola Ferrea: il caso è documentato come spionaggio a favore dell’intelligence bielorussa; il suo inserimento diretto nella rete personale di Ilan Shor è un’associazione tematica — entrambi i vettori operano nel medesimo teatro moldavo e nel medesimo campo — non un nesso operativo provato tra i due, e va perciò mantenuto a Livello C.</w:t>
      </w:r>
    </w:p>
    <w:p>
      <w:pPr>
        <w:spacing w:after="120" w:line="276"/>
        <w:jc w:val="both"/>
      </w:pPr>
      <w:r>
        <w:rPr>
          <w:rFonts w:ascii="Barlow Semi Condensed" w:cs="Barlow Semi Condensed" w:eastAsia="Barlow Semi Condensed" w:hAnsi="Barlow Semi Condensed"/>
          <w:sz w:val="24"/>
          <w:szCs w:val="24"/>
        </w:rPr>
        <w:t xml:space="preserve">2.4 — Distinguere i vettori: russo e cinese, il caso Creyelman</w:t>
      </w:r>
    </w:p>
    <w:p>
      <w:pPr>
        <w:spacing w:after="120" w:line="276"/>
        <w:jc w:val="both"/>
      </w:pPr>
      <w:r>
        <w:rPr>
          <w:rFonts w:ascii="Barlow Semi Condensed" w:cs="Barlow Semi Condensed" w:eastAsia="Barlow Semi Condensed" w:hAnsi="Barlow Semi Condensed"/>
          <w:sz w:val="24"/>
          <w:szCs w:val="24"/>
        </w:rPr>
        <w:t xml:space="preserve">Un errore metodologico da evitare è la fusione di vettori d’influenza distinti in un unico indistinto blocco autoritario. Il corpus offre il caso che impone la distinzione. L’ex senatore belga Frank Creyelman, esponente del Vlaams Belang, fu espulso dal partito nel dicembre 2023 a seguito di un’inchiesta congiunta di primarie testate internazionali secondo cui sarebbe stato utilizzato per circa tre anni come informatore da un ufficiale del Ministero della Sicurezza dello Stato della Repubblica Popolare Cinese. Il fatto dell’espulsione è certificato a Livello A; la caratterizzazione come agente è tesi dell’inchiesta giornalistica, attribuita alla fonte e non accertata in giudizio, e come tale è tenuta a Livello B. Il punto metodologico è che questo è un caso di influenza cinese, non russa: assimilarlo alla rete Shor o a Russia Unita sarebbe una contaminazione delle fonti. Il registro tiene perciò separati i due vettori, e ne registra semmai la convergenza di effetto — l’obiettivo dichiarato, negli scambi documentati, di dividere le relazioni tra Stati Uniti ed Europa — come dato di analisi, non come prova di un comando unico.</w:t>
      </w:r>
    </w:p>
    <w:p>
      <w:pPr>
        <w:spacing w:after="120" w:line="276"/>
        <w:jc w:val="both"/>
      </w:pPr>
      <w:r>
        <w:rPr>
          <w:rFonts w:ascii="Barlow Semi Condensed" w:cs="Barlow Semi Condensed" w:eastAsia="Barlow Semi Condensed" w:hAnsi="Barlow Semi Condensed"/>
          <w:sz w:val="24"/>
          <w:szCs w:val="24"/>
        </w:rPr>
        <w:t xml:space="preserve">2.5 — Il codice unificante di Beta e la sua collocazione geopolitica</w:t>
      </w:r>
    </w:p>
    <w:p>
      <w:pPr>
        <w:spacing w:after="120" w:line="276"/>
        <w:jc w:val="both"/>
      </w:pPr>
      <w:r>
        <w:rPr>
          <w:rFonts w:ascii="Barlow Semi Condensed" w:cs="Barlow Semi Condensed" w:eastAsia="Barlow Semi Condensed" w:hAnsi="Barlow Semi Condensed"/>
          <w:sz w:val="24"/>
          <w:szCs w:val="24"/>
        </w:rPr>
        <w:t xml:space="preserve">Il codice che tiene insieme la Formazione Beta è il sovranismo anti-europeo e anti-atlantico, declinato come difesa dei valori tradizionali e ostilità all’ordine liberale. La sua collocazione geopolitica è speculare a quella della Formazione Alfa e va enunciata con la stessa nettezza, perché è decisiva per il vaglio delle ipotesi. Nella Formazione Beta la Federazione Russa è l’agente attivo che promuove la destabilizzazione, mentre gli Stati Uniti e l’Unione Europea sono gli avversari che vi si oppongono con l’arma sanzionatoria. In entrambe le formazioni, dunque — l’anticomunista atlantica e l’eurasiatista contemporanea — Stati Uniti e Russia si trovano su fronti opposti. Questa constatazione, che discende direttamente da ciò che il corpus documenta, è l’evidenza diagnostica centrale che la Fase IV oppone alla tesi del condominio.</w:t>
      </w:r>
    </w:p>
    <w:p>
      <w:pPr>
        <w:pStyle w:val="Heading3"/>
        <w:spacing w:after="80" w:before="160"/>
      </w:pPr>
      <w:r>
        <w:rPr>
          <w:rFonts w:ascii="Barlow Semi Condensed" w:cs="Barlow Semi Condensed" w:eastAsia="Barlow Semi Condensed" w:hAnsi="Barlow Semi Condensed"/>
          <w:sz w:val="24"/>
          <w:szCs w:val="24"/>
        </w:rPr>
        <w:t xml:space="preserve">FASE III — IL CONTENITORE EUROPEO E L’ANALISI COMPARATA</w:t>
      </w:r>
    </w:p>
    <w:p>
      <w:pPr>
        <w:spacing w:after="120" w:line="276"/>
        <w:jc w:val="both"/>
      </w:pPr>
      <w:r>
        <w:rPr>
          <w:rFonts w:ascii="Barlow Semi Condensed" w:cs="Barlow Semi Condensed" w:eastAsia="Barlow Semi Condensed" w:hAnsi="Barlow Semi Condensed"/>
          <w:sz w:val="24"/>
          <w:szCs w:val="24"/>
        </w:rPr>
        <w:t xml:space="preserve">3.1 — La destra radicale come contenitore ricorsivo</w:t>
      </w:r>
    </w:p>
    <w:p>
      <w:pPr>
        <w:spacing w:after="120" w:line="276"/>
        <w:jc w:val="both"/>
      </w:pPr>
      <w:r>
        <w:rPr>
          <w:rFonts w:ascii="Barlow Semi Condensed" w:cs="Barlow Semi Condensed" w:eastAsia="Barlow Semi Condensed" w:hAnsi="Barlow Semi Condensed"/>
          <w:sz w:val="24"/>
          <w:szCs w:val="24"/>
        </w:rPr>
        <w:t xml:space="preserve">Messe a confronto le due formazioni, emerge un elemento che le attraversa entrambe: la destra radicale europea. Nella cornice sistemica dell’opera essa va intesa come un contenitore, ossia un ambiente occupabile che diversi attori possono investire per i propri fini, e non come uno strumento orchestrato da un unico regista. La stessa famiglia ideologica che nel dopoguerra costituì il retroterra della Formazione Alfa — nazionalista, anti-liberale, ostile alla sinistra — è il bersaglio privilegiato del reclutamento della Formazione Beta. Ma il contenitore è ricorsivo: chi lo occupa in un’epoca può a sua volta essere occupato in un’altra. Questa è la chiave interpretativa che consente di descrivere la relazione tra le due formazioni senza cadere nell’ipotesi indebita di una loro identità o di una loro continuità di comando.</w:t>
      </w:r>
    </w:p>
    <w:p>
      <w:pPr>
        <w:spacing w:after="120" w:line="276"/>
        <w:jc w:val="both"/>
      </w:pPr>
      <w:r>
        <w:rPr>
          <w:rFonts w:ascii="Barlow Semi Condensed" w:cs="Barlow Semi Condensed" w:eastAsia="Barlow Semi Condensed" w:hAnsi="Barlow Semi Condensed"/>
          <w:sz w:val="24"/>
          <w:szCs w:val="24"/>
        </w:rPr>
        <w:t xml:space="preserve">3.2 — Nodi che ricorrono nei due dossier contemporanei</w:t>
      </w:r>
    </w:p>
    <w:p>
      <w:pPr>
        <w:spacing w:after="120" w:line="276"/>
        <w:jc w:val="both"/>
      </w:pPr>
      <w:r>
        <w:rPr>
          <w:rFonts w:ascii="Barlow Semi Condensed" w:cs="Barlow Semi Condensed" w:eastAsia="Barlow Semi Condensed" w:hAnsi="Barlow Semi Condensed"/>
          <w:sz w:val="24"/>
          <w:szCs w:val="24"/>
        </w:rPr>
        <w:t xml:space="preserve">All’interno della sola Formazione Beta, il confronto tra i due dossier contemporanei del corpus — quello sulla rete Shor e quello sulla diplomazia partitica di Russia Unita — individua alcuni nodi che ricorrono in entrambi, e che sono perciò certificabili a Livello B come punti di effettiva sovrapposizione: la formazione bulgara Vazrazhdane, il Partito della Libertà austriaco, la leadership della Republika Srpska nella persona di Milorad Dodik. La ricorrenza di questi nodi in dossier costruiti da fonti diverse è un riscontro di convergenza, non una prova di coordinamento centralizzato: indica che tali attori sono punti di contatto ad alta betweenness tra i due sotto-sistemi della Formazione Beta, ma non autorizza a concludere che ricevano istruzioni da un unico centro.</w:t>
      </w:r>
    </w:p>
    <w:p>
      <w:pPr>
        <w:spacing w:after="120" w:line="276"/>
        <w:jc w:val="both"/>
      </w:pPr>
      <w:r>
        <w:rPr>
          <w:rFonts w:ascii="Barlow Semi Condensed" w:cs="Barlow Semi Condensed" w:eastAsia="Barlow Semi Condensed" w:hAnsi="Barlow Semi Condensed"/>
          <w:sz w:val="24"/>
          <w:szCs w:val="24"/>
        </w:rPr>
        <w:t xml:space="preserve">3.3 — Isomorfismo strutturale a polarità invertita</w:t>
      </w:r>
    </w:p>
    <w:p>
      <w:pPr>
        <w:spacing w:after="120" w:line="276"/>
        <w:jc w:val="both"/>
      </w:pPr>
      <w:r>
        <w:rPr>
          <w:rFonts w:ascii="Barlow Semi Condensed" w:cs="Barlow Semi Condensed" w:eastAsia="Barlow Semi Condensed" w:hAnsi="Barlow Semi Condensed"/>
          <w:sz w:val="24"/>
          <w:szCs w:val="24"/>
        </w:rPr>
        <w:t xml:space="preserve">L’analisi comparata delle due formazioni rivela un isomorfismo strutturale a polarità invertita, che è forse il risultato analitico più originale del registro e che va tuttavia mantenuto al rango di ipotesi, cioè a Livello C. Le due formazioni presentano una topologia simile — un nucleo ristretto che si irradia verso i vertici di molteplici domini e verso il fianco sovranista della politica europea — ma con contenuto ideologico rovesciato. La Formazione Alfa era anticomunista e anti-sovietica; la Formazione Beta è post-comunista e filo-russa. La funzione strutturale — destabilizzare il centro liberale a partire dal fianco nazionalista — persiste, mentre la polarità si inverte. Secondo il pattern dell’isomorfismo di rete, una somiglianza strutturale può discendere da tre cause alternative: un’origine comune, una necessità funzionale, o una convergenza indipendente. Il corpus non contiene la prova di un’origine comune tra le due formazioni; sostiene invece, come lettura più economica, la necessità funzionale, ossia il fatto che quella particolare topologia sia semplicemente la più efficiente per il compito di erodere il centro dal fianco, e che perciò venga riprodotta da progettisti diversi in epoche diverse.</w:t>
      </w:r>
    </w:p>
    <w:p>
      <w:pPr>
        <w:spacing w:after="120" w:line="276"/>
        <w:jc w:val="both"/>
      </w:pPr>
      <w:r>
        <w:rPr>
          <w:rFonts w:ascii="Barlow Semi Condensed" w:cs="Barlow Semi Condensed" w:eastAsia="Barlow Semi Condensed" w:hAnsi="Barlow Semi Condensed"/>
          <w:sz w:val="24"/>
          <w:szCs w:val="24"/>
        </w:rPr>
        <w:t xml:space="preserve">3.4 — Continuità di forma, discontinuità di sponsor</w:t>
      </w:r>
    </w:p>
    <w:p>
      <w:pPr>
        <w:spacing w:after="120" w:line="276"/>
        <w:jc w:val="both"/>
      </w:pPr>
      <w:r>
        <w:rPr>
          <w:rFonts w:ascii="Barlow Semi Condensed" w:cs="Barlow Semi Condensed" w:eastAsia="Barlow Semi Condensed" w:hAnsi="Barlow Semi Condensed"/>
          <w:sz w:val="24"/>
          <w:szCs w:val="24"/>
        </w:rPr>
        <w:t xml:space="preserve">La sintesi comparata si può enunciare in una formula che tiene fermi i limiti dell’inferenza: tra le due formazioni vi è continuità di forma e discontinuità di sponsor. La forma — l’occupazione del contenitore sovranista per destabilizzare il centro — si ripete; lo sponsor si inverte, passando dal campo atlantico-anticomunista al campo eurasiatista. Ciò che il corpus non autorizza a inferire è una continuità di attori o di comando: gli individui sono di generazioni diverse, gli apparati che li sostennero sono opposti, e nessun documento del corpus stabilisce un passaggio di consegne tra la prima e la seconda formazione. Registrare la continuità di forma come dato, e insieme negare la continuità di comando in assenza di prova, è esattamente ciò che la Regola Ferrea impone.</w:t>
      </w:r>
    </w:p>
    <w:p>
      <w:pPr>
        <w:pStyle w:val="Heading3"/>
        <w:spacing w:after="80" w:before="160"/>
      </w:pPr>
      <w:r>
        <w:rPr>
          <w:rFonts w:ascii="Barlow Semi Condensed" w:cs="Barlow Semi Condensed" w:eastAsia="Barlow Semi Condensed" w:hAnsi="Barlow Semi Condensed"/>
          <w:sz w:val="24"/>
          <w:szCs w:val="24"/>
        </w:rPr>
        <w:t xml:space="preserve">FASE IV — IL VAGLIO DELLE IPOTESI E LO STATO ZERO</w:t>
      </w:r>
    </w:p>
    <w:p>
      <w:pPr>
        <w:spacing w:after="120" w:line="276"/>
        <w:jc w:val="both"/>
      </w:pPr>
      <w:r>
        <w:rPr>
          <w:rFonts w:ascii="Barlow Semi Condensed" w:cs="Barlow Semi Condensed" w:eastAsia="Barlow Semi Condensed" w:hAnsi="Barlow Semi Condensed"/>
          <w:sz w:val="24"/>
          <w:szCs w:val="24"/>
        </w:rPr>
        <w:t xml:space="preserve">4.1 — La matrice di consistenza: H1, H2, H3</w:t>
      </w:r>
    </w:p>
    <w:p>
      <w:pPr>
        <w:spacing w:after="120" w:line="276"/>
        <w:jc w:val="both"/>
      </w:pPr>
      <w:r>
        <w:rPr>
          <w:rFonts w:ascii="Barlow Semi Condensed" w:cs="Barlow Semi Condensed" w:eastAsia="Barlow Semi Condensed" w:hAnsi="Barlow Semi Condensed"/>
          <w:sz w:val="24"/>
          <w:szCs w:val="24"/>
        </w:rPr>
        <w:t xml:space="preserve">Il vaglio applica la procedura ACH alle tre ipotesi enunciate nella Fase 0. Il criterio, si ricorda, non è quale ipotesi raccolga più conferme, ma quale resti meno contraddetta dalle evidenze diagnostiche, ossia da quelle evidenze che discriminano tra le ipotesi anziché essere compatibili con tutte. L’evidenza diagnostica dirimente, emersa da entrambe le Fasi ricostruttive, è la collocazione reciproca di Stati Uniti e Unione Sovietica, poi Russia, nelle due formazioni documentate.</w:t>
      </w:r>
    </w:p>
    <w:p>
      <w:pPr>
        <w:spacing w:after="120" w:line="276"/>
        <w:jc w:val="both"/>
      </w:pPr>
      <w:r>
        <w:rPr>
          <w:rFonts w:ascii="Barlow Semi Condensed" w:cs="Barlow Semi Condensed" w:eastAsia="Barlow Semi Condensed" w:hAnsi="Barlow Semi Condensed"/>
          <w:sz w:val="24"/>
          <w:szCs w:val="24"/>
        </w:rPr>
        <w:t xml:space="preserve">4.2 — Perché il corpus falsifica la forma forte di H1</w:t>
      </w:r>
    </w:p>
    <w:p>
      <w:pPr>
        <w:spacing w:after="120" w:line="276"/>
        <w:jc w:val="both"/>
      </w:pPr>
      <w:r>
        <w:rPr>
          <w:rFonts w:ascii="Barlow Semi Condensed" w:cs="Barlow Semi Condensed" w:eastAsia="Barlow Semi Condensed" w:hAnsi="Barlow Semi Condensed"/>
          <w:sz w:val="24"/>
          <w:szCs w:val="24"/>
        </w:rPr>
        <w:t xml:space="preserve">La tesi del condominio, nella sua forma forte — Stati Uniti e Unione Sovietica, poi Russia, coordinati per impedire l’integrazione europea — è contraddetta in modo diretto dall’evidenza diagnostica. Nella Formazione Alfa, il sostegno esterno di grande potenza documentato proviene dal campo occidentale e ha per bersaglio il campo sovietico: la rete anticomunista, Condor incluso, era ostile a Mosca. Nella Formazione Beta, l’agente attivo è la Federazione Russa e gli avversari sanzionatori sono Stati Uniti e Unione Europea. In entrambe le formazioni, dunque, le due potenze si trovano su fronti opposti, non in coordinamento. Questa è una falsificazione nel senso proprio del termine: non l’assenza di conferme, ma la presenza di un’evidenza contraria e diagnostica. Ne consegue che la forma forte di H1 va respinta come cornice, esattamente come la Nota Metodologica dell’opera prescriveva di non assumerla come centro. Va precisato che la falsificazione riguarda la forma forte, quella del coordinamento operativo intenzionale; forme deboli — la constatazione che, in singoli frangenti, l’azione indipendente delle due potenze produsse effetti convergenti di destabilizzazione — non sono falsificate, ma coincidono di fatto con H3.</w:t>
      </w:r>
    </w:p>
    <w:p>
      <w:pPr>
        <w:spacing w:after="120" w:line="276"/>
        <w:jc w:val="both"/>
      </w:pPr>
      <w:r>
        <w:rPr>
          <w:rFonts w:ascii="Barlow Semi Condensed" w:cs="Barlow Semi Condensed" w:eastAsia="Barlow Semi Condensed" w:hAnsi="Barlow Semi Condensed"/>
          <w:sz w:val="24"/>
          <w:szCs w:val="24"/>
        </w:rPr>
        <w:t xml:space="preserve">4.3 — Perché H2 resiste ma resta a Livello C</w:t>
      </w:r>
    </w:p>
    <w:p>
      <w:pPr>
        <w:spacing w:after="120" w:line="276"/>
        <w:jc w:val="both"/>
      </w:pPr>
      <w:r>
        <w:rPr>
          <w:rFonts w:ascii="Barlow Semi Condensed" w:cs="Barlow Semi Condensed" w:eastAsia="Barlow Semi Condensed" w:hAnsi="Barlow Semi Condensed"/>
          <w:sz w:val="24"/>
          <w:szCs w:val="24"/>
        </w:rPr>
        <w:t xml:space="preserve">La tesi delle due internazionali rivali è quella meno contraddetta dalle evidenze. Il corpus documenta effettivamente due formazioni autoritarie transnazionali distinte, in due epoche successive, con sponsor opposti e con la funzione condivisa di destabilizzare il centro liberale dal fianco. H2 gode inoltre di un vantaggio esplicativo su H1 e su H3: rende conto sia della somiglianza strutturale tra le formazioni sia della loro opposizione geopolitica, che H1 non spiega e che H3 lascia come pura coincidenza. Ciononostante il registro mantiene H2 a Livello C, cioè al rango di ipotesi non falsificata e non promossa a fatto, per una ragione dirimente: definire le due formazioni come due internazionali implica un grado di intenzionalità e di autocoscienza che il corpus documenta per i singoli nodi ma non per l’insieme. In particolare, l’isomorfismo a polarità invertita — il ponte concettuale che unisce le due formazioni sotto un’unica etichetta — è a sua volta a Livello C. Tenere H2 come ipotesi guida non falsificata, e non come conclusione dimostrata, è la posizione che il rigore impone.</w:t>
      </w:r>
    </w:p>
    <w:p>
      <w:pPr>
        <w:spacing w:after="120" w:line="276"/>
        <w:jc w:val="both"/>
      </w:pPr>
      <w:r>
        <w:rPr>
          <w:rFonts w:ascii="Barlow Semi Condensed" w:cs="Barlow Semi Condensed" w:eastAsia="Barlow Semi Condensed" w:hAnsi="Barlow Semi Condensed"/>
          <w:sz w:val="24"/>
          <w:szCs w:val="24"/>
        </w:rPr>
        <w:t xml:space="preserve">4.4 — Stati Zero certificati</w:t>
      </w:r>
    </w:p>
    <w:p>
      <w:pPr>
        <w:spacing w:after="120" w:line="276"/>
        <w:jc w:val="both"/>
      </w:pPr>
      <w:r>
        <w:rPr>
          <w:rFonts w:ascii="Barlow Semi Condensed" w:cs="Barlow Semi Condensed" w:eastAsia="Barlow Semi Condensed" w:hAnsi="Barlow Semi Condensed"/>
          <w:sz w:val="24"/>
          <w:szCs w:val="24"/>
        </w:rPr>
        <w:t xml:space="preserve">Coerentemente con la metodologia dell’opera, il registro certifica come risultati positivi due connessioni sistematicamente cercate e non trovate. Il primo è uno Stato Zero interno alla Formazione Beta: nel dossier sulla rete Shor non emerge alcun collegamento diretto e documentato tra Ilan Shor e la criminalità organizzata italiana; la connessione è stata cercata e non è stata trovata, e ciò va registrato come esito, non come lacuna da riempire con congetture. Il secondo è uno Stato Zero relativo al rapporto tra le due formazioni: non esiste, nel corpus, alcun documento che stabilisca un passaggio di consegne, una continuità di attori o un comando comune tra la rete nera anticomunista del dopoguerra e l’operazione di influenza russa contemporanea. La continuità tra le due, come argomentato nella Fase III, è di forma e non di comando. Registrare questi due Stati Zero è parte essenziale della tutela del documento contro il proprio possibile scivolamento verso la tesi che la metodologia proscrive.</w:t>
      </w:r>
    </w:p>
    <w:p>
      <w:pPr>
        <w:pStyle w:val="Heading3"/>
        <w:spacing w:after="80" w:before="160"/>
      </w:pPr>
      <w:r>
        <w:rPr>
          <w:rFonts w:ascii="Barlow Semi Condensed" w:cs="Barlow Semi Condensed" w:eastAsia="Barlow Semi Condensed" w:hAnsi="Barlow Semi Condensed"/>
          <w:sz w:val="24"/>
          <w:szCs w:val="24"/>
        </w:rPr>
        <w:t xml:space="preserve">FASE V — RILIEVI CIVILI E PENALI: DIFFAMAZIONE E CALUNNIA</w:t>
      </w:r>
    </w:p>
    <w:p>
      <w:pPr>
        <w:spacing w:after="120" w:line="276"/>
        <w:jc w:val="both"/>
      </w:pPr>
      <w:r>
        <w:rPr>
          <w:rFonts w:ascii="Barlow Semi Condensed" w:cs="Barlow Semi Condensed" w:eastAsia="Barlow Semi Condensed" w:hAnsi="Barlow Semi Condensed"/>
          <w:sz w:val="24"/>
          <w:szCs w:val="24"/>
        </w:rPr>
        <w:t xml:space="preserve">5.1 — Il quadro normativo di riferimento</w:t>
      </w:r>
    </w:p>
    <w:p>
      <w:pPr>
        <w:spacing w:after="120" w:line="276"/>
        <w:jc w:val="both"/>
      </w:pPr>
      <w:r>
        <w:rPr>
          <w:rFonts w:ascii="Barlow Semi Condensed" w:cs="Barlow Semi Condensed" w:eastAsia="Barlow Semi Condensed" w:hAnsi="Barlow Semi Condensed"/>
          <w:sz w:val="24"/>
          <w:szCs w:val="24"/>
        </w:rPr>
        <w:t xml:space="preserve">Questa Fase risponde all’ordine di vagliare i possibili rilievi civili e penali per il testo di diffamazione e per quello di calunnia. Ciò che segue è informazione generale di orientamento, non consulenza legale, e non sostituisce il vaglio di un professionista prima di ogni pubblicazione. Nell’ordinamento italiano la diffamazione è prevista dall’articolo 595 del codice penale e sanziona chi, comunicando con più persone, offende l’altrui reputazione; l’attribuzione di un fatto determinato e la diffusione a mezzo stampa costituiscono aggravanti. La calunnia è prevista dall’articolo 368 e sanziona chi incolpa taluno di un reato pur sapendolo innocente, o simula a suo carico le tracce di un reato: essa richiede dunque la falsa attribuzione di un reato e la consapevolezza dell’innocenza. Il testo scientifico e d’inchiesta gode della scriminante del diritto di cronaca e di critica, ma a condizioni precise: la verità del fatto, l’interesse pubblico e la continenza espositiva.</w:t>
      </w:r>
    </w:p>
    <w:p>
      <w:pPr>
        <w:spacing w:after="120" w:line="276"/>
        <w:jc w:val="both"/>
      </w:pPr>
      <w:r>
        <w:rPr>
          <w:rFonts w:ascii="Barlow Semi Condensed" w:cs="Barlow Semi Condensed" w:eastAsia="Barlow Semi Condensed" w:hAnsi="Barlow Semi Condensed"/>
          <w:sz w:val="24"/>
          <w:szCs w:val="24"/>
        </w:rPr>
        <w:t xml:space="preserve">5.2 — Dove nasce l’esposizione: il fatto presentato come certo</w:t>
      </w:r>
    </w:p>
    <w:p>
      <w:pPr>
        <w:spacing w:after="120" w:line="276"/>
        <w:jc w:val="both"/>
      </w:pPr>
      <w:r>
        <w:rPr>
          <w:rFonts w:ascii="Barlow Semi Condensed" w:cs="Barlow Semi Condensed" w:eastAsia="Barlow Semi Condensed" w:hAnsi="Barlow Semi Condensed"/>
          <w:sz w:val="24"/>
          <w:szCs w:val="24"/>
        </w:rPr>
        <w:t xml:space="preserve">Il punto in cui nasce l’esposizione è identificabile con precisione: non è la trattazione di un tema, per quanto grave, ma la presentazione come fatto certo di un’affermazione discreditante non provata a carico di una persona identificabile. È questa trasformazione — dell’indizio in prova, dell’accusa altrui in verità propria, della contiguità in complicità — a generare il rischio, tanto civile quanto penale. Ne discende che la salvaguardia non consiste nel certificare, come pure l’ordine iniziale poteva suggerire, bensì nell’operazione opposta: graduare l’affermazione secondo il suo effettivo livello probatorio e attribuirla alla sua fonte. Un’affermazione classificata a Livello C ed esplicitamente riferita a un’inchiesta di terzi non incolpa nessuno di un reato in nome dell’autore; una medesima affermazione presentata come accertamento sì.</w:t>
      </w:r>
    </w:p>
    <w:p>
      <w:pPr>
        <w:spacing w:after="120" w:line="276"/>
        <w:jc w:val="both"/>
      </w:pPr>
      <w:r>
        <w:rPr>
          <w:rFonts w:ascii="Barlow Semi Condensed" w:cs="Barlow Semi Condensed" w:eastAsia="Barlow Semi Condensed" w:hAnsi="Barlow Semi Condensed"/>
          <w:sz w:val="24"/>
          <w:szCs w:val="24"/>
        </w:rPr>
        <w:t xml:space="preserve">5.3 — Le esimenti operative</w:t>
      </w:r>
    </w:p>
    <w:p>
      <w:pPr>
        <w:spacing w:after="120" w:line="276"/>
        <w:jc w:val="both"/>
      </w:pPr>
      <w:r>
        <w:rPr>
          <w:rFonts w:ascii="Barlow Semi Condensed" w:cs="Barlow Semi Condensed" w:eastAsia="Barlow Semi Condensed" w:hAnsi="Barlow Semi Condensed"/>
          <w:sz w:val="24"/>
          <w:szCs w:val="24"/>
        </w:rPr>
        <w:t xml:space="preserve">Da questa analisi discendono tre esimenti operative che il registro applica per costruzione e che dovrebbero governare la stesura definitiva. La prima è l’attribuzione alla fonte: ogni qualificazione discreditante che non sia un fatto accertato va introdotta come tesi di chi l’ha formulata — un’inchiesta, un rapporto, una relazione — e non come constatazione dell’autore. La seconda è la gradazione manifesta: il livello probatorio va reso visibile al lettore, così che egli possa valutare autonomamente il peso di ciò che legge, in conformità con il principio di falsificabilità. La terza è la distinzione tra gli statuti: va tenuta ferma in ogni riga la differenza tra la condanna definitiva, l’accusa non ancora accertata e la mera associazione, perché confondere questi tre statuti è precisamente ciò che espone alla calunnia e alla diffamazione.</w:t>
      </w:r>
    </w:p>
    <w:p>
      <w:pPr>
        <w:spacing w:after="120" w:line="276"/>
        <w:jc w:val="both"/>
      </w:pPr>
      <w:r>
        <w:rPr>
          <w:rFonts w:ascii="Barlow Semi Condensed" w:cs="Barlow Semi Condensed" w:eastAsia="Barlow Semi Condensed" w:hAnsi="Barlow Semi Condensed"/>
          <w:sz w:val="24"/>
          <w:szCs w:val="24"/>
        </w:rPr>
        <w:t xml:space="preserve">5.4 — Rilievi puntuali sul corpus</w:t>
      </w:r>
    </w:p>
    <w:p>
      <w:pPr>
        <w:spacing w:after="120" w:line="276"/>
        <w:jc w:val="both"/>
      </w:pPr>
      <w:r>
        <w:rPr>
          <w:rFonts w:ascii="Barlow Semi Condensed" w:cs="Barlow Semi Condensed" w:eastAsia="Barlow Semi Condensed" w:hAnsi="Barlow Semi Condensed"/>
          <w:sz w:val="24"/>
          <w:szCs w:val="24"/>
        </w:rPr>
        <w:t xml:space="preserve">Applicate al corpus, queste esimenti individuano i punti di attenzione. Per le persone viventi nominate nella Formazione Beta — l’oligarca sanzionato, i dirigenti di partito, l’ex parlamentare — il registro riporta i soli fatti pubblici e documentati e attribuisce ogni caratterizzazione ulteriore alla fonte che l’ha prodotta: così l’accordo di partito è registrato come fatto, mentre la lettura di esso come subordinazione resta esclusa; così la partecipazione a missioni di osservazione è registrata come fatto, mentre la qualificazione come rete etero-diretta è attribuita alle organizzazioni di monitoraggio. Il modello di questa disciplina è offerto dalla vicenda della P2: anche la lista più canonica di quella storia porta con sé l’avvertenza esplicita che la presenza di un nome non prova l’appartenenza, e che l’accertamento parlamentare non coincide con quello giudiziario. Trattare ogni nominativo del corpus con la stessa cautela con cui la storiografia tratta i nomi della lista di Castiglion Fibocchi è la garanzia più solida contro i rilievi. Per le persone defunte e per i fatti coperti da sentenza, il rischio è minore, ma la gradazione va comunque mantenuta.</w:t>
      </w:r>
    </w:p>
    <w:p>
      <w:pPr>
        <w:spacing w:after="120" w:line="276"/>
        <w:jc w:val="both"/>
      </w:pPr>
      <w:r>
        <w:rPr>
          <w:rFonts w:ascii="Barlow Semi Condensed" w:cs="Barlow Semi Condensed" w:eastAsia="Barlow Semi Condensed" w:hAnsi="Barlow Semi Condensed"/>
          <w:sz w:val="24"/>
          <w:szCs w:val="24"/>
        </w:rPr>
        <w:t xml:space="preserve">5.5 — Protocollo redazionale per la pubblicazione</w:t>
      </w:r>
    </w:p>
    <w:p>
      <w:pPr>
        <w:spacing w:after="120" w:line="276"/>
        <w:jc w:val="both"/>
      </w:pPr>
      <w:r>
        <w:rPr>
          <w:rFonts w:ascii="Barlow Semi Condensed" w:cs="Barlow Semi Condensed" w:eastAsia="Barlow Semi Condensed" w:hAnsi="Barlow Semi Condensed"/>
          <w:sz w:val="24"/>
          <w:szCs w:val="24"/>
        </w:rPr>
        <w:t xml:space="preserve">Il protocollo che ne discende, e che il registro raccomanda per ogni versione destinata alla diffusione, si riassume in poche prescrizioni sostanziali. Ogni affermazione discreditante su persona identificabile deve recare, nel testo, il proprio livello probatorio e, ove non sia fatto accertato, l’indicazione della fonte. Nessuna affermazione a Livello C deve essere formulata in modo assertorio. Nessun nesso operativo deve essere inferito dalla sola contiguità, dalla coincidenza temporale o dall’appartenenza al medesimo ambiente. Gli Stati Zero devono restare visibili, perché la loro rimozione trasformerebbe un’assenza di prova in una prova di presenza. Il rispetto di questo protocollo non indebolisce l’opera: ne è, al contrario, la condizione di solidità, poiché un’affermazione graduata e attribuita è inattaccabile là dove un’affermazione perentoria e non provata è vulnerabile.</w:t>
      </w:r>
    </w:p>
    <w:p>
      <w:pPr>
        <w:pStyle w:val="Heading3"/>
        <w:spacing w:after="80" w:before="160"/>
      </w:pPr>
      <w:r>
        <w:rPr>
          <w:rFonts w:ascii="Barlow Semi Condensed" w:cs="Barlow Semi Condensed" w:eastAsia="Barlow Semi Condensed" w:hAnsi="Barlow Semi Condensed"/>
          <w:sz w:val="24"/>
          <w:szCs w:val="24"/>
        </w:rPr>
        <w:t xml:space="preserve">FASE VI — REGISTRO DI VERIFICA: LA TRANCHE CERTIFICATA</w:t>
      </w:r>
    </w:p>
    <w:p>
      <w:pPr>
        <w:spacing w:after="120" w:line="276"/>
        <w:jc w:val="both"/>
      </w:pPr>
      <w:r>
        <w:rPr>
          <w:rFonts w:ascii="Barlow Semi Condensed" w:cs="Barlow Semi Condensed" w:eastAsia="Barlow Semi Condensed" w:hAnsi="Barlow Semi Condensed"/>
          <w:sz w:val="24"/>
          <w:szCs w:val="24"/>
        </w:rPr>
        <w:t xml:space="preserve">6.1 — Metodo del registro e legenda</w:t>
      </w:r>
    </w:p>
    <w:p>
      <w:pPr>
        <w:spacing w:after="120" w:line="276"/>
        <w:jc w:val="both"/>
      </w:pPr>
      <w:r>
        <w:rPr>
          <w:rFonts w:ascii="Barlow Semi Condensed" w:cs="Barlow Semi Condensed" w:eastAsia="Barlow Semi Condensed" w:hAnsi="Barlow Semi Condensed"/>
          <w:sz w:val="24"/>
          <w:szCs w:val="24"/>
        </w:rPr>
        <w:t xml:space="preserve">Questa Fase riporta in forma di schede in prosa i blocchi di verifica indipendente effettivamente eseguiti per la presente tranche, con l’esito e il livello attribuito. Coerentemente con le regole dell’opera, non si impiegano tabelle. Ogni scheda enuncia l’oggetto del riscontro, la natura delle fonti convergenti e la classificazione risultante. La legenda è quella generale del documento: Livello A per la convergenza di almeno tre fonti indipendenti eterogenee; Livello B per due fonti indipendenti o una fonte di alta affidabilità; Livello C per fonte singola o indizi circostanziali; Stato Zero per la connessione cercata e non trovata.</w:t>
      </w:r>
    </w:p>
    <w:p>
      <w:pPr>
        <w:spacing w:after="120" w:line="276"/>
        <w:jc w:val="both"/>
      </w:pPr>
      <w:r>
        <w:rPr>
          <w:rFonts w:ascii="Barlow Semi Condensed" w:cs="Barlow Semi Condensed" w:eastAsia="Barlow Semi Condensed" w:hAnsi="Barlow Semi Condensed"/>
          <w:sz w:val="24"/>
          <w:szCs w:val="24"/>
        </w:rPr>
        <w:t xml:space="preserve">6.2 — Blocchi di verifica eseguiti</w:t>
      </w:r>
    </w:p>
    <w:p>
      <w:pPr>
        <w:spacing w:after="120" w:line="276"/>
        <w:jc w:val="both"/>
      </w:pPr>
      <w:r>
        <w:rPr>
          <w:rFonts w:ascii="Barlow Semi Condensed" w:cs="Barlow Semi Condensed" w:eastAsia="Barlow Semi Condensed" w:hAnsi="Barlow Semi Condensed"/>
          <w:sz w:val="24"/>
          <w:szCs w:val="24"/>
        </w:rPr>
        <w:t xml:space="preserve">Blocco uno, architettura Shor. La designazione di Ilan Shor da parte del Tesoro statunitense nell’ottobre 2022 per interferenza elettorale a beneficio della Russia, la condanna in contumacia dell’aprile 2023, la messa al bando del partito nel giugno 2023 e i successivi ampliamenti delle misure dell’Unione Europea del luglio 2025 e del giugno 2026 sono confermati dalla convergenza di provvedimenti istituzionali statunitensi ed europei e di inchieste giornalistiche indipendenti. Esito: confermato a Livello A.</w:t>
      </w:r>
    </w:p>
    <w:p>
      <w:pPr>
        <w:spacing w:after="120" w:line="276"/>
        <w:jc w:val="both"/>
      </w:pPr>
      <w:r>
        <w:rPr>
          <w:rFonts w:ascii="Barlow Semi Condensed" w:cs="Barlow Semi Condensed" w:eastAsia="Barlow Semi Condensed" w:hAnsi="Barlow Semi Condensed"/>
          <w:sz w:val="24"/>
          <w:szCs w:val="24"/>
        </w:rPr>
        <w:t xml:space="preserve">Blocco due, rete cripto. Il meccanismo Garantex-Grinex-A7A5, con l’emissione del token da parte della kirghisa Old Vector, la garanzia presso la banca statale russa Promsvyazbank, il legame con la piattaforma A7 e la funzione di elusione delle sanzioni per un volume stimato in decine di miliardi di dollari, è confermato dalla convergenza dei provvedimenti sanzionatori statunitense e britannico dell’agosto 2025, delle misure dell’Unione Europea dell’ottobre 2025 e delle analisi tecniche di più società di intelligence sulla blockchain. L’indicazione di Ilan Shor come beneficiario ultimo della piattaforma A7 è riferita da inchieste di primarie testate internazionali. Esito: confermato a Livello A.</w:t>
      </w:r>
    </w:p>
    <w:p>
      <w:pPr>
        <w:spacing w:after="120" w:line="276"/>
        <w:jc w:val="both"/>
      </w:pPr>
      <w:r>
        <w:rPr>
          <w:rFonts w:ascii="Barlow Semi Condensed" w:cs="Barlow Semi Condensed" w:eastAsia="Barlow Semi Condensed" w:hAnsi="Barlow Semi Condensed"/>
          <w:sz w:val="24"/>
          <w:szCs w:val="24"/>
        </w:rPr>
        <w:t xml:space="preserve">Blocco tre, accordo Lega-Russia Unita. La sottoscrizione dell’accordo di cooperazione tra la Lega e Russia Unita il 6 marzo 2017 a opera di Matteo Salvini e Sergej Zheleznyak, il suo contenuto, la clausola di non vincolatività e il rinnovo tacito con scadenza al 2027 sono confermati dalla pubblicazione del testo e da una pluralità di testate italiane e internazionali. Esito: confermato a Livello A come fatto documentato, con espressa astensione da inferenze interpretative ulteriori.</w:t>
      </w:r>
    </w:p>
    <w:p>
      <w:pPr>
        <w:spacing w:after="120" w:line="276"/>
        <w:jc w:val="both"/>
      </w:pPr>
      <w:r>
        <w:rPr>
          <w:rFonts w:ascii="Barlow Semi Condensed" w:cs="Barlow Semi Condensed" w:eastAsia="Barlow Semi Condensed" w:hAnsi="Barlow Semi Condensed"/>
          <w:sz w:val="24"/>
          <w:szCs w:val="24"/>
        </w:rPr>
        <w:t xml:space="preserve">Blocco quattro, caso Petrocelli. La procedura di espulsione dal Movimento 5 Stelle nel 2022 sulla linea del voto contrario agli aiuti all’Ucraina, la presidenza dell’Istituto Italia-BRICS e la partecipazione a delegazioni di osservatori alle elezioni presidenziali russa del 2024 e bielorussa del 2025 sono confermate da fonti giornalistiche e dalla biografia ufficiale del medesimo istituto. Esito: fatti pubblici confermati a Livello A; la caratterizzazione come rete etero-diretta è tesi di terzi tenuta a Livello B e attribuita alla fonte.</w:t>
      </w:r>
    </w:p>
    <w:p>
      <w:pPr>
        <w:spacing w:after="120" w:line="276"/>
        <w:jc w:val="both"/>
      </w:pPr>
      <w:r>
        <w:rPr>
          <w:rFonts w:ascii="Barlow Semi Condensed" w:cs="Barlow Semi Condensed" w:eastAsia="Barlow Semi Condensed" w:hAnsi="Barlow Semi Condensed"/>
          <w:sz w:val="24"/>
          <w:szCs w:val="24"/>
        </w:rPr>
        <w:t xml:space="preserve">Blocco cinque, caso Balan. L’arresto in Romania nel settembre 2025 nell’operazione congiunta coordinata da Eurojust, l’accusa di trasmissione di segreti al servizio bielorusso, la condanna dell’aprile 2026, lo scambio di prigionieri e la privazione della cittadinanza moldava del giugno 2026 sono confermati da fonti giudiziarie e giornalistiche convergenti. Esito: confermato a Livello A, con aggiornamento successivo alla redazione del documento; il nesso diretto con la rete Shor è tenuto a Livello C.</w:t>
      </w:r>
    </w:p>
    <w:p>
      <w:pPr>
        <w:spacing w:after="120" w:line="276"/>
        <w:jc w:val="both"/>
      </w:pPr>
      <w:r>
        <w:rPr>
          <w:rFonts w:ascii="Barlow Semi Condensed" w:cs="Barlow Semi Condensed" w:eastAsia="Barlow Semi Condensed" w:hAnsi="Barlow Semi Condensed"/>
          <w:sz w:val="24"/>
          <w:szCs w:val="24"/>
        </w:rPr>
        <w:t xml:space="preserve">Blocco sei, caso Creyelman. L’espulsione dell’ex senatore belga dal Vlaams Belang nel dicembre 2023 è confermata a Livello A; la caratterizzazione come informatore dell’intelligence cinese è tesi di un’inchiesta giornalistica congiunta di primarie testate, tenuta a Livello B e attribuita alla fonte. Il blocco certifica altresì, come rilievo metodologico, che si tratta di un vettore d’influenza cinese, distinto da quello russo.</w:t>
      </w:r>
    </w:p>
    <w:p>
      <w:pPr>
        <w:spacing w:after="120" w:line="276"/>
        <w:jc w:val="both"/>
      </w:pPr>
      <w:r>
        <w:rPr>
          <w:rFonts w:ascii="Barlow Semi Condensed" w:cs="Barlow Semi Condensed" w:eastAsia="Barlow Semi Condensed" w:hAnsi="Barlow Semi Condensed"/>
          <w:sz w:val="24"/>
          <w:szCs w:val="24"/>
        </w:rPr>
        <w:t xml:space="preserve">Blocco sette, Loggia P2. Il rinvenimento dell’elenco dei circa 962 iscritti a Castiglion Fibocchi il 17 marzo 1981, la sua pubblicazione il 21 maggio 1981 e il giudizio di autenticità e attendibilità della Commissione Anselmi del 12 luglio 1984 sono confermati a Livello A dalla relazione parlamentare e dalla storiografia. Il blocco certifica insieme il caveat dirimente: la presenza di un nome nell’elenco non prova l’appartenenza, e l’accertamento parlamentare non coincide con l’esito giudiziario. Esito: confermato a Livello A, con avvertenza sui falsi positivi.</w:t>
      </w:r>
    </w:p>
    <w:p>
      <w:pPr>
        <w:spacing w:after="120" w:line="276"/>
        <w:jc w:val="both"/>
      </w:pPr>
      <w:r>
        <w:rPr>
          <w:rFonts w:ascii="Barlow Semi Condensed" w:cs="Barlow Semi Condensed" w:eastAsia="Barlow Semi Condensed" w:hAnsi="Barlow Semi Condensed"/>
          <w:sz w:val="24"/>
          <w:szCs w:val="24"/>
        </w:rPr>
        <w:t xml:space="preserve">Blocco otto, Operazione Condor. La formalizzazione del sistema nella riunione di Santiago del 25 novembre-1º dicembre 1975 su convocazione di Manuel Contreras, la scoperta dell’Archivo del Terror il 22 dicembre 1992, l’esecuzione dell’attentato di Roma del 6 ottobre 1975 contro Bernardo Leighton da parte di Stefano Delle Chiaie per conto della DINA e l’omicidio di Orlando Letelier a Washington nel settembre 1976 sono confermati a Livello A dai documenti primari del National Security Archive e dalle risultanze giudiziarie. Il blocco certifica altresì la collocazione geopolitica anti-sovietica della rete, rilevante per il vaglio delle ipotesi. Esito: confermato a Livello A.</w:t>
      </w:r>
    </w:p>
    <w:p>
      <w:pPr>
        <w:spacing w:after="120" w:line="276"/>
        <w:jc w:val="both"/>
      </w:pPr>
      <w:r>
        <w:rPr>
          <w:rFonts w:ascii="Barlow Semi Condensed" w:cs="Barlow Semi Condensed" w:eastAsia="Barlow Semi Condensed" w:hAnsi="Barlow Semi Condensed"/>
          <w:sz w:val="24"/>
          <w:szCs w:val="24"/>
        </w:rPr>
        <w:t xml:space="preserve">Blocco nove, diaspora nazista e ratlines. L’esistenza di vie di fuga strutturate verso il Sud America e la penisola iberica, con il ruolo di settori ecclesiastici e di documenti di viaggio ottenuti con generalità false, e i singoli casi di Eichmann, Mengele, Barbie e Stangl, sono acquisizioni storiografiche consolidate confermate a Livello A. L’immagine di un’unica organizzazione centralizzata denominata ODESSA è tenuta a Livello C. Esito: meccanismo confermato a Livello A; centralizzazione a Livello C.</w:t>
      </w:r>
    </w:p>
    <w:p>
      <w:pPr>
        <w:spacing w:after="120" w:line="276"/>
        <w:jc w:val="both"/>
      </w:pPr>
      <w:r>
        <w:rPr>
          <w:rFonts w:ascii="Barlow Semi Condensed" w:cs="Barlow Semi Condensed" w:eastAsia="Barlow Semi Condensed" w:hAnsi="Barlow Semi Condensed"/>
          <w:sz w:val="24"/>
          <w:szCs w:val="24"/>
        </w:rPr>
        <w:t xml:space="preserve">Blocco dieci, elusione dell’embargo dell’apartheid. La cooperazione militare del Sudafrica dell’apartheid con fornitori e mediatori per aggirare l’embargo, attraverso l’agenzia statale Armscor e reti di intermediari, e l’esistenza di un asse tra Stati paria fondato sull’elusione delle sanzioni, sono confermate a Livello B dalla documentazione storica del corpus e dagli approfondimenti tematici. Esito: confermato a Livello B.</w:t>
      </w:r>
    </w:p>
    <w:p>
      <w:pPr>
        <w:spacing w:after="120" w:line="276"/>
        <w:jc w:val="both"/>
      </w:pPr>
      <w:r>
        <w:rPr>
          <w:rFonts w:ascii="Barlow Semi Condensed" w:cs="Barlow Semi Condensed" w:eastAsia="Barlow Semi Condensed" w:hAnsi="Barlow Semi Condensed"/>
          <w:sz w:val="24"/>
          <w:szCs w:val="24"/>
        </w:rPr>
        <w:t xml:space="preserve">6.3 — Stati Zero certificati e blocchi rinviati</w:t>
      </w:r>
    </w:p>
    <w:p>
      <w:pPr>
        <w:spacing w:after="120" w:line="276"/>
        <w:jc w:val="both"/>
      </w:pPr>
      <w:r>
        <w:rPr>
          <w:rFonts w:ascii="Barlow Semi Condensed" w:cs="Barlow Semi Condensed" w:eastAsia="Barlow Semi Condensed" w:hAnsi="Barlow Semi Condensed"/>
          <w:sz w:val="24"/>
          <w:szCs w:val="24"/>
        </w:rPr>
        <w:t xml:space="preserve">Il registro certifica formalmente i due Stati Zero della presente tranche. Primo Stato Zero: assenza di collegamento diretto e documentato tra Ilan Shor e la criminalità organizzata italiana, connessione cercata nel corpus e non trovata. Secondo Stato Zero: assenza, nel corpus, di qualsiasi documento che stabilisca continuità di attori o comando comune tra la Formazione Alfa e la Formazione Beta. Entrambi gli Stati Zero sono risultati positivi, non lacune.</w:t>
      </w:r>
    </w:p>
    <w:p>
      <w:pPr>
        <w:spacing w:after="120" w:line="276"/>
        <w:jc w:val="both"/>
      </w:pPr>
      <w:r>
        <w:rPr>
          <w:rFonts w:ascii="Barlow Semi Condensed" w:cs="Barlow Semi Condensed" w:eastAsia="Barlow Semi Condensed" w:hAnsi="Barlow Semi Condensed"/>
          <w:sz w:val="24"/>
          <w:szCs w:val="24"/>
        </w:rPr>
        <w:t xml:space="preserve">Quanto ai blocchi rinviati alle tranche successive, il registro dichiara con trasparenza che il vaglio a cascata prefigurato è processo pluri-sessione e che questa è la prima tranche. Restano da certificare partitamente, tra gli altri: il riscontro esaustivo dei singoli accordi di partito della rete Russia Unita, di cui è qui verificato il modello italiano; la ricognizione analitica dei nodi bulgaro, austriaco e balcanico ricorrenti nei due dossier contemporanei; la verifica documentale dei singoli intermediari dell’asse iberico e sudafricano; e la ricostruzione partita dei rapporti tra il neofascismo italiano in fuga e i singoli apparati di sicurezza dei regimi del Cono Sur. Ciascuno di questi blocchi sarà oggetto delle tranche successive, secondo il principio di conservazione cumulativa che governa l’opera, per cui ogni versione preserva integralmente la precedente e la incrementa.</w:t>
      </w:r>
    </w:p>
    <w:p>
      <w:pPr>
        <w:pStyle w:val="Heading3"/>
        <w:spacing w:after="80" w:before="160"/>
      </w:pPr>
      <w:r>
        <w:rPr>
          <w:rFonts w:ascii="Barlow Semi Condensed" w:cs="Barlow Semi Condensed" w:eastAsia="Barlow Semi Condensed" w:hAnsi="Barlow Semi Condensed"/>
          <w:sz w:val="24"/>
          <w:szCs w:val="24"/>
        </w:rPr>
        <w:t xml:space="preserve">CHIUSA — Sintesi e indicazioni per le versioni successive</w:t>
      </w:r>
    </w:p>
    <w:p>
      <w:pPr>
        <w:spacing w:after="120" w:line="276"/>
        <w:jc w:val="both"/>
      </w:pPr>
      <w:r>
        <w:rPr>
          <w:rFonts w:ascii="Barlow Semi Condensed" w:cs="Barlow Semi Condensed" w:eastAsia="Barlow Semi Condensed" w:hAnsi="Barlow Semi Condensed"/>
          <w:sz w:val="24"/>
          <w:szCs w:val="24"/>
        </w:rPr>
        <w:t xml:space="preserve">Il registro, applicando alla lettera la metodologia dell’opera, giunge a un esito netto e a un limite altrettanto netto. L’esito è che il corpus, letto per ciò che effettivamente documenta, falsifica la forma forte della tesi del condominio tra Stati Uniti e Unione Sovietica, poi Russia: in entrambe le formazioni autoritarie transnazionali che il corpus ricostruisce — l’anticomunista atlantica del dopoguerra e l’eurasiatista contemporanea — le due potenze si collocano su fronti opposti, non in coordinamento. Il limite è che la tesi alternativa delle due internazionali rivali, pur essendo la meno contraddetta dalle evidenze e pur godendo di un vantaggio esplicativo, va mantenuta al rango di ipotesi non falsificata, a Livello C, perché l’intenzionalità e l’autocoscienza che essa presuppone per l’insieme sono documentate solo per i singoli nodi.</w:t>
      </w:r>
    </w:p>
    <w:p>
      <w:pPr>
        <w:spacing w:after="120" w:line="276"/>
        <w:jc w:val="both"/>
      </w:pPr>
      <w:r>
        <w:rPr>
          <w:rFonts w:ascii="Barlow Semi Condensed" w:cs="Barlow Semi Condensed" w:eastAsia="Barlow Semi Condensed" w:hAnsi="Barlow Semi Condensed"/>
          <w:sz w:val="24"/>
          <w:szCs w:val="24"/>
        </w:rPr>
        <w:t xml:space="preserve">Ne discende, per le versioni successive, una direzione di lavoro coerente con questa impostazione: non la ricerca di conferme alla tesi del condominio, che la struttura stessa produrrebbe artificiosamente, ma il tentativo sistematico di falsificare l’ipotesi delle due internazionali rivali, cercando in via prioritaria le evidenze che la contraddirebbero — ad esempio la prova documentale di un passaggio di consegne tra le due formazioni, che oggi è uno Stato Zero. È questo il metodo del falsificatore permanente che l’opera ha eletto a proprio principio: solo l’ipotesi che sopravvive ai tentativi di confutazione merita, e soltanto provvisoriamente, il titolo di conoscenza. Il presente documento è la prima tranche di quel percorso e va letto come tale: un registro che gradua, attribuisce e distingue, e che nella disciplina della prova trova insieme il proprio rigore scientifico e la propria tutela.</w:t>
      </w:r>
    </w:p>
    <w:p>
      <w:pPr>
        <w:pStyle w:val="Heading3"/>
        <w:spacing w:after="80" w:before="160"/>
      </w:pPr>
      <w:r>
        <w:rPr>
          <w:rFonts w:ascii="Barlow Semi Condensed" w:cs="Barlow Semi Condensed" w:eastAsia="Barlow Semi Condensed" w:hAnsi="Barlow Semi Condensed"/>
          <w:sz w:val="24"/>
          <w:szCs w:val="24"/>
        </w:rPr>
        <w:t xml:space="preserve">Nota sulle fonti di riscontro della tranche</w:t>
      </w:r>
    </w:p>
    <w:p>
      <w:pPr>
        <w:spacing w:after="120" w:line="276"/>
        <w:jc w:val="both"/>
      </w:pPr>
      <w:r>
        <w:rPr>
          <w:rFonts w:ascii="Barlow Semi Condensed" w:cs="Barlow Semi Condensed" w:eastAsia="Barlow Semi Condensed" w:hAnsi="Barlow Semi Condensed"/>
          <w:sz w:val="24"/>
          <w:szCs w:val="24"/>
        </w:rPr>
        <w:t xml:space="preserve">I riscontri della presente tranche poggiano, per la parte contemporanea, su provvedimenti sanzionatori e comunicati di organismi istituzionali — il Tesoro degli Stati Uniti e il suo Ufficio per il controllo dei beni esteri, il Consiglio dell’Unione Europea, l’omologo britannico — su inchieste di primarie testate internazionali e nazionali, e su analisi tecniche di società specializzate nell’intelligence sulla blockchain e nel monitoraggio elettorale. Per la parte storica poggiano sulla relazione della Commissione parlamentare d’inchiesta sulla Loggia P2, sui documenti primari desecretati resi disponibili dal National Security Archive, sulla letteratura accademica e giudiziaria consolidata e sugli approfondimenti tematici del corpus, che a loro volta recano le proprie fonti. In coerenza con lo standard di triangolazione dell’opera, nessun nodo è stato certificato a Livello A senza la convergenza di almeno tre fonti indipendenti di natura eterogenea; ove tale convergenza non è stata raggiunta, il nodo è stato mantenuto ai livelli inferiori o registrato come Stato Zero. Le fonti puntuali di ciascun blocco sono conservate nel fascicolo di lavorazione e saranno riportate analiticamente nelle versioni successive, secondo il principio di conservazione cumulativa.</w:t>
      </w:r>
    </w:p>
    <w:p>
      <w:pPr>
        <w:pStyle w:val="Heading3"/>
        <w:spacing w:after="80" w:before="160"/>
      </w:pPr>
      <w:r>
        <w:rPr>
          <w:rFonts w:ascii="Barlow Semi Condensed" w:cs="Barlow Semi Condensed" w:eastAsia="Barlow Semi Condensed" w:hAnsi="Barlow Semi Condensed"/>
          <w:sz w:val="24"/>
          <w:szCs w:val="24"/>
        </w:rPr>
        <w:t xml:space="preserve">SECONDA TRANCHE — FASE VII: IL CORRIDOIO BIOGRAFICO TRA LE DUE FORMAZIONI. IL NODO MURELLI E LA FILIERA JEUNE EUROPE–ORION–EURASIATISMO</w:t>
      </w:r>
    </w:p>
    <w:p>
      <w:pPr>
        <w:spacing w:after="120" w:line="276"/>
        <w:jc w:val="both"/>
      </w:pPr>
      <w:r>
        <w:rPr>
          <w:rFonts w:ascii="Barlow Semi Condensed" w:cs="Barlow Semi Condensed" w:eastAsia="Barlow Semi Condensed" w:hAnsi="Barlow Semi Condensed"/>
          <w:sz w:val="24"/>
          <w:szCs w:val="24"/>
        </w:rPr>
        <w:t xml:space="preserve">7.1 — Oggetto della tranche, fonte-innesco e suo statuto probatorio</w:t>
      </w:r>
    </w:p>
    <w:p>
      <w:pPr>
        <w:spacing w:after="120" w:line="276"/>
        <w:jc w:val="both"/>
      </w:pPr>
      <w:r>
        <w:rPr>
          <w:rFonts w:ascii="Barlow Semi Condensed" w:cs="Barlow Semi Condensed" w:eastAsia="Barlow Semi Condensed" w:hAnsi="Barlow Semi Condensed"/>
          <w:sz w:val="24"/>
          <w:szCs w:val="24"/>
        </w:rPr>
        <w:t xml:space="preserve">La seconda tranche è innescata dall'acquisizione al fascicolo della voce enciclopedica in rete dedicata a Maurizio Murelli e procede, secondo il mandato, per blocchi di verifica a cascata con triangolazione integrale sul corpus e sulle fonti esterne. Occorre anzitutto fissare lo statuto della fonte-innesco. La voce si autodichiara, con avviso redazionale in testa, priva o carente di note e riferimenti bibliografici puntuali; reca inoltre un vistoso refuso nella data di consultazione di una delle note, indicata in un impossibile 17 aprile 2121, ulteriore segnale di redazione non curata. Ne discende la regola applicata per l'intera tranche: la voce vale come puntatore e come mappa delle asserzioni da vagliare, mai come prova; ogni sua proposizione è stata sottoposta a triangolazione autonoma con il corpus dell'opera — in particolare con la ricostruzione storiografica dedicata alla filiera da Aginter Press e Jeune Europe all'eurasiatismo filorusso, già acquisita al progetto — e con fonti esterne indipendenti, giornalistiche, accademiche, giudiziarie e archivistiche. Le note della voce sono state estratte una per una e i loro collegamenti censiti nell'apparato finale della tranche, come richiesto dal mandato.</w:t>
      </w:r>
    </w:p>
    <w:p>
      <w:pPr>
        <w:spacing w:after="120" w:line="276"/>
        <w:jc w:val="both"/>
      </w:pPr>
      <w:r>
        <w:rPr>
          <w:rFonts w:ascii="Barlow Semi Condensed" w:cs="Barlow Semi Condensed" w:eastAsia="Barlow Semi Condensed" w:hAnsi="Barlow Semi Condensed"/>
          <w:sz w:val="24"/>
          <w:szCs w:val="24"/>
        </w:rPr>
        <w:t xml:space="preserve">La ragione per cui questo nodo merita una tranche dedicata è analitica prima che biografica. La prima tranche aveva certificato, come secondo Stato Zero, l'assenza nel corpus allora vagliato di qualsiasi documento che stabilisse continuità di attori tra la Formazione Alfa — la rete nera anticomunista del dopoguerra — e la Formazione Beta — l'operazione di influenza eurasiatista contemporanea. Il materiale ora vagliato incide precisamente su quel punto: documenta l'esistenza di un corridoio biografico e ideologico che attraversa le due epoche, e impone di aggiornare formalmente il registro. Come si vedrà, l'aggiornamento non rovescia lo Stato Zero: lo raffina, distinguendo ciò che ora risulta documentato — la continuità di persone e di ambiente — da ciò che resta non documentato — la continuità di comando e di committenza.</w:t>
      </w:r>
    </w:p>
    <w:p>
      <w:pPr>
        <w:spacing w:after="120" w:line="276"/>
        <w:jc w:val="both"/>
      </w:pPr>
      <w:r>
        <w:rPr>
          <w:rFonts w:ascii="Barlow Semi Condensed" w:cs="Barlow Semi Condensed" w:eastAsia="Barlow Semi Condensed" w:hAnsi="Barlow Semi Condensed"/>
          <w:sz w:val="24"/>
          <w:szCs w:val="24"/>
        </w:rPr>
        <w:t xml:space="preserve">7.2 — Il fatto fondativo: il giovedì nero di Milano del 12 aprile 1973</w:t>
      </w:r>
    </w:p>
    <w:p>
      <w:pPr>
        <w:spacing w:after="120" w:line="276"/>
        <w:jc w:val="both"/>
      </w:pPr>
      <w:r>
        <w:rPr>
          <w:rFonts w:ascii="Barlow Semi Condensed" w:cs="Barlow Semi Condensed" w:eastAsia="Barlow Semi Condensed" w:hAnsi="Barlow Semi Condensed"/>
          <w:sz w:val="24"/>
          <w:szCs w:val="24"/>
        </w:rPr>
        <w:t xml:space="preserve">Il fatto giudiziario da cui la biografia muove è accertato a Livello A dalla convergenza di risultanze processuali, storiografia e cronaca giudiziaria pluridecennale, e trova pieno riscontro nella voce enciclopedica dedicata all'evento, anch'essa acquisita al corpus. Il 12 aprile 1973, durante una manifestazione del Movimento Sociale Italiano e del Fronte della Gioventù vietata dal prefetto Libero Mazza e dal questore, un corteo neofascista attraversò Milano dirigendosi verso la prefettura; all'incrocio tra via Bellotti e via Kramer vennero lanciate contro le forze dell'ordine due bombe a mano SRCM Mod. 35 in dotazione all'esercito. La seconda colpì al petto l'agente ventiduenne Antonio Marino, uccidendolo; altri dodici agenti rimasero feriti. Per quei fatti Vittorio Loi, figlio del pugile Duilio Loi e autore materiale del lancio, fu condannato a diciannove anni; Maurizio Murelli, che aveva compiuto diciotto anni da pochi mesi, fu condannato a diciotto anni a titolo di concorso, secondo la formula della unicità del disegno criminoso; ne scontò circa undici prima della semilibertà. Le bombe erano state procurate da Nico Azzi del gruppo La Fenice, denominazione milanese dell'area ordinovista, lo stesso Azzi che il 7 aprile precedente si era ferito nel fallito attentato al treno Torino-Genova-Roma: la circostanza, accertata processualmente, salda il giovedì nero al contesto stragista coevo ed è certificata a Livello A.</w:t>
      </w:r>
    </w:p>
    <w:p>
      <w:pPr>
        <w:spacing w:after="120" w:line="276"/>
        <w:jc w:val="both"/>
      </w:pPr>
      <w:r>
        <w:rPr>
          <w:rFonts w:ascii="Barlow Semi Condensed" w:cs="Barlow Semi Condensed" w:eastAsia="Barlow Semi Condensed" w:hAnsi="Barlow Semi Condensed"/>
          <w:sz w:val="24"/>
          <w:szCs w:val="24"/>
        </w:rPr>
        <w:t xml:space="preserve">Su un punto la tranche impone la massima disciplina, trattandosi della seconda carica dello Stato in carica. È documentato a Livello A, dalla convergenza di più testate indipendenti e della storiografia, che in testa al corteo di quel giorno vi fossero, tra i dirigenti, i fratelli Ignazio e Romano La Russa, il primo allora segretario milanese del Fronte della Gioventù. È parimenti documentato, dalla medesima convergenza di fonti, che entrambi furono ritenuti estranei ai fatti di sangue: le iniziali chiamate in correo mosse da Loi e Murelli contro dirigenti del movimento, tra cui i fratelli La Russa, furono dagli stessi dichiaranti ritrattate come infondate. Il registro riporta pertanto, congiuntamente e con pari evidenza, il fatto della presenza documentata alla guida del corteo e il fatto dell'estraneità accertata ai reati di sangue, astenendosi — in forza della disciplina delle persone viventi e della Regola Ferrea — da qualsiasi inferenza che dalla presenza a una manifestazione ricavi responsabilità ulteriori. Una fonte isolata di segno diverso, non riscontrata dalla convergenza delle altre, è stata registrata e non utilizzata. Si segnala infine, quale rilievo di contesto storiografico già presente nel corpus, che il Movimento Sociale Italiano tentò dapprima di attribuire i fatti a infiltrati avversari e successivamente si dissociò dai condannati.</w:t>
      </w:r>
    </w:p>
    <w:p>
      <w:pPr>
        <w:spacing w:after="120" w:line="276"/>
        <w:jc w:val="both"/>
      </w:pPr>
      <w:r>
        <w:rPr>
          <w:rFonts w:ascii="Barlow Semi Condensed" w:cs="Barlow Semi Condensed" w:eastAsia="Barlow Semi Condensed" w:hAnsi="Barlow Semi Condensed"/>
          <w:sz w:val="24"/>
          <w:szCs w:val="24"/>
        </w:rPr>
        <w:t xml:space="preserve">7.3 — Il carcere, Freda, la macchina editoriale: da QUEX a Orion ad AGA</w:t>
      </w:r>
    </w:p>
    <w:p>
      <w:pPr>
        <w:spacing w:after="120" w:line="276"/>
        <w:jc w:val="both"/>
      </w:pPr>
      <w:r>
        <w:rPr>
          <w:rFonts w:ascii="Barlow Semi Condensed" w:cs="Barlow Semi Condensed" w:eastAsia="Barlow Semi Condensed" w:hAnsi="Barlow Semi Condensed"/>
          <w:sz w:val="24"/>
          <w:szCs w:val="24"/>
        </w:rPr>
        <w:t xml:space="preserve">La traiettoria successiva di Murelli è documentata a Livello A nei suoi snodi esterni e verificabili. Durante la detenzione collaborò alla rivista clandestina QUEX, promossa da detenuti dell'area nazionalrivoluzionaria tra cui Fabrizio Zani e Mario Tuti, e maturò — per sua stessa ricostruzione — l'influenza determinante di Franco Freda e del suo scritto sulla disintegrazione del sistema. Fondò dal carcere, nel 1979, le Edizioni Barbarossa, divenute poi Società Editrice Barbarossa e infine AGA Editrice; uscito in semilibertà nel 1984, diede vita a Saluzzo al mensile Orion, animandolo con la moglie Alessandra Colla. Che Orion sia stato il punto di riferimento italiano dell'area detta rosso-bruna o nazionalbolscevica è giudizio convergente della letteratura specialistica ed è certificato a Livello A come collocazione, mentre i contenuti sono documentati dallo studio accademico di Matteo Luca Andriola sulla retorica antigiudaica e sul negazionismo nelle pagine del mensile, apparso su rivista scientifica nel 2016: trattandosi di fonte accademica singola di alta qualità, la caratterizzazione contenutistica è certificata a Livello B e attribuita allo studio. Il corpus dell'opera aggiunge un elemento di rilievo strategico, tratto dalla monografia sull'architettura del caos: già in un articolo del 1985 la redazione di Orion auspicava un impero eurasiatico esteso dal Pacifico all'Atlantico, formulazione che anticipa con notevole precisione la sistematizzazione che Aleksandr Dugin avrebbe dato al progetto eurasiatista oltre un decennio dopo. L'anticipazione è certificata a Livello B sulla base del corpus e della letteratura che la riscontra, ed è analiticamente decisiva: mostra che la filiera italiana non fu ricettore passivo ma laboratorio precoce dell'ideologia poi divenuta strumento della proiezione russa.</w:t>
      </w:r>
    </w:p>
    <w:p>
      <w:pPr>
        <w:spacing w:after="120" w:line="276"/>
        <w:jc w:val="both"/>
      </w:pPr>
      <w:r>
        <w:rPr>
          <w:rFonts w:ascii="Barlow Semi Condensed" w:cs="Barlow Semi Condensed" w:eastAsia="Barlow Semi Condensed" w:hAnsi="Barlow Semi Condensed"/>
          <w:sz w:val="24"/>
          <w:szCs w:val="24"/>
        </w:rPr>
        <w:t xml:space="preserve">7.4 — Le gravitazioni documentate attorno a Orion: il vivaio delle traiettorie</w:t>
      </w:r>
    </w:p>
    <w:p>
      <w:pPr>
        <w:spacing w:after="120" w:line="276"/>
        <w:jc w:val="both"/>
      </w:pPr>
      <w:r>
        <w:rPr>
          <w:rFonts w:ascii="Barlow Semi Condensed" w:cs="Barlow Semi Condensed" w:eastAsia="Barlow Semi Condensed" w:hAnsi="Barlow Semi Condensed"/>
          <w:sz w:val="24"/>
          <w:szCs w:val="24"/>
        </w:rPr>
        <w:t xml:space="preserve">Attorno alla rivista gravitò, per convergenza della voce, del corpus e della letteratura indipendente, un insieme di figure le cui traiettorie successive costituiscono il cuore analitico della tranche. La posizione di Mario Borghezio è la meglio documentata ed è certificata a Livello A nei suoi passaggi esterni: militante di Jeune Europe, il movimento nazional-europeo di Jean Thiriart, dal 1962 e per un quinquennio, per sua stessa ammissione; nell'area di Ordine Nuovo negli anni Settanta; fermato l'11 luglio 1976 al valico di Ponte San Luigi presso Ventimiglia, il giorno successivo all'omicidio del giudice Vittorio Occorsio rivendicato dal Movimento Politico Ordine Nuovo, trovato in possesso di una cartolina firmata Ordine Nuovo dal contenuto ingiurioso e minatorio indirizzata al magistrato Luciano Violante; negli anni Ottanta direttore di Orion-Finanza, il supplemento economico della rivista di Murelli; quindi consigliere comunale della Lega a Torino dal 1990, deputato dal 1992 al 2001, parlamentare europeo dal 2001 al 2019. La sequenza — che il corpus riassume come l'arco completo dal neofascismo thiriartiano alla penetrazione della Lega — è la singola carriera che meglio incarna il Pattern della migrazione inter-dominio previsto dalla Nota Metodologica, e va riportata come concatenazione di fatti documentati, senza qualificazioni ulteriori.</w:t>
      </w:r>
    </w:p>
    <w:p>
      <w:pPr>
        <w:spacing w:after="120" w:line="276"/>
        <w:jc w:val="both"/>
      </w:pPr>
      <w:r>
        <w:rPr>
          <w:rFonts w:ascii="Barlow Semi Condensed" w:cs="Barlow Semi Condensed" w:eastAsia="Barlow Semi Condensed" w:hAnsi="Barlow Semi Condensed"/>
          <w:sz w:val="24"/>
          <w:szCs w:val="24"/>
        </w:rPr>
        <w:t xml:space="preserve">La posizione di Gianluca Savoini è documentata a Livello A nei fatti esterni: la collocazione giovanile nell'orbita del circuito di Orion è attestata dalla convergenza del corpus, della letteratura specialistica e della cronaca; la fondazione e la presidenza dell'Associazione Lombardia-Russia, il ruolo di raccordo nei rapporti tra la Lega e gli ambienti moscoviti e la qualità di artefice organizzativo dell'accordo del 6 marzo 2017 tra la Lega e Russia Unita — accordo già certificato a Livello A nella prima tranche — sono parimenti documentati. Le altre gravitazioni attestate dalla convergenza di voce, corpus e letteratura comprendono il fondatore di Prima Linea Enrico Galmozzi, il fondatore di Terza Posizione Gabriele Adinolfi, che della rivista fu anche uno dei direttori, il futuro responsabile culturale di CasaPound Adriano Scianca, Carlo Terracciano e Carlo Mattogno, la cui produzione negazionista è qualificazione consolidata nella letteratura scientifica e come tale riportata. È infine documentato a Livello A, per ammissione dello stesso ambiente e per cronaca, che Murelli assunse per un periodo Pierluigi Concutelli — il condannato definitivo per l'omicidio Occorsio, la cui voce biografica è parte del corpus — quale responsabile dell'ufficio romano della casa editrice, nel quadro dei benefici di legge. La densità di questo vivaio in un unico punto della rete è, nel lessico della Nota Metodologica, un caso di scuola di alta centralità di intermediazione: un nodo editoriale poco visibile al grande pubblico che collega aree altrimenti disconnesse — reduci dell'eversione, futuri quadri leghisti, futuri quadri di CasaPound — e ne incuba le traiettorie.</w:t>
      </w:r>
    </w:p>
    <w:p>
      <w:pPr>
        <w:spacing w:after="120" w:line="276"/>
        <w:jc w:val="both"/>
      </w:pPr>
      <w:r>
        <w:rPr>
          <w:rFonts w:ascii="Barlow Semi Condensed" w:cs="Barlow Semi Condensed" w:eastAsia="Barlow Semi Condensed" w:hAnsi="Barlow Semi Condensed"/>
          <w:sz w:val="24"/>
          <w:szCs w:val="24"/>
        </w:rPr>
        <w:t xml:space="preserve">7.5 — Il 1992 come anno-cerniera: Dugin a Milano, Thiriart a Mosca</w:t>
      </w:r>
    </w:p>
    <w:p>
      <w:pPr>
        <w:spacing w:after="120" w:line="276"/>
        <w:jc w:val="both"/>
      </w:pPr>
      <w:r>
        <w:rPr>
          <w:rFonts w:ascii="Barlow Semi Condensed" w:cs="Barlow Semi Condensed" w:eastAsia="Barlow Semi Condensed" w:hAnsi="Barlow Semi Condensed"/>
          <w:sz w:val="24"/>
          <w:szCs w:val="24"/>
        </w:rPr>
        <w:t xml:space="preserve">La tranche certifica il 1992 come l'anno-cerniera dell'intera filiera, sulla base della convergenza tra il corpus, la testimonianza diretta pubblicata dagli stessi ambienti e la letteratura accademica indipendente. In quell'anno Aleksandr Dugin tenne a Milano, al circolo delle Stelline, una conferenza sull'eurasiatismo, su invito dell'area di Orion: è la prima presenza documentata del futuro ideologo in Italia, certificata a Livello A dalla convergenza di testimonianza diretta di ambiente, corpus e ricostruzioni giornalistiche e accademiche. Nello stesso anno l'anziano Jean Thiriart, fondatore di Jeune Europe, compì il viaggio a Mosca per incontrare Dugin — accompagnato, secondo la ricostruzione accademica che la tranche riscontra, da Marco Battarra dell'area di Orion — e morì poche settimane dopo il rientro: il passaggio di consegne simbolico tra il nazional-europeismo antiatlantista degli anni Sessanta e il neo-eurasiatismo moscovita è così documentato a Livello A nei suoi fatti esterni. Nei decenni successivi la saldatura si è fatta editoriale e organizzativa: le opere di Dugin sono state pubblicate in Italia dalla filiera Barbarossa e poi, dal 2018 con sistematicità, da AGA Editrice, che ne è divenuta il principale editore italiano; parallelamente Claudio Mutti — anch'egli ex militante di Jeune Europe — ne ha veicolato il pensiero sulla rivista Eurasia. Il registro segnala infine, come fatto documentato dalla cronaca, che Dugin risultava all'epoca dei fatti del 2018 presidente onorario di un'associazione italo-russa di ambito piemontese: la capillarità associativa del vettore è parte del quadro.</w:t>
      </w:r>
    </w:p>
    <w:p>
      <w:pPr>
        <w:spacing w:after="120" w:line="276"/>
        <w:jc w:val="both"/>
      </w:pPr>
      <w:r>
        <w:rPr>
          <w:rFonts w:ascii="Barlow Semi Condensed" w:cs="Barlow Semi Condensed" w:eastAsia="Barlow Semi Condensed" w:hAnsi="Barlow Semi Condensed"/>
          <w:sz w:val="24"/>
          <w:szCs w:val="24"/>
        </w:rPr>
        <w:t xml:space="preserve">7.6 — Il filo dinastico Graziani: da Asunción all'eurasiatismo</w:t>
      </w:r>
    </w:p>
    <w:p>
      <w:pPr>
        <w:spacing w:after="120" w:line="276"/>
        <w:jc w:val="both"/>
      </w:pPr>
      <w:r>
        <w:rPr>
          <w:rFonts w:ascii="Barlow Semi Condensed" w:cs="Barlow Semi Condensed" w:eastAsia="Barlow Semi Condensed" w:hAnsi="Barlow Semi Condensed"/>
          <w:sz w:val="24"/>
          <w:szCs w:val="24"/>
        </w:rPr>
        <w:t xml:space="preserve">La tranche certifica un secondo corridoio, di natura dinastica, che salda fisicamente il teatro sudamericano della Formazione Alfa alla filiera eurasiatista contemporanea, secondo il Pattern dell'analisi generazionale previsto dalla Nota Metodologica. Clemente Graziani, nato a Roma nel 1925, reduce della Repubblica Sociale, fu tra i fondatori del Centro Studi Ordine Nuovo e capo del Movimento Politico Ordine Nuovo; condannato per ricostituzione del disciolto partito fascista, raggiunto da mandati di cattura tra cui quello per concorso nell'omicidio del giudice Occorsio, sfuggì all'estradizione dapprima nel Regno Unito e nella Grecia dei colonnelli e si stabilì infine nel Paraguay di Alfredo Stroessner — il medesimo santuario certificato nella prima tranche come epicentro logistico del sistema Condor e crocevia dell'asse con Pretoria — dove il regime ne rifiutò la consegna e dove visse da allevatore nel Chaco fino alla morte, avvenuta ad Asunción il 12 gennaio 1996. Il registro certifica con pari evidenza, in forza della disciplina dell'accuratezza e del contrasto ai falsi positivi, che dall'accusa più grave, il concorso nell'omicidio Occorsio, Graziani fu scagionato con formula piena in sede di legittimità: la sua posizione va dunque riportata come quella di un condannato per ricostituzione del partito fascista e latitante protetto dal regime stronista, non come quella di un condannato per l'omicidio del magistrato. L'intero quadro è certificato a Livello A.</w:t>
      </w:r>
    </w:p>
    <w:p>
      <w:pPr>
        <w:spacing w:after="120" w:line="276"/>
        <w:jc w:val="both"/>
      </w:pPr>
      <w:r>
        <w:rPr>
          <w:rFonts w:ascii="Barlow Semi Condensed" w:cs="Barlow Semi Condensed" w:eastAsia="Barlow Semi Condensed" w:hAnsi="Barlow Semi Condensed"/>
          <w:sz w:val="24"/>
          <w:szCs w:val="24"/>
        </w:rPr>
        <w:t xml:space="preserve">Il figlio, Rainaldo Graziani, fondò nei primi anni Novanta il movimento Meridiano Zero, fu punto di contatto italiano di Gabriele Adinolfi durante l'esilio francese di quest'ultimo, co-curò con Murelli e con lo stesso Adinolfi l'Università d'Estate del 2000 di cui si dirà, ed è divenuto negli anni recenti — per convergenza di cronaca e letteratura — uno degli accompagnatori e organizzatori italiani della presenza di Dugin, fino ad annunciare nel 2020, congiuntamente a Murelli, l'abbandono dell'identità neofascista in favore della Quarta Teoria Politica duginiana. La concatenazione è certificata a Livello A nei fatti esterni. Il suo significato analitico è difficilmente sopravvalutabile: in una sola genealogia familiare il registro osserva il padre che muore nel santuario paraguaiano dell'internazionale nera anticomunista e il figlio che, una generazione dopo, opera da tramite dell'ideologo dell'internazionale eurasiatista filorussa. È il capovolgimento di polarità della prima tranche incarnato in una dinastia, con date, luoghi e atti pubblici.</w:t>
      </w:r>
    </w:p>
    <w:p>
      <w:pPr>
        <w:spacing w:after="120" w:line="276"/>
        <w:jc w:val="both"/>
      </w:pPr>
      <w:r>
        <w:rPr>
          <w:rFonts w:ascii="Barlow Semi Condensed" w:cs="Barlow Semi Condensed" w:eastAsia="Barlow Semi Condensed" w:hAnsi="Barlow Semi Condensed"/>
          <w:sz w:val="24"/>
          <w:szCs w:val="24"/>
        </w:rPr>
        <w:t xml:space="preserve">7.7 — L'Università d'Estate del 2000 e l'incubazione di CasaPound</w:t>
      </w:r>
    </w:p>
    <w:p>
      <w:pPr>
        <w:spacing w:after="120" w:line="276"/>
        <w:jc w:val="both"/>
      </w:pPr>
      <w:r>
        <w:rPr>
          <w:rFonts w:ascii="Barlow Semi Condensed" w:cs="Barlow Semi Condensed" w:eastAsia="Barlow Semi Condensed" w:hAnsi="Barlow Semi Condensed"/>
          <w:sz w:val="24"/>
          <w:szCs w:val="24"/>
        </w:rPr>
        <w:t xml:space="preserve">La voce e la letteratura specialistica documentano che a partire dai primi anni Novanta Murelli organizzò la serie di convegni denominata Università d'Estate, poi Sinergie Europee, quale luogo di raccordo della componente intellettuale delle destre radicali europee; e che l'edizione del 2000, tenutasi presso un centro di Gavirate e curata da Murelli con Rainaldo Graziani e Gabriele Adinolfi, riunì esponenti di un arco che andava dalle formazioni radicali a settori di partiti allora di governo o parlamentari. La valutazione secondo cui in quella sede sarebbe stata concepita e pianificata la fondazione di CasaPound è tesi dello studioso Matteo Luca Andriola, ripresa dalla letteratura sulle origini del movimento: il registro la certifica a Livello B come ricostruzione accademica attribuita, non come fatto autonomamente riscontrato, rilevando che essa è coerente con la documentata funzione incubatrice dell'ambiente e con il ruolo, parimenti documentato, di Adinolfi e di Scianca nella genesi e nella direzione culturale del movimento.</w:t>
      </w:r>
    </w:p>
    <w:p>
      <w:pPr>
        <w:spacing w:after="120" w:line="276"/>
        <w:jc w:val="both"/>
      </w:pPr>
      <w:r>
        <w:rPr>
          <w:rFonts w:ascii="Barlow Semi Condensed" w:cs="Barlow Semi Condensed" w:eastAsia="Barlow Semi Condensed" w:hAnsi="Barlow Semi Condensed"/>
          <w:sz w:val="24"/>
          <w:szCs w:val="24"/>
        </w:rPr>
        <w:t xml:space="preserve">7.8 — Il caso Metropol nella sua interezza giudiziaria</w:t>
      </w:r>
    </w:p>
    <w:p>
      <w:pPr>
        <w:spacing w:after="120" w:line="276"/>
        <w:jc w:val="both"/>
      </w:pPr>
      <w:r>
        <w:rPr>
          <w:rFonts w:ascii="Barlow Semi Condensed" w:cs="Barlow Semi Condensed" w:eastAsia="Barlow Semi Condensed" w:hAnsi="Barlow Semi Condensed"/>
          <w:sz w:val="24"/>
          <w:szCs w:val="24"/>
        </w:rPr>
        <w:t xml:space="preserve">La tranche riporta il caso Metropol nella sua interezza, perché la disciplina delle persone viventi impone di dare al fatto e al suo esito giudiziario pari evidenza. È documentato a Livello A che il 18 ottobre 2018, presso l'hotel Metropol di Mosca, si tenne un incontro tra Gianluca Savoini, l'avvocato Gianluca Meranda e il consulente Francesco Vannucci, da parte italiana, e tre interlocutori russi considerati intermediari, nel corso del quale si discusse di un'operazione di compravendita petrolifera che, secondo la registrazione audio dell'incontro poi resa pubblica da una testata statunitense nel luglio 2019, avrebbe dovuto generare provvista destinata al finanziamento del partito della Lega. Ne seguì un procedimento della Procura di Milano per corruzione internazionale a carico dei tre cittadini italiani. È parimenti documentato a Livello A che il procedimento si è concluso il 27 aprile 2023 con decreto di archiviazione del giudice per le indagini preliminari, su conforme richiesta dei pubblici ministeri, e che il leader della Lega non è mai stato indagato nella vicenda.</w:t>
      </w:r>
    </w:p>
    <w:p>
      <w:pPr>
        <w:spacing w:after="120" w:line="276"/>
        <w:jc w:val="both"/>
      </w:pPr>
      <w:r>
        <w:rPr>
          <w:rFonts w:ascii="Barlow Semi Condensed" w:cs="Barlow Semi Condensed" w:eastAsia="Barlow Semi Condensed" w:hAnsi="Barlow Semi Condensed"/>
          <w:sz w:val="24"/>
          <w:szCs w:val="24"/>
        </w:rPr>
        <w:t xml:space="preserve">La motivazione dell'archiviazione, quale risulta dalla cronaca giudiziaria convergente, presenta una duplice faccia che il registro riporta integralmente perché ometterne una parte violerebbe la continenza in danno degli uni o degli altri. Da un lato il giudice ha rilevato che gli atti compiuti risultavano inequivocabilmente diretti verso l'obiettivo finale di finanziare illecitamente il partito, grazie ai rapporti che il principale indagato aveva saputo tessere con influenti ambienti russi; dall'altro ha escluso la configurabilità del reato contestato e ogni ragionevole previsione di condanna, poiché l'operazione principale non fu mai conclusa, la fase di destinazione delle somme non fu mai raggiunta e l'identificazione dei soggetti russi e delle loro cariche risultò impossibile per la mancata risposta della Federazione Russa alla rogatoria. Gli accertamenti dei pubblici ministeri, riportati dalla cronaca giudiziaria, indicarono altresì che alla trattativa partecipò Aleksandr Dugin in rappresentanza di alti esponenti dell'establishment russo. Il registro ne trae la formulazione vincolante per ogni versione dell'opera: l'incontro, l'audio, il procedimento e gli accertamenti sono fatti riportabili; nessuna responsabilità penale è stata accertata a carico di alcuno; l'archiviazione per impossibilità di ragionevole previsione di condanna non equivale a un accertamento negativo dei fatti né, all'opposto, autorizza a presentare come provato ciò che il processo non ha provato. Ogni formulazione che ecceda questo perimetro, in un senso o nell'altro, è vietata.</w:t>
      </w:r>
    </w:p>
    <w:p>
      <w:pPr>
        <w:spacing w:after="120" w:line="276"/>
        <w:jc w:val="both"/>
      </w:pPr>
      <w:r>
        <w:rPr>
          <w:rFonts w:ascii="Barlow Semi Condensed" w:cs="Barlow Semi Condensed" w:eastAsia="Barlow Semi Condensed" w:hAnsi="Barlow Semi Condensed"/>
          <w:sz w:val="24"/>
          <w:szCs w:val="24"/>
        </w:rPr>
        <w:t xml:space="preserve">7.9 — La svolta del 2020 e la tesi dell'infiltrazione: gradazione e attribuzione</w:t>
      </w:r>
    </w:p>
    <w:p>
      <w:pPr>
        <w:spacing w:after="120" w:line="276"/>
        <w:jc w:val="both"/>
      </w:pPr>
      <w:r>
        <w:rPr>
          <w:rFonts w:ascii="Barlow Semi Condensed" w:cs="Barlow Semi Condensed" w:eastAsia="Barlow Semi Condensed" w:hAnsi="Barlow Semi Condensed"/>
          <w:sz w:val="24"/>
          <w:szCs w:val="24"/>
        </w:rPr>
        <w:t xml:space="preserve">Due elementi conclusivi della biografia vanno gradati con cura. Il primo è la svolta pubblica del 2020: in un documentario diffuso in rete nel gennaio di quell'anno, e in successive esternazioni riscontrate dalla cronaca, Murelli e Rainaldo Graziani annunciarono la chiusura con l'esperienza e con l'identità neofascista e la propria ricollocazione nella Quarta Teoria Politica di Dugin. L'annuncio è documentato a Livello A come atto pubblico; la sua qualificazione — se compimento coerente di una traiettoria quarantennale dal nazionalbolscevismo all'eurasiatismo, piuttosto che cesura — è materia interpretativa che il registro lascia aperta. Il secondo è la tesi formulata nel 2019 dal libro-inchiesta di Claudio Gatti sui demoni di Salvini, secondo cui Murelli sarebbe stato ispiratore e artefice di infiltrazioni postfasciste nella Lega, idonee a orientarne il vertice e a farne veicolo dell'influenza russa in Europa; tesi ripresa da trasmissioni televisive d'inchiesta del servizio pubblico e di emittenti private nell'autunno del medesimo anno. Il registro certifica a Livello A l'esistenza e il contenuto della tesi e delle inchieste; certifica a Livello A i singoli fatti su cui esse poggiano, nella misura in cui sono stati autonomamente riscontrati nei paragrafi che precedono; ma mantiene la tesi complessiva — l'infiltrazione intenzionale e diretta come disegno unitario — al rango di ipotesi interpretativa attribuita alla fonte, a Livello C, perché essa eccede la somma dei fatti documentati e nessun accertamento giudiziario l'ha convalidata. È esattamente il punto in cui la Regola Ferrea separa la concatenazione documentata delle biografie dall'attribuzione di un mandato.</w:t>
      </w:r>
    </w:p>
    <w:p>
      <w:pPr>
        <w:spacing w:after="120" w:line="276"/>
        <w:jc w:val="both"/>
      </w:pPr>
      <w:r>
        <w:rPr>
          <w:rFonts w:ascii="Barlow Semi Condensed" w:cs="Barlow Semi Condensed" w:eastAsia="Barlow Semi Condensed" w:hAnsi="Barlow Semi Condensed"/>
          <w:sz w:val="24"/>
          <w:szCs w:val="24"/>
        </w:rPr>
        <w:t xml:space="preserve">7.10 — Verdetto della tranche: l'aggiornamento formale del secondo Stato Zero</w:t>
      </w:r>
    </w:p>
    <w:p>
      <w:pPr>
        <w:spacing w:after="120" w:line="276"/>
        <w:jc w:val="both"/>
      </w:pPr>
      <w:r>
        <w:rPr>
          <w:rFonts w:ascii="Barlow Semi Condensed" w:cs="Barlow Semi Condensed" w:eastAsia="Barlow Semi Condensed" w:hAnsi="Barlow Semi Condensed"/>
          <w:sz w:val="24"/>
          <w:szCs w:val="24"/>
        </w:rPr>
        <w:t xml:space="preserve">La tranche impone di aggiornare formalmente il registro delle non-connessioni. Il secondo Stato Zero della prima tranche — l'assenza di documenti che stabilissero continuità di attori tra la Formazione Alfa e la Formazione Beta — è superato nella sua prima metà: la continuità di attori e di ambiente è ora documentata a Livello A, incarnata in un corridoio biografico plurimo e verificato — Murelli, dal giovedì nero all'editoria duginiana; Borghezio, da Jeune Europe a Orion-Finanza alla Lega; Mutti, da Jeune Europe alla rivista Eurasia; la dinastia Graziani, dal santuario paraguaiano all'accompagnamento di Dugin; Savoini, dall'orbita di Orion all'accordo con Russia Unita e al Metropol. Resta invece integro, e viene qui ricertificato come Stato Zero, il nucleo duro della non-connessione: nessun documento del corpus né della campagna di verifica stabilisce una continuità di comando, di committenza o di sponsor tra le due formazioni. Il corridoio documentato è un corridoio di persone e di idee che cambiano campo, non una catena di trasmissione di ordini; e il corpus stesso certifica, con la distinzione tra la filiera atlantista facente capo ad Aginter Press e la filiera antiatlantista facente capo a Jeune Europe, che già all'interno della Formazione Alfa coesistevano due linee opposte quanto a collocazione geopolitica, prive di contatti documentati tra loro.</w:t>
      </w:r>
    </w:p>
    <w:p>
      <w:pPr>
        <w:spacing w:after="120" w:line="276"/>
        <w:jc w:val="both"/>
      </w:pPr>
      <w:r>
        <w:rPr>
          <w:rFonts w:ascii="Barlow Semi Condensed" w:cs="Barlow Semi Condensed" w:eastAsia="Barlow Semi Condensed" w:hAnsi="Barlow Semi Condensed"/>
          <w:sz w:val="24"/>
          <w:szCs w:val="24"/>
        </w:rPr>
        <w:t xml:space="preserve">Ne discendono tre conseguenze per la matrice delle ipotesi. La prima è un raffinamento di H2: il polo nero della Guerra Fredda non era monolitico; la componente che confluisce nell'eurasiatismo filorusso non è quella atlantista del Condor e di Aginter, ma la corrente antiatlantista thiriartiana, minoritaria e distinta, che dell'antiamericanismo aveva fatto il proprio codice fin dagli anni Sessanta. Il capovolgimento di polarità certificato nella prima tranche va dunque precisato: più che un capovolgimento, è l'emersione egemonica, dentro l'area radicale, della sua corrente da sempre orientata a Est, promossa dall'irrilevanza alla centralità dall'investimento russo contemporaneo. La seconda conseguenza è che H1, l'ipotesi del condominio, ne esce ulteriormente contraddetta: il corridoio documentato è esplicitamente e costitutivamente antiamericano in ogni sua stazione, e non presenta traccia di regia o di beneficio statunitense. La terza è che H2 medesima, pur ulteriormente meno contraddetta, resta a Livello C: la continuità di ambiente ora provata rende l'ipotesi più solida, ma la continuità di committenza che la sua forma forte presuppone rimane uno Stato Zero, e il registro rifiuta di colmarlo per via narrativa.</w:t>
      </w:r>
    </w:p>
    <w:p>
      <w:pPr>
        <w:spacing w:after="120" w:line="276"/>
        <w:jc w:val="both"/>
      </w:pPr>
      <w:r>
        <w:rPr>
          <w:rFonts w:ascii="Barlow Semi Condensed" w:cs="Barlow Semi Condensed" w:eastAsia="Barlow Semi Condensed" w:hAnsi="Barlow Semi Condensed"/>
          <w:sz w:val="24"/>
          <w:szCs w:val="24"/>
        </w:rPr>
        <w:t xml:space="preserve">7.11 — Registro dei blocchi di verifica della seconda tranche</w:t>
      </w:r>
    </w:p>
    <w:p>
      <w:pPr>
        <w:spacing w:after="120" w:line="276"/>
        <w:jc w:val="both"/>
      </w:pPr>
      <w:r>
        <w:rPr>
          <w:rFonts w:ascii="Barlow Semi Condensed" w:cs="Barlow Semi Condensed" w:eastAsia="Barlow Semi Condensed" w:hAnsi="Barlow Semi Condensed"/>
          <w:sz w:val="24"/>
          <w:szCs w:val="24"/>
        </w:rPr>
        <w:t xml:space="preserve">Blocco undici, dinamica e condanne del giovedì nero. La sequenza dei fatti del 12 aprile 1973, l'identità della vittima, la tipologia dell'ordigno, le condanne di Loi e Murelli e la provenienza delle bombe da Nico Azzi del gruppo La Fenice sono confermate dalla convergenza di voce enciclopedica dedicata, storiografia, cronaca giudiziaria pluridecennale e corpus. Esito: confermato a Livello A.</w:t>
      </w:r>
    </w:p>
    <w:p>
      <w:pPr>
        <w:spacing w:after="120" w:line="276"/>
        <w:jc w:val="both"/>
      </w:pPr>
      <w:r>
        <w:rPr>
          <w:rFonts w:ascii="Barlow Semi Condensed" w:cs="Barlow Semi Condensed" w:eastAsia="Barlow Semi Condensed" w:hAnsi="Barlow Semi Condensed"/>
          <w:sz w:val="24"/>
          <w:szCs w:val="24"/>
        </w:rPr>
        <w:t xml:space="preserve">Blocco dodici, posizione dei fratelli La Russa. La presenza in testa al corteo e la contestuale estraneità accertata ai fatti di sangue, con la ritrattazione delle iniziali chiamate in correo da parte degli stessi dichiaranti, sono confermate dalla convergenza di più testate indipendenti. Una fonte isolata di segno diverso è stata registrata e non utilizzata per difetto di riscontro. Esito: confermato a Livello A nella formulazione bilanciata sopra enunciata, che è l'unica ammessa nell'opera.</w:t>
      </w:r>
    </w:p>
    <w:p>
      <w:pPr>
        <w:spacing w:after="120" w:line="276"/>
        <w:jc w:val="both"/>
      </w:pPr>
      <w:r>
        <w:rPr>
          <w:rFonts w:ascii="Barlow Semi Condensed" w:cs="Barlow Semi Condensed" w:eastAsia="Barlow Semi Condensed" w:hAnsi="Barlow Semi Condensed"/>
          <w:sz w:val="24"/>
          <w:szCs w:val="24"/>
        </w:rPr>
        <w:t xml:space="preserve">Blocco tredici, macchina editoriale e contenuti di Orion. Fondazione, cronologia e collocazione della filiera Barbarossa-Orion-AGA sono confermate a Livello A; la caratterizzazione contenutistica antigiudaica e negazionista è confermata a Livello B sulla base dello studio accademico di riferimento, cui è attribuita. L'anticipazione eurasiatista del 1985 è confermata a Livello B sulla base del corpus.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quattordici, traiettoria di Borghezio. Militanza in Jeune Europe dal 1962, area ordinovista, fermo dell'11 luglio 1976 al confine con la cartolina minatoria indirizzata al magistrato Violante il giorno successivo all'omicidio Occorsio, direzione di Orion-Finanza, ingresso nella Lega nel 1990 e successivi mandati parlamentari nazionali ed europei sono confermati dalla convergenza di fonti archivistiche specializzate, voci enciclopediche referenziate e letteratura accademica. Esito: confermato a Livello A.</w:t>
      </w:r>
    </w:p>
    <w:p>
      <w:pPr>
        <w:spacing w:after="120" w:line="276"/>
        <w:jc w:val="both"/>
      </w:pPr>
      <w:r>
        <w:rPr>
          <w:rFonts w:ascii="Barlow Semi Condensed" w:cs="Barlow Semi Condensed" w:eastAsia="Barlow Semi Condensed" w:hAnsi="Barlow Semi Condensed"/>
          <w:sz w:val="24"/>
          <w:szCs w:val="24"/>
        </w:rPr>
        <w:t xml:space="preserve">Blocco quindici, collocazione di Savoini. L'orbita giovanile nel circuito di Orion, la fondazione dell'Associazione Lombardia-Russia e il ruolo di artefice organizzativo dell'accordo Lega-Russia Unita sono confermati dalla convergenza di corpus, cronaca e letteratura. Esito: confermato a Livello A nei fatti esterni.</w:t>
      </w:r>
    </w:p>
    <w:p>
      <w:pPr>
        <w:spacing w:after="120" w:line="276"/>
        <w:jc w:val="both"/>
      </w:pPr>
      <w:r>
        <w:rPr>
          <w:rFonts w:ascii="Barlow Semi Condensed" w:cs="Barlow Semi Condensed" w:eastAsia="Barlow Semi Condensed" w:hAnsi="Barlow Semi Condensed"/>
          <w:sz w:val="24"/>
          <w:szCs w:val="24"/>
        </w:rPr>
        <w:t xml:space="preserve">Blocco sedici, caso Metropol. L'incontro del 18 ottobre 2018, la pubblicazione dell'audio nel luglio 2019, il procedimento per corruzione internazionale, l'archiviazione del 27 aprile 2023 con la duplice motivazione sopra riportata, la posizione mai indagata del leader della Lega e l'accertamento dei pubblici ministeri sulla partecipazione di Dugin alla trattativa sono confermati dalla convergenza di agenzia di stampa nazionale, principali testate economiche e generaliste e cronaca giudiziaria. Esito: confermato a Livello A, con la formulazione vincolante di cui al capitolo dedicato.</w:t>
      </w:r>
    </w:p>
    <w:p>
      <w:pPr>
        <w:spacing w:after="120" w:line="276"/>
        <w:jc w:val="both"/>
      </w:pPr>
      <w:r>
        <w:rPr>
          <w:rFonts w:ascii="Barlow Semi Condensed" w:cs="Barlow Semi Condensed" w:eastAsia="Barlow Semi Condensed" w:hAnsi="Barlow Semi Condensed"/>
          <w:sz w:val="24"/>
          <w:szCs w:val="24"/>
        </w:rPr>
        <w:t xml:space="preserve">Blocco diciassette, anno-cerniera 1992. La conferenza milanese di Dugin al circolo delle Stelline su invito dell'area Orion e il viaggio moscovita di Thiriart con accompagnamento italiano, seguito a breve dalla morte del fondatore di Jeune Europe, sono confermati dalla convergenza di testimonianza diretta di ambiente, corpus e letteratura accademica indipendente. Esito: confermato a Livello A.</w:t>
      </w:r>
    </w:p>
    <w:p>
      <w:pPr>
        <w:spacing w:after="120" w:line="276"/>
        <w:jc w:val="both"/>
      </w:pPr>
      <w:r>
        <w:rPr>
          <w:rFonts w:ascii="Barlow Semi Condensed" w:cs="Barlow Semi Condensed" w:eastAsia="Barlow Semi Condensed" w:hAnsi="Barlow Semi Condensed"/>
          <w:sz w:val="24"/>
          <w:szCs w:val="24"/>
        </w:rPr>
        <w:t xml:space="preserve">Blocco diciotto, filiera editoriale duginiana. La pubblicazione sistematica delle opere di Dugin da parte di AGA Editrice a partire dal 2018 e il ruolo di Murelli quale principale editore e organizzatore italiano delle presenze pubbliche dell'ideologo sono confermati da cronaca, cataloghi pubblici e autodichiarazioni. Esito: confermato a Livello A.</w:t>
      </w:r>
    </w:p>
    <w:p>
      <w:pPr>
        <w:spacing w:after="120" w:line="276"/>
        <w:jc w:val="both"/>
      </w:pPr>
      <w:r>
        <w:rPr>
          <w:rFonts w:ascii="Barlow Semi Condensed" w:cs="Barlow Semi Condensed" w:eastAsia="Barlow Semi Condensed" w:hAnsi="Barlow Semi Condensed"/>
          <w:sz w:val="24"/>
          <w:szCs w:val="24"/>
        </w:rPr>
        <w:t xml:space="preserve">Blocco diciannove, dinastia Graziani. La biografia di Clemente Graziani — fondazione di Ordine Nuovo, condanna per ricostituzione del partito fascista, latitanza, rifiuto paraguaiano dell'estradizione, morte ad Asunción nel gennaio 1996 e proscioglimento con formula piena in sede di legittimità dall'accusa per l'omicidio Occorsio — e la traiettoria del figlio Rainaldo — Meridiano Zero, raccordo con Adinolfi, co-curatela dell'Università d'Estate del 2000, ruolo organizzativo nella presenza italiana di Dugin, annuncio congiunto del 2020 — sono confermate dalla convergenza di voci enciclopediche, cronaca e letteratura. Esito: confermato a Livello A.</w:t>
      </w:r>
    </w:p>
    <w:p>
      <w:pPr>
        <w:spacing w:after="120" w:line="276"/>
        <w:jc w:val="both"/>
      </w:pPr>
      <w:r>
        <w:rPr>
          <w:rFonts w:ascii="Barlow Semi Condensed" w:cs="Barlow Semi Condensed" w:eastAsia="Barlow Semi Condensed" w:hAnsi="Barlow Semi Condensed"/>
          <w:sz w:val="24"/>
          <w:szCs w:val="24"/>
        </w:rPr>
        <w:t xml:space="preserve">Blocco venti, Università d'Estate del 2000 e genesi di CasaPound. Lo svolgimento del convegno e la sua composizione sono confermati a Livello A; la tesi del concepimento di CasaPound in quella sede è confermata a Livello B come ricostruzione accademica attribuita.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ventuno, svolta del 2020. L'annuncio pubblico congiunto di Murelli e Rainaldo Graziani di abbandono dell'identità neofascista in favore della Quarta Teoria Politica è confermato dalla convergenza del documento audiovisivo, della cronaca e delle fonti di area. Esito: confermato a Livello A come atto pubblico.</w:t>
      </w:r>
    </w:p>
    <w:p>
      <w:pPr>
        <w:spacing w:after="120" w:line="276"/>
        <w:jc w:val="both"/>
      </w:pPr>
      <w:r>
        <w:rPr>
          <w:rFonts w:ascii="Barlow Semi Condensed" w:cs="Barlow Semi Condensed" w:eastAsia="Barlow Semi Condensed" w:hAnsi="Barlow Semi Condensed"/>
          <w:sz w:val="24"/>
          <w:szCs w:val="24"/>
        </w:rPr>
        <w:t xml:space="preserve">Blocco ventidue, tesi dell'infiltrazione. L'esistenza, il contenuto e la ripresa televisiva della tesi del libro-inchiesta del 2019 sono confermate a Livello A; la tesi in quanto tale è mantenuta a Livello C e attribuita alla fonte, non essendo stata convalidata da alcun accertamento e non discendendo necessariamente dai fatti documentati. Esito: gradazione differenziata con divieto di assertorietà.</w:t>
      </w:r>
    </w:p>
    <w:p>
      <w:pPr>
        <w:spacing w:after="120" w:line="276"/>
        <w:jc w:val="both"/>
      </w:pPr>
      <w:r>
        <w:rPr>
          <w:rFonts w:ascii="Barlow Semi Condensed" w:cs="Barlow Semi Condensed" w:eastAsia="Barlow Semi Condensed" w:hAnsi="Barlow Semi Condensed"/>
          <w:sz w:val="24"/>
          <w:szCs w:val="24"/>
        </w:rPr>
        <w:t xml:space="preserve">7.12 — Rilievi civili e penali della seconda tranche e censimento dei collegamenti</w:t>
      </w:r>
    </w:p>
    <w:p>
      <w:pPr>
        <w:spacing w:after="120" w:line="276"/>
        <w:jc w:val="both"/>
      </w:pPr>
      <w:r>
        <w:rPr>
          <w:rFonts w:ascii="Barlow Semi Condensed" w:cs="Barlow Semi Condensed" w:eastAsia="Barlow Semi Condensed" w:hAnsi="Barlow Semi Condensed"/>
          <w:sz w:val="24"/>
          <w:szCs w:val="24"/>
        </w:rPr>
        <w:t xml:space="preserve">Il triage delle persone viventi si arricchisce delle posizioni seguenti. Maurizio Murelli: la condanna definitiva, l'attività editoriale e le prese di posizione pubbliche sono fatti riportabili; la qualifica di ex terrorista, di uso corrente nella cronaca, va sempre accompagnata dalla precisazione del titolo effettivo di condanna, il concorso in omicidio nella forma sopra descritta, a garanzia di continenza; le tesi che gli attribuiscono un disegno di infiltrazione vanno attribuite alla fonte. Si segnala, quale caveat ulteriore, che la cronaca documenta anche casi di notizie false costruite ai danni del medesimo, poi smentite: la triangolazione è dovuta in entrambe le direzioni. Mario Borghezio: la sequenza biografica è riportabile come concatenazione di fatti documentati; il fermo del 1976 va riportato per ciò che fu, senza inferenze sull'omicidio Occorsio, per il quale nessun addebito gli fu mosso. Gianluca Savoini: i fatti esterni e l'esito giudiziario del Metropol vanno riportati congiuntamente, nella formulazione vincolante del capitolo dedicato. Rainaldo Graziani: solo i fatti pubblici documentati; le sue dichiarazioni pubbliche sono citabili come tali. Ignazio e Romano La Russa: esclusivamente la formulazione bilanciata del blocco dodici; ogni accostamento ulteriore è vietato. Gabriele Adinolfi e Adriano Scianca: ruoli pubblici documentati. Quanto ai defunti — Clemente Graziani, Concutelli, Freda, Thiriart, Terracciano — vige la disciplina dell'accuratezza, con l'obbligo specifico di riportare il proscioglimento di Graziani dall'accusa Occorsio e la distinzione tra le condanne effettive di ciascuno e le attribuzioni di vulgata.</w:t>
      </w:r>
    </w:p>
    <w:p>
      <w:pPr>
        <w:spacing w:after="120" w:line="276"/>
        <w:jc w:val="both"/>
      </w:pPr>
      <w:r>
        <w:rPr>
          <w:rFonts w:ascii="Barlow Semi Condensed" w:cs="Barlow Semi Condensed" w:eastAsia="Barlow Semi Condensed" w:hAnsi="Barlow Semi Condensed"/>
          <w:sz w:val="24"/>
          <w:szCs w:val="24"/>
        </w:rPr>
        <w:t xml:space="preserve">Il censimento dei collegamenti estratti dalla fonte-innesco, richiesto dal mandato, registra le sette note della voce: gli articoli di cronaca delle testate repubblica.it, giornalettismo.com e altreconomia.it; la ricostruzione del quotidiano milanese corriere.it sul giovedì nero; lo studio di Andriola sul Giornale di storia contemporanea, privo di collegamento e reperito per titolo; la scheda dell'inchiesta televisiva del servizio pubblico del 21 ottobre 2019 sul portale rai.it; e il documento del sito di area fascinazione.info sull'annuncio del 2020. Tutti i collegamenti sono stati vagliati direttamente o riscontrati per titolo e contenuto attraverso fonti convergenti; le fonti aggiuntive della campagna — testate nazionali, agenzia di stampa, archivi specializzati sull'estrema destra, letteratura accademica sull'illiberalismo e voci enciclopediche referenziate in lingua inglese — sono conservate nel fascicolo di lavorazione secondo il principio della catena di custodia.</w:t>
      </w:r>
    </w:p>
    <w:p>
      <w:pPr>
        <w:pStyle w:val="Heading3"/>
        <w:spacing w:after="80" w:before="160"/>
      </w:pPr>
      <w:r>
        <w:rPr>
          <w:rFonts w:ascii="Barlow Semi Condensed" w:cs="Barlow Semi Condensed" w:eastAsia="Barlow Semi Condensed" w:hAnsi="Barlow Semi Condensed"/>
          <w:sz w:val="24"/>
          <w:szCs w:val="24"/>
        </w:rPr>
        <w:t xml:space="preserve">CHIUSA DELLA SECONDA TRANCHE</w:t>
      </w:r>
    </w:p>
    <w:p>
      <w:pPr>
        <w:spacing w:after="120" w:line="276"/>
        <w:jc w:val="both"/>
      </w:pPr>
      <w:r>
        <w:rPr>
          <w:rFonts w:ascii="Barlow Semi Condensed" w:cs="Barlow Semi Condensed" w:eastAsia="Barlow Semi Condensed" w:hAnsi="Barlow Semi Condensed"/>
          <w:sz w:val="24"/>
          <w:szCs w:val="24"/>
        </w:rPr>
        <w:t xml:space="preserve">La seconda tranche consegna all'opera il suo primo corridoio inter-formazione documentato e, insieme, la conferma più severa dei suoi limiti. Ciò che ora è provato — e che nessuna cautela deve più sminuire — è che tra il neofascismo degli anni di piombo e la proiezione eurasiatista contemporanea corre una continuità di persone, di luoghi editoriali e di idee, verificata nome per nome e data per data. Ciò che continua a non essere provato — e che nessuna suggestione deve anticipare — è che quella continuità sia stata, in alcun tratto, una catena di comando. Il registro consegna alle tranche successive tre direzioni di falsificazione prioritarie: la ricerca di eventuali documenti che attestino contatti tra la filiera thiriartiana e apparati sovietici prima del 1991, che se trovati modificherebbero radicalmente la cronologia dell'investimento orientale sull'area; la ricognizione analitica dei finanziamenti della filiera editoriale, che è il punto in cui una continuità di committenza, se esistesse, dovrebbe lasciare traccia; e il vaglio delle restanti voci enciclopediche acquisite al corpus, dalla Banda della Magliana ai Nuclei Armati Rivoluzionari alla strage di Bologna, secondo il medesimo protocollo qui applicato. Ogni versione successiva conserverà integralmente la presente, secondo il principio di conservazione cumulativa che governa l'opera.</w:t>
      </w:r>
    </w:p>
    <w:p>
      <w:pPr>
        <w:pStyle w:val="Heading3"/>
        <w:spacing w:after="80" w:before="160"/>
      </w:pPr>
      <w:r>
        <w:rPr>
          <w:rFonts w:ascii="Barlow Semi Condensed" w:cs="Barlow Semi Condensed" w:eastAsia="Barlow Semi Condensed" w:hAnsi="Barlow Semi Condensed"/>
          <w:sz w:val="24"/>
          <w:szCs w:val="24"/>
        </w:rPr>
        <w:t xml:space="preserve">TERZA TRANCHE — FASE VIII: LE TRE DIREZIONI DI FALSIFICAZIONE. BOLOGNA, LA MAGLIANA E IL CASO MATTARELLA</w:t>
      </w:r>
    </w:p>
    <w:p>
      <w:pPr>
        <w:spacing w:after="120" w:line="276"/>
        <w:jc w:val="both"/>
      </w:pPr>
      <w:r>
        <w:rPr>
          <w:rFonts w:ascii="Barlow Semi Condensed" w:cs="Barlow Semi Condensed" w:eastAsia="Barlow Semi Condensed" w:hAnsi="Barlow Semi Condensed"/>
          <w:sz w:val="24"/>
          <w:szCs w:val="24"/>
        </w:rPr>
        <w:t xml:space="preserve">8.1 — Oggetto della tranche e mandato</w:t>
      </w:r>
    </w:p>
    <w:p>
      <w:pPr>
        <w:spacing w:after="120" w:line="276"/>
        <w:jc w:val="both"/>
      </w:pPr>
      <w:r>
        <w:rPr>
          <w:rFonts w:ascii="Barlow Semi Condensed" w:cs="Barlow Semi Condensed" w:eastAsia="Barlow Semi Condensed" w:hAnsi="Barlow Semi Condensed"/>
          <w:sz w:val="24"/>
          <w:szCs w:val="24"/>
        </w:rPr>
        <w:t xml:space="preserve">La terza tranche esegue le tre direzioni di falsificazione consegnate dalla chiusa della seconda: la ricerca di contatti documentati tra la filiera thiriartiana e gli apparati sovietici prima del 1991; la ricognizione dei finanziamenti della filiera editoriale che dal 1984 congiunge Orion all'editoria eurasiatista; il vaglio, con il medesimo protocollo, delle voci residue acquisite al corpus, con priorità alla strage di Bologna, alla Banda della Magliana e all'omicidio di Piersanti Mattarella. Il metodo resta invariato: triangolazione integrale tra corpus e fonti esterne indipendenti, gradazione Savona su ogni asserzione, Regola Ferrea sui salti inferenziali, statuto pieno dello Stato Zero, disciplina rafforzata per le persone viventi. Le prime due direzioni sono esercizi di falsificazione in senso proprio: se avessero restituito riscontri positivi, avrebbero modificato la cronologia dell'investimento orientale sull'area e la natura della continuità tra le due formazioni; l'esito negativo, come si vedrà, è esso stesso un risultato diagnostico di prima classe.</w:t>
      </w:r>
    </w:p>
    <w:p>
      <w:pPr>
        <w:spacing w:after="120" w:line="276"/>
        <w:jc w:val="both"/>
      </w:pPr>
      <w:r>
        <w:rPr>
          <w:rFonts w:ascii="Barlow Semi Condensed" w:cs="Barlow Semi Condensed" w:eastAsia="Barlow Semi Condensed" w:hAnsi="Barlow Semi Condensed"/>
          <w:sz w:val="24"/>
          <w:szCs w:val="24"/>
        </w:rPr>
        <w:t xml:space="preserve">8.2 — Direzione prima: la filiera thiriartiana e gli apparati sovietici prima del 1991</w:t>
      </w:r>
    </w:p>
    <w:p>
      <w:pPr>
        <w:spacing w:after="120" w:line="276"/>
        <w:jc w:val="both"/>
      </w:pPr>
      <w:r>
        <w:rPr>
          <w:rFonts w:ascii="Barlow Semi Condensed" w:cs="Barlow Semi Condensed" w:eastAsia="Barlow Semi Condensed" w:hAnsi="Barlow Semi Condensed"/>
          <w:sz w:val="24"/>
          <w:szCs w:val="24"/>
        </w:rPr>
        <w:t xml:space="preserve">Il vaglio restituisce anzitutto una cronologia dottrinaria più antica di quanto la seconda tranche avesse fissato. La svolta filosovietica di Jean Thiriart non data dagli anni Ottanta ma dal novembre 1968, quando sulla rivista La Nation Européenne, numero ventinove, l'articolo «Prague, l'URSS et l'Europe» esprime soddisfazione per l'intervento sovietico a Praga e delinea una «strategia dell'attenzione» verso l'URSS, abbandonando la vecchia parola d'ordine «né Mosca né Washington» in favore di quella che i suoi esegeti riassumeranno come «con Mosca contro Washington». Il testo è pubblicato e datato: Livello A. Negli anni 1984-1985 Thiriart lavora al trattato L'Empire euro-soviétique de Vladivostok à Dublin, articolato in quindici capitoli: ma il manoscritto non vide mai la luce durante la vita dell'autore e fu pubblicato postumo, in edizione italiana, dalle edizioni all'insegna del Veltro oltre due decenni dopo la morte. Anche questo dato è documentale: Livello A.</w:t>
      </w:r>
    </w:p>
    <w:p>
      <w:pPr>
        <w:spacing w:after="120" w:line="276"/>
        <w:jc w:val="both"/>
      </w:pPr>
      <w:r>
        <w:rPr>
          <w:rFonts w:ascii="Barlow Semi Condensed" w:cs="Barlow Semi Condensed" w:eastAsia="Barlow Semi Condensed" w:hAnsi="Barlow Semi Condensed"/>
          <w:sz w:val="24"/>
          <w:szCs w:val="24"/>
        </w:rPr>
        <w:t xml:space="preserve">Il punto decisivo è però ciò che il vaglio non ha trovato. Nessuna fonte esaminata documenta una reciprocazione sovietica del corteggiamento thiriartiano prima del 1991: nessun finanziamento, nessun invito ufficiale, nessuna pubblicazione o amplificazione dei suoi testi da parte dell'apparato sovietico, nessun canale operativo accertato. Il manoscritto del 1984-1985 rimasto inedito in vita è, in questa prospettiva, l'indizio più eloquente: un teorico che avesse goduto di sponsorizzazione orientale avrebbe trovato un editore. Il primo viaggio moscovita documentato resta quello dell'agosto 1992, già certificato nella seconda tranche, quando l'Unione Sovietica non esisteva più. La connessione cercata e non trovata viene quindi registrata con il suo statuto pieno: Stato Zero sulla reciprocazione sovietica pre-1991 verso la filiera thiriartiana.</w:t>
      </w:r>
    </w:p>
    <w:p>
      <w:pPr>
        <w:spacing w:after="120" w:line="276"/>
        <w:jc w:val="both"/>
      </w:pPr>
      <w:r>
        <w:rPr>
          <w:rFonts w:ascii="Barlow Semi Condensed" w:cs="Barlow Semi Condensed" w:eastAsia="Barlow Semi Condensed" w:hAnsi="Barlow Semi Condensed"/>
          <w:sz w:val="24"/>
          <w:szCs w:val="24"/>
        </w:rPr>
        <w:t xml:space="preserve">La controprova sul corpus rende questo Stato Zero diagnostico. Il canale orientale documentato in Italia prima del 1991 esisteva, ed era un altro: quello comunista. Gli elaborati acquisiti al corpus dalla Commissione Stragi della tredicesima legislatura, attingendo al rapporto Impedian del dossier Mitrokhin, al lavoro archivistico di Valerio Riva su documentazione sovietica e agli atti dell'inchiesta romana sulla cosiddetta Gladio rossa, quantificano in circa novecentottantanove miliardi di lire, alla valuta annuale, i trasferimenti complessivi dell'URSS verso l'Italia, di cui circa ottocentottantanove destinati al PCI, pari a circa un quarto dell'intero fondo internazionale del PCUS; la scheda Impedian numero duecentoventicinque documenta il piano d'azione predisposto nel giugno 1967 dal quarto dipartimento del KGB-FCD, con approvazione del Comitato centrale del PCUS; il decreto di archiviazione della cosiddetta Gladio rossa, emesso dal giudice per le indagini preliminari di Roma Claudio D'Angelo il 6 luglio 1994, pur escludendo la dimostrabilità processuale della corruzione, sottolinea gli «inquietanti» riferimenti documentali ad addestramento al sabotaggio, armi, esplosivi e strutture clandestine «realizzate anche con la fattiva collaborazione del Kgb» e a un «notevole flusso di denaro proveniente dal Pcus». I dati di finanziamento, poggiando su documentazione sovietica edita e su atti giudiziari, si collocano a Livello A; la cornice interpretativa degli elaborati parlamentari da cui il corpus attinge resta invece attribuita ai loro estensori, poiché si tratta di elaborati non approvati all'unanimità e di parte, e la non-unanimità delle due fonti parlamentari principali, già registrata nel corpus, ne modifica lo statuto probatorio in ogni impiego.</w:t>
      </w:r>
    </w:p>
    <w:p>
      <w:pPr>
        <w:spacing w:after="120" w:line="276"/>
        <w:jc w:val="both"/>
      </w:pPr>
      <w:r>
        <w:rPr>
          <w:rFonts w:ascii="Barlow Semi Condensed" w:cs="Barlow Semi Condensed" w:eastAsia="Barlow Semi Condensed" w:hAnsi="Barlow Semi Condensed"/>
          <w:sz w:val="24"/>
          <w:szCs w:val="24"/>
        </w:rPr>
        <w:t xml:space="preserve">La composizione dei due esiti produce il rilievo strutturale della direzione: lo sponsor orientale non cambiò bersaglio, cambiò strumento. Prima del 1991 il canale documentato è quello comunista; dopo il 1991 il canale documentato è quello nazionalista ed eurasiatista, dal viaggio di Dugin del 1992 all'editoria di area fino al tentativo del Metropol. Ciascuna gamba di questa sequenza è certificata a Livello A; la loro composizione in un disegno unitario di lungo periodo resta però un'ipotesi, e la Regola Ferrea vieta di inferire una regia unica continuativa dalla mera successione di due canali. Il rilievo raffina H2 senza elevarne il grado.</w:t>
      </w:r>
    </w:p>
    <w:p>
      <w:pPr>
        <w:spacing w:after="120" w:line="276"/>
        <w:jc w:val="both"/>
      </w:pPr>
      <w:r>
        <w:rPr>
          <w:rFonts w:ascii="Barlow Semi Condensed" w:cs="Barlow Semi Condensed" w:eastAsia="Barlow Semi Condensed" w:hAnsi="Barlow Semi Condensed"/>
          <w:sz w:val="24"/>
          <w:szCs w:val="24"/>
        </w:rPr>
        <w:t xml:space="preserve">8.3 — Direzione seconda: i finanziamenti della filiera editoriale</w:t>
      </w:r>
    </w:p>
    <w:p>
      <w:pPr>
        <w:spacing w:after="120" w:line="276"/>
        <w:jc w:val="both"/>
      </w:pPr>
      <w:r>
        <w:rPr>
          <w:rFonts w:ascii="Barlow Semi Condensed" w:cs="Barlow Semi Condensed" w:eastAsia="Barlow Semi Condensed" w:hAnsi="Barlow Semi Condensed"/>
          <w:sz w:val="24"/>
          <w:szCs w:val="24"/>
        </w:rPr>
        <w:t xml:space="preserve">La seconda direzione chiedeva se la filiera editoriale che da Orion e Barbarossa conduce all'editoria eurasiatista contemporanea presenti flussi di finanziamento documentati da apparati o soggetti esteri. Il vaglio non ha reperito alcun flusso accertato: né sovvenzioni dirette, né triangolazioni societarie documentate, né provviste estere tracciate verso le sigle editoriali dell'area. L'unico episodio documentato di ricerca di provvista russa nell'area politica contigua resta quello dell'hotel Metropol del 18 ottobre 2018, che fu però un tentativo mai concluso e giudiziariamente archiviato il 27 aprile 2023 nei termini integrali fissati come vincolanti dalla seconda tranche. L'esito è dunque uno Stato Zero sui flussi editoriali, che il registro dichiara senza colmarlo per via congetturale: l'assenza di tracce finanziarie può dipendere dall'assenza dei flussi, dalla loro natura non tracciabile o dai limiti delle fonti aperte, e la direzione resta consegnata aperta alle tranche successive con questo perimetro esplicito.</w:t>
      </w:r>
    </w:p>
    <w:p>
      <w:pPr>
        <w:spacing w:after="120" w:line="276"/>
        <w:jc w:val="both"/>
      </w:pPr>
      <w:r>
        <w:rPr>
          <w:rFonts w:ascii="Barlow Semi Condensed" w:cs="Barlow Semi Condensed" w:eastAsia="Barlow Semi Condensed" w:hAnsi="Barlow Semi Condensed"/>
          <w:sz w:val="24"/>
          <w:szCs w:val="24"/>
        </w:rPr>
        <w:t xml:space="preserve">8.4 — La strage di Bologna: la chiusura esecutiva del quarto processo</w:t>
      </w:r>
    </w:p>
    <w:p>
      <w:pPr>
        <w:spacing w:after="120" w:line="276"/>
        <w:jc w:val="both"/>
      </w:pPr>
      <w:r>
        <w:rPr>
          <w:rFonts w:ascii="Barlow Semi Condensed" w:cs="Barlow Semi Condensed" w:eastAsia="Barlow Semi Condensed" w:hAnsi="Barlow Semi Condensed"/>
          <w:sz w:val="24"/>
          <w:szCs w:val="24"/>
        </w:rPr>
        <w:t xml:space="preserve">Il vaglio della voce sulla strage del 2 agosto 1980 — ottantacinque morti, oltre duecento feriti, il più grave attentato della storia repubblicana — trova un quadro giudiziario ormai chiuso sul piano esecutivo e triangolato in ogni passaggio tra la voce enciclopedica acquisita, il saggio accademico sul processo Bellini presente nel corpus e le monografie interne. Gli esecutori: Valerio Fioravanti e Francesca Mambro, condannati in via definitiva nel 1995; Luigi Ciavardini, condannato nel 2007; Gilberto Cavallini, condannato all'ergastolo con conferma in appello il 27 settembre 2023 e annoverato dal corpus tra le responsabilità definitivamente accertate; Paolo Bellini, il «quinto uomo», condannato all'ergastolo dalla Corte d'assise di Bologna il 6 aprile 2022, con conferma in appello l'8 luglio 2024 e conferma definitiva della Cassazione il 1º luglio 2025, che ha rigettato il ricorso depositato dalla difesa nel febbraio precedente. L'alibi di Bellini fu smontato da una prova reperita a quarant'anni di distanza per la caparbietà dell'associazione dei familiari delle vittime: una pellicola amatoriale in formato Super otto, girata in stazione da un turista ignaro pochi minuti prima dell'esplosione, i cui fotogrammi restituiscono il volto di Bellini tra i passeggeri. Nello stesso procedimento Piergiorgio Segatel è stato condannato a sei anni per depistaggio e Domenico Catracchia a quattro per false informazioni ai pubblici ministeri. L'intero blocco esecutivo è Livello A. La cellula risulta transorganizzativa: quadri dei NAR, di Terza Posizione e — con Bellini — di Avanguardia Nazionale, cioè della medesima galassia delle-chiaiana già mappata nella Formazione Alfa della prima tranche.</w:t>
      </w:r>
    </w:p>
    <w:p>
      <w:pPr>
        <w:spacing w:after="120" w:line="276"/>
        <w:jc w:val="both"/>
      </w:pPr>
      <w:r>
        <w:rPr>
          <w:rFonts w:ascii="Barlow Semi Condensed" w:cs="Barlow Semi Condensed" w:eastAsia="Barlow Semi Condensed" w:hAnsi="Barlow Semi Condensed"/>
          <w:sz w:val="24"/>
          <w:szCs w:val="24"/>
        </w:rPr>
        <w:t xml:space="preserve">8.5 — La strage di Bologna: mandanti, finanziatori e la consacrazione giudiziaria del nesso P2</w:t>
      </w:r>
    </w:p>
    <w:p>
      <w:pPr>
        <w:spacing w:after="120" w:line="276"/>
        <w:jc w:val="both"/>
      </w:pPr>
      <w:r>
        <w:rPr>
          <w:rFonts w:ascii="Barlow Semi Condensed" w:cs="Barlow Semi Condensed" w:eastAsia="Barlow Semi Condensed" w:hAnsi="Barlow Semi Condensed"/>
          <w:sz w:val="24"/>
          <w:szCs w:val="24"/>
        </w:rPr>
        <w:t xml:space="preserve">Il risultato storicamente più rilevante del quarto processo riguarda però il piano dei mandanti. La sentenza d'appello dell'8 luglio 2024 ha qualificato Licio Gelli e Umberto Ortolani quali mandanti e finanziatori dell'attentato, e Federico Umberto D'Amato, l'uomo dell'Ufficio Affari Riservati, e il senatore Mario Tedeschi quali organizzatori: tutti deceduti prima delle sentenze e perciò non giudicati, sicché la qualificazione ha natura di statuizione incidentale su defunti e non di condanna — precisazione di statuto che il registro rende obbligatoria in ogni menzione. Con questo perimetro, la statuizione è Livello A e consacra in sede giudiziaria il nesso tra la loggia P2 e la strage. Il movente ricostruito è quello della rappresaglia preventiva contro l'apparato giudiziario: appena due giorni prima dell'esplosione la magistratura aveva richiesto il rinvio a giudizio dei vertici dei gruppi toscani dell'estrema destra nelle inchieste su Ordine Nero e sulla strage dell'Italicus.</w:t>
      </w:r>
    </w:p>
    <w:p>
      <w:pPr>
        <w:spacing w:after="120" w:line="276"/>
        <w:jc w:val="both"/>
      </w:pPr>
      <w:r>
        <w:rPr>
          <w:rFonts w:ascii="Barlow Semi Condensed" w:cs="Barlow Semi Condensed" w:eastAsia="Barlow Semi Condensed" w:hAnsi="Barlow Semi Condensed"/>
          <w:sz w:val="24"/>
          <w:szCs w:val="24"/>
        </w:rPr>
        <w:t xml:space="preserve">Il tracciato finanziario poggia su due documenti. Il primo è il cosiddetto Documento Bologna, appunto manoscritto sequestrato nelle disponibilità di Gelli: secondo le perizie recepite dalla Corte, i milioni di dollari cui l'appunto fa riferimento furono distratti da conti del Banco Ambrosiano di Roberto Calvi e transitarono per conti cifrati svizzeri e per lo IOR, servendo in gran parte a pagare i costi della strage — in parte come rimborso a Gelli di anticipi versati a far data dal 20 luglio 1980, in parte come pagamenti a D'Amato, riscontrati anche nel documento denominato «Memoria», a Tedeschi e ad altri, tra cui Giorgio Di Nunzio — con l'antiquario Marco Ceruti quale intermediario, lo stesso che con Gelli, Ortolani e Pazienza sarà condannato per il crack dell'Ambrosiano. Il secondo è il cosiddetto Documento Artigli, la nota a firma del capo della Polizia Vincenzo Parisi che riferisce il colloquio del 14 ottobre 1987 tra l'avvocato di Gelli, Fabio Dean, e il direttore centrale della Polizia di prevenzione Umberto Pierantoni: il ricatto degli «artigli» che Gelli minacciava di sfoderare, e che la Corte ha posto in relazione proprio con il Documento Bologna. L'insieme salda in sede giudiziaria il quadrilatero interno della Formazione Alfa già descritto nella prima tranche: loggia coperta, terrorismo nero, apparati di sicurezza, finanza Ambrosiano-IOR. Sul medesimo piano degli apparati va richiamato, dal corpus, il precedente di Peteano: l'esplosivo C4 prelevato dal NASCO di Verona e la filiera di espatrio dei responsabili ordinovisti coperta dal SID verso la Spagna, cioè verso quello stesso hub iberico mappato nella prima tranche.</w:t>
      </w:r>
    </w:p>
    <w:p>
      <w:pPr>
        <w:spacing w:after="120" w:line="276"/>
        <w:jc w:val="both"/>
      </w:pPr>
      <w:r>
        <w:rPr>
          <w:rFonts w:ascii="Barlow Semi Condensed" w:cs="Barlow Semi Condensed" w:eastAsia="Barlow Semi Condensed" w:hAnsi="Barlow Semi Condensed"/>
          <w:sz w:val="24"/>
          <w:szCs w:val="24"/>
        </w:rPr>
        <w:t xml:space="preserve">8.6 — La Banda della Magliana: la cerniera crimine-eversione dentro lo Stato</w:t>
      </w:r>
    </w:p>
    <w:p>
      <w:pPr>
        <w:spacing w:after="120" w:line="276"/>
        <w:jc w:val="both"/>
      </w:pPr>
      <w:r>
        <w:rPr>
          <w:rFonts w:ascii="Barlow Semi Condensed" w:cs="Barlow Semi Condensed" w:eastAsia="Barlow Semi Condensed" w:hAnsi="Barlow Semi Condensed"/>
          <w:sz w:val="24"/>
          <w:szCs w:val="24"/>
        </w:rPr>
        <w:t xml:space="preserve">Il vaglio della voce sulla Banda della Magliana conferma integralmente il verdetto già iscritto nel registro di triangolazione del corpus. Il 25 novembre 1981 la Polizia scopre in uno scantinato del Ministero della Sanità, al civico trentaquattro di via Liszt, nel quartiere EUR di Roma, l'arsenale-madre dell'organizzazione: diciannove tra pistole e revolver, molte modificate con silenziatori artigianali di notevole perizia, un mitra Sten, un MAB trentotto, un PM dodici, fucili BM cinquantanove, bombe a mano, esplosivi, e cartucce Gevelot del lotto raro dello stesso tipo di quelle del delitto Pecorelli. Custode del deposito era Biagio Alesse, dipendente del Ministero, stipendiato dalla banda con un milione di lire al mese. Il quadro configura ciò che il corpus definisce lo Stato-contenitore inconsapevole: l'accoppiamento fisico tra crimine organizzato ed eversione dentro un edificio governativo. Il verdetto, che questo registro conferma con la sua doppia faccia, è il seguente: il travaso crimine-eversione è provato a Livello A; le responsabilità sul delitto Pecorelli non sono accertate, essendo intervenute le assoluzioni definitive della Corte d'assise d'appello di Perugia, e il reperto balistico resta un reperto senza condanna. La Regola Ferrea si applica in forma pura: la disponibilità del medesimo raro munizionamento non prova l'attribuzione dell'omicidio. Sul crinale di questa cerniera sta la figura di Massimo Carminati, già NAR e poi legato alla banda, infine al centro del processo sul cosiddetto Mondo di mezzo: assolto in via definitiva per il delitto Pecorelli, condannato nel processo romano con riqualificazione del reato associativo, i suoi rapporti con gli apparati restano nel corpus una zona d'ombra dichiarata come coda irrisolta e non come fatto.</w:t>
      </w:r>
    </w:p>
    <w:p>
      <w:pPr>
        <w:spacing w:after="120" w:line="276"/>
        <w:jc w:val="both"/>
      </w:pPr>
      <w:r>
        <w:rPr>
          <w:rFonts w:ascii="Barlow Semi Condensed" w:cs="Barlow Semi Condensed" w:eastAsia="Barlow Semi Condensed" w:hAnsi="Barlow Semi Condensed"/>
          <w:sz w:val="24"/>
          <w:szCs w:val="24"/>
        </w:rPr>
        <w:t xml:space="preserve">8.7 — L'omicidio di Piersanti Mattarella: la matrice accertata e le assoluzioni della pista nera</w:t>
      </w:r>
    </w:p>
    <w:p>
      <w:pPr>
        <w:spacing w:after="120" w:line="276"/>
        <w:jc w:val="both"/>
      </w:pPr>
      <w:r>
        <w:rPr>
          <w:rFonts w:ascii="Barlow Semi Condensed" w:cs="Barlow Semi Condensed" w:eastAsia="Barlow Semi Condensed" w:hAnsi="Barlow Semi Condensed"/>
          <w:sz w:val="24"/>
          <w:szCs w:val="24"/>
        </w:rPr>
        <w:t xml:space="preserve">Piersanti Mattarella, presidente della Regione Siciliana, fu assassinato il 6 gennaio 1980 in via Libertà a Palermo, territorio del mandamento di Resuttana, sotto gli occhi della moglie e dei figli. Il processo celebrato negli anni Novanta, che riuniva anche i delitti Reina e La Torre, ha condannato in via definitiva all'ergastolo quali mandanti i vertici della cupola di Cosa nostra — tra cui Salvatore Riina, Michele Greco e Francesco Madonia — senza giungere all'identificazione giudiziale degli esecutori materiali. La pista nera, aperta dalla telefonata di rivendicazione a nome di un sedicente gruppo neofascista e alimentata dalle dichiarazioni di Cristiano Fioravanti contro il fratello, condusse Giovanni Falcone a emettere mandati di cattura verso Valerio Fioravanti e Gilberto Cavallini; entrambi furono però assolti con formula piena, in via definitiva, e il registro fissa come obbligatoria la menzione di tali assoluzioni in ogni futuro riferimento al caso. Tommaso Buscetta aveva del resto escluso la pista con l'argomento rimasto celebre: Cosa nostra non fa agire due fascisti per uccidere un presidente della Regione, è un controsenso. Le motivazioni della sentenza d'appello del 17 febbraio 1998 registrano peraltro la concordanza dei collaboranti nell'indicare Antonino Madonia come uno dei killer: indicazione dichiarativa, non giudicato. Tutto il blocco è Livello A.</w:t>
      </w:r>
    </w:p>
    <w:p>
      <w:pPr>
        <w:spacing w:after="120" w:line="276"/>
        <w:jc w:val="both"/>
      </w:pPr>
      <w:r>
        <w:rPr>
          <w:rFonts w:ascii="Barlow Semi Condensed" w:cs="Barlow Semi Condensed" w:eastAsia="Barlow Semi Condensed" w:hAnsi="Barlow Semi Condensed"/>
          <w:sz w:val="24"/>
          <w:szCs w:val="24"/>
        </w:rPr>
        <w:t xml:space="preserve">8.8 — L'omicidio Mattarella: la riapertura, i nuovi indagati e il depistaggio contestato</w:t>
      </w:r>
    </w:p>
    <w:p>
      <w:pPr>
        <w:spacing w:after="120" w:line="276"/>
        <w:jc w:val="both"/>
      </w:pPr>
      <w:r>
        <w:rPr>
          <w:rFonts w:ascii="Barlow Semi Condensed" w:cs="Barlow Semi Condensed" w:eastAsia="Barlow Semi Condensed" w:hAnsi="Barlow Semi Condensed"/>
          <w:sz w:val="24"/>
          <w:szCs w:val="24"/>
        </w:rPr>
        <w:t xml:space="preserve">La riapertura del 2018, concentrata nuovamente sull'eversione nera, non produsse esiti: la compatibilità inizialmente ipotizzata tra la Colt Cobra rinvenuta in un covo romano dei NAR — arma del delitto del giudice Mario Amato del 23 giugno 1980 — e l'arma che uccise Mattarella non ha retto alle verifiche. Nel gennaio 2025 la Procura di Palermo ha iscritto nel registro degli indagati, quali presunti esecutori materiali, i boss Antonino Madonia e Giuseppe Lucchese, disponendo un incidente probatorio: si tratta di iscrizioni, e per entrambi vale integralmente la presunzione di innocenza. Il 24 ottobre 2025 la DIA ha quindi notificato, su ordine della Procura diretta da Maurizio de Lucia e con provvedimento del giudice per le indagini preliminari Antonella Consiglio, gli arresti domiciliari a Filippo Piritore, all'epoca funzionario della Squadra mobile di Palermo, poi questore e prefetto, oggi in pensione, indagato per depistaggio. L'oggetto è il guanto rinvenuto la mattina del delitto a bordo della Fiat centoventisette usata dai killer: mai repertato né sequestrato, del reperto — di cui parlò anche il ministro dell'Interno Rognoni in un'informativa urgente al Parlamento — si è persa ogni traccia. Sentito il 17 settembre 2024, Piritore ha dichiarato di averlo consegnato all'agente della Scientifica Di Natale perché pervenisse al sostituto procuratore Pietro Grasso, e di averlo poi affidato, per disposizione di quest'ultimo, a un tecnico «Lauricella» della Scientifica; secondo la Procura tali dichiarazioni sono risultate «del tutto prive di riscontro», in contrasto con le testimonianze di Grasso e Di Natale e con il dato per cui all'epoca alla Scientifica non risulterebbe alcun Lauricella, e la Direzione distrettuale scrive di indagini sull'omicidio «gravemente inquinate e compromesse da appartenenti alle istituzioni». Lo statuto va fissato con esattezza: si tratta di una misura cautelare in un procedimento in corso; la versione dell'indagato è qui riportata; nessuna responsabilità è accertata e la presunzione di innocenza opera integralmente. Grasso e Di Natale compaiono in questa vicenda unicamente quali testimoni e quali soggetti menzionati nella versione dell'indagato: nessun addebito li riguarda.</w:t>
      </w:r>
    </w:p>
    <w:p>
      <w:pPr>
        <w:spacing w:after="120" w:line="276"/>
        <w:jc w:val="both"/>
      </w:pPr>
      <w:r>
        <w:rPr>
          <w:rFonts w:ascii="Barlow Semi Condensed" w:cs="Barlow Semi Condensed" w:eastAsia="Barlow Semi Condensed" w:hAnsi="Barlow Semi Condensed"/>
          <w:sz w:val="24"/>
          <w:szCs w:val="24"/>
        </w:rPr>
        <w:t xml:space="preserve">8.9 — Triangolazione trasversale: che cosa salda la terza tranche</w:t>
      </w:r>
    </w:p>
    <w:p>
      <w:pPr>
        <w:spacing w:after="120" w:line="276"/>
        <w:jc w:val="both"/>
      </w:pPr>
      <w:r>
        <w:rPr>
          <w:rFonts w:ascii="Barlow Semi Condensed" w:cs="Barlow Semi Condensed" w:eastAsia="Barlow Semi Condensed" w:hAnsi="Barlow Semi Condensed"/>
          <w:sz w:val="24"/>
          <w:szCs w:val="24"/>
        </w:rPr>
        <w:t xml:space="preserve">Tre risultati si compongono. Il primo: Bologna consacra in sede giudiziaria la regia interna della Formazione Alfa — loggia coperta come mandante e finanziatrice, apparato di sicurezza come organizzatore, finanza Ambrosiano-IOR come tesoreria, manovalanza nella galassia NAR-Avanguardia — per la strage più grave della storia repubblicana. Il secondo: la Magliana fissa la cerniera fisica tra crimine organizzato ed eversione dentro un edificio dello Stato, l'accoppiamento strutturale tra i domini del crimine e del terrorismo con contenitore istituzionale inconsapevole. Il terzo: il caso Mattarella presenta una matrice mafiosa accertata nei mandanti, un'esecuzione ancora sub iudice e un depistaggio istituzionale ora contestato in sede cautelare a quarantacinque anni dai fatti. In nessuno dei tre casi il vaglio ha trovato l'impronta congiunta delle due superpotenze: le regie accertate o contestate sono interne — piduista, criminale-eversiva, mafiosa con opacità istituzionali — e ciò costituisce, per l'architettura ipotetica del registro, un dato di prima grandezza.</w:t>
      </w:r>
    </w:p>
    <w:p>
      <w:pPr>
        <w:spacing w:after="120" w:line="276"/>
        <w:jc w:val="both"/>
      </w:pPr>
      <w:r>
        <w:rPr>
          <w:rFonts w:ascii="Barlow Semi Condensed" w:cs="Barlow Semi Condensed" w:eastAsia="Barlow Semi Condensed" w:hAnsi="Barlow Semi Condensed"/>
          <w:sz w:val="24"/>
          <w:szCs w:val="24"/>
        </w:rPr>
        <w:t xml:space="preserve">8.10 — Aggiornamento della matrice ACH</w:t>
      </w:r>
    </w:p>
    <w:p>
      <w:pPr>
        <w:spacing w:after="120" w:line="276"/>
        <w:jc w:val="both"/>
      </w:pPr>
      <w:r>
        <w:rPr>
          <w:rFonts w:ascii="Barlow Semi Condensed" w:cs="Barlow Semi Condensed" w:eastAsia="Barlow Semi Condensed" w:hAnsi="Barlow Semi Condensed"/>
          <w:sz w:val="24"/>
          <w:szCs w:val="24"/>
        </w:rPr>
        <w:t xml:space="preserve">L'ipotesi H1, il condominio segreto tra Stati Uniti e Unione Sovietica in funzione antieuropea, esce dalla terza tranche ulteriormente indebolita: tre casi capitali del periodo — la strage di Bologna, il sistema Magliana, il delitto Mattarella — mostrano regie interne documentate o contese, e nessuna evidenza di coordinamento tra le superpotenze; la direzione prima aggiunge che, prima del 1991, il canale sovietico documentato in Italia correva sul versante comunista, l'opposto di un condominio con il campo atlantico. L'ipotesi H2, le due internazionali autoritarie rivali, non è toccata direttamente dai tre casi interni ma è raffinata dalla direzione prima: il cambio di canale dello sponsor orientale — comunista prima del 1991, nazionalista ed eurasiatista dopo — è una struttura le cui singole gambe stanno a Livello A mentre la composizione in disegno unitario resta a Livello C, e in questo perimetro l'ipotesi viene mantenuta. L'ipotesi H3, la pluralità di regie locali senza macro-disegno, è compatibile con i tre casi vagliati, ciascuno dei quali esibisce una regia propria; il registro annota però che la consacrazione della regia piduista a Bologna è diagnostica contro H1, mentre resta neutra nella competizione tra H2 e H3, e che la falsificazione progressiva di H1 non equivale alla prova di alcuna alternativa.</w:t>
      </w:r>
    </w:p>
    <w:p>
      <w:pPr>
        <w:spacing w:after="120" w:line="276"/>
        <w:jc w:val="both"/>
      </w:pPr>
      <w:r>
        <w:rPr>
          <w:rFonts w:ascii="Barlow Semi Condensed" w:cs="Barlow Semi Condensed" w:eastAsia="Barlow Semi Condensed" w:hAnsi="Barlow Semi Condensed"/>
          <w:sz w:val="24"/>
          <w:szCs w:val="24"/>
        </w:rPr>
        <w:t xml:space="preserve">8.11 — Registro dei blocchi di verifica: blocchi ventitré–trentaquattro</w:t>
      </w:r>
    </w:p>
    <w:p>
      <w:pPr>
        <w:spacing w:after="120" w:line="276"/>
        <w:jc w:val="both"/>
      </w:pPr>
      <w:r>
        <w:rPr>
          <w:rFonts w:ascii="Barlow Semi Condensed" w:cs="Barlow Semi Condensed" w:eastAsia="Barlow Semi Condensed" w:hAnsi="Barlow Semi Condensed"/>
          <w:sz w:val="24"/>
          <w:szCs w:val="24"/>
        </w:rPr>
        <w:t xml:space="preserve">Blocco ventitré. Svolta filosovietica di Thiriart e trattato inedito. Verificati l'articolo del novembre 1968 su La Nation Européenne e il carattere postumo della pubblicazione del trattato del 1984-1985: entrambi Livello A. Reciprocazione sovietica del corteggiamento prima del 1991: cercata e non trovata, Stato Zero.</w:t>
      </w:r>
    </w:p>
    <w:p>
      <w:pPr>
        <w:spacing w:after="120" w:line="276"/>
        <w:jc w:val="both"/>
      </w:pPr>
      <w:r>
        <w:rPr>
          <w:rFonts w:ascii="Barlow Semi Condensed" w:cs="Barlow Semi Condensed" w:eastAsia="Barlow Semi Condensed" w:hAnsi="Barlow Semi Condensed"/>
          <w:sz w:val="24"/>
          <w:szCs w:val="24"/>
        </w:rPr>
        <w:t xml:space="preserve">Blocco ventiquattro. Canale orientale documentato prima del 1991. I trasferimenti del PCUS verso il PCI — circa ottocentottantanove miliardi su circa novecentottantanove complessivi — la scheda Impedian duecentoventicinque del giugno 1967 e il decreto di archiviazione D'Angelo del 6 luglio 1994 collocano il canale sovietico sul versante comunista: dati a Livello A su documentazione sovietica e atti giudiziari; cornice degli elaborati parlamentari non unanimi attribuita agli estensori.</w:t>
      </w:r>
    </w:p>
    <w:p>
      <w:pPr>
        <w:spacing w:after="120" w:line="276"/>
        <w:jc w:val="both"/>
      </w:pPr>
      <w:r>
        <w:rPr>
          <w:rFonts w:ascii="Barlow Semi Condensed" w:cs="Barlow Semi Condensed" w:eastAsia="Barlow Semi Condensed" w:hAnsi="Barlow Semi Condensed"/>
          <w:sz w:val="24"/>
          <w:szCs w:val="24"/>
        </w:rPr>
        <w:t xml:space="preserve">Blocco venticinque. Finanziamenti della filiera editoriale nera ed eurasiatista. Nessun flusso estero documentato verso le sigle editoriali dell'area; unico episodio documentato di ricerca di provvista, il tentativo del Metropol, mai concluso e archiviato. Esito: Stato Zero, dichiarato senza colmature congetturali.</w:t>
      </w:r>
    </w:p>
    <w:p>
      <w:pPr>
        <w:spacing w:after="120" w:line="276"/>
        <w:jc w:val="both"/>
      </w:pPr>
      <w:r>
        <w:rPr>
          <w:rFonts w:ascii="Barlow Semi Condensed" w:cs="Barlow Semi Condensed" w:eastAsia="Barlow Semi Condensed" w:hAnsi="Barlow Semi Condensed"/>
          <w:sz w:val="24"/>
          <w:szCs w:val="24"/>
        </w:rPr>
        <w:t xml:space="preserve">Blocco ventisei. Paolo Bellini, quinto esecutore della strage di Bologna. Ergastolo il 6 aprile 2022, conferma in appello l'8 luglio 2024, conferma definitiva in Cassazione il 1º luglio 2025; prova della pellicola Super otto. Livello A.</w:t>
      </w:r>
    </w:p>
    <w:p>
      <w:pPr>
        <w:spacing w:after="120" w:line="276"/>
        <w:jc w:val="both"/>
      </w:pPr>
      <w:r>
        <w:rPr>
          <w:rFonts w:ascii="Barlow Semi Condensed" w:cs="Barlow Semi Condensed" w:eastAsia="Barlow Semi Condensed" w:hAnsi="Barlow Semi Condensed"/>
          <w:sz w:val="24"/>
          <w:szCs w:val="24"/>
        </w:rPr>
        <w:t xml:space="preserve">Blocco ventisette. Gilberto Cavallini. Ergastolo per la strage di Bologna confermato in appello il 27 settembre 2023; il corpus lo annovera tra le responsabilità definitivamente accertate insieme a Fioravanti, Mambro e Ciavardini. Livello A.</w:t>
      </w:r>
    </w:p>
    <w:p>
      <w:pPr>
        <w:spacing w:after="120" w:line="276"/>
        <w:jc w:val="both"/>
      </w:pPr>
      <w:r>
        <w:rPr>
          <w:rFonts w:ascii="Barlow Semi Condensed" w:cs="Barlow Semi Condensed" w:eastAsia="Barlow Semi Condensed" w:hAnsi="Barlow Semi Condensed"/>
          <w:sz w:val="24"/>
          <w:szCs w:val="24"/>
        </w:rPr>
        <w:t xml:space="preserve">Blocco ventotto. Mandanti e organizzatori della strage di Bologna. Statuizione dell'appello dell'8 luglio 2024: Gelli e Ortolani mandanti e finanziatori, D'Amato e Tedeschi organizzatori; deceduti e perciò non giudicati, con statuto di statuizione incidentale obbligatoriamente precisato. Livello A.</w:t>
      </w:r>
    </w:p>
    <w:p>
      <w:pPr>
        <w:spacing w:after="120" w:line="276"/>
        <w:jc w:val="both"/>
      </w:pPr>
      <w:r>
        <w:rPr>
          <w:rFonts w:ascii="Barlow Semi Condensed" w:cs="Barlow Semi Condensed" w:eastAsia="Barlow Semi Condensed" w:hAnsi="Barlow Semi Condensed"/>
          <w:sz w:val="24"/>
          <w:szCs w:val="24"/>
        </w:rPr>
        <w:t xml:space="preserve">Blocco ventinove. Documento Bologna e Documento Artigli. Flussi distratti da conti dell'Ambrosiano con transito per conti cifrati svizzeri e per lo IOR, pagamenti a D'Amato, Tedeschi e Di Nunzio, anticipi rimborsati a Gelli a far data dal 20 luglio 1980, intermediazione di Marco Ceruti; nota Parisi sul colloquio Dean-Pierantoni del 14 ottobre 1987. Perizie e atti recepiti in sentenza: Livello A.</w:t>
      </w:r>
    </w:p>
    <w:p>
      <w:pPr>
        <w:spacing w:after="120" w:line="276"/>
        <w:jc w:val="both"/>
      </w:pPr>
      <w:r>
        <w:rPr>
          <w:rFonts w:ascii="Barlow Semi Condensed" w:cs="Barlow Semi Condensed" w:eastAsia="Barlow Semi Condensed" w:hAnsi="Barlow Semi Condensed"/>
          <w:sz w:val="24"/>
          <w:szCs w:val="24"/>
        </w:rPr>
        <w:t xml:space="preserve">Blocco trenta. Arsenale della Magliana al Ministero della Sanità. Scoperta del 25 novembre 1981 in via Liszt trentaquattro, custode Alesse stipendiato con un milione di lire al mese, inventario comprendente le Gevelot del tipo Pecorelli. Livello A sul travaso crimine-eversione; il ponte balistico verso il delitto Pecorelli resta reperto senza condanna, stanti le assoluzioni definitive di Perugia.</w:t>
      </w:r>
    </w:p>
    <w:p>
      <w:pPr>
        <w:spacing w:after="120" w:line="276"/>
        <w:jc w:val="both"/>
      </w:pPr>
      <w:r>
        <w:rPr>
          <w:rFonts w:ascii="Barlow Semi Condensed" w:cs="Barlow Semi Condensed" w:eastAsia="Barlow Semi Condensed" w:hAnsi="Barlow Semi Condensed"/>
          <w:sz w:val="24"/>
          <w:szCs w:val="24"/>
        </w:rPr>
        <w:t xml:space="preserve">Blocco trentuno. Massimo Carminati quale cerniera. Traiettoria NAR-Magliana-Mondo di mezzo documentata a Livello A; assoluzione definitiva per il delitto Pecorelli; condanna nel processo romano con riqualificazione del reato associativo; rapporti con gli apparati registrati come coda irrisolta, non come fatto.</w:t>
      </w:r>
    </w:p>
    <w:p>
      <w:pPr>
        <w:spacing w:after="120" w:line="276"/>
        <w:jc w:val="both"/>
      </w:pPr>
      <w:r>
        <w:rPr>
          <w:rFonts w:ascii="Barlow Semi Condensed" w:cs="Barlow Semi Condensed" w:eastAsia="Barlow Semi Condensed" w:hAnsi="Barlow Semi Condensed"/>
          <w:sz w:val="24"/>
          <w:szCs w:val="24"/>
        </w:rPr>
        <w:t xml:space="preserve">Blocco trentadue. Omicidio Mattarella: matrice e pista nera. Condanne definitive all'ergastolo dei mandanti di cupola nel processo degli anni Novanta; assoluzioni con formula piena, definitive, di Valerio Fioravanti e Gilberto Cavallini, la cui menzione è resa obbligatoria in ogni riferimento futuro. Livello A.</w:t>
      </w:r>
    </w:p>
    <w:p>
      <w:pPr>
        <w:spacing w:after="120" w:line="276"/>
        <w:jc w:val="both"/>
      </w:pPr>
      <w:r>
        <w:rPr>
          <w:rFonts w:ascii="Barlow Semi Condensed" w:cs="Barlow Semi Condensed" w:eastAsia="Barlow Semi Condensed" w:hAnsi="Barlow Semi Condensed"/>
          <w:sz w:val="24"/>
          <w:szCs w:val="24"/>
        </w:rPr>
        <w:t xml:space="preserve">Blocco trentatré. Riapertura palermitana. Iscrizione nel gennaio 2025 di Antonino Madonia e Giuseppe Lucchese quali presunti esecutori, con incidente probatorio disposto: atto certificato a Livello A; presunzione di innocenza integrale per entrambi.</w:t>
      </w:r>
    </w:p>
    <w:p>
      <w:pPr>
        <w:spacing w:after="120" w:line="276"/>
        <w:jc w:val="both"/>
      </w:pPr>
      <w:r>
        <w:rPr>
          <w:rFonts w:ascii="Barlow Semi Condensed" w:cs="Barlow Semi Condensed" w:eastAsia="Barlow Semi Condensed" w:hAnsi="Barlow Semi Condensed"/>
          <w:sz w:val="24"/>
          <w:szCs w:val="24"/>
        </w:rPr>
        <w:t xml:space="preserve">Blocco trentaquattro. Misura cautelare per depistaggio. Arresti domiciliari notificati il 24 ottobre 2025 a Filippo Piritore, indagato per depistaggio in relazione al guanto mai repertato della Fiat centoventisette; dichiarazioni del 17 settembre 2024 ritenute dalla Procura prive di riscontro; versione dell'indagato riportata. Atto cautelare certificato a Livello A; nessuna responsabilità accertata.</w:t>
      </w:r>
    </w:p>
    <w:p>
      <w:pPr>
        <w:spacing w:after="120" w:line="276"/>
        <w:jc w:val="both"/>
      </w:pPr>
      <w:r>
        <w:rPr>
          <w:rFonts w:ascii="Barlow Semi Condensed" w:cs="Barlow Semi Condensed" w:eastAsia="Barlow Semi Condensed" w:hAnsi="Barlow Semi Condensed"/>
          <w:sz w:val="24"/>
          <w:szCs w:val="24"/>
        </w:rPr>
        <w:t xml:space="preserve">8.12 — Rilievi per le persone viventi e chiusa della terza tranche</w:t>
      </w:r>
    </w:p>
    <w:p>
      <w:pPr>
        <w:spacing w:after="120" w:line="276"/>
        <w:jc w:val="both"/>
      </w:pPr>
      <w:r>
        <w:rPr>
          <w:rFonts w:ascii="Barlow Semi Condensed" w:cs="Barlow Semi Condensed" w:eastAsia="Barlow Semi Condensed" w:hAnsi="Barlow Semi Condensed"/>
          <w:sz w:val="24"/>
          <w:szCs w:val="24"/>
        </w:rPr>
        <w:t xml:space="preserve">Le formulazioni vincolanti della tranche sono le seguenti. Per Valerio Fioravanti, Francesca Mambro, Luigi Ciavardini, Gilberto Cavallini e Paolo Bellini le condanne per la strage di Bologna sono riportabili quali accertamenti giudiziari definitivi; ogni menzione del caso Mattarella che nomini Fioravanti o Cavallini deve però contestualmente riportare le loro assoluzioni con formula piena e definitive per quel delitto. Antonino Madonia e Giuseppe Lucchese sono indagati: ogni riferimento deve qualificarli come presunti esecutori secondo l'ipotesi della Procura, con presunzione di innocenza integrale. Filippo Piritore è indagato sottoposto a misura cautelare in un procedimento in corso: ogni riferimento deve riportarne lo statuto, dare conto della sua versione e astenersi da ogni anticipazione di responsabilità; Pietro Grasso e l'agente Di Natale vanno menzionati esclusivamente quali testimoni estranei a ogni addebito. Massimo Carminati va menzionato con l'assoluzione definitiva per il delitto Pecorelli e con la riqualificazione intervenuta nel processo romano. Per i defunti Gelli, Ortolani, D'Amato e Tedeschi la qualificazione di mandanti e organizzatori della strage di Bologna va sempre accompagnata dalla precisazione che, essendo deceduti, non sono stati giudicati.</w:t>
      </w:r>
    </w:p>
    <w:p>
      <w:pPr>
        <w:spacing w:after="120" w:line="276"/>
        <w:jc w:val="both"/>
      </w:pPr>
      <w:r>
        <w:rPr>
          <w:rFonts w:ascii="Barlow Semi Condensed" w:cs="Barlow Semi Condensed" w:eastAsia="Barlow Semi Condensed" w:hAnsi="Barlow Semi Condensed"/>
          <w:sz w:val="24"/>
          <w:szCs w:val="24"/>
        </w:rPr>
        <w:t xml:space="preserve">La terza tranche consegna alle successive tre direzioni. La prima: il monitoraggio degli sviluppi palermitani — l'incidente probatorio sugli esecutori e il procedimento per depistaggio — da recepire nel registro solo ad atti intervenuti, senza anticipazioni. La seconda: il completamento del vaglio delle voci residue del corpus con il medesimo protocollo, a partire dalla Nuova Camorra Organizzata e dalla faida con la Nuova Famiglia, dall'attentato a Carlo Palermo e dalla latitanza di Pasquale Scotti. La terza: la prosecuzione del censimento dei blocchi verso il traguardo dei cento, nella pratica cumulativa che conserva ogni versione e la incrementa.</w:t>
      </w:r>
    </w:p>
    <w:p>
      <w:pPr>
        <w:pStyle w:val="Heading3"/>
        <w:spacing w:after="80" w:before="160"/>
      </w:pPr>
      <w:r>
        <w:rPr>
          <w:rFonts w:ascii="Barlow Semi Condensed" w:cs="Barlow Semi Condensed" w:eastAsia="Barlow Semi Condensed" w:hAnsi="Barlow Semi Condensed"/>
          <w:sz w:val="24"/>
          <w:szCs w:val="24"/>
        </w:rPr>
        <w:t xml:space="preserve">QUARTA TRANCHE — FASE IX: IL VAGLIO DEL DOCUMENTO «L'ARCHITETTO DEL CAOS» IN CENTO BLOCCHI E IL CENSIMENTO DELLE VOCI ALLEGATE</w:t>
      </w:r>
    </w:p>
    <w:p>
      <w:pPr>
        <w:spacing w:after="120" w:line="276"/>
        <w:jc w:val="both"/>
      </w:pPr>
      <w:r>
        <w:rPr>
          <w:rFonts w:ascii="Barlow Semi Condensed" w:cs="Barlow Semi Condensed" w:eastAsia="Barlow Semi Condensed" w:hAnsi="Barlow Semi Condensed"/>
          <w:sz w:val="24"/>
          <w:szCs w:val="24"/>
        </w:rPr>
        <w:t xml:space="preserve">9.1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quarta tranche è innescata dall'acquisizione al fascicolo del documento «L'architetto del caos — Aleksandr Dugin e la penetrazione dell'ideologia eurasianista in Italia e in Europa», indagine autonoma datata marzo duemilaventisei, articolata in dieci capitoli e cento sottocapitoli, presente nel corpus in tre copie: due edizioni in formato di pagina con apparato iconografico, di identica consistenza, e una trascrizione testuale integrale. Il mandato — approfondimento in cento blocchi mirati di ricerca a cascata con triangolazione integrale — trova nella struttura stessa del documento la propria griglia naturale: ciascun sottocapitolo diventa un blocco del registro, numerato in continuità dal trentacinquesimo al centotrentaquattresimo. Lo statuto della fonte va fissato in apertura: il documento non reca un apparato di note a piè di pagina né collegamenti ipertestuali interni — il censimento automatico degli indirizzi di rete nel corpo del testo restituisce zero occorrenze — ma nomina puntualmente nel testo le proprie fonti di attribuzione: The Insider, l'inchiesta consortile OCCRP-IrpiMedia-iStories, Anton Shekhovtsov e il Centre for Democratic Integrity, il servizio di sicurezza lettone VDD, il database EPDE, Reporters Sans Frontières, Byline Times, Bellingcat, la relazione COPASIR dell'agosto duemilaventidue, gli atti giudiziari statunitensi e italiani. Il vaglio procede quindi su tre binari: la mappatura delle sovrapposizioni con i blocchi già certificati nelle tranche precedenti; la verifica esterna delle asserzioni nuove a più alto rischio; la gradazione delle attribuzioni d'inchiesta secondo lo standard Savona, con disciplina rafforzata per le numerose persone viventi nominate.</w:t>
      </w:r>
    </w:p>
    <w:p>
      <w:pPr>
        <w:spacing w:after="120" w:line="276"/>
        <w:jc w:val="both"/>
      </w:pPr>
      <w:r>
        <w:rPr>
          <w:rFonts w:ascii="Barlow Semi Condensed" w:cs="Barlow Semi Condensed" w:eastAsia="Barlow Semi Condensed" w:hAnsi="Barlow Semi Condensed"/>
          <w:sz w:val="24"/>
          <w:szCs w:val="24"/>
        </w:rPr>
        <w:t xml:space="preserve">9.2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primo risultato del vaglio è strutturale: il documento-innesco condivide con il presente registro una porzione maggioritaria del proprio impianto fattuale, già certificata nelle tranche precedenti. Il capitolo primo ricalca la filiera Freda-Thiriart-Mutti-Murelli-Orion-Borghezio-Gavirate certificata ai blocchi undici-ventidue della seconda tranche e ventitré della terza; il capitolo secondo incorpora il viaggio moscovita di Thiriart dell'agosto millenovecentonovantadue, certificato con i medesimi accompagnatori; il capitolo terzo poggia sulla fondazione dell'Associazione Lombardia-Russia e sulla figura di Savoini, certificate ai blocchi sedici-diciassette; il capitolo sesto è, per intero, il caso Metropol certificato ai blocchi venti-ventuno, ivi compresa l'archiviazione del ventisette aprile duemilaventitré riportata dal documento nei termini esatti che questo registro ha reso vincolanti; il capitolo ottavo culmina nell'editoria AGA certificata al blocco quattordici. Questa convergenza non è circolare, perché le certificazioni delle tranche precedenti furono condotte su fonti esterne indipendenti dal documento-innesco: essa costituisce piuttosto una triangolazione incrociata che rafforza entrambi i corpi, e consente di concentrare la verifica nuova sui capitoli quarto, quinto, settimo, nono e decimo.</w:t>
      </w:r>
    </w:p>
    <w:p>
      <w:pPr>
        <w:spacing w:after="120" w:line="276"/>
        <w:jc w:val="both"/>
      </w:pPr>
      <w:r>
        <w:rPr>
          <w:rFonts w:ascii="Barlow Semi Condensed" w:cs="Barlow Semi Condensed" w:eastAsia="Barlow Semi Condensed" w:hAnsi="Barlow Semi Condensed"/>
          <w:sz w:val="24"/>
          <w:szCs w:val="24"/>
        </w:rPr>
        <w:t xml:space="preserve">9.3 — La campagna di verifica esterna: sei nodi nuovi</w:t>
      </w:r>
    </w:p>
    <w:p>
      <w:pPr>
        <w:spacing w:after="120" w:line="276"/>
        <w:jc w:val="both"/>
      </w:pPr>
      <w:r>
        <w:rPr>
          <w:rFonts w:ascii="Barlow Semi Condensed" w:cs="Barlow Semi Condensed" w:eastAsia="Barlow Semi Condensed" w:hAnsi="Barlow Semi Condensed"/>
          <w:sz w:val="24"/>
          <w:szCs w:val="24"/>
        </w:rPr>
        <w:t xml:space="preserve">Primo nodo: l'incriminazione di Aleksej Komov. La verifica sulla fonte primaria — il comunicato della Procura del Distretto Meridionale di New York — conferma integralmente: il dodici dicembre duemilaventiquattro è stata desigillata un'incriminazione sostitutiva a carico di Komov per cospirazione e violazione delle sanzioni statunitensi, per avere assistito Konstantin Malofeev — designato dall'OFAC nel dicembre duemilaquattordici quale finanziatore del separatismo filorusso in Ucraina — nell'assunzione del produttore televisivo americano Jack Hanick per il lancio della rete Tsargrad e nel trasferimento illecito, tramite una società di comodo passata a un socio greco con documentazione retrodatata, di un investimento di dieci milioni di dollari in una holding bancaria texana; Malofeev e Hanick erano già stati incriminati nell'aprile duemilaventidue; Komov e Malofeev sono qualificati latitanti, ritenuti in Russia. L'atto è certificato a Livello A quale atto d'accusa: nessuna condanna è intervenuta e la presunzione di innocenza opera per tutti. Secondo nodo: la chiusura della Task Force KleptoCapture. Il registro rileva che al dodici dicembre duemilaventiquattro la task force risultava pienamente operativa per bocca del suo co-direttore, e che il suo scioglimento fu disposto dal memorandum del nuovo Attorney General del cinque febbraio duemilaventicinque: il documento-innesco, che lo colloca al gennaio, incorre qui in un'imprecisione di datazione che viene formalmente annotata come rilievo critico.</w:t>
      </w:r>
    </w:p>
    <w:p>
      <w:pPr>
        <w:spacing w:after="120" w:line="276"/>
        <w:jc w:val="both"/>
      </w:pPr>
      <w:r>
        <w:rPr>
          <w:rFonts w:ascii="Barlow Semi Condensed" w:cs="Barlow Semi Condensed" w:eastAsia="Barlow Semi Condensed" w:hAnsi="Barlow Semi Condensed"/>
          <w:sz w:val="24"/>
          <w:szCs w:val="24"/>
        </w:rPr>
        <w:t xml:space="preserve">Terzo nodo: Andrea Palmeri. La condanna a cinque anni di reclusione per avere reclutato e istruito persone destinate a combattere con le milizie filorusse nel Donbass, inflitta dal Tribunale di Genova nel settembre duemilaventuno all'esito di un'inchiesta della Direzione distrettuale antiterrorismo avviata nel duemilatredici, confermata in appello nell'aprile duemilaventitré, è divenuta definitiva in Cassazione il quattordici marzo duemilaventiquattro; sull'interessato, che risiede in Russia, pende mandato d'arresto europeo. Il registro riporta, come impone la disciplina sui viventi, la posizione dell'interessato, che ha pubblicamente contestato la sentenza definendola politica e negando i fatti. Livello A. Quarto nodo: Dar'ja Dugina. La morte nell'esplosione dell'autovettura, la sera del venti agosto duemilaventidue presso Mosca, è fatto certificato a Livello A; le attribuzioni restano tali e vengono riportate come posizioni delle parti: l'FSB attribuì l'attentato ai servizi ucraini indicando una cittadina ucraina quale esecutrice; valutazioni di ambienti d'intelligence statunitensi, riferite dalla stampa americana nell'ottobre successivo, indicarono componenti dell'apparato ucraino; Kiev ha negato ogni coinvolgimento. Nessuna di tali attribuzioni è oggetto di accertamento giudiziario terzo. Quinto nodo: l'onorificenza a Eliseo Bertolasi. Il conferimento dell'Ordine dell'Amicizia da parte di Putin al Cremlino, il quattro novembre duemilaventicinque nella cerimonia del Giorno dell'Unità, risulta riferito dalle fonti dell'area filorussa e dallo stesso insignito, con apparato fotografico e senza smentite; un riscontro su fonte terza indipendente non è stato reperito in questa tranche: Livello B con statuto dichiarato. Sesto nodo: il centro di rappresentanza della cosiddetta Repubblica Popolare di Donetsk a Torino. L'inaugurazione del quattordici dicembre duemilasedici presso la Fondazione Magellano, promossa da Maurizio Marrone, con la presenza documentata — da interrogazione parlamentare e da fotografie — dei capigruppo regionali Gianna Gancia e Gilberto Pichetto Fratin, è certificata a Livello A; la risposta della Farnesina all'interrogazione, per cui la rappresentanza informale non gode di alcun riconoscimento né status, è parimenti certificata. Il registro fissa la formulazione vincolante: la presenza a un evento pubblico è un fatto documentato dal quale non si inferisce alcunché oltre il fatto stesso.</w:t>
      </w:r>
    </w:p>
    <w:p>
      <w:pPr>
        <w:spacing w:after="120" w:line="276"/>
        <w:jc w:val="both"/>
      </w:pPr>
      <w:r>
        <w:rPr>
          <w:rFonts w:ascii="Barlow Semi Condensed" w:cs="Barlow Semi Condensed" w:eastAsia="Barlow Semi Condensed" w:hAnsi="Barlow Semi Condensed"/>
          <w:sz w:val="24"/>
          <w:szCs w:val="24"/>
        </w:rPr>
        <w:t xml:space="preserve">9.4 — Le attribuzioni d'inchiesta e la loro gradazione</w:t>
      </w:r>
    </w:p>
    <w:p>
      <w:pPr>
        <w:spacing w:after="120" w:line="276"/>
        <w:jc w:val="both"/>
      </w:pPr>
      <w:r>
        <w:rPr>
          <w:rFonts w:ascii="Barlow Semi Condensed" w:cs="Barlow Semi Condensed" w:eastAsia="Barlow Semi Condensed" w:hAnsi="Barlow Semi Condensed"/>
          <w:sz w:val="24"/>
          <w:szCs w:val="24"/>
        </w:rPr>
        <w:t xml:space="preserve">I capitoli quinto e settimo del documento poggiano su un corpo di inchieste giornalistiche e su atti di servizi di sicurezza esteri che il corpus possiede in forma monografica autonoma, consentendo la triangolazione interna. L'identificazione di Aleksej Stovbun, nome in codice Erudito, quale ufficiale dell'FSB operante sotto copertura giornalistica e gestore della rete veneta, poggia sulla convergenza tra l'inchiesta di Shekhovtsov del ventotto novembre duemilaventiquattro e la conferma del servizio di sicurezza dello Stato lettone: la convergenza tra una fonte investigativa qualificata e un atto di un servizio statale colloca il nodo a Livello B. Sul medesimo piano si collocano l'identificazione di Andrej Kharchenko quale ufficiale del Quinto Servizio dell'FSB presente al Metropol, attribuita all'inchiesta di The Insider del sei febbraio duemilaventiquattro su dati previdenziali trapelati, e il canale di trasmissione dei passaporti degli osservatori dalla Fondazione Russa per la Pace di Slutsky al Primo Direttorato Europeo del GRU, attribuito all'inchiesta congiunta The Insider-Meduza del dicembre duemilaventitré: attribuzioni a inchieste nominate, riscontrate dal corpus, gradate a Livello B. Le qualifiche operative riferite a cittadini italiani viventi — la designazione di Eliseo Bertolasi con il nome in codice Scrittore quale risorsa gestita — restano attribuzioni delle medesime fonti e come tali vengono sempre enunciate: il registro non le assume in proprio, e distingue rigorosamente i fatti biografici pubblici, certificati a Livello A, dalle qualifiche d'intelligence, che permangono a Livello C su persona vivente. Il materiale proveniente da violazioni informatiche — le email attribuite all'archivio Mirzakhanian e ai collaboratori di Malofeev — è gradato con statuto proprio: la provenienza illecita e l'impossibilità di verifica indipendente dell'integrità impongono il Livello C anche dove la convergenza di più testate consortili suggerirebbe affidabilità maggiore; fa eccezione la risoluzione veneta del diciotto maggio duemilasedici, che è atto pubblico a Livello A, mentre la sua genesi moscovita resta attribuzione a Livello B. La relazione del COPASIR dell'agosto duemilaventidue, approvata all'unanimità, costituisce infine — a differenza degli elaborati storici non unanimi delle commissioni d'inchiesta — una fonte parlamentare piena: Livello A.</w:t>
      </w:r>
    </w:p>
    <w:p>
      <w:pPr>
        <w:spacing w:after="120" w:line="276"/>
        <w:jc w:val="both"/>
      </w:pPr>
      <w:r>
        <w:rPr>
          <w:rFonts w:ascii="Barlow Semi Condensed" w:cs="Barlow Semi Condensed" w:eastAsia="Barlow Semi Condensed" w:hAnsi="Barlow Semi Condensed"/>
          <w:sz w:val="24"/>
          <w:szCs w:val="24"/>
        </w:rPr>
        <w:t xml:space="preserve">9.5 — Rilievi critici sul documento-innesco</w:t>
      </w:r>
    </w:p>
    <w:p>
      <w:pPr>
        <w:spacing w:after="120" w:line="276"/>
        <w:jc w:val="both"/>
      </w:pPr>
      <w:r>
        <w:rPr>
          <w:rFonts w:ascii="Barlow Semi Condensed" w:cs="Barlow Semi Condensed" w:eastAsia="Barlow Semi Condensed" w:hAnsi="Barlow Semi Condensed"/>
          <w:sz w:val="24"/>
          <w:szCs w:val="24"/>
        </w:rPr>
        <w:t xml:space="preserve">Il vaglio consegna tre rilievi. Il primo è l'imprecisione di datazione sulla chiusura della Task Force KleptoCapture, anticipata al gennaio quando il memorandum dispositivo è del cinque febbraio duemilaventicinque. Il secondo è strutturale: l'assenza di apparato di note verificabili nel corpo del testo, che il documento compensa con la nominazione delle fonti ma che ne fa una monografia di sintesi, non un atto autoportante; il presente registro, certificandone i nodi, ne integra la funzione probatoria. Il terzo è di merito e va a credito del documento: sul punto più esposto — il grado di influenza effettiva dei Fondamenti di Geopolitica e del loro autore sulla condotta del Cremlino — il testo stesso dichiara che la questione è dibattuta e si limita a registrare la coincidenza tra raccomandazioni e azioni successive; il registro conferma questa disciplina e la irrigidisce: la coincidenza testuale è verificabile a Livello A, l'inferenza causale è vietata dalla Regola Ferrea, e la qualifica corrente di ideologo del potere russo resta una tesi mediatica contestata nella letteratura specialistica, da riportare sempre come attribuzione.</w:t>
      </w:r>
    </w:p>
    <w:p>
      <w:pPr>
        <w:spacing w:after="120" w:line="276"/>
        <w:jc w:val="both"/>
      </w:pPr>
      <w:r>
        <w:rPr>
          <w:rFonts w:ascii="Barlow Semi Condensed" w:cs="Barlow Semi Condensed" w:eastAsia="Barlow Semi Condensed" w:hAnsi="Barlow Semi Condensed"/>
          <w:sz w:val="24"/>
          <w:szCs w:val="24"/>
        </w:rPr>
        <w:t xml:space="preserve">9.6 — Il censimento degli URL delle voci allegate</w:t>
      </w:r>
    </w:p>
    <w:p>
      <w:pPr>
        <w:spacing w:after="120" w:line="276"/>
        <w:jc w:val="both"/>
      </w:pPr>
      <w:r>
        <w:rPr>
          <w:rFonts w:ascii="Barlow Semi Condensed" w:cs="Barlow Semi Condensed" w:eastAsia="Barlow Semi Condensed" w:hAnsi="Barlow Semi Condensed"/>
          <w:sz w:val="24"/>
          <w:szCs w:val="24"/>
        </w:rPr>
        <w:t xml:space="preserve">In esecuzione del mandato di estrazione, le ventuno voci enciclopediche allegate al corpus sono state estratte integralmente in testo e sottoposte a censimento automatico degli indirizzi di rete contenuti nei rispettivi apparati di note: il censimento restituisce millequarantanove URL unici complessivi, con distribuzione fortemente disomogenea — dai duecentosessantotto della voce sulla Banda della Magliana ai centonovanta dei Nuclei Armati Rivoluzionari, ai centotrentacinque della strage di Bologna, ai centodue dell'omicidio Mattarella, ai novantanove dell'operazione Gladio, fino alle voci minori prive di apparato come il Summit di Montalto. Due contenitori — la copia alternativa della voce sulla Banda della Magliana e la voce sulle operazioni di polizia contro la 'ndrangheta — sono risultati non estraibili con il protocollo di questa sessione e vengono dichiarati come tali, con rinvio alla tranche successiva. Gli indirizzi censiti non sono riproducibili nel registro come collegamenti attivi; la loro lista integrale, ordinata per voce, è conservata agli atti della sessione e la verifica ipertestuale puntuale — l'accesso alla pagina viva per confronto con l'istantanea allegata — è stata eseguita in questa tranche per i nodi sottoposti a verifica esterna, secondo il principio per cui il registro accede alla rete dove il rischio dell'asserzione lo esige.</w:t>
      </w:r>
    </w:p>
    <w:p>
      <w:pPr>
        <w:spacing w:after="120" w:line="276"/>
        <w:jc w:val="both"/>
      </w:pPr>
      <w:r>
        <w:rPr>
          <w:rFonts w:ascii="Barlow Semi Condensed" w:cs="Barlow Semi Condensed" w:eastAsia="Barlow Semi Condensed" w:hAnsi="Barlow Semi Condensed"/>
          <w:sz w:val="24"/>
          <w:szCs w:val="24"/>
        </w:rPr>
        <w:t xml:space="preserve">9.7 — Prima ricognizione delle voci residue consegnate dalla terza tranche</w:t>
      </w:r>
    </w:p>
    <w:p>
      <w:pPr>
        <w:spacing w:after="120" w:line="276"/>
        <w:jc w:val="both"/>
      </w:pPr>
      <w:r>
        <w:rPr>
          <w:rFonts w:ascii="Barlow Semi Condensed" w:cs="Barlow Semi Condensed" w:eastAsia="Barlow Semi Condensed" w:hAnsi="Barlow Semi Condensed"/>
          <w:sz w:val="24"/>
          <w:szCs w:val="24"/>
        </w:rPr>
        <w:t xml:space="preserve">La ricognizione promessa sulle voci residue produce quattro certificazioni, iscritte ai blocchi centotrentacinque-centotrentotto. Su Pasquale Scotti la voce, munita di note, consente la certificazione piena della parabola: l'appartenenza alla Nuova Camorra Organizzata quale braccio operativo di Cutolo, il ruolo nella vicenda Cirillo, l'arresto del diciassette dicembre millenovecentottantatré, l'evasione della notte di Natale del millenovecentottantaquattro dall'ospedale di Caserta, l'ergastolo inflitto nel duemilacinque dalla Corte d'assise di Santa Maria Capua Vetere, la latitanza trentennale conclusa a Recife il ventisei maggio duemilaquindici sotto falso nome, l'autorizzazione all'estradizione del Supremo Tribunal Federal brasiliano del ventuno ottobre duemilaquindici con commutazione della pena nel massimo di trent'anni previsto dall'ordinamento brasiliano, l'estradizione del dieci marzo duemilasedici. Sul Summit di Montalto la disciplina probatoria impone la doppia gradazione: la riunione del ventisei ottobre millenovecentosessantanove in contrada Serro Juncari, l'operazione di polizia del commissario Sabatino su ordine del questore Santillo, il processo ai settantadue imputati con primo grado del ventiquattro marzo millenovecentosettantuno e appello del due dicembre millenovecentosettantanove che assolse Macrì, Nirta e Tripodo, stanno a Livello A; l'indicazione, presente nella voce sulla scorta della letteratura, della presenza al summit di Junio Valerio Borghese, Stefano Delle Chiaie, Pierluigi Concutelli e Sandro Saccucci, e dell'ipotesi di alleanza con la destra eversiva all'ordine del giorno, è dato di letteratura non accertato in giudicato: Livello C, e la Regola Ferrea vieta di trattare il ponte crimine-eversione di Montalto come fatto. Sul caso Cirillo: il sequestro dell'assessore da parte delle Brigate Rosse il ventisette aprile millenovecentottantuno e la liberazione del ventiquattro luglio, con la trattativa che coinvolse la camorra cutoliana, sono certificati; l'istruttoria del giudice Carlo Alemi, secondo cui Roberto Calvi contribuì al pagamento di parte del riscatto, è atto istruttorio gradato a Livello B; il bilancio della faida tra Nuova Camorra Organizzata e Nuova Famiglia — settantuno vittime nel millenovecentosettantanove, centotrentaquattro nel millenovecentottanta, centonovantatré nel millenovecentottantuno, duecentotrentasette nel millenovecentottantadue, duecentotrentotto nel millenovecentottantatré, centoquattordici nel millenovecentottantaquattro — sta a Livello A. Su Pizzolungo: l'autobomba del due aprile millenovecentottantacinque contro il sostituto procuratore Carlo Palermo, trasferitosi a Trapani dopo l'inchiesta trentina su armi e droga, uccise Barbara Rizzo e i suoi gemelli di sei anni Giuseppe e Salvatore Asta, investiti in pieno dall'esplosione che ferì il magistrato: fatti a Livello A; gli esiti processuali sui mandanti e sugli esecutori sono rinviati alla quinta tranche per certificazione puntuale, e ogni menzione del magistrato — vivente — resta ai fatti pubblici della sua biografia istituzionale.</w:t>
      </w:r>
    </w:p>
    <w:p>
      <w:pPr>
        <w:spacing w:after="120" w:line="276"/>
        <w:jc w:val="both"/>
      </w:pPr>
      <w:r>
        <w:rPr>
          <w:rFonts w:ascii="Barlow Semi Condensed" w:cs="Barlow Semi Condensed" w:eastAsia="Barlow Semi Condensed" w:hAnsi="Barlow Semi Condensed"/>
          <w:sz w:val="24"/>
          <w:szCs w:val="24"/>
        </w:rPr>
        <w:t xml:space="preserve">9.8 — Aggiornamento della matrice ACH</w:t>
      </w:r>
    </w:p>
    <w:p>
      <w:pPr>
        <w:spacing w:after="120" w:line="276"/>
        <w:jc w:val="both"/>
      </w:pPr>
      <w:r>
        <w:rPr>
          <w:rFonts w:ascii="Barlow Semi Condensed" w:cs="Barlow Semi Condensed" w:eastAsia="Barlow Semi Condensed" w:hAnsi="Barlow Semi Condensed"/>
          <w:sz w:val="24"/>
          <w:szCs w:val="24"/>
        </w:rPr>
        <w:t xml:space="preserve">Il documento-innesco enuncia in chiusura la propria tesi di sintesi: quattro canali convergenti — ideologico, FSB, GRU, finanziario — irradiati da Mosca verso l'Italia e l'Europa. Il registro ne ha vagliato le gambe: molte stanno a Livello A (atti giudiziari statunitensi e italiani, atti parlamentari unanimi, eventi pubblici documentati), altre a Livello B (inchieste nominate con riscontri di servizi statali), altre restano attribuzioni a Livello C. La composizione delle gambe in un disegno unitario coordinato è però, essa stessa, la tesi — e il registro la tratta come tale: essa coincide, per il versante orientale posteriore al millenovecentonovantuno, con il perimetro dell'ipotesi H2 già formalizzata, che ne esce ulteriormente corroborata nelle gambe e immutata nel grado: Livello C sulla composizione. Sull'ipotesi H1 la quarta tranche non produce alcun elemento: nessuno dei cento sottocapitoli documenta un coordinamento tra le due superpotenze, e il quadro — un solo sponsor orientale attivo su canali multipli contro il campo atlantico — resta incompatibile con il condominio. L'ipotesi H3 conserva la propria funzione di controllo: la convergenza di più canali su un medesimo bersaglio può essere coordinata oppure emergente, e la discriminazione tra le due letture richiede esattamente le evidenze di comando che il registro continua a segnare come mancanti.</w:t>
      </w:r>
    </w:p>
    <w:p>
      <w:pPr>
        <w:spacing w:after="120" w:line="276"/>
        <w:jc w:val="both"/>
      </w:pPr>
      <w:r>
        <w:rPr>
          <w:rFonts w:ascii="Barlow Semi Condensed" w:cs="Barlow Semi Condensed" w:eastAsia="Barlow Semi Condensed" w:hAnsi="Barlow Semi Condensed"/>
          <w:sz w:val="24"/>
          <w:szCs w:val="24"/>
        </w:rPr>
        <w:t xml:space="preserve">9.9 — Registro dei blocchi di verifica: blocchi trentacinque–centotrentaquattro</w:t>
      </w:r>
    </w:p>
    <w:p>
      <w:pPr>
        <w:spacing w:after="120" w:line="276"/>
        <w:jc w:val="both"/>
      </w:pPr>
      <w:r>
        <w:rPr>
          <w:rFonts w:ascii="Barlow Semi Condensed" w:cs="Barlow Semi Condensed" w:eastAsia="Barlow Semi Condensed" w:hAnsi="Barlow Semi Condensed"/>
          <w:sz w:val="24"/>
          <w:szCs w:val="24"/>
        </w:rPr>
        <w:t xml:space="preserve">I cento sottocapitoli del documento-innesco sono iscritti ciascuno come blocco, con esito e grado. La formula «già certificato» rinvia al blocco indicato delle tranche precedenti; la formula «verificato ora» indica la campagna esterna di questa tranche; la formula «attribuito» indica che l'asserzione resta in capo alla fonte nominata.</w:t>
      </w:r>
    </w:p>
    <w:p>
      <w:pPr>
        <w:spacing w:after="120" w:line="276"/>
        <w:jc w:val="both"/>
      </w:pPr>
      <w:r>
        <w:rPr>
          <w:rFonts w:ascii="Barlow Semi Condensed" w:cs="Barlow Semi Condensed" w:eastAsia="Barlow Semi Condensed" w:hAnsi="Barlow Semi Condensed"/>
          <w:sz w:val="24"/>
          <w:szCs w:val="24"/>
        </w:rPr>
        <w:t xml:space="preserve">Capitolo primo — Il substrato ideologico (blocchi trentacinque–quarantaquattro)</w:t>
      </w:r>
    </w:p>
    <w:p>
      <w:pPr>
        <w:spacing w:after="120" w:line="276"/>
        <w:jc w:val="both"/>
      </w:pPr>
      <w:r>
        <w:rPr>
          <w:rFonts w:ascii="Barlow Semi Condensed" w:cs="Barlow Semi Condensed" w:eastAsia="Barlow Semi Condensed" w:hAnsi="Barlow Semi Condensed"/>
          <w:sz w:val="24"/>
          <w:szCs w:val="24"/>
        </w:rPr>
        <w:t xml:space="preserve">Blocco trentacinque. Freda e le Edizioni di Ar: fondazione padovana del nove dicembre millenovecentosessantatré e catalogo tradizionalista, Livello A documentale. Vincolo permanente: l'assoluzione definitiva di Freda per Piazza Fontana va riportata in ogni menzione; le statuizioni dei filoni successivi non costituiscono giudicato di condanna.</w:t>
      </w:r>
    </w:p>
    <w:p>
      <w:pPr>
        <w:spacing w:after="120" w:line="276"/>
        <w:jc w:val="both"/>
      </w:pPr>
      <w:r>
        <w:rPr>
          <w:rFonts w:ascii="Barlow Semi Condensed" w:cs="Barlow Semi Condensed" w:eastAsia="Barlow Semi Condensed" w:hAnsi="Barlow Semi Condensed"/>
          <w:sz w:val="24"/>
          <w:szCs w:val="24"/>
        </w:rPr>
        <w:t xml:space="preserve">Blocco trentasei. Thiriart e Jeune Europe: già certificato ai blocchi tredici e ventitré, ivi compresa la svolta filosovietica del millenovecentosessantotto.</w:t>
      </w:r>
    </w:p>
    <w:p>
      <w:pPr>
        <w:spacing w:after="120" w:line="276"/>
        <w:jc w:val="both"/>
      </w:pPr>
      <w:r>
        <w:rPr>
          <w:rFonts w:ascii="Barlow Semi Condensed" w:cs="Barlow Semi Condensed" w:eastAsia="Barlow Semi Condensed" w:hAnsi="Barlow Semi Condensed"/>
          <w:sz w:val="24"/>
          <w:szCs w:val="24"/>
        </w:rPr>
        <w:t xml:space="preserve">Blocco trentasette. Mutti, dalla militanza alla conversione: traiettoria biografica pubblica a Livello A; le qualifiche ideologiche restano attribuzioni.</w:t>
      </w:r>
    </w:p>
    <w:p>
      <w:pPr>
        <w:spacing w:after="120" w:line="276"/>
        <w:jc w:val="both"/>
      </w:pPr>
      <w:r>
        <w:rPr>
          <w:rFonts w:ascii="Barlow Semi Condensed" w:cs="Barlow Semi Condensed" w:eastAsia="Barlow Semi Condensed" w:hAnsi="Barlow Semi Condensed"/>
          <w:sz w:val="24"/>
          <w:szCs w:val="24"/>
        </w:rPr>
        <w:t xml:space="preserve">Blocco trentotto. Il catalogo Guardia di Ferro-Szalasi-Protocolli: contenuto editoriale verificabile, Livello A documentale.</w:t>
      </w:r>
    </w:p>
    <w:p>
      <w:pPr>
        <w:spacing w:after="120" w:line="276"/>
        <w:jc w:val="both"/>
      </w:pPr>
      <w:r>
        <w:rPr>
          <w:rFonts w:ascii="Barlow Semi Condensed" w:cs="Barlow Semi Condensed" w:eastAsia="Barlow Semi Condensed" w:hAnsi="Barlow Semi Condensed"/>
          <w:sz w:val="24"/>
          <w:szCs w:val="24"/>
        </w:rPr>
        <w:t xml:space="preserve">Blocco trentanove. La strategia della tensione come nesso eversione-geopolitica: tesi interpretativa del documento, attribuita, Livello C; i fatti sottostanti sono certificati alle Fasi prima e ottava.</w:t>
      </w:r>
    </w:p>
    <w:p>
      <w:pPr>
        <w:spacing w:after="120" w:line="276"/>
        <w:jc w:val="both"/>
      </w:pPr>
      <w:r>
        <w:rPr>
          <w:rFonts w:ascii="Barlow Semi Condensed" w:cs="Barlow Semi Condensed" w:eastAsia="Barlow Semi Condensed" w:hAnsi="Barlow Semi Condensed"/>
          <w:sz w:val="24"/>
          <w:szCs w:val="24"/>
        </w:rPr>
        <w:t xml:space="preserve">Blocco quaranta. Ordine Nuovo, Avanguardia Nazionale e la rete stragista: esiti giudiziari certificati ai blocchi ventisei-ventinove; per Piazza Fontana nessun giudicato di condanna, come al blocco trentacinque.</w:t>
      </w:r>
    </w:p>
    <w:p>
      <w:pPr>
        <w:spacing w:after="120" w:line="276"/>
        <w:jc w:val="both"/>
      </w:pPr>
      <w:r>
        <w:rPr>
          <w:rFonts w:ascii="Barlow Semi Condensed" w:cs="Barlow Semi Condensed" w:eastAsia="Barlow Semi Condensed" w:hAnsi="Barlow Semi Condensed"/>
          <w:sz w:val="24"/>
          <w:szCs w:val="24"/>
        </w:rPr>
        <w:t xml:space="preserve">Blocco quarantuno. Murelli e il giovedì nero: già certificato ai blocchi undici-dodici, con la formulazione bilanciata vincolante.</w:t>
      </w:r>
    </w:p>
    <w:p>
      <w:pPr>
        <w:spacing w:after="120" w:line="276"/>
        <w:jc w:val="both"/>
      </w:pPr>
      <w:r>
        <w:rPr>
          <w:rFonts w:ascii="Barlow Semi Condensed" w:cs="Barlow Semi Condensed" w:eastAsia="Barlow Semi Condensed" w:hAnsi="Barlow Semi Condensed"/>
          <w:sz w:val="24"/>
          <w:szCs w:val="24"/>
        </w:rPr>
        <w:t xml:space="preserve">Blocco quarantadue. Barbarossa e Orion: già certificato al blocco quattordici.</w:t>
      </w:r>
    </w:p>
    <w:p>
      <w:pPr>
        <w:spacing w:after="120" w:line="276"/>
        <w:jc w:val="both"/>
      </w:pPr>
      <w:r>
        <w:rPr>
          <w:rFonts w:ascii="Barlow Semi Condensed" w:cs="Barlow Semi Condensed" w:eastAsia="Barlow Semi Condensed" w:hAnsi="Barlow Semi Condensed"/>
          <w:sz w:val="24"/>
          <w:szCs w:val="24"/>
        </w:rPr>
        <w:t xml:space="preserve">Blocco quarantatré. Borghezio da Jeune Europe alla Lega: già certificato al blocco quindici.</w:t>
      </w:r>
    </w:p>
    <w:p>
      <w:pPr>
        <w:spacing w:after="120" w:line="276"/>
        <w:jc w:val="both"/>
      </w:pPr>
      <w:r>
        <w:rPr>
          <w:rFonts w:ascii="Barlow Semi Condensed" w:cs="Barlow Semi Condensed" w:eastAsia="Barlow Semi Condensed" w:hAnsi="Barlow Semi Condensed"/>
          <w:sz w:val="24"/>
          <w:szCs w:val="24"/>
        </w:rPr>
        <w:t xml:space="preserve">Blocco quarantaquattro. L'Università d'Estate di Gavirate: già certificato al blocco diciotto; l'attribuzione sulla genesi di CasaPound resta a Livello B.</w:t>
      </w:r>
    </w:p>
    <w:p>
      <w:pPr>
        <w:spacing w:after="120" w:line="276"/>
        <w:jc w:val="both"/>
      </w:pPr>
      <w:r>
        <w:rPr>
          <w:rFonts w:ascii="Barlow Semi Condensed" w:cs="Barlow Semi Condensed" w:eastAsia="Barlow Semi Condensed" w:hAnsi="Barlow Semi Condensed"/>
          <w:sz w:val="24"/>
          <w:szCs w:val="24"/>
        </w:rPr>
        <w:t xml:space="preserve">Capitolo secondo — Dugin, origini e progetto (blocchi quarantacinque–cinquantaquattro)</w:t>
      </w:r>
    </w:p>
    <w:p>
      <w:pPr>
        <w:spacing w:after="120" w:line="276"/>
        <w:jc w:val="both"/>
      </w:pPr>
      <w:r>
        <w:rPr>
          <w:rFonts w:ascii="Barlow Semi Condensed" w:cs="Barlow Semi Condensed" w:eastAsia="Barlow Semi Condensed" w:hAnsi="Barlow Semi Condensed"/>
          <w:sz w:val="24"/>
          <w:szCs w:val="24"/>
        </w:rPr>
        <w:t xml:space="preserve">Blocco quarantacinque. Il padre tenente colonnello del GRU: dato riferito da fonti d'inchiesta, non riscontrato su fonte primaria: attribuito, Livello C.</w:t>
      </w:r>
    </w:p>
    <w:p>
      <w:pPr>
        <w:spacing w:after="120" w:line="276"/>
        <w:jc w:val="both"/>
      </w:pPr>
      <w:r>
        <w:rPr>
          <w:rFonts w:ascii="Barlow Semi Condensed" w:cs="Barlow Semi Condensed" w:eastAsia="Barlow Semi Condensed" w:hAnsi="Barlow Semi Condensed"/>
          <w:sz w:val="24"/>
          <w:szCs w:val="24"/>
        </w:rPr>
        <w:t xml:space="preserve">Blocco quarantasei. L'arresto del millenovecentottantatré e la collaborazione col KGB: attribuzione di Byline Times, riportata come tale: Livello C.</w:t>
      </w:r>
    </w:p>
    <w:p>
      <w:pPr>
        <w:spacing w:after="120" w:line="276"/>
        <w:jc w:val="both"/>
      </w:pPr>
      <w:r>
        <w:rPr>
          <w:rFonts w:ascii="Barlow Semi Condensed" w:cs="Barlow Semi Condensed" w:eastAsia="Barlow Semi Condensed" w:hAnsi="Barlow Semi Condensed"/>
          <w:sz w:val="24"/>
          <w:szCs w:val="24"/>
        </w:rPr>
        <w:t xml:space="preserve">Blocco quarantasette. Pamjat', il nazionalbolscevismo e Limonov: storia pubblica consolidata, Livello A sui fatti editoriali e di cronaca.</w:t>
      </w:r>
    </w:p>
    <w:p>
      <w:pPr>
        <w:spacing w:after="120" w:line="276"/>
        <w:jc w:val="both"/>
      </w:pPr>
      <w:r>
        <w:rPr>
          <w:rFonts w:ascii="Barlow Semi Condensed" w:cs="Barlow Semi Condensed" w:eastAsia="Barlow Semi Condensed" w:hAnsi="Barlow Semi Condensed"/>
          <w:sz w:val="24"/>
          <w:szCs w:val="24"/>
        </w:rPr>
        <w:t xml:space="preserve">Blocco quarantotto. L'incontro con Mutti del millenovecentonovanta e Continente Russia: documentazione d'area convergente, Livello B.</w:t>
      </w:r>
    </w:p>
    <w:p>
      <w:pPr>
        <w:spacing w:after="120" w:line="276"/>
        <w:jc w:val="both"/>
      </w:pPr>
      <w:r>
        <w:rPr>
          <w:rFonts w:ascii="Barlow Semi Condensed" w:cs="Barlow Semi Condensed" w:eastAsia="Barlow Semi Condensed" w:hAnsi="Barlow Semi Condensed"/>
          <w:sz w:val="24"/>
          <w:szCs w:val="24"/>
        </w:rPr>
        <w:t xml:space="preserve">Blocco quarantanove. La missione moscovita di Thiriart dell'agosto millenovecentonovantadue: già certificata, Livello A, con Schneider, Terracciano e Battarra.</w:t>
      </w:r>
    </w:p>
    <w:p>
      <w:pPr>
        <w:spacing w:after="120" w:line="276"/>
        <w:jc w:val="both"/>
      </w:pPr>
      <w:r>
        <w:rPr>
          <w:rFonts w:ascii="Barlow Semi Condensed" w:cs="Barlow Semi Condensed" w:eastAsia="Barlow Semi Condensed" w:hAnsi="Barlow Semi Condensed"/>
          <w:sz w:val="24"/>
          <w:szCs w:val="24"/>
        </w:rPr>
        <w:t xml:space="preserve">Blocco cinquanta. L'ingresso in Elementi: Livello B documentale.</w:t>
      </w:r>
    </w:p>
    <w:p>
      <w:pPr>
        <w:spacing w:after="120" w:line="276"/>
        <w:jc w:val="both"/>
      </w:pPr>
      <w:r>
        <w:rPr>
          <w:rFonts w:ascii="Barlow Semi Condensed" w:cs="Barlow Semi Condensed" w:eastAsia="Barlow Semi Condensed" w:hAnsi="Barlow Semi Condensed"/>
          <w:sz w:val="24"/>
          <w:szCs w:val="24"/>
        </w:rPr>
        <w:t xml:space="preserve">Blocco cinquantuno. De Benoist, Steuckers, Bouchet: fatti pubblici a Livello A; la funzione di legittimazione è qualifica attribuita.</w:t>
      </w:r>
    </w:p>
    <w:p>
      <w:pPr>
        <w:spacing w:after="120" w:line="276"/>
        <w:jc w:val="both"/>
      </w:pPr>
      <w:r>
        <w:rPr>
          <w:rFonts w:ascii="Barlow Semi Condensed" w:cs="Barlow Semi Condensed" w:eastAsia="Barlow Semi Condensed" w:hAnsi="Barlow Semi Condensed"/>
          <w:sz w:val="24"/>
          <w:szCs w:val="24"/>
        </w:rPr>
        <w:t xml:space="preserve">Blocco cinquantadue. I Fondamenti di Geopolitica del millenovecentonovantasette: pubblicazione a Livello A; l'adozione come testo di studio nelle accademie militari è dato di letteratura a Livello B; la portata dell'influenza resta dibattuta, come il documento stesso dichiara.</w:t>
      </w:r>
    </w:p>
    <w:p>
      <w:pPr>
        <w:spacing w:after="120" w:line="276"/>
        <w:jc w:val="both"/>
      </w:pPr>
      <w:r>
        <w:rPr>
          <w:rFonts w:ascii="Barlow Semi Condensed" w:cs="Barlow Semi Condensed" w:eastAsia="Barlow Semi Condensed" w:hAnsi="Barlow Semi Condensed"/>
          <w:sz w:val="24"/>
          <w:szCs w:val="24"/>
        </w:rPr>
        <w:t xml:space="preserve">Blocco cinquantatré. Le raccomandazioni operative e le coincidenze successive: la coincidenza testuale è verificabile a Livello A; l'inferenza causale è vietata dalla Regola Ferrea.</w:t>
      </w:r>
    </w:p>
    <w:p>
      <w:pPr>
        <w:spacing w:after="120" w:line="276"/>
        <w:jc w:val="both"/>
      </w:pPr>
      <w:r>
        <w:rPr>
          <w:rFonts w:ascii="Barlow Semi Condensed" w:cs="Barlow Semi Condensed" w:eastAsia="Barlow Semi Condensed" w:hAnsi="Barlow Semi Condensed"/>
          <w:sz w:val="24"/>
          <w:szCs w:val="24"/>
        </w:rPr>
        <w:t xml:space="preserve">Blocco cinquantaquattro. Il Partito Eurasia del duemilauno: registrazione riferita, Livello B; la qualifica di veterano del KGB per Suslov resta attribuita.</w:t>
      </w:r>
    </w:p>
    <w:p>
      <w:pPr>
        <w:spacing w:after="120" w:line="276"/>
        <w:jc w:val="both"/>
      </w:pPr>
      <w:r>
        <w:rPr>
          <w:rFonts w:ascii="Barlow Semi Condensed" w:cs="Barlow Semi Condensed" w:eastAsia="Barlow Semi Condensed" w:hAnsi="Barlow Semi Condensed"/>
          <w:sz w:val="24"/>
          <w:szCs w:val="24"/>
        </w:rPr>
        <w:t xml:space="preserve">Capitolo terzo — L'infiltrazione nella Lega (blocchi cinquantacinque–sessantaquattro)</w:t>
      </w:r>
    </w:p>
    <w:p>
      <w:pPr>
        <w:spacing w:after="120" w:line="276"/>
        <w:jc w:val="both"/>
      </w:pPr>
      <w:r>
        <w:rPr>
          <w:rFonts w:ascii="Barlow Semi Condensed" w:cs="Barlow Semi Condensed" w:eastAsia="Barlow Semi Condensed" w:hAnsi="Barlow Semi Condensed"/>
          <w:sz w:val="24"/>
          <w:szCs w:val="24"/>
        </w:rPr>
        <w:t xml:space="preserve">Blocco cinquantacinque. La testimonianza Battarra sui nove fondatori: dichiarativo a Livello C, già discusso nella seconda tranche.</w:t>
      </w:r>
    </w:p>
    <w:p>
      <w:pPr>
        <w:spacing w:after="120" w:line="276"/>
        <w:jc w:val="both"/>
      </w:pPr>
      <w:r>
        <w:rPr>
          <w:rFonts w:ascii="Barlow Semi Condensed" w:cs="Barlow Semi Condensed" w:eastAsia="Barlow Semi Condensed" w:hAnsi="Barlow Semi Condensed"/>
          <w:sz w:val="24"/>
          <w:szCs w:val="24"/>
        </w:rPr>
        <w:t xml:space="preserve">Blocco cinquantasei. Savoini: già certificato ai blocchi sedici-diciassette; i dettagli familiari privati riferiti dal documento sono esclusi dal registro per non necessità.</w:t>
      </w:r>
    </w:p>
    <w:p>
      <w:pPr>
        <w:spacing w:after="120" w:line="276"/>
        <w:jc w:val="both"/>
      </w:pPr>
      <w:r>
        <w:rPr>
          <w:rFonts w:ascii="Barlow Semi Condensed" w:cs="Barlow Semi Condensed" w:eastAsia="Barlow Semi Condensed" w:hAnsi="Barlow Semi Condensed"/>
          <w:sz w:val="24"/>
          <w:szCs w:val="24"/>
        </w:rPr>
        <w:t xml:space="preserve">Blocco cinquantasette. Il gramscismo di destra: autodefinizione di Murelli, Livello A come dichiarazione attribuita.</w:t>
      </w:r>
    </w:p>
    <w:p>
      <w:pPr>
        <w:spacing w:after="120" w:line="276"/>
        <w:jc w:val="both"/>
      </w:pPr>
      <w:r>
        <w:rPr>
          <w:rFonts w:ascii="Barlow Semi Condensed" w:cs="Barlow Semi Condensed" w:eastAsia="Barlow Semi Condensed" w:hAnsi="Barlow Semi Condensed"/>
          <w:sz w:val="24"/>
          <w:szCs w:val="24"/>
        </w:rPr>
        <w:t xml:space="preserve">Blocco cinquantotto. Adinolfi, Fiore e Terza Posizione: fatti giudiziari storici a Livello A; il ruolo direttivo in Orion a Livello B.</w:t>
      </w:r>
    </w:p>
    <w:p>
      <w:pPr>
        <w:spacing w:after="120" w:line="276"/>
        <w:jc w:val="both"/>
      </w:pPr>
      <w:r>
        <w:rPr>
          <w:rFonts w:ascii="Barlow Semi Condensed" w:cs="Barlow Semi Condensed" w:eastAsia="Barlow Semi Condensed" w:hAnsi="Barlow Semi Condensed"/>
          <w:sz w:val="24"/>
          <w:szCs w:val="24"/>
        </w:rPr>
        <w:t xml:space="preserve">Blocco cinquantanove. Concutelli: la condanna definitiva per l'omicidio Occorsio del dieci luglio millenovecentosettantasei sta a Livello A; la collocazione della sede romana di Barbarossa è dato del documento a Livello C, da riscontrare.</w:t>
      </w:r>
    </w:p>
    <w:p>
      <w:pPr>
        <w:spacing w:after="120" w:line="276"/>
        <w:jc w:val="both"/>
      </w:pPr>
      <w:r>
        <w:rPr>
          <w:rFonts w:ascii="Barlow Semi Condensed" w:cs="Barlow Semi Condensed" w:eastAsia="Barlow Semi Condensed" w:hAnsi="Barlow Semi Condensed"/>
          <w:sz w:val="24"/>
          <w:szCs w:val="24"/>
        </w:rPr>
        <w:t xml:space="preserve">Blocco sessanta. Il congresso di Torino del dicembre duemilatredici e la presentazione di Komov: episodio riferito da stampa investigativa, Livello B.</w:t>
      </w:r>
    </w:p>
    <w:p>
      <w:pPr>
        <w:spacing w:after="120" w:line="276"/>
        <w:jc w:val="both"/>
      </w:pPr>
      <w:r>
        <w:rPr>
          <w:rFonts w:ascii="Barlow Semi Condensed" w:cs="Barlow Semi Condensed" w:eastAsia="Barlow Semi Condensed" w:hAnsi="Barlow Semi Condensed"/>
          <w:sz w:val="24"/>
          <w:szCs w:val="24"/>
        </w:rPr>
        <w:t xml:space="preserve">Blocco sessantuno. La fondazione dell'Associazione Lombardia-Russia del cinque febbraio duemilaquattordici in via Colombi diciotto: corpus e conferma d'agenzia, Livello A.</w:t>
      </w:r>
    </w:p>
    <w:p>
      <w:pPr>
        <w:spacing w:after="120" w:line="276"/>
        <w:jc w:val="both"/>
      </w:pPr>
      <w:r>
        <w:rPr>
          <w:rFonts w:ascii="Barlow Semi Condensed" w:cs="Barlow Semi Condensed" w:eastAsia="Barlow Semi Condensed" w:hAnsi="Barlow Semi Condensed"/>
          <w:sz w:val="24"/>
          <w:szCs w:val="24"/>
        </w:rPr>
        <w:t xml:space="preserve">Blocco sessantadue. Max Ferrari: ruoli pubblici a Livello A.</w:t>
      </w:r>
    </w:p>
    <w:p>
      <w:pPr>
        <w:spacing w:after="120" w:line="276"/>
        <w:jc w:val="both"/>
      </w:pPr>
      <w:r>
        <w:rPr>
          <w:rFonts w:ascii="Barlow Semi Condensed" w:cs="Barlow Semi Condensed" w:eastAsia="Barlow Semi Condensed" w:hAnsi="Barlow Semi Condensed"/>
          <w:sz w:val="24"/>
          <w:szCs w:val="24"/>
        </w:rPr>
        <w:t xml:space="preserve">Blocco sessantatré. D'Amico e la società moscovita con registri cancellati: attribuzione d'inchiesta, Livello C su vivente.</w:t>
      </w:r>
    </w:p>
    <w:p>
      <w:pPr>
        <w:spacing w:after="120" w:line="276"/>
        <w:jc w:val="both"/>
      </w:pPr>
      <w:r>
        <w:rPr>
          <w:rFonts w:ascii="Barlow Semi Condensed" w:cs="Barlow Semi Condensed" w:eastAsia="Barlow Semi Condensed" w:hAnsi="Barlow Semi Condensed"/>
          <w:sz w:val="24"/>
          <w:szCs w:val="24"/>
        </w:rPr>
        <w:t xml:space="preserve">Blocco sessantaquattro. La rete delle associazioni regionali: documentale, Livello B.</w:t>
      </w:r>
    </w:p>
    <w:p>
      <w:pPr>
        <w:spacing w:after="120" w:line="276"/>
        <w:jc w:val="both"/>
      </w:pPr>
      <w:r>
        <w:rPr>
          <w:rFonts w:ascii="Barlow Semi Condensed" w:cs="Barlow Semi Condensed" w:eastAsia="Barlow Semi Condensed" w:hAnsi="Barlow Semi Condensed"/>
          <w:sz w:val="24"/>
          <w:szCs w:val="24"/>
        </w:rPr>
        <w:t xml:space="preserve">Capitolo quarto — Malofeev, Komov e il canale finanziario (blocchi sessantacinque–settantaquattro)</w:t>
      </w:r>
    </w:p>
    <w:p>
      <w:pPr>
        <w:spacing w:after="120" w:line="276"/>
        <w:jc w:val="both"/>
      </w:pPr>
      <w:r>
        <w:rPr>
          <w:rFonts w:ascii="Barlow Semi Condensed" w:cs="Barlow Semi Condensed" w:eastAsia="Barlow Semi Condensed" w:hAnsi="Barlow Semi Condensed"/>
          <w:sz w:val="24"/>
          <w:szCs w:val="24"/>
        </w:rPr>
        <w:t xml:space="preserve">Blocco sessantacinque. Malofeev, Marshall Capital e la Fondazione San Basilio: la designazione OFAC del dicembre duemilaquattordici sta a Livello A; la qualifica di finanziatore del separatismo è la motivazione della designazione, riportata come tale.</w:t>
      </w:r>
    </w:p>
    <w:p>
      <w:pPr>
        <w:spacing w:after="120" w:line="276"/>
        <w:jc w:val="both"/>
      </w:pPr>
      <w:r>
        <w:rPr>
          <w:rFonts w:ascii="Barlow Semi Condensed" w:cs="Barlow Semi Condensed" w:eastAsia="Barlow Semi Condensed" w:hAnsi="Barlow Semi Condensed"/>
          <w:sz w:val="24"/>
          <w:szCs w:val="24"/>
        </w:rPr>
        <w:t xml:space="preserve">Blocco sessantasei. Tsargrad e Hanick: le incriminazioni statunitensi dell'aprile duemilaventidue stanno a Livello A quali atti; l'etichetta giornalistica resta tale.</w:t>
      </w:r>
    </w:p>
    <w:p>
      <w:pPr>
        <w:spacing w:after="120" w:line="276"/>
        <w:jc w:val="both"/>
      </w:pPr>
      <w:r>
        <w:rPr>
          <w:rFonts w:ascii="Barlow Semi Condensed" w:cs="Barlow Semi Condensed" w:eastAsia="Barlow Semi Condensed" w:hAnsi="Barlow Semi Condensed"/>
          <w:sz w:val="24"/>
          <w:szCs w:val="24"/>
        </w:rPr>
        <w:t xml:space="preserve">Blocco sessantasette. Komov e il Congresso Mondiale delle Famiglie: ruolo pubblico ventennale, Livello A.</w:t>
      </w:r>
    </w:p>
    <w:p>
      <w:pPr>
        <w:spacing w:after="120" w:line="276"/>
        <w:jc w:val="both"/>
      </w:pPr>
      <w:r>
        <w:rPr>
          <w:rFonts w:ascii="Barlow Semi Condensed" w:cs="Barlow Semi Condensed" w:eastAsia="Barlow Semi Condensed" w:hAnsi="Barlow Semi Condensed"/>
          <w:sz w:val="24"/>
          <w:szCs w:val="24"/>
        </w:rPr>
        <w:t xml:space="preserve">Blocco sessantotto. CitizenGO, Hazte Oir e la rete conservatrice: collegamenti riferiti da inchieste, Livello C attribuito.</w:t>
      </w:r>
    </w:p>
    <w:p>
      <w:pPr>
        <w:spacing w:after="120" w:line="276"/>
        <w:jc w:val="both"/>
      </w:pPr>
      <w:r>
        <w:rPr>
          <w:rFonts w:ascii="Barlow Semi Condensed" w:cs="Barlow Semi Condensed" w:eastAsia="Barlow Semi Condensed" w:hAnsi="Barlow Semi Condensed"/>
          <w:sz w:val="24"/>
          <w:szCs w:val="24"/>
        </w:rPr>
        <w:t xml:space="preserve">Blocco sessantanove. Le email Saltaj Boltaj e il collegamento Komov-Fiore: materiale di provenienza illecita non verificabile in modo indipendente: Livello C con statuto dichiarato.</w:t>
      </w:r>
    </w:p>
    <w:p>
      <w:pPr>
        <w:spacing w:after="120" w:line="276"/>
        <w:jc w:val="both"/>
      </w:pPr>
      <w:r>
        <w:rPr>
          <w:rFonts w:ascii="Barlow Semi Condensed" w:cs="Barlow Semi Condensed" w:eastAsia="Barlow Semi Condensed" w:hAnsi="Barlow Semi Condensed"/>
          <w:sz w:val="24"/>
          <w:szCs w:val="24"/>
        </w:rPr>
        <w:t xml:space="preserve">Blocco settanta. L'incriminazione di Komov del dodici dicembre duemilaventiquattro: verificato ora sulla fonte primaria della Procura di New York, Livello A quale atto d'accusa; presunzione di innocenza integrale; latitante.</w:t>
      </w:r>
    </w:p>
    <w:p>
      <w:pPr>
        <w:spacing w:after="120" w:line="276"/>
        <w:jc w:val="both"/>
      </w:pPr>
      <w:r>
        <w:rPr>
          <w:rFonts w:ascii="Barlow Semi Condensed" w:cs="Barlow Semi Condensed" w:eastAsia="Barlow Semi Condensed" w:hAnsi="Barlow Semi Condensed"/>
          <w:sz w:val="24"/>
          <w:szCs w:val="24"/>
        </w:rPr>
        <w:t xml:space="preserve">Blocco settantuno. La chiusura di KleptoCapture: verificato ora; lo scioglimento è del memorandum del cinque febbraio duemilaventicinque; rilievo critico di datazione sul documento, che indica il gennaio.</w:t>
      </w:r>
    </w:p>
    <w:p>
      <w:pPr>
        <w:spacing w:after="120" w:line="276"/>
        <w:jc w:val="both"/>
      </w:pPr>
      <w:r>
        <w:rPr>
          <w:rFonts w:ascii="Barlow Semi Condensed" w:cs="Barlow Semi Condensed" w:eastAsia="Barlow Semi Condensed" w:hAnsi="Barlow Semi Condensed"/>
          <w:sz w:val="24"/>
          <w:szCs w:val="24"/>
        </w:rPr>
        <w:t xml:space="preserve">Blocco settantadue. Il Congresso Mondiale delle Famiglie di Verona duemiladiciannove: evento a Livello A; la lettura come piattaforma resta tesi attribuita.</w:t>
      </w:r>
    </w:p>
    <w:p>
      <w:pPr>
        <w:spacing w:after="120" w:line="276"/>
        <w:jc w:val="both"/>
      </w:pPr>
      <w:r>
        <w:rPr>
          <w:rFonts w:ascii="Barlow Semi Condensed" w:cs="Barlow Semi Condensed" w:eastAsia="Barlow Semi Condensed" w:hAnsi="Barlow Semi Condensed"/>
          <w:sz w:val="24"/>
          <w:szCs w:val="24"/>
        </w:rPr>
        <w:t xml:space="preserve">Blocco settantatré. Dar'ja Dugina: verificato ora; morte del venti agosto duemilaventidue a Livello A; attribuzioni delle parti riportate come posizioni, nessun accertamento giudiziario terzo.</w:t>
      </w:r>
    </w:p>
    <w:p>
      <w:pPr>
        <w:spacing w:after="120" w:line="276"/>
        <w:jc w:val="both"/>
      </w:pPr>
      <w:r>
        <w:rPr>
          <w:rFonts w:ascii="Barlow Semi Condensed" w:cs="Barlow Semi Condensed" w:eastAsia="Barlow Semi Condensed" w:hAnsi="Barlow Semi Condensed"/>
          <w:sz w:val="24"/>
          <w:szCs w:val="24"/>
        </w:rPr>
        <w:t xml:space="preserve">Blocco settantaquattro. Alliata di Villafranca e il congresso dei russofili: partecipazione riferita, Livello C; il quadro del Movimento dei Russofili è certificato alla prima tranche.</w:t>
      </w:r>
    </w:p>
    <w:p>
      <w:pPr>
        <w:spacing w:after="120" w:line="276"/>
        <w:jc w:val="both"/>
      </w:pPr>
      <w:r>
        <w:rPr>
          <w:rFonts w:ascii="Barlow Semi Condensed" w:cs="Barlow Semi Condensed" w:eastAsia="Barlow Semi Condensed" w:hAnsi="Barlow Semi Condensed"/>
          <w:sz w:val="24"/>
          <w:szCs w:val="24"/>
        </w:rPr>
        <w:t xml:space="preserve">Capitolo quinto — Crimea e la mobilitazione delle reti (blocchi settantacinque–ottantaquattro)</w:t>
      </w:r>
    </w:p>
    <w:p>
      <w:pPr>
        <w:spacing w:after="120" w:line="276"/>
        <w:jc w:val="both"/>
      </w:pPr>
      <w:r>
        <w:rPr>
          <w:rFonts w:ascii="Barlow Semi Condensed" w:cs="Barlow Semi Condensed" w:eastAsia="Barlow Semi Condensed" w:hAnsi="Barlow Semi Condensed"/>
          <w:sz w:val="24"/>
          <w:szCs w:val="24"/>
        </w:rPr>
        <w:t xml:space="preserve">Blocco settantacinque. L'archivio Mirzakhanian e l'inchiesta consortile del tre febbraio duemilaventitré: attribuzione su materiale hackerato: Livello C con statuto, nonostante la convergenza delle testate.</w:t>
      </w:r>
    </w:p>
    <w:p>
      <w:pPr>
        <w:spacing w:after="120" w:line="276"/>
        <w:jc w:val="both"/>
      </w:pPr>
      <w:r>
        <w:rPr>
          <w:rFonts w:ascii="Barlow Semi Condensed" w:cs="Barlow Semi Condensed" w:eastAsia="Barlow Semi Condensed" w:hAnsi="Barlow Semi Condensed"/>
          <w:sz w:val="24"/>
          <w:szCs w:val="24"/>
        </w:rPr>
        <w:t xml:space="preserve">Blocco settantasei. La risoluzione veneta del diciotto maggio duemilasedici: l'atto è pubblico, Livello A; la genesi moscovita è attribuzione a Livello B.</w:t>
      </w:r>
    </w:p>
    <w:p>
      <w:pPr>
        <w:spacing w:after="120" w:line="276"/>
        <w:jc w:val="both"/>
      </w:pPr>
      <w:r>
        <w:rPr>
          <w:rFonts w:ascii="Barlow Semi Condensed" w:cs="Barlow Semi Condensed" w:eastAsia="Barlow Semi Condensed" w:hAnsi="Barlow Semi Condensed"/>
          <w:sz w:val="24"/>
          <w:szCs w:val="24"/>
        </w:rPr>
        <w:t xml:space="preserve">Blocco settantasette. Valdegamberi: le missioni di osservazione risultano dal database EPDE e da atti pubblici, Livello B; per il vivente valgono i soli fatti pubblici.</w:t>
      </w:r>
    </w:p>
    <w:p>
      <w:pPr>
        <w:spacing w:after="120" w:line="276"/>
        <w:jc w:val="both"/>
      </w:pPr>
      <w:r>
        <w:rPr>
          <w:rFonts w:ascii="Barlow Semi Condensed" w:cs="Barlow Semi Condensed" w:eastAsia="Barlow Semi Condensed" w:hAnsi="Barlow Semi Condensed"/>
          <w:sz w:val="24"/>
          <w:szCs w:val="24"/>
        </w:rPr>
        <w:t xml:space="preserve">Blocco settantotto. L'effetto cascata regionale: gli atti sono pubblici a Livello A; la regia unitaria resta tesi a Livello C.</w:t>
      </w:r>
    </w:p>
    <w:p>
      <w:pPr>
        <w:spacing w:after="120" w:line="276"/>
        <w:jc w:val="both"/>
      </w:pPr>
      <w:r>
        <w:rPr>
          <w:rFonts w:ascii="Barlow Semi Condensed" w:cs="Barlow Semi Condensed" w:eastAsia="Barlow Semi Condensed" w:hAnsi="Barlow Semi Condensed"/>
          <w:sz w:val="24"/>
          <w:szCs w:val="24"/>
        </w:rPr>
        <w:t xml:space="preserve">Blocco settantanove. Stovbun, nome in codice Erudito: convergenza tra inchiesta Shekhovtsov e conferma del servizio lettone VDD: Livello B.</w:t>
      </w:r>
    </w:p>
    <w:p>
      <w:pPr>
        <w:spacing w:after="120" w:line="276"/>
        <w:jc w:val="both"/>
      </w:pPr>
      <w:r>
        <w:rPr>
          <w:rFonts w:ascii="Barlow Semi Condensed" w:cs="Barlow Semi Condensed" w:eastAsia="Barlow Semi Condensed" w:hAnsi="Barlow Semi Condensed"/>
          <w:sz w:val="24"/>
          <w:szCs w:val="24"/>
        </w:rPr>
        <w:t xml:space="preserve">Blocco ottanta. Bertolasi, nome in codice Scrittore: la qualifica di risorsa gestita è attribuzione delle medesime fonti, Livello C su vivente; i fatti biografici pubblici stanno a Livello A.</w:t>
      </w:r>
    </w:p>
    <w:p>
      <w:pPr>
        <w:spacing w:after="120" w:line="276"/>
        <w:jc w:val="both"/>
      </w:pPr>
      <w:r>
        <w:rPr>
          <w:rFonts w:ascii="Barlow Semi Condensed" w:cs="Barlow Semi Condensed" w:eastAsia="Barlow Semi Condensed" w:hAnsi="Barlow Semi Condensed"/>
          <w:sz w:val="24"/>
          <w:szCs w:val="24"/>
        </w:rPr>
        <w:t xml:space="preserve">Blocco ottantuno. La rete internazionale di Stovbun: attribuito, Livello C.</w:t>
      </w:r>
    </w:p>
    <w:p>
      <w:pPr>
        <w:spacing w:after="120" w:line="276"/>
        <w:jc w:val="both"/>
      </w:pPr>
      <w:r>
        <w:rPr>
          <w:rFonts w:ascii="Barlow Semi Condensed" w:cs="Barlow Semi Condensed" w:eastAsia="Barlow Semi Condensed" w:hAnsi="Barlow Semi Condensed"/>
          <w:sz w:val="24"/>
          <w:szCs w:val="24"/>
        </w:rPr>
        <w:t xml:space="preserve">Blocco ottantadue. Bobirs: arresto dell'agosto duemilaventitré e morte in custodia nel novembre successivo, Livello A di cronaca giudiziaria lettone.</w:t>
      </w:r>
    </w:p>
    <w:p>
      <w:pPr>
        <w:spacing w:after="120" w:line="276"/>
        <w:jc w:val="both"/>
      </w:pPr>
      <w:r>
        <w:rPr>
          <w:rFonts w:ascii="Barlow Semi Condensed" w:cs="Barlow Semi Condensed" w:eastAsia="Barlow Semi Condensed" w:hAnsi="Barlow Semi Condensed"/>
          <w:sz w:val="24"/>
          <w:szCs w:val="24"/>
        </w:rPr>
        <w:t xml:space="preserve">Blocco ottantatré. Zoccatelli e il centro di Verona del nove febbraio duemiladiciannove: evento pubblico, Livello A.</w:t>
      </w:r>
    </w:p>
    <w:p>
      <w:pPr>
        <w:spacing w:after="120" w:line="276"/>
        <w:jc w:val="both"/>
      </w:pPr>
      <w:r>
        <w:rPr>
          <w:rFonts w:ascii="Barlow Semi Condensed" w:cs="Barlow Semi Condensed" w:eastAsia="Barlow Semi Condensed" w:hAnsi="Barlow Semi Condensed"/>
          <w:sz w:val="24"/>
          <w:szCs w:val="24"/>
        </w:rPr>
        <w:t xml:space="preserve">Blocco ottantaquattro. Sandonà e il rifiuto del marzo duemilaventidue: dichiarazioni pubbliche, Livello A come dichiarazioni.</w:t>
      </w:r>
    </w:p>
    <w:p>
      <w:pPr>
        <w:spacing w:after="120" w:line="276"/>
        <w:jc w:val="both"/>
      </w:pPr>
      <w:r>
        <w:rPr>
          <w:rFonts w:ascii="Barlow Semi Condensed" w:cs="Barlow Semi Condensed" w:eastAsia="Barlow Semi Condensed" w:hAnsi="Barlow Semi Condensed"/>
          <w:sz w:val="24"/>
          <w:szCs w:val="24"/>
        </w:rPr>
        <w:t xml:space="preserve">Capitolo sesto — L'affare Metropol (blocchi ottantacinque–novantaquattro)</w:t>
      </w:r>
    </w:p>
    <w:p>
      <w:pPr>
        <w:spacing w:after="120" w:line="276"/>
        <w:jc w:val="both"/>
      </w:pPr>
      <w:r>
        <w:rPr>
          <w:rFonts w:ascii="Barlow Semi Condensed" w:cs="Barlow Semi Condensed" w:eastAsia="Barlow Semi Condensed" w:hAnsi="Barlow Semi Condensed"/>
          <w:sz w:val="24"/>
          <w:szCs w:val="24"/>
        </w:rPr>
        <w:t xml:space="preserve">Blocco ottantacinque. L'incontro romano del venticinque settembre duemiladiciotto: riferito da stampa, Livello B.</w:t>
      </w:r>
    </w:p>
    <w:p>
      <w:pPr>
        <w:spacing w:after="120" w:line="276"/>
        <w:jc w:val="both"/>
      </w:pPr>
      <w:r>
        <w:rPr>
          <w:rFonts w:ascii="Barlow Semi Condensed" w:cs="Barlow Semi Condensed" w:eastAsia="Barlow Semi Condensed" w:hAnsi="Barlow Semi Condensed"/>
          <w:sz w:val="24"/>
          <w:szCs w:val="24"/>
        </w:rPr>
        <w:t xml:space="preserve">Blocco ottantasei. La cena al Ruski e l'incontro riferito con Kozak: attribuzione giornalistica mai tradotta in addebito; vale il richiamo vincolante del blocco ventuno: mai indagato.</w:t>
      </w:r>
    </w:p>
    <w:p>
      <w:pPr>
        <w:spacing w:after="120" w:line="276"/>
        <w:jc w:val="both"/>
      </w:pPr>
      <w:r>
        <w:rPr>
          <w:rFonts w:ascii="Barlow Semi Condensed" w:cs="Barlow Semi Condensed" w:eastAsia="Barlow Semi Condensed" w:hAnsi="Barlow Semi Condensed"/>
          <w:sz w:val="24"/>
          <w:szCs w:val="24"/>
        </w:rPr>
        <w:t xml:space="preserve">Blocco ottantasette. La registrazione del diciotto ottobre duemiladiciotto: già certificata al blocco venti, Livello A.</w:t>
      </w:r>
    </w:p>
    <w:p>
      <w:pPr>
        <w:spacing w:after="120" w:line="276"/>
        <w:jc w:val="both"/>
      </w:pPr>
      <w:r>
        <w:rPr>
          <w:rFonts w:ascii="Barlow Semi Condensed" w:cs="Barlow Semi Condensed" w:eastAsia="Barlow Semi Condensed" w:hAnsi="Barlow Semi Condensed"/>
          <w:sz w:val="24"/>
          <w:szCs w:val="24"/>
        </w:rPr>
        <w:t xml:space="preserve">Blocco ottantotto. L'identificazione di Kharchenko del sei febbraio duemilaventiquattro: attribuzione di The Insider su dati trapelati, riscontrata dal corpus: Livello B.</w:t>
      </w:r>
    </w:p>
    <w:p>
      <w:pPr>
        <w:spacing w:after="120" w:line="276"/>
        <w:jc w:val="both"/>
      </w:pPr>
      <w:r>
        <w:rPr>
          <w:rFonts w:ascii="Barlow Semi Condensed" w:cs="Barlow Semi Condensed" w:eastAsia="Barlow Semi Condensed" w:hAnsi="Barlow Semi Condensed"/>
          <w:sz w:val="24"/>
          <w:szCs w:val="24"/>
        </w:rPr>
        <w:t xml:space="preserve">Blocco ottantanove. Il Quinto Servizio dell'FSB: descrizione di struttura dalla letteratura d'intelligence, Livello B.</w:t>
      </w:r>
    </w:p>
    <w:p>
      <w:pPr>
        <w:spacing w:after="120" w:line="276"/>
        <w:jc w:val="both"/>
      </w:pPr>
      <w:r>
        <w:rPr>
          <w:rFonts w:ascii="Barlow Semi Condensed" w:cs="Barlow Semi Condensed" w:eastAsia="Barlow Semi Condensed" w:hAnsi="Barlow Semi Condensed"/>
          <w:sz w:val="24"/>
          <w:szCs w:val="24"/>
        </w:rPr>
        <w:t xml:space="preserve">Blocco novanta. Jakunin e Pligin: attribuito, Livello B.</w:t>
      </w:r>
    </w:p>
    <w:p>
      <w:pPr>
        <w:spacing w:after="120" w:line="276"/>
        <w:jc w:val="both"/>
      </w:pPr>
      <w:r>
        <w:rPr>
          <w:rFonts w:ascii="Barlow Semi Condensed" w:cs="Barlow Semi Condensed" w:eastAsia="Barlow Semi Condensed" w:hAnsi="Barlow Semi Condensed"/>
          <w:sz w:val="24"/>
          <w:szCs w:val="24"/>
        </w:rPr>
        <w:t xml:space="preserve">Blocco novantuno. L'incontro riferito all'hotel Lotte dai file Jakusev: materiale trapelato, Livello C con statuto; nessun rilievo giudiziario; formulazione garantista obbligatoria.</w:t>
      </w:r>
    </w:p>
    <w:p>
      <w:pPr>
        <w:spacing w:after="120" w:line="276"/>
        <w:jc w:val="both"/>
      </w:pPr>
      <w:r>
        <w:rPr>
          <w:rFonts w:ascii="Barlow Semi Condensed" w:cs="Barlow Semi Condensed" w:eastAsia="Barlow Semi Condensed" w:hAnsi="Barlow Semi Condensed"/>
          <w:sz w:val="24"/>
          <w:szCs w:val="24"/>
        </w:rPr>
        <w:t xml:space="preserve">Blocco novantadue. L'archiviazione del ventisette aprile duemilaventitré: già certificata al blocco ventuno; formulazione integrale vincolante.</w:t>
      </w:r>
    </w:p>
    <w:p>
      <w:pPr>
        <w:spacing w:after="120" w:line="276"/>
        <w:jc w:val="both"/>
      </w:pPr>
      <w:r>
        <w:rPr>
          <w:rFonts w:ascii="Barlow Semi Condensed" w:cs="Barlow Semi Condensed" w:eastAsia="Barlow Semi Condensed" w:hAnsi="Barlow Semi Condensed"/>
          <w:sz w:val="24"/>
          <w:szCs w:val="24"/>
        </w:rPr>
        <w:t xml:space="preserve">Blocco novantatré. Le richieste di riapertura del duemilaventiquattro: atti e dichiarazioni pubbliche a Livello A come tali; nessuna riapertura risulta intervenuta.</w:t>
      </w:r>
    </w:p>
    <w:p>
      <w:pPr>
        <w:spacing w:after="120" w:line="276"/>
        <w:jc w:val="both"/>
      </w:pPr>
      <w:r>
        <w:rPr>
          <w:rFonts w:ascii="Barlow Semi Condensed" w:cs="Barlow Semi Condensed" w:eastAsia="Barlow Semi Condensed" w:hAnsi="Barlow Semi Condensed"/>
          <w:sz w:val="24"/>
          <w:szCs w:val="24"/>
        </w:rPr>
        <w:t xml:space="preserve">Blocco novantaquattro. Sergienko e l'infiltrazione dell'AfD: caso tedesco riferito da inchieste e atti, Livello B.</w:t>
      </w:r>
    </w:p>
    <w:p>
      <w:pPr>
        <w:spacing w:after="120" w:line="276"/>
        <w:jc w:val="both"/>
      </w:pPr>
      <w:r>
        <w:rPr>
          <w:rFonts w:ascii="Barlow Semi Condensed" w:cs="Barlow Semi Condensed" w:eastAsia="Barlow Semi Condensed" w:hAnsi="Barlow Semi Condensed"/>
          <w:sz w:val="24"/>
          <w:szCs w:val="24"/>
        </w:rPr>
        <w:t xml:space="preserve">Capitolo settimo — FSB, GRU e la Fondazione per la Pace (blocchi novantacinque–centoquattro)</w:t>
      </w:r>
    </w:p>
    <w:p>
      <w:pPr>
        <w:spacing w:after="120" w:line="276"/>
        <w:jc w:val="both"/>
      </w:pPr>
      <w:r>
        <w:rPr>
          <w:rFonts w:ascii="Barlow Semi Condensed" w:cs="Barlow Semi Condensed" w:eastAsia="Barlow Semi Condensed" w:hAnsi="Barlow Semi Condensed"/>
          <w:sz w:val="24"/>
          <w:szCs w:val="24"/>
        </w:rPr>
        <w:t xml:space="preserve">Blocco novantacinque. Slutsky: cariche pubbliche, Livello A.</w:t>
      </w:r>
    </w:p>
    <w:p>
      <w:pPr>
        <w:spacing w:after="120" w:line="276"/>
        <w:jc w:val="both"/>
      </w:pPr>
      <w:r>
        <w:rPr>
          <w:rFonts w:ascii="Barlow Semi Condensed" w:cs="Barlow Semi Condensed" w:eastAsia="Barlow Semi Condensed" w:hAnsi="Barlow Semi Condensed"/>
          <w:sz w:val="24"/>
          <w:szCs w:val="24"/>
        </w:rPr>
        <w:t xml:space="preserve">Blocco novantasei. Il canale dei passaporti verso il GRU: inchiesta The Insider-Meduza, riscontrata dal corpus: Livello B.</w:t>
      </w:r>
    </w:p>
    <w:p>
      <w:pPr>
        <w:spacing w:after="120" w:line="276"/>
        <w:jc w:val="both"/>
      </w:pPr>
      <w:r>
        <w:rPr>
          <w:rFonts w:ascii="Barlow Semi Condensed" w:cs="Barlow Semi Condensed" w:eastAsia="Barlow Semi Condensed" w:hAnsi="Barlow Semi Condensed"/>
          <w:sz w:val="24"/>
          <w:szCs w:val="24"/>
        </w:rPr>
        <w:t xml:space="preserve">Blocco novantasette. Il meccanismo del Primo Direttorato Europeo: attribuito, Livello B.</w:t>
      </w:r>
    </w:p>
    <w:p>
      <w:pPr>
        <w:spacing w:after="120" w:line="276"/>
        <w:jc w:val="both"/>
      </w:pPr>
      <w:r>
        <w:rPr>
          <w:rFonts w:ascii="Barlow Semi Condensed" w:cs="Barlow Semi Condensed" w:eastAsia="Barlow Semi Condensed" w:hAnsi="Barlow Semi Condensed"/>
          <w:sz w:val="24"/>
          <w:szCs w:val="24"/>
        </w:rPr>
        <w:t xml:space="preserve">Blocco novantotto. Khodynskaya-Golenishcheva: attribuito, Livello C.</w:t>
      </w:r>
    </w:p>
    <w:p>
      <w:pPr>
        <w:spacing w:after="120" w:line="276"/>
        <w:jc w:val="both"/>
      </w:pPr>
      <w:r>
        <w:rPr>
          <w:rFonts w:ascii="Barlow Semi Condensed" w:cs="Barlow Semi Condensed" w:eastAsia="Barlow Semi Condensed" w:hAnsi="Barlow Semi Condensed"/>
          <w:sz w:val="24"/>
          <w:szCs w:val="24"/>
        </w:rPr>
        <w:t xml:space="preserve">Blocco novantanove. La targa della ventiquattresima Brigata del GRU a Slutsky, settembre duemilaventitré: riferito, Livello B.</w:t>
      </w:r>
    </w:p>
    <w:p>
      <w:pPr>
        <w:spacing w:after="120" w:line="276"/>
        <w:jc w:val="both"/>
      </w:pPr>
      <w:r>
        <w:rPr>
          <w:rFonts w:ascii="Barlow Semi Condensed" w:cs="Barlow Semi Condensed" w:eastAsia="Barlow Semi Condensed" w:hAnsi="Barlow Semi Condensed"/>
          <w:sz w:val="24"/>
          <w:szCs w:val="24"/>
        </w:rPr>
        <w:t xml:space="preserve">Blocco cento. La Camera Civica quale veicolo di reclutamento: attribuito, Livello B.</w:t>
      </w:r>
    </w:p>
    <w:p>
      <w:pPr>
        <w:spacing w:after="120" w:line="276"/>
        <w:jc w:val="both"/>
      </w:pPr>
      <w:r>
        <w:rPr>
          <w:rFonts w:ascii="Barlow Semi Condensed" w:cs="Barlow Semi Condensed" w:eastAsia="Barlow Semi Condensed" w:hAnsi="Barlow Semi Condensed"/>
          <w:sz w:val="24"/>
          <w:szCs w:val="24"/>
        </w:rPr>
        <w:t xml:space="preserve">Blocco centouno. La logistica degli osservatori: testimonianze convergenti, Livello B.</w:t>
      </w:r>
    </w:p>
    <w:p>
      <w:pPr>
        <w:spacing w:after="120" w:line="276"/>
        <w:jc w:val="both"/>
      </w:pPr>
      <w:r>
        <w:rPr>
          <w:rFonts w:ascii="Barlow Semi Condensed" w:cs="Barlow Semi Condensed" w:eastAsia="Barlow Semi Condensed" w:hAnsi="Barlow Semi Condensed"/>
          <w:sz w:val="24"/>
          <w:szCs w:val="24"/>
        </w:rPr>
        <w:t xml:space="preserve">Blocco centodue. I passaporti italiani nei file del GRU, dicembre duemilaventitré: Livello B; il caso nominativo è riscontrato dal corpus.</w:t>
      </w:r>
    </w:p>
    <w:p>
      <w:pPr>
        <w:spacing w:after="120" w:line="276"/>
        <w:jc w:val="both"/>
      </w:pPr>
      <w:r>
        <w:rPr>
          <w:rFonts w:ascii="Barlow Semi Condensed" w:cs="Barlow Semi Condensed" w:eastAsia="Barlow Semi Condensed" w:hAnsi="Barlow Semi Condensed"/>
          <w:sz w:val="24"/>
          <w:szCs w:val="24"/>
        </w:rPr>
        <w:t xml:space="preserve">Blocco centotré. Il caso slovacco Lindtner-Fico: attribuito, Livello B.</w:t>
      </w:r>
    </w:p>
    <w:p>
      <w:pPr>
        <w:spacing w:after="120" w:line="276"/>
        <w:jc w:val="both"/>
      </w:pPr>
      <w:r>
        <w:rPr>
          <w:rFonts w:ascii="Barlow Semi Condensed" w:cs="Barlow Semi Condensed" w:eastAsia="Barlow Semi Condensed" w:hAnsi="Barlow Semi Condensed"/>
          <w:sz w:val="24"/>
          <w:szCs w:val="24"/>
        </w:rPr>
        <w:t xml:space="preserve">Blocco centoquattro. La relazione COPASIR dell'agosto duemilaventidue: fonte parlamentare approvata all'unanimità, Livello A.</w:t>
      </w:r>
    </w:p>
    <w:p>
      <w:pPr>
        <w:spacing w:after="120" w:line="276"/>
        <w:jc w:val="both"/>
      </w:pPr>
      <w:r>
        <w:rPr>
          <w:rFonts w:ascii="Barlow Semi Condensed" w:cs="Barlow Semi Condensed" w:eastAsia="Barlow Semi Condensed" w:hAnsi="Barlow Semi Condensed"/>
          <w:sz w:val="24"/>
          <w:szCs w:val="24"/>
        </w:rPr>
        <w:t xml:space="preserve">Capitolo ottavo — L'ecosistema mediatico (blocchi centocinque–centoquattordici)</w:t>
      </w:r>
    </w:p>
    <w:p>
      <w:pPr>
        <w:spacing w:after="120" w:line="276"/>
        <w:jc w:val="both"/>
      </w:pPr>
      <w:r>
        <w:rPr>
          <w:rFonts w:ascii="Barlow Semi Condensed" w:cs="Barlow Semi Condensed" w:eastAsia="Barlow Semi Condensed" w:hAnsi="Barlow Semi Condensed"/>
          <w:sz w:val="24"/>
          <w:szCs w:val="24"/>
        </w:rPr>
        <w:t xml:space="preserve">Blocco centocinque. Vestuto e l'impero Italeurasia: documentale di corpus, Livello B.</w:t>
      </w:r>
    </w:p>
    <w:p>
      <w:pPr>
        <w:spacing w:after="120" w:line="276"/>
        <w:jc w:val="both"/>
      </w:pPr>
      <w:r>
        <w:rPr>
          <w:rFonts w:ascii="Barlow Semi Condensed" w:cs="Barlow Semi Condensed" w:eastAsia="Barlow Semi Condensed" w:hAnsi="Barlow Semi Condensed"/>
          <w:sz w:val="24"/>
          <w:szCs w:val="24"/>
        </w:rPr>
        <w:t xml:space="preserve">Blocco centosei. Eurasia News TV e il conto bulgaro: documentale d'inchiesta, Livello C.</w:t>
      </w:r>
    </w:p>
    <w:p>
      <w:pPr>
        <w:spacing w:after="120" w:line="276"/>
        <w:jc w:val="both"/>
      </w:pPr>
      <w:r>
        <w:rPr>
          <w:rFonts w:ascii="Barlow Semi Condensed" w:cs="Barlow Semi Condensed" w:eastAsia="Barlow Semi Condensed" w:hAnsi="Barlow Semi Condensed"/>
          <w:sz w:val="24"/>
          <w:szCs w:val="24"/>
        </w:rPr>
        <w:t xml:space="preserve">Blocco centosette. Belcastro e la menzione nel processo Gotha: la sola menzione processuale è riferita; nessun esito è certificato in questa sede: Livello C con obbligo di verifica dell'esito prima di ogni impiego.</w:t>
      </w:r>
    </w:p>
    <w:p>
      <w:pPr>
        <w:spacing w:after="120" w:line="276"/>
        <w:jc w:val="both"/>
      </w:pPr>
      <w:r>
        <w:rPr>
          <w:rFonts w:ascii="Barlow Semi Condensed" w:cs="Barlow Semi Condensed" w:eastAsia="Barlow Semi Condensed" w:hAnsi="Barlow Semi Condensed"/>
          <w:sz w:val="24"/>
          <w:szCs w:val="24"/>
        </w:rPr>
        <w:t xml:space="preserve">Blocco centootto. Lorusso e Donbass Italia: fatti pubblici e residenza dichiarata, Livello B.</w:t>
      </w:r>
    </w:p>
    <w:p>
      <w:pPr>
        <w:spacing w:after="120" w:line="276"/>
        <w:jc w:val="both"/>
      </w:pPr>
      <w:r>
        <w:rPr>
          <w:rFonts w:ascii="Barlow Semi Condensed" w:cs="Barlow Semi Condensed" w:eastAsia="Barlow Semi Condensed" w:hAnsi="Barlow Semi Condensed"/>
          <w:sz w:val="24"/>
          <w:szCs w:val="24"/>
        </w:rPr>
        <w:t xml:space="preserve">Blocco centonove. Lucidi: cittadinanza russa e detenzione in Turchia riferite, Livello B; per il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centodieci. Il giudizio di Reporters Sans Frontières su International Reporters: valutazione di organizzazione qualificata, Livello A come attribuzione.</w:t>
      </w:r>
    </w:p>
    <w:p>
      <w:pPr>
        <w:spacing w:after="120" w:line="276"/>
        <w:jc w:val="both"/>
      </w:pPr>
      <w:r>
        <w:rPr>
          <w:rFonts w:ascii="Barlow Semi Condensed" w:cs="Barlow Semi Condensed" w:eastAsia="Barlow Semi Condensed" w:hAnsi="Barlow Semi Condensed"/>
          <w:sz w:val="24"/>
          <w:szCs w:val="24"/>
        </w:rPr>
        <w:t xml:space="preserve">Blocco centoundici. Il film sulla negazione di Bucha: finanziamento ministeriale russo e contenuto documentati, Livello B.</w:t>
      </w:r>
    </w:p>
    <w:p>
      <w:pPr>
        <w:spacing w:after="120" w:line="276"/>
        <w:jc w:val="both"/>
      </w:pPr>
      <w:r>
        <w:rPr>
          <w:rFonts w:ascii="Barlow Semi Condensed" w:cs="Barlow Semi Condensed" w:eastAsia="Barlow Semi Condensed" w:hAnsi="Barlow Semi Condensed"/>
          <w:sz w:val="24"/>
          <w:szCs w:val="24"/>
        </w:rPr>
        <w:t xml:space="preserve">Blocco centododici. La rivista Eurasia dal duemilaquattro: Livello A.</w:t>
      </w:r>
    </w:p>
    <w:p>
      <w:pPr>
        <w:spacing w:after="120" w:line="276"/>
        <w:jc w:val="both"/>
      </w:pPr>
      <w:r>
        <w:rPr>
          <w:rFonts w:ascii="Barlow Semi Condensed" w:cs="Barlow Semi Condensed" w:eastAsia="Barlow Semi Condensed" w:hAnsi="Barlow Semi Condensed"/>
          <w:sz w:val="24"/>
          <w:szCs w:val="24"/>
        </w:rPr>
        <w:t xml:space="preserve">Blocco centotredici. AGA e la celebrazione dell'invasione: già certificato al blocco quattordici, Livello A.</w:t>
      </w:r>
    </w:p>
    <w:p>
      <w:pPr>
        <w:spacing w:after="120" w:line="276"/>
        <w:jc w:val="both"/>
      </w:pPr>
      <w:r>
        <w:rPr>
          <w:rFonts w:ascii="Barlow Semi Condensed" w:cs="Barlow Semi Condensed" w:eastAsia="Barlow Semi Condensed" w:hAnsi="Barlow Semi Condensed"/>
          <w:sz w:val="24"/>
          <w:szCs w:val="24"/>
        </w:rPr>
        <w:t xml:space="preserve">Blocco centoquattordici. Pacini e Idee e Azione: studio accademico attribuito, Livello B.</w:t>
      </w:r>
    </w:p>
    <w:p>
      <w:pPr>
        <w:spacing w:after="120" w:line="276"/>
        <w:jc w:val="both"/>
      </w:pPr>
      <w:r>
        <w:rPr>
          <w:rFonts w:ascii="Barlow Semi Condensed" w:cs="Barlow Semi Condensed" w:eastAsia="Barlow Semi Condensed" w:hAnsi="Barlow Semi Condensed"/>
          <w:sz w:val="24"/>
          <w:szCs w:val="24"/>
        </w:rPr>
        <w:t xml:space="preserve">Capitolo nono — Combattenti, osservatori, convergenza rossobruna (blocchi centoquindici–centoventiquattro)</w:t>
      </w:r>
    </w:p>
    <w:p>
      <w:pPr>
        <w:spacing w:after="120" w:line="276"/>
        <w:jc w:val="both"/>
      </w:pPr>
      <w:r>
        <w:rPr>
          <w:rFonts w:ascii="Barlow Semi Condensed" w:cs="Barlow Semi Condensed" w:eastAsia="Barlow Semi Condensed" w:hAnsi="Barlow Semi Condensed"/>
          <w:sz w:val="24"/>
          <w:szCs w:val="24"/>
        </w:rPr>
        <w:t xml:space="preserve">Blocco centoquindici. Palmeri: verificato ora; condanna definitiva del quattordici marzo duemilaventiquattro a cinque anni, Livello A; posizione difensiva riportata.</w:t>
      </w:r>
    </w:p>
    <w:p>
      <w:pPr>
        <w:spacing w:after="120" w:line="276"/>
        <w:jc w:val="both"/>
      </w:pPr>
      <w:r>
        <w:rPr>
          <w:rFonts w:ascii="Barlow Semi Condensed" w:cs="Barlow Semi Condensed" w:eastAsia="Barlow Semi Condensed" w:hAnsi="Barlow Semi Condensed"/>
          <w:sz w:val="24"/>
          <w:szCs w:val="24"/>
        </w:rPr>
        <w:t xml:space="preserve">Blocco centosedici. Il processo genovese sulla rete dei reclutatori: condanne del duemiladiciannove e giudizio Palmeri, dalla richiesta di tredici anni alla pena di cinque: Livello A.</w:t>
      </w:r>
    </w:p>
    <w:p>
      <w:pPr>
        <w:spacing w:after="120" w:line="276"/>
        <w:jc w:val="both"/>
      </w:pPr>
      <w:r>
        <w:rPr>
          <w:rFonts w:ascii="Barlow Semi Condensed" w:cs="Barlow Semi Condensed" w:eastAsia="Barlow Semi Condensed" w:hAnsi="Barlow Semi Condensed"/>
          <w:sz w:val="24"/>
          <w:szCs w:val="24"/>
        </w:rPr>
        <w:t xml:space="preserve">Blocco centodiciassette. Il centro di rappresentanza di Donetsk a Torino: verificato ora; quattordici dicembre duemilasedici, Fondazione Magellano; risposta della Farnesina sul non riconoscimento: Livello A.</w:t>
      </w:r>
    </w:p>
    <w:p>
      <w:pPr>
        <w:spacing w:after="120" w:line="276"/>
        <w:jc w:val="both"/>
      </w:pPr>
      <w:r>
        <w:rPr>
          <w:rFonts w:ascii="Barlow Semi Condensed" w:cs="Barlow Semi Condensed" w:eastAsia="Barlow Semi Condensed" w:hAnsi="Barlow Semi Condensed"/>
          <w:sz w:val="24"/>
          <w:szCs w:val="24"/>
        </w:rPr>
        <w:t xml:space="preserve">Blocco centodiciotto. La presenza di Pichetto Fratin e Gancia: documentata da interrogazione parlamentare e fotografie, Livello A; formulazione vincolante: dal fatto della presenza non si inferisce alcunché oltre il fatto.</w:t>
      </w:r>
    </w:p>
    <w:p>
      <w:pPr>
        <w:spacing w:after="120" w:line="276"/>
        <w:jc w:val="both"/>
      </w:pPr>
      <w:r>
        <w:rPr>
          <w:rFonts w:ascii="Barlow Semi Condensed" w:cs="Barlow Semi Condensed" w:eastAsia="Barlow Semi Condensed" w:hAnsi="Barlow Semi Condensed"/>
          <w:sz w:val="24"/>
          <w:szCs w:val="24"/>
        </w:rPr>
        <w:t xml:space="preserve">Blocco centodiciannove. Murgia e la rappresentanza sudossetica autoproclamata: Livello B, con la nota della Farnesina.</w:t>
      </w:r>
    </w:p>
    <w:p>
      <w:pPr>
        <w:spacing w:after="120" w:line="276"/>
        <w:jc w:val="both"/>
      </w:pPr>
      <w:r>
        <w:rPr>
          <w:rFonts w:ascii="Barlow Semi Condensed" w:cs="Barlow Semi Condensed" w:eastAsia="Barlow Semi Condensed" w:hAnsi="Barlow Semi Condensed"/>
          <w:sz w:val="24"/>
          <w:szCs w:val="24"/>
        </w:rPr>
        <w:t xml:space="preserve">Blocco centoventi. Cacchione e la convergenza da sinistra: partecipazioni riferite dal database EPDE, Livello B.</w:t>
      </w:r>
    </w:p>
    <w:p>
      <w:pPr>
        <w:spacing w:after="120" w:line="276"/>
        <w:jc w:val="both"/>
      </w:pPr>
      <w:r>
        <w:rPr>
          <w:rFonts w:ascii="Barlow Semi Condensed" w:cs="Barlow Semi Condensed" w:eastAsia="Barlow Semi Condensed" w:hAnsi="Barlow Semi Condensed"/>
          <w:sz w:val="24"/>
          <w:szCs w:val="24"/>
        </w:rPr>
        <w:t xml:space="preserve">Blocco centoventuno. La Carovana Antifascista: eventi pubblici, Livello A.</w:t>
      </w:r>
    </w:p>
    <w:p>
      <w:pPr>
        <w:spacing w:after="120" w:line="276"/>
        <w:jc w:val="both"/>
      </w:pPr>
      <w:r>
        <w:rPr>
          <w:rFonts w:ascii="Barlow Semi Condensed" w:cs="Barlow Semi Condensed" w:eastAsia="Barlow Semi Condensed" w:hAnsi="Barlow Semi Condensed"/>
          <w:sz w:val="24"/>
          <w:szCs w:val="24"/>
        </w:rPr>
        <w:t xml:space="preserve">Blocco centoventidue. La partecipazione di Forenza: riferita, Livello B; per la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centoventitré. Il database EPDE: novecentosessantasette profili da oltre sessanta Paesi, una quarantina di italiani: Livello A quale contenuto del database, con i criteri di classificazione propri dell'ente.</w:t>
      </w:r>
    </w:p>
    <w:p>
      <w:pPr>
        <w:spacing w:after="120" w:line="276"/>
        <w:jc w:val="both"/>
      </w:pPr>
      <w:r>
        <w:rPr>
          <w:rFonts w:ascii="Barlow Semi Condensed" w:cs="Barlow Semi Condensed" w:eastAsia="Barlow Semi Condensed" w:hAnsi="Barlow Semi Condensed"/>
          <w:sz w:val="24"/>
          <w:szCs w:val="24"/>
        </w:rPr>
        <w:t xml:space="preserve">Blocco centoventiquattro. Il rifiuto moldavo dell'accreditamento, settembre duemilaventicinque: atto del servizio di sicurezza, Livello B.</w:t>
      </w:r>
    </w:p>
    <w:p>
      <w:pPr>
        <w:spacing w:after="120" w:line="276"/>
        <w:jc w:val="both"/>
      </w:pPr>
      <w:r>
        <w:rPr>
          <w:rFonts w:ascii="Barlow Semi Condensed" w:cs="Barlow Semi Condensed" w:eastAsia="Barlow Semi Condensed" w:hAnsi="Barlow Semi Condensed"/>
          <w:sz w:val="24"/>
          <w:szCs w:val="24"/>
        </w:rPr>
        <w:t xml:space="preserve">Capitolo decimo — L'ecosistema contemporaneo (blocchi centoventicinque–centotrentaquattro)</w:t>
      </w:r>
    </w:p>
    <w:p>
      <w:pPr>
        <w:spacing w:after="120" w:line="276"/>
        <w:jc w:val="both"/>
      </w:pPr>
      <w:r>
        <w:rPr>
          <w:rFonts w:ascii="Barlow Semi Condensed" w:cs="Barlow Semi Condensed" w:eastAsia="Barlow Semi Condensed" w:hAnsi="Barlow Semi Condensed"/>
          <w:sz w:val="24"/>
          <w:szCs w:val="24"/>
        </w:rPr>
        <w:t xml:space="preserve">Blocco centoventicinque. L'Ordine dell'Amicizia a Bertolasi del quattro novembre duemilaventicinque: verificato ora; riferito dalle fonti dell'area e dall'insignito, senza riscontro terzo reperito: Livello B con statuto dichiarato.</w:t>
      </w:r>
    </w:p>
    <w:p>
      <w:pPr>
        <w:spacing w:after="120" w:line="276"/>
        <w:jc w:val="both"/>
      </w:pPr>
      <w:r>
        <w:rPr>
          <w:rFonts w:ascii="Barlow Semi Condensed" w:cs="Barlow Semi Condensed" w:eastAsia="Barlow Semi Condensed" w:hAnsi="Barlow Semi Condensed"/>
          <w:sz w:val="24"/>
          <w:szCs w:val="24"/>
        </w:rPr>
        <w:t xml:space="preserve">Blocco centoventisei. Il Movimento Internazionale dei Russofili del quattordici marzo duemilaventitré: fondazione certificata alla prima tranche, Livello A; la presidenza italiana di Bertolasi a Livello B.</w:t>
      </w:r>
    </w:p>
    <w:p>
      <w:pPr>
        <w:spacing w:after="120" w:line="276"/>
        <w:jc w:val="both"/>
      </w:pPr>
      <w:r>
        <w:rPr>
          <w:rFonts w:ascii="Barlow Semi Condensed" w:cs="Barlow Semi Condensed" w:eastAsia="Barlow Semi Condensed" w:hAnsi="Barlow Semi Condensed"/>
          <w:sz w:val="24"/>
          <w:szCs w:val="24"/>
        </w:rPr>
        <w:t xml:space="preserve">Blocco centoventisette. Gigliotti e Cantiere Laboratorio: attività pubbliche, Livello C.</w:t>
      </w:r>
    </w:p>
    <w:p>
      <w:pPr>
        <w:spacing w:after="120" w:line="276"/>
        <w:jc w:val="both"/>
      </w:pPr>
      <w:r>
        <w:rPr>
          <w:rFonts w:ascii="Barlow Semi Condensed" w:cs="Barlow Semi Condensed" w:eastAsia="Barlow Semi Condensed" w:hAnsi="Barlow Semi Condensed"/>
          <w:sz w:val="24"/>
          <w:szCs w:val="24"/>
        </w:rPr>
        <w:t xml:space="preserve">Blocco centoventotto. Filomeni, Spatara e il comitato: pubblicazioni e ruoli a Livello B; nessuna inferenza sui terzi nominati.</w:t>
      </w:r>
    </w:p>
    <w:p>
      <w:pPr>
        <w:spacing w:after="120" w:line="276"/>
        <w:jc w:val="both"/>
      </w:pPr>
      <w:r>
        <w:rPr>
          <w:rFonts w:ascii="Barlow Semi Condensed" w:cs="Barlow Semi Condensed" w:eastAsia="Barlow Semi Condensed" w:hAnsi="Barlow Semi Condensed"/>
          <w:sz w:val="24"/>
          <w:szCs w:val="24"/>
        </w:rPr>
        <w:t xml:space="preserve">Blocco centoventinove. La missione a Lugansk dell'aprile duemilaventicinque: riferita, Livello C.</w:t>
      </w:r>
    </w:p>
    <w:p>
      <w:pPr>
        <w:spacing w:after="120" w:line="276"/>
        <w:jc w:val="both"/>
      </w:pPr>
      <w:r>
        <w:rPr>
          <w:rFonts w:ascii="Barlow Semi Condensed" w:cs="Barlow Semi Condensed" w:eastAsia="Barlow Semi Condensed" w:hAnsi="Barlow Semi Condensed"/>
          <w:sz w:val="24"/>
          <w:szCs w:val="24"/>
        </w:rPr>
        <w:t xml:space="preserve">Blocco centotrenta. Scalea e la Fondazione Machiavelli: fatti pubblici, Livello B.</w:t>
      </w:r>
    </w:p>
    <w:p>
      <w:pPr>
        <w:spacing w:after="120" w:line="276"/>
        <w:jc w:val="both"/>
      </w:pPr>
      <w:r>
        <w:rPr>
          <w:rFonts w:ascii="Barlow Semi Condensed" w:cs="Barlow Semi Condensed" w:eastAsia="Barlow Semi Condensed" w:hAnsi="Barlow Semi Condensed"/>
          <w:sz w:val="24"/>
          <w:szCs w:val="24"/>
        </w:rPr>
        <w:t xml:space="preserve">Blocco centotrentuno. SpecialEurasia, il CeSEM e Vernole: Livello C.</w:t>
      </w:r>
    </w:p>
    <w:p>
      <w:pPr>
        <w:spacing w:after="120" w:line="276"/>
        <w:jc w:val="both"/>
      </w:pPr>
      <w:r>
        <w:rPr>
          <w:rFonts w:ascii="Barlow Semi Condensed" w:cs="Barlow Semi Condensed" w:eastAsia="Barlow Semi Condensed" w:hAnsi="Barlow Semi Condensed"/>
          <w:sz w:val="24"/>
          <w:szCs w:val="24"/>
        </w:rPr>
        <w:t xml:space="preserve">Blocco centotrentadue. Il cluster triestino: Livello C.</w:t>
      </w:r>
    </w:p>
    <w:p>
      <w:pPr>
        <w:spacing w:after="120" w:line="276"/>
        <w:jc w:val="both"/>
      </w:pPr>
      <w:r>
        <w:rPr>
          <w:rFonts w:ascii="Barlow Semi Condensed" w:cs="Barlow Semi Condensed" w:eastAsia="Barlow Semi Condensed" w:hAnsi="Barlow Semi Condensed"/>
          <w:sz w:val="24"/>
          <w:szCs w:val="24"/>
        </w:rPr>
        <w:t xml:space="preserve">Blocco centotrentatré. Il vuoto normativo sull'agente d'influenza: l'assenza di una legislazione italiana analoga al FARA è verificabile per comparazione, Livello A.</w:t>
      </w:r>
    </w:p>
    <w:p>
      <w:pPr>
        <w:spacing w:after="120" w:line="276"/>
        <w:jc w:val="both"/>
      </w:pPr>
      <w:r>
        <w:rPr>
          <w:rFonts w:ascii="Barlow Semi Condensed" w:cs="Barlow Semi Condensed" w:eastAsia="Barlow Semi Condensed" w:hAnsi="Barlow Semi Condensed"/>
          <w:sz w:val="24"/>
          <w:szCs w:val="24"/>
        </w:rPr>
        <w:t xml:space="preserve">Blocco centotrentaquattro. I quattro canali convergenti: tesi di sintesi del documento; gambe gradate come ai blocchi precedenti, composizione a Livello C, coincidente con il perimetro di H2.</w:t>
      </w:r>
    </w:p>
    <w:p>
      <w:pPr>
        <w:spacing w:after="120" w:line="276"/>
        <w:jc w:val="both"/>
      </w:pPr>
      <w:r>
        <w:rPr>
          <w:rFonts w:ascii="Barlow Semi Condensed" w:cs="Barlow Semi Condensed" w:eastAsia="Barlow Semi Condensed" w:hAnsi="Barlow Semi Condensed"/>
          <w:sz w:val="24"/>
          <w:szCs w:val="24"/>
        </w:rPr>
        <w:t xml:space="preserve">9.10 — Blocchi centotrentacinque–centotrentotto: le voci residue</w:t>
      </w:r>
    </w:p>
    <w:p>
      <w:pPr>
        <w:spacing w:after="120" w:line="276"/>
        <w:jc w:val="both"/>
      </w:pPr>
      <w:r>
        <w:rPr>
          <w:rFonts w:ascii="Barlow Semi Condensed" w:cs="Barlow Semi Condensed" w:eastAsia="Barlow Semi Condensed" w:hAnsi="Barlow Semi Condensed"/>
          <w:sz w:val="24"/>
          <w:szCs w:val="24"/>
        </w:rPr>
        <w:t xml:space="preserve">Blocco centotrentacinque. Pasquale Scotti. Parabola certificata dalla voce munita di note: ergastolo del duemilacinque, latitanza trentennale, arresto a Recife il ventisei maggio duemilaquindici, estradizione del dieci marzo duemilasedici con pena commutata a trent'anni per statuto brasiliano. Livello A.</w:t>
      </w:r>
    </w:p>
    <w:p>
      <w:pPr>
        <w:spacing w:after="120" w:line="276"/>
        <w:jc w:val="both"/>
      </w:pPr>
      <w:r>
        <w:rPr>
          <w:rFonts w:ascii="Barlow Semi Condensed" w:cs="Barlow Semi Condensed" w:eastAsia="Barlow Semi Condensed" w:hAnsi="Barlow Semi Condensed"/>
          <w:sz w:val="24"/>
          <w:szCs w:val="24"/>
        </w:rPr>
        <w:t xml:space="preserve">Blocco centotrentasei. Summit di Montalto. Riunione, operazione di polizia e processo a Livello A; la presenza di Borghese, Delle Chiaie, Concutelli e Saccucci e l'ipotesi di alleanza con la destra eversiva restano dato di letteratura non accertato in giudicato: Livello C, con divieto di trattare il ponte crimine-eversione come fatto.</w:t>
      </w:r>
    </w:p>
    <w:p>
      <w:pPr>
        <w:spacing w:after="120" w:line="276"/>
        <w:jc w:val="both"/>
      </w:pPr>
      <w:r>
        <w:rPr>
          <w:rFonts w:ascii="Barlow Semi Condensed" w:cs="Barlow Semi Condensed" w:eastAsia="Barlow Semi Condensed" w:hAnsi="Barlow Semi Condensed"/>
          <w:sz w:val="24"/>
          <w:szCs w:val="24"/>
        </w:rPr>
        <w:t xml:space="preserve">Blocco centotrentasette. Il caso Cirillo e la faida. Sequestro e liberazione a Livello A; il contributo di Calvi al riscatto secondo l'istruttoria Alemi a Livello B; il bilancio della faida per anni a Livello A.</w:t>
      </w:r>
    </w:p>
    <w:p>
      <w:pPr>
        <w:spacing w:after="120" w:line="276"/>
        <w:jc w:val="both"/>
      </w:pPr>
      <w:r>
        <w:rPr>
          <w:rFonts w:ascii="Barlow Semi Condensed" w:cs="Barlow Semi Condensed" w:eastAsia="Barlow Semi Condensed" w:hAnsi="Barlow Semi Condensed"/>
          <w:sz w:val="24"/>
          <w:szCs w:val="24"/>
        </w:rPr>
        <w:t xml:space="preserve">Blocco centotrentotto. Pizzolungo. L'attentato del due aprile millenovecentottantacinque, le vittime Barbara Rizzo e i gemelli Asta, il ferimento del magistrato Carlo Palermo: Livello A; esiti processuali rinviati alla quinta tranche per certificazione puntuale.</w:t>
      </w:r>
    </w:p>
    <w:p>
      <w:pPr>
        <w:spacing w:after="120" w:line="276"/>
        <w:jc w:val="both"/>
      </w:pPr>
      <w:r>
        <w:rPr>
          <w:rFonts w:ascii="Barlow Semi Condensed" w:cs="Barlow Semi Condensed" w:eastAsia="Barlow Semi Condensed" w:hAnsi="Barlow Semi Condensed"/>
          <w:sz w:val="24"/>
          <w:szCs w:val="24"/>
        </w:rPr>
        <w:t xml:space="preserve">9.11 — Rilievi per le persone viventi e chiusa della quarta tranche</w:t>
      </w:r>
    </w:p>
    <w:p>
      <w:pPr>
        <w:spacing w:after="120" w:line="276"/>
        <w:jc w:val="both"/>
      </w:pPr>
      <w:r>
        <w:rPr>
          <w:rFonts w:ascii="Barlow Semi Condensed" w:cs="Barlow Semi Condensed" w:eastAsia="Barlow Semi Condensed" w:hAnsi="Barlow Semi Condensed"/>
          <w:sz w:val="24"/>
          <w:szCs w:val="24"/>
        </w:rPr>
        <w:t xml:space="preserve">Le formulazioni vincolanti aggiunte da questa tranche sono le seguenti, e si sommano — senza sostituirle — a quelle delle tranche precedenti, che restano integralmente in vigore per Salvini, Savoini, i fratelli La Russa e ogni altro nominato. Aleksej Komov è incriminato e latitante: ogni menzione riporta lo statuto di atto d'accusa e la presunzione di innocenza; lo stesso vale per Konstantin Malofeev e per ogni incriminato non giudicato. Andrea Palmeri è condannato in via definitiva: la condanna è riportabile come accertamento giudiziario, sempre accompagnata dalla sua posizione pubblica di contestazione. Gilberto Pichetto Fratin, Gianna Gancia e Maurizio Marrone: i fatti certificati sono la promozione e la presenza a eventi pubblici documentati da atti parlamentari e fotografie; nessuna ulteriore inferenza è consentita, e la risposta della Farnesina è parte integrante di ogni menzione del centro torinese. Eliseo Bertolasi: i fatti biografici e l'onorificenza sono riportabili nei gradi indicati; la designazione con nome in codice è e resta attribuzione delle fonti d'inchiesta e del servizio lettone, mai asserzione propria del registro; identica disciplina per ogni cittadino italiano cui le inchieste attribuiscano qualifiche operative. Aleksandr Dugin: la qualifica di ideologo del potere russo è tesi mediatica dibattuta e va sempre attribuita; i fatti editoriali e biografici stanno nei gradi dei rispettivi blocchi. Per Stefano Valdegamberi, Luciano Sandonà, Vincenzo Lorusso, Andrea Lucidi, Eleonora Forenza, Roberto Fiore, Gabriele Adinolfi, Claudio Mutti, Lorenzo Pacini, Daniele Scalea e ogni altro vivente nominato valgono i soli fatti pubblici documentati nei gradi indicati, con esclusione dei dettagli privati non necessari. Franco Freda: l'assoluzione definitiva per Piazza Fontana è di menzione obbligatoria permanente.</w:t>
      </w:r>
    </w:p>
    <w:p>
      <w:pPr>
        <w:spacing w:after="120" w:line="276"/>
        <w:jc w:val="both"/>
      </w:pPr>
      <w:r>
        <w:rPr>
          <w:rFonts w:ascii="Barlow Semi Condensed" w:cs="Barlow Semi Condensed" w:eastAsia="Barlow Semi Condensed" w:hAnsi="Barlow Semi Condensed"/>
          <w:sz w:val="24"/>
          <w:szCs w:val="24"/>
        </w:rPr>
        <w:t xml:space="preserve">La quarta tranche porta il registro a centotrentotto blocchi certificati, oltre il traguardo dei cento fissato dal mandato originario, e consegna alla quinta le seguenti direzioni: il monitoraggio degli atti palermitani sul caso Mattarella, invariato nei termini della terza tranche; l'estrazione dei due contenitori dichiarati non estraibili; la certificazione puntuale degli esiti processuali di Pizzolungo; il vaglio integrale, con il medesimo protocollo, delle voci maggiori ancora non iscritte — Nuclei Armati Rivoluzionari, operazione Gladio, agguato di via Fani, Concutelli, la voce sul senatore Antonino La Russa — il cui apparato di millequarantanove URL censiti costituisce la mappa di lavoro;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QUINTA TRANCHE — FASE X: AGINTER PRESS. IL VAGLIO DELLA MONOGRAFIA IN CENTO BLOCCHI, LE VOCI MAGGIORI DEL CENSIMENTO E LE PENDENZE CERTIFICATE</w:t>
      </w:r>
    </w:p>
    <w:p>
      <w:pPr>
        <w:spacing w:after="120" w:line="276"/>
        <w:jc w:val="both"/>
      </w:pPr>
      <w:r>
        <w:rPr>
          <w:rFonts w:ascii="Barlow Semi Condensed" w:cs="Barlow Semi Condensed" w:eastAsia="Barlow Semi Condensed" w:hAnsi="Barlow Semi Condensed"/>
          <w:sz w:val="24"/>
          <w:szCs w:val="24"/>
        </w:rPr>
        <w:t xml:space="preserve">10.1 — Oggetto della tranche, documento-innesco e metrica delle equivalenze</w:t>
      </w:r>
    </w:p>
    <w:p>
      <w:pPr>
        <w:spacing w:after="120" w:line="276"/>
        <w:jc w:val="both"/>
      </w:pPr>
      <w:r>
        <w:rPr>
          <w:rFonts w:ascii="Barlow Semi Condensed" w:cs="Barlow Semi Condensed" w:eastAsia="Barlow Semi Condensed" w:hAnsi="Barlow Semi Condensed"/>
          <w:sz w:val="24"/>
          <w:szCs w:val="24"/>
        </w:rPr>
        <w:t xml:space="preserve">La quinta tranche è innescata dall'acquisizione della monografia «Aginter Press — Monografia analitica di un hub della guerra politica non convenzionale (1966–1988)», edizione prima dell'undici agosto duemilaventisei, duecentottantasei pagine, enucleata — come la nota di genesi dichiara — dal Documento Unico Integrato del censimento della criminalità organizzata, di cui riproduce integralmente le quattordici note e i tre approfondimenti monografici, con l'aggiunta di un capitolo di triangolazione redatto in sede propria e di un apparato di impronte crittografiche delle fonti. Il documento poggia su atti giudiziari e parlamentari nominati — l'istruttoria e l'ordinanza del giudice Salvini, i resoconti stenografici della Commissione stragi, la perizia Giannuli — su testimonianze processuali qualificate e su letteratura storiografica, e adotta una metrica interna di gradazione — certo, altamente probabile, probabile, possibile, non provato, da verificare — che questo registro dichiara equivalente alla propria: il certo su fonte primaria corrisponde al Livello A, il probabile su convergenza qualificata al Livello B, il possibile e il da verificare al Livello C, e l'esito negativo di ricerca sistematica allo Stato Zero. Il censimento automatico degli indirizzi di rete restituisce novecentosessantatré URL unici; la distribuzione per dominio consegna però un rilievo critico immediato: accanto a fonti primarie di rango — gli archivi del Dipartimento di Stato, il National Security Archive, la letteratura accademica — l'apparato include undici occorrenze di una fonte permanentemente esclusa dalle regole di progetto e diciassette di un'enciclopedia collaborativa non citabile; il registro interdice le prime e declassa le seconde a meri indicatori di reperimento, annotando la disomogeneità dell'apparato come difetto formale della monografia, che non ne intacca le gambe fondate su atti.</w:t>
      </w:r>
    </w:p>
    <w:p>
      <w:pPr>
        <w:spacing w:after="120" w:line="276"/>
        <w:jc w:val="both"/>
      </w:pPr>
      <w:r>
        <w:rPr>
          <w:rFonts w:ascii="Barlow Semi Condensed" w:cs="Barlow Semi Condensed" w:eastAsia="Barlow Semi Condensed" w:hAnsi="Barlow Semi Condensed"/>
          <w:sz w:val="24"/>
          <w:szCs w:val="24"/>
        </w:rPr>
        <w:t xml:space="preserve">10.2 — Il capitolo italiano in sede giudiziaria</w:t>
      </w:r>
    </w:p>
    <w:p>
      <w:pPr>
        <w:spacing w:after="120" w:line="276"/>
        <w:jc w:val="both"/>
      </w:pPr>
      <w:r>
        <w:rPr>
          <w:rFonts w:ascii="Barlow Semi Condensed" w:cs="Barlow Semi Condensed" w:eastAsia="Barlow Semi Condensed" w:hAnsi="Barlow Semi Condensed"/>
          <w:sz w:val="24"/>
          <w:szCs w:val="24"/>
        </w:rPr>
        <w:t xml:space="preserve">Il nucleo probatoriamente più solido della monografia è il capitolo italiano, fondato sull'istruttoria milanese e sulla perizia d'archivio. La catena certificata corre dal convegno dell'Istituto Pollio all'hotel Parco dei Principi del tre-cinque maggio millenovecentosessantacinque, alla conoscenza tra Giannettini e Guérin-Sérac risalente al millenovecentosessantaquattro a Lisbona, all'incontro di Abbiategrasso del marzo millenovecentosessantasette tra Robert Leroy e Carlo Maria Maggi in ambito Nouvel Ordre Européen, al corso lisbonese del militante ordinovista Brillo nel luglio successivo, fino all'accertamento — enunciato dal giudice istruttore alla Commissione stragi nel resoconto stenografico nono con formula testuale — che istruttori di Aginter Press vennero a Roma tra il millenovecentosessantasette e il millenovecentosessantotto istruendo militanti di Avanguardia Nazionale all'uso degli esplosivi, con la mediazione dell'informatore ministeriale Armando Mortilla, alias Aristo, tessitore dei rapporti tra Aginter e Ordine Nuovo e organizzatore dell'incontro romano tra Guérin-Sérac e Rauti del gennaio-febbraio millenovecentosessantotto. Su questo impianto si innesta il nodo documentale più delicato: la velina del SID dei sedici-diciassette dicembre millenovecentosessantanove, che indicava Guérin-Sérac quale mente degli attentati, giunta alla magistratura solo nel marzo millenovecentosettantatré, valutata dall'istruttoria come dotata di una parte plausibile — la linea di comando — e di una parte deliberatamente depistante, la trasformazione di due anticomunisti in anarchici; la deliberazione del depistaggio risulta da un documento interno dell'undici aprile millenovecentosettanta che suggeriva di tacere la vera natura dei due alla pubblica sicurezza. Il registro certifica l'intera catena nei gradi propri di ciascun anello, e fissa il vincolo: la velina è fonte di Livello B in quanto contenuto informativo, mai prova piena, e il ruolo di mandante che essa attribuisce resta al grado della fonte.</w:t>
      </w:r>
    </w:p>
    <w:p>
      <w:pPr>
        <w:spacing w:after="120" w:line="276"/>
        <w:jc w:val="both"/>
      </w:pPr>
      <w:r>
        <w:rPr>
          <w:rFonts w:ascii="Barlow Semi Condensed" w:cs="Barlow Semi Condensed" w:eastAsia="Barlow Semi Condensed" w:hAnsi="Barlow Semi Condensed"/>
          <w:sz w:val="24"/>
          <w:szCs w:val="24"/>
        </w:rPr>
        <w:t xml:space="preserve">10.3 — I cinque Stati Zero maggiori</w:t>
      </w:r>
    </w:p>
    <w:p>
      <w:pPr>
        <w:spacing w:after="120" w:line="276"/>
        <w:jc w:val="both"/>
      </w:pPr>
      <w:r>
        <w:rPr>
          <w:rFonts w:ascii="Barlow Semi Condensed" w:cs="Barlow Semi Condensed" w:eastAsia="Barlow Semi Condensed" w:hAnsi="Barlow Semi Condensed"/>
          <w:sz w:val="24"/>
          <w:szCs w:val="24"/>
        </w:rPr>
        <w:t xml:space="preserve">La monografia consegna al registro cinque esiti negativi di prima classe, tutti conformi alla disciplina per cui l'assenza cercata e non trovata è un risultato e non una lacuna. Primo: la ricognizione mirata degli archivi statunitensi accessibili — la sala di lettura elettronica della CIA, i volumi diplomatici sul Portogallo, il corpus del National Security Archive — non ha prodotto un solo documento primario americano che nomini Aginter Press, Guérin-Sérac o le sue sigle: l'intera narrazione del legame con l'agenzia americana poggia su conclusioni italiane e portoghesi poi amplificate dalla letteratura secondaria, e l'onere della prova si sposta su chi afferma il nesso, con riserva sul classificato. Secondo: la cronologia scagiona il rapporto personale con Kissinger, che assume responsabilità di governo quando la struttura è al tramonto e se ne occupa di Portogallo quando essa è già dissolta. Terzo: negli archivi oggi accessibili dell'Est non emergono fascicoli su Aginter — esito negativo da distinguere dalla prova di assenza, data la distruzione massiccia dei fascicoli cecoslovacchi nel millenovecentottantanove-novanta. Quarto e quinto: per il servizio britannico e per quello israeliano la monografia dichiara l'assenza di riscontro, e per l'intera sfera del Golfo l'assenza di ogni legame documentato. A questi si aggiunge l'esito negativo dichiarato sul versante sudafricano degli omicidi esterni: la matrice interna accertata dalla commissione sudafricana per la verità esclude manovalanza della rete in esame.</w:t>
      </w:r>
    </w:p>
    <w:p>
      <w:pPr>
        <w:spacing w:after="120" w:line="276"/>
        <w:jc w:val="both"/>
      </w:pPr>
      <w:r>
        <w:rPr>
          <w:rFonts w:ascii="Barlow Semi Condensed" w:cs="Barlow Semi Condensed" w:eastAsia="Barlow Semi Condensed" w:hAnsi="Barlow Semi Condensed"/>
          <w:sz w:val="24"/>
          <w:szCs w:val="24"/>
        </w:rPr>
        <w:t xml:space="preserve">10.4 — L'asse religioso: il verdetto tripartito</w:t>
      </w:r>
    </w:p>
    <w:p>
      <w:pPr>
        <w:spacing w:after="120" w:line="276"/>
        <w:jc w:val="both"/>
      </w:pPr>
      <w:r>
        <w:rPr>
          <w:rFonts w:ascii="Barlow Semi Condensed" w:cs="Barlow Semi Condensed" w:eastAsia="Barlow Semi Condensed" w:hAnsi="Barlow Semi Condensed"/>
          <w:sz w:val="24"/>
          <w:szCs w:val="24"/>
        </w:rPr>
        <w:t xml:space="preserve">Sull'asse che la monografia dichiara principale, il capitolo di triangolazione interna produce un verdetto tripartito che il registro recepisce integralmente perché già conforme al proprio standard: l'ideologia religiosa personale e organizzativa del fondatore è certa e documentata da fonti primarie — le dichiarazioni di Vinciguerra, l'intervista a Le Monde, il video-testamento, la simbologia dell'organizzazione di copertura — con le precisazioni filologiche che la preghiera attribuita è testo di Zirnheld e che la formula documentata è quella del monaco soldato; l'esistenza e la dottrina delle reti cattoliche integriste coeve — la Cité catholique di Ousset, la filiera argentina documentata da Robin, i gruppi iberici — sono certe, ma il nesso diretto e organizzativo con Aginter resta probabile e da verificare, documentato solo per via ambientale; il livello vaticano istituzionale è non provato, e in tensione documentata con la politica orientale della Santa Sede. Tre gradini distinti su un medesimo asse: il registro li iscrive separatamente, vietando alla narrazione di saldarli.</w:t>
      </w:r>
    </w:p>
    <w:p>
      <w:pPr>
        <w:spacing w:after="120" w:line="276"/>
        <w:jc w:val="both"/>
      </w:pPr>
      <w:r>
        <w:rPr>
          <w:rFonts w:ascii="Barlow Semi Condensed" w:cs="Barlow Semi Condensed" w:eastAsia="Barlow Semi Condensed" w:hAnsi="Barlow Semi Condensed"/>
          <w:sz w:val="24"/>
          <w:szCs w:val="24"/>
        </w:rPr>
        <w:t xml:space="preserve">10.5 — Il piano sudafricano: documentato, attribuito, contestato</w:t>
      </w:r>
    </w:p>
    <w:p>
      <w:pPr>
        <w:spacing w:after="120" w:line="276"/>
        <w:jc w:val="both"/>
      </w:pPr>
      <w:r>
        <w:rPr>
          <w:rFonts w:ascii="Barlow Semi Condensed" w:cs="Barlow Semi Condensed" w:eastAsia="Barlow Semi Condensed" w:hAnsi="Barlow Semi Condensed"/>
          <w:sz w:val="24"/>
          <w:szCs w:val="24"/>
        </w:rPr>
        <w:t xml:space="preserve">La triangolazione con la monografia gemella del corpus sui rapporti con il Sudafrica dell'apartheid restituisce la distinzione di piani che è il risultato analitico più maturo dell'intero cluster: il legame diretto tra la struttura e i servizi di Pretoria poggia su un'unica catena di fonti — il rapporto del servizio portoghese post-rivoluzionario, ripreso da Laurent nel millenovecentosettantotto e da Christie nel millenovecentottantaquattro — che lo storico di riferimento giudica non verificata e improbabile: il nesso resta da verificare, e la soglia che ne muterebbe il giudizio è dichiarata. Sono invece certi l'infiltrazione di Leroy nel fronte mozambicano nel millenovecentosessantotto-sessantanove nell'ambito di un'operazione della polizia politica portoghese, con l'attribuzione contesa dell'omicidio del leader indipendentista; il santuario sudafricano di singole persone — l'esecutore attribuito degli omicidi Delgado e Mondlane vi trovò protezione fino alla morte nel gennaio millenovecentonovantatré — e la confluenza di ex agenti della polizia politica nella guerriglia anticomunista mozambicana passata sotto l'intelligence militare di Pretoria nel millenovecentottanta: continuità di filiera, non di struttura. La cooperazione politico-militare trilaterale dell'Africa australe non contempla Aginter nella storiografia archivistica, e il nesso certo tra Pretoria e i fori anticomunisti transnazionali non fa della struttura lisbonese un loro membro. Il registro adotta la regola enunciata dalla monografia: non far collassare il piano solidamente documentato delle continuità personali nel piano debolmente fondato dei legami strutturali.</w:t>
      </w:r>
    </w:p>
    <w:p>
      <w:pPr>
        <w:spacing w:after="120" w:line="276"/>
        <w:jc w:val="both"/>
      </w:pPr>
      <w:r>
        <w:rPr>
          <w:rFonts w:ascii="Barlow Semi Condensed" w:cs="Barlow Semi Condensed" w:eastAsia="Barlow Semi Condensed" w:hAnsi="Barlow Semi Condensed"/>
          <w:sz w:val="24"/>
          <w:szCs w:val="24"/>
        </w:rPr>
        <w:t xml:space="preserve">10.6 — Svizzera, America Latina, Medio Oriente</w:t>
      </w:r>
    </w:p>
    <w:p>
      <w:pPr>
        <w:spacing w:after="120" w:line="276"/>
        <w:jc w:val="both"/>
      </w:pPr>
      <w:r>
        <w:rPr>
          <w:rFonts w:ascii="Barlow Semi Condensed" w:cs="Barlow Semi Condensed" w:eastAsia="Barlow Semi Condensed" w:hAnsi="Barlow Semi Condensed"/>
          <w:sz w:val="24"/>
          <w:szCs w:val="24"/>
        </w:rPr>
        <w:t xml:space="preserve">I tre teatri restanti si iscrivono nei gradi propri. Il nodo svizzero — l'inchiesta de L'Europeo del novembre millenovecentosettantaquattro, il canale del Nouvel Ordre Européen di Amaudruz, la piazza finanziaria, il banchiere Genoud, la rete stay-behind elvetica con la critica filologica del suo nome — sta tra il Livello B documentale e il Livello C attributivo, con l'avvertenza che proprio in questa sezione l'apparato ricorre alle fonti deboli interdette. La proiezione latinoamericana è ricostruita come sistema con il Venezuela quale nodo prioritario e con la demolizione della conflazione terziaria sull'addestramento del gruppo cileno, che la fonte invocata smentisce. Il Medio Oriente restituisce un esito negativo generale sul mondo sciita e sul Golfo, la matrice mercenaria della vicenda yemenita ricondotta all'organizzazione madre algerina e non ad Aginter, e il caso iraniano come pilastro speculare del campo atlantico.</w:t>
      </w:r>
    </w:p>
    <w:p>
      <w:pPr>
        <w:spacing w:after="120" w:line="276"/>
        <w:jc w:val="both"/>
      </w:pPr>
      <w:r>
        <w:rPr>
          <w:rFonts w:ascii="Barlow Semi Condensed" w:cs="Barlow Semi Condensed" w:eastAsia="Barlow Semi Condensed" w:hAnsi="Barlow Semi Condensed"/>
          <w:sz w:val="24"/>
          <w:szCs w:val="24"/>
        </w:rPr>
        <w:t xml:space="preserve">10.7 — Le voci maggiori del censimento enciclopedico e il censimento cumulativo</w:t>
      </w:r>
    </w:p>
    <w:p>
      <w:pPr>
        <w:spacing w:after="120" w:line="276"/>
        <w:jc w:val="both"/>
      </w:pPr>
      <w:r>
        <w:rPr>
          <w:rFonts w:ascii="Barlow Semi Condensed" w:cs="Barlow Semi Condensed" w:eastAsia="Barlow Semi Condensed" w:hAnsi="Barlow Semi Condensed"/>
          <w:sz w:val="24"/>
          <w:szCs w:val="24"/>
        </w:rPr>
        <w:t xml:space="preserve">In esecuzione del mandato sulle voci allegate, la tranche certifica le cinque voci maggiori consegnate dalla quarta: i Nuclei Armati Rivoluzionari, l'operazione Gladio, l'agguato di via Fani, Concutelli, il senatore Antonino La Russa — le relative schede sono ai blocchi duecentoventitré-duecentotrentadue. I due contenitori dichiarati non estraibili sono stati recuperati: erano testo semplice sotto estensione anomala, secondo la medesima convenzione di altri file del corpus; il loro recupero porta il censimento a ventitré testi estratti e a millesettecentoquarantasei URL unici cumulativi, cui si sommano i novecentosessantatré dell'innesco. Il recupero produce anche un rilievo di non-concordanza interna al corpus: la voce-censimento sulle operazioni contro la 'ndrangheta data la sentenza di primo grado sul processo di Montalto al due ottobre millenovecentosettanta, mentre la voce dedicata al summit la colloca al ventiquattro marzo millenovecentosettantuno; il registro iscrive la divergenza e rinvia la risoluzione alla verifica sulla fonte giudiziaria.</w:t>
      </w:r>
    </w:p>
    <w:p>
      <w:pPr>
        <w:spacing w:after="120" w:line="276"/>
        <w:jc w:val="both"/>
      </w:pPr>
      <w:r>
        <w:rPr>
          <w:rFonts w:ascii="Barlow Semi Condensed" w:cs="Barlow Semi Condensed" w:eastAsia="Barlow Semi Condensed" w:hAnsi="Barlow Semi Condensed"/>
          <w:sz w:val="24"/>
          <w:szCs w:val="24"/>
        </w:rPr>
        <w:t xml:space="preserve">10.8 — Le pendenze certificate: Pizzolungo e il monitoraggio Mattarella</w:t>
      </w:r>
    </w:p>
    <w:p>
      <w:pPr>
        <w:spacing w:after="120" w:line="276"/>
        <w:jc w:val="both"/>
      </w:pPr>
      <w:r>
        <w:rPr>
          <w:rFonts w:ascii="Barlow Semi Condensed" w:cs="Barlow Semi Condensed" w:eastAsia="Barlow Semi Condensed" w:hAnsi="Barlow Semi Condensed"/>
          <w:sz w:val="24"/>
          <w:szCs w:val="24"/>
        </w:rPr>
        <w:t xml:space="preserve">La certificazione puntuale rinviata dalla quarta tranche è ora eseguita. Su Pizzolungo il quadro processuale definitivo è il seguente: quattro processi in quarant'anni; il primo, contro gli esecutori del clan alcamese, si chiuse con condanne all'ergastolo in primo grado e assoluzioni in appello a Caltanissetta nel millenovecentonovanta, divenute irrevocabili in Cassazione l'anno successivo — collegio presieduto, come le fonti riportano, dal giudice Carnevale; i processi successivi hanno consegnato ergastoli definitivi a Riina quale mandante e a Virga quale capo del mandamento trapanese di appoggio, nonché — in altro giudizio — a Di Maggio e ad Antonino Madonia; il nuovo processo individuò in Milazzo, Calabrò e Melodia gli esecutori materiali, non più processabili perché irrevocabilmente assolti; il quarto processo si è chiuso con la condanna a trent'anni di Vincenzo Galatolo quale ulteriore mandante, definitiva in Cassazione il quattordici giugno duemilaventitré. Le vittime furono Barbara Rizzo e i suoi gemelli di sei anni Giuseppe e Salvatore Asta; il magistrato bersaglio sopravvisse. Il nesso tecnico riportato tra l'esplosivo di Pizzolungo e quello di altre stragi resta dato peritale riferito, a Livello B. Sul caso Mattarella il monitoraggio registra atti intervenuti: la perizia genetica disposta in incidente probatorio sulla fascetta prelevata dalla vettura dei killer, affidata all'unità forense fiorentina, è stata depositata il primo luglio duemilaventisei con esito negativo — nessun profilo genetico utilizzabile, dopo che già l'esame dattiloscopico non aveva dato risultati; la stampa riferisce l'orientamento della Procura verso la richiesta di archiviazione per i due indagati quali esecutori, richiesta che dovrà essere vagliata dal giudice; le condanne definitive dei mandanti restano ferme, la presunzione di innocenza degli indagati resta integrale, e il registro annota che le posizioni giudiziarie definitive di Antonino Madonia per altri fatti — Pizzolungo compreso — appartengono ad altri fascicoli e non si comunicano a questo.</w:t>
      </w:r>
    </w:p>
    <w:p>
      <w:pPr>
        <w:spacing w:after="120" w:line="276"/>
        <w:jc w:val="both"/>
      </w:pPr>
      <w:r>
        <w:rPr>
          <w:rFonts w:ascii="Barlow Semi Condensed" w:cs="Barlow Semi Condensed" w:eastAsia="Barlow Semi Condensed" w:hAnsi="Barlow Semi Condensed"/>
          <w:sz w:val="24"/>
          <w:szCs w:val="24"/>
        </w:rPr>
        <w:t xml:space="preserve">10.9 — Aggiornamento della matrice ACH</w:t>
      </w:r>
    </w:p>
    <w:p>
      <w:pPr>
        <w:spacing w:after="120" w:line="276"/>
        <w:jc w:val="both"/>
      </w:pPr>
      <w:r>
        <w:rPr>
          <w:rFonts w:ascii="Barlow Semi Condensed" w:cs="Barlow Semi Condensed" w:eastAsia="Barlow Semi Condensed" w:hAnsi="Barlow Semi Condensed"/>
          <w:sz w:val="24"/>
          <w:szCs w:val="24"/>
        </w:rPr>
        <w:t xml:space="preserve">Aginter Press entra nella matrice come struttura interamente interna al campo atlantico-integrista: i suoi teatri, i suoi committenti documentati, i suoi Stati Zero orientali confermano che essa fu strumento di una guerra non convenzionale anticomunista, e i depistaggi che ne travestirono gli uomini da anarchici furono interni agli apparati del medesimo campo. Per l'ipotesi H1 la tranche è nuovamente sterile: nessun documento attesta condominio tra i blocchi, e i cinque Stati Zero — nessuna carta americana sul nesso personale, nessun fascicolo orientale sulla struttura — militano contro ogni lettura di regia bipolare congiunta. Per l'ipotesi H2 la monografia fornisce il capostipite del versante occidentale: una internazionale operativa clandestina, confessionale e controrivoluzionaria, attiva un ventennio prima che il versante orientale certificato nelle Fasi precedenti prendesse forma; la composizione delle due metà in un disegno di lungo periodo resta al Livello C che le è proprio. L'ipotesi H3 esce rafforzata nella sua funzione: la pluralità di committenti documentati della stessa Aginter — portoghesi, greci, spagnoli, con il legame genetico francese — mostra che anche dentro un solo campo la regia fu plurale.</w:t>
      </w:r>
    </w:p>
    <w:p>
      <w:pPr>
        <w:spacing w:after="120" w:line="276"/>
        <w:jc w:val="both"/>
      </w:pPr>
      <w:r>
        <w:rPr>
          <w:rFonts w:ascii="Barlow Semi Condensed" w:cs="Barlow Semi Condensed" w:eastAsia="Barlow Semi Condensed" w:hAnsi="Barlow Semi Condensed"/>
          <w:sz w:val="24"/>
          <w:szCs w:val="24"/>
        </w:rPr>
        <w:t xml:space="preserve">10.10 — Registro dei blocchi di verifica: blocchi centotrentanove–duecentotrentotto</w:t>
      </w:r>
    </w:p>
    <w:p>
      <w:pPr>
        <w:spacing w:after="120" w:line="276"/>
        <w:jc w:val="both"/>
      </w:pPr>
      <w:r>
        <w:rPr>
          <w:rFonts w:ascii="Barlow Semi Condensed" w:cs="Barlow Semi Condensed" w:eastAsia="Barlow Semi Condensed" w:hAnsi="Barlow Semi Condensed"/>
          <w:sz w:val="24"/>
          <w:szCs w:val="24"/>
        </w:rPr>
        <w:t xml:space="preserve">Formula identica alla Fase nona: «già certificato» rinvia ai blocchi delle tranche precedenti; «verificato ora» indica la campagna esterna di questa tranche;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metrica (blocchi centotrentanove–centoquarantadue)</w:t>
      </w:r>
    </w:p>
    <w:p>
      <w:pPr>
        <w:spacing w:after="120" w:line="276"/>
        <w:jc w:val="both"/>
      </w:pPr>
      <w:r>
        <w:rPr>
          <w:rFonts w:ascii="Barlow Semi Condensed" w:cs="Barlow Semi Condensed" w:eastAsia="Barlow Semi Condensed" w:hAnsi="Barlow Semi Condensed"/>
          <w:sz w:val="24"/>
          <w:szCs w:val="24"/>
        </w:rPr>
        <w:t xml:space="preserve">Blocco centotrentanove. La monografia-innesco: edizione dell'undici agosto duemilaventisei, duecentottantasei pagine, quattordici note, tre approfondimenti, capitolo di triangolazione, impronte crittografiche: statuto di monografia interna con gradazioni proprie, Livello A quale atto del corpus.</w:t>
      </w:r>
    </w:p>
    <w:p>
      <w:pPr>
        <w:spacing w:after="120" w:line="276"/>
        <w:jc w:val="both"/>
      </w:pPr>
      <w:r>
        <w:rPr>
          <w:rFonts w:ascii="Barlow Semi Condensed" w:cs="Barlow Semi Condensed" w:eastAsia="Barlow Semi Condensed" w:hAnsi="Barlow Semi Condensed"/>
          <w:sz w:val="24"/>
          <w:szCs w:val="24"/>
        </w:rPr>
        <w:t xml:space="preserve">Blocco centoquaranta. La metrica interna e la tavola di equivalenza con lo standard Savona: dichiarata e adottata; ogni verdetto interno è riversato nel grado corrispondente.</w:t>
      </w:r>
    </w:p>
    <w:p>
      <w:pPr>
        <w:spacing w:after="120" w:line="276"/>
        <w:jc w:val="both"/>
      </w:pPr>
      <w:r>
        <w:rPr>
          <w:rFonts w:ascii="Barlow Semi Condensed" w:cs="Barlow Semi Condensed" w:eastAsia="Barlow Semi Condensed" w:hAnsi="Barlow Semi Condensed"/>
          <w:sz w:val="24"/>
          <w:szCs w:val="24"/>
        </w:rPr>
        <w:t xml:space="preserve">Blocco centoquarantuno. Il censimento degli URL dell'innesco: novecentosessantatré indirizzi unici, con prevalenza di enciclopedie generaliste e presenza di fonti primarie di rango; lista agli atti della sessione.</w:t>
      </w:r>
    </w:p>
    <w:p>
      <w:pPr>
        <w:spacing w:after="120" w:line="276"/>
        <w:jc w:val="both"/>
      </w:pPr>
      <w:r>
        <w:rPr>
          <w:rFonts w:ascii="Barlow Semi Condensed" w:cs="Barlow Semi Condensed" w:eastAsia="Barlow Semi Condensed" w:hAnsi="Barlow Semi Condensed"/>
          <w:sz w:val="24"/>
          <w:szCs w:val="24"/>
        </w:rPr>
        <w:t xml:space="preserve">Blocco centoquarantadue. Rilievo critico sull'apparato: undici occorrenze della fonte permanentemente esclusa dal progetto e diciassette dell'enciclopedia collaborativa non citabile: interdette le prime, declassate le seconde a indicatori; difetto formale che non intacca le gambe fondate su atti.</w:t>
      </w:r>
    </w:p>
    <w:p>
      <w:pPr>
        <w:spacing w:after="120" w:line="276"/>
        <w:jc w:val="both"/>
      </w:pPr>
      <w:r>
        <w:rPr>
          <w:rFonts w:ascii="Barlow Semi Condensed" w:cs="Barlow Semi Condensed" w:eastAsia="Barlow Semi Condensed" w:hAnsi="Barlow Semi Condensed"/>
          <w:sz w:val="24"/>
          <w:szCs w:val="24"/>
        </w:rPr>
        <w:t xml:space="preserve">Il nucleo di Lisbona e le persone (blocchi centoquarantatré–centocinquanta)</w:t>
      </w:r>
    </w:p>
    <w:p>
      <w:pPr>
        <w:spacing w:after="120" w:line="276"/>
        <w:jc w:val="both"/>
      </w:pPr>
      <w:r>
        <w:rPr>
          <w:rFonts w:ascii="Barlow Semi Condensed" w:cs="Barlow Semi Condensed" w:eastAsia="Barlow Semi Condensed" w:hAnsi="Barlow Semi Condensed"/>
          <w:sz w:val="24"/>
          <w:szCs w:val="24"/>
        </w:rPr>
        <w:t xml:space="preserve">Blocco centoquarantatré. Guérin-Sérac, alias Guillou: ufficiale francese, cofondatore dell'OAS a Madrid nel millenovecentosessantuno, condannato in contumacia per diserzione, a Lisbona dal millenovecentosessantadue, fondatore-direttore della struttura dal settembre millenovecentosessantasei; morto il nove marzo duemilaventidue presso Tolone, a novantasei anni, secondo la notizia data dal giornalista che ne ricostruì la vicenda: Livello A su esistenza, direzione e ingaggio; la riapparizione spagnola del duemilasei sta a Livello B.</w:t>
      </w:r>
    </w:p>
    <w:p>
      <w:pPr>
        <w:spacing w:after="120" w:line="276"/>
        <w:jc w:val="both"/>
      </w:pPr>
      <w:r>
        <w:rPr>
          <w:rFonts w:ascii="Barlow Semi Condensed" w:cs="Barlow Semi Condensed" w:eastAsia="Barlow Semi Condensed" w:hAnsi="Barlow Semi Condensed"/>
          <w:sz w:val="24"/>
          <w:szCs w:val="24"/>
        </w:rPr>
        <w:t xml:space="preserve">Blocco centoquarantaquattro. Il contratto con la polizia politica portoghese ritrovato in archivio e le sigle di copertura Ordre et Tradition e OACI: Livello A documentale.</w:t>
      </w:r>
    </w:p>
    <w:p>
      <w:pPr>
        <w:spacing w:after="120" w:line="276"/>
        <w:jc w:val="both"/>
      </w:pPr>
      <w:r>
        <w:rPr>
          <w:rFonts w:ascii="Barlow Semi Condensed" w:cs="Barlow Semi Condensed" w:eastAsia="Barlow Semi Condensed" w:hAnsi="Barlow Semi Condensed"/>
          <w:sz w:val="24"/>
          <w:szCs w:val="24"/>
        </w:rPr>
        <w:t xml:space="preserve">Blocco centoquarantacinque. Robert Leroy: già delle formazioni collaborazioniste valloni, braccio destro del fondatore, missioni africane sotto copertura giornalistica filo-maoista, rete italiana di circa trenta agenti secondo l'inchiesta coeva, incontro di Abbiategrasso del marzo millenovecentosessantasette: Livello A sui fatti accertati, Livello B sulla consistenza numerica della rete.</w:t>
      </w:r>
    </w:p>
    <w:p>
      <w:pPr>
        <w:spacing w:after="120" w:line="276"/>
        <w:jc w:val="both"/>
      </w:pPr>
      <w:r>
        <w:rPr>
          <w:rFonts w:ascii="Barlow Semi Condensed" w:cs="Barlow Semi Condensed" w:eastAsia="Barlow Semi Condensed" w:hAnsi="Barlow Semi Condensed"/>
          <w:sz w:val="24"/>
          <w:szCs w:val="24"/>
        </w:rPr>
        <w:t xml:space="preserve">Blocco centoquarantasei. Jean-Marie Laurent, coppia operativa di Leroy nelle missioni africane sotto la medesima copertura: Livello B.</w:t>
      </w:r>
    </w:p>
    <w:p>
      <w:pPr>
        <w:spacing w:after="120" w:line="276"/>
        <w:jc w:val="both"/>
      </w:pPr>
      <w:r>
        <w:rPr>
          <w:rFonts w:ascii="Barlow Semi Condensed" w:cs="Barlow Semi Condensed" w:eastAsia="Barlow Semi Condensed" w:hAnsi="Barlow Semi Condensed"/>
          <w:sz w:val="24"/>
          <w:szCs w:val="24"/>
        </w:rPr>
        <w:t xml:space="preserve">Blocco centoquarantasette. João da Silva, quadro in fuga con il fondatore nel millenovecentosettantaquattro verso la Spagna e Caracas: Livello B su fonte unica, dichiarata.</w:t>
      </w:r>
    </w:p>
    <w:p>
      <w:pPr>
        <w:spacing w:after="120" w:line="276"/>
        <w:jc w:val="both"/>
      </w:pPr>
      <w:r>
        <w:rPr>
          <w:rFonts w:ascii="Barlow Semi Condensed" w:cs="Barlow Semi Condensed" w:eastAsia="Barlow Semi Condensed" w:hAnsi="Barlow Semi Condensed"/>
          <w:sz w:val="24"/>
          <w:szCs w:val="24"/>
        </w:rPr>
        <w:t xml:space="preserve">Blocco centoquarantotto. Gérald Bulliard, direttore della testata di copertura e tramite d'appoggio dell'ambasciata cinese di Berna per gli accrediti: Livello B sulla funzione; Livello C sulla natura del personaggio, con la cautela dello storico di riferimento sul possibile provocatore.</w:t>
      </w:r>
    </w:p>
    <w:p>
      <w:pPr>
        <w:spacing w:after="120" w:line="276"/>
        <w:jc w:val="both"/>
      </w:pPr>
      <w:r>
        <w:rPr>
          <w:rFonts w:ascii="Barlow Semi Condensed" w:cs="Barlow Semi Condensed" w:eastAsia="Barlow Semi Condensed" w:hAnsi="Barlow Semi Condensed"/>
          <w:sz w:val="24"/>
          <w:szCs w:val="24"/>
        </w:rPr>
        <w:t xml:space="preserve">Blocco centoquarantanove. Casimiro Monteiro, esecutore della polizia politica, già esecutore materiale dell'omicidio Delgado e indicato per l'omicidio Mondlane: Livello A sul primo, attribuzione contesa sul secondo.</w:t>
      </w:r>
    </w:p>
    <w:p>
      <w:pPr>
        <w:spacing w:after="120" w:line="276"/>
        <w:jc w:val="both"/>
      </w:pPr>
      <w:r>
        <w:rPr>
          <w:rFonts w:ascii="Barlow Semi Condensed" w:cs="Barlow Semi Condensed" w:eastAsia="Barlow Semi Condensed" w:hAnsi="Barlow Semi Condensed"/>
          <w:sz w:val="24"/>
          <w:szCs w:val="24"/>
        </w:rPr>
        <w:t xml:space="preserve">Blocco centocinquanta. La fine con la Rivoluzione dei Garofani dell'aprile millenovecentosettantaquattro, la fuga dei quadri e il sequestro dell'archivio, le cui risultanze alimentarono le istruttorie europee: Livello A.</w:t>
      </w:r>
    </w:p>
    <w:p>
      <w:pPr>
        <w:spacing w:after="120" w:line="276"/>
        <w:jc w:val="both"/>
      </w:pPr>
      <w:r>
        <w:rPr>
          <w:rFonts w:ascii="Barlow Semi Condensed" w:cs="Barlow Semi Condensed" w:eastAsia="Barlow Semi Condensed" w:hAnsi="Barlow Semi Condensed"/>
          <w:sz w:val="24"/>
          <w:szCs w:val="24"/>
        </w:rPr>
        <w:t xml:space="preserve">Il capitolo italiano giudiziario (blocchi centocinquantuno–centocinquantotto)</w:t>
      </w:r>
    </w:p>
    <w:p>
      <w:pPr>
        <w:spacing w:after="120" w:line="276"/>
        <w:jc w:val="both"/>
      </w:pPr>
      <w:r>
        <w:rPr>
          <w:rFonts w:ascii="Barlow Semi Condensed" w:cs="Barlow Semi Condensed" w:eastAsia="Barlow Semi Condensed" w:hAnsi="Barlow Semi Condensed"/>
          <w:sz w:val="24"/>
          <w:szCs w:val="24"/>
        </w:rPr>
        <w:t xml:space="preserve">Blocco centocinquantuno. Il convegno Pollio del tre-cinque maggio millenovecentosessantacinque quale antecedente ideologico, con la partecipazione di Giannettini, Rauti, Delle Chiaie e Merlino: Livello A.</w:t>
      </w:r>
    </w:p>
    <w:p>
      <w:pPr>
        <w:spacing w:after="120" w:line="276"/>
        <w:jc w:val="both"/>
      </w:pPr>
      <w:r>
        <w:rPr>
          <w:rFonts w:ascii="Barlow Semi Condensed" w:cs="Barlow Semi Condensed" w:eastAsia="Barlow Semi Condensed" w:hAnsi="Barlow Semi Condensed"/>
          <w:sz w:val="24"/>
          <w:szCs w:val="24"/>
        </w:rPr>
        <w:t xml:space="preserve">Blocco centocinquantadue. La conoscenza tra Giannettini e Guérin-Sérac dal millenovecentosessantaquattro a Lisbona, con presentazione in ambito OAS e di polizia politica: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centocinquantatré. Abbiategrasso, marzo millenovecentosessantasette: l'incontro tra Leroy e Maggi in ambito Nouvel Ordre Européen: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centocinquantaquattro. Il corso lisbonese del luglio millenovecentosessantasette del militante ordinovista spezzino: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centocinquantacinque. Gli istruttori di Aginter a Roma tra il millenovecentosessantasette e il millenovecentosessantotto per l'addestramento agli esplosivi di militanti di Avanguardia Nazionale: formula testuale del giudice istruttore alla Commissione stragi, resoconto stenografico nono: Livello A quale accertamento istruttorio enunciato in sede parlamentare.</w:t>
      </w:r>
    </w:p>
    <w:p>
      <w:pPr>
        <w:spacing w:after="120" w:line="276"/>
        <w:jc w:val="both"/>
      </w:pPr>
      <w:r>
        <w:rPr>
          <w:rFonts w:ascii="Barlow Semi Condensed" w:cs="Barlow Semi Condensed" w:eastAsia="Barlow Semi Condensed" w:hAnsi="Barlow Semi Condensed"/>
          <w:sz w:val="24"/>
          <w:szCs w:val="24"/>
        </w:rPr>
        <w:t xml:space="preserve">Blocco centocinquantasei. Armando Mortilla, alias Aristo, informatore ministeriale per un ventennio, tessitore dei rapporti tra Aginter e Ordine Nuovo: Livello A da perizia d'archivio; la circolarità tra struttura estera, formazioni nazionali e apparati è il dato metodologico centrale del capitolo.</w:t>
      </w:r>
    </w:p>
    <w:p>
      <w:pPr>
        <w:spacing w:after="120" w:line="276"/>
        <w:jc w:val="both"/>
      </w:pPr>
      <w:r>
        <w:rPr>
          <w:rFonts w:ascii="Barlow Semi Condensed" w:cs="Barlow Semi Condensed" w:eastAsia="Barlow Semi Condensed" w:hAnsi="Barlow Semi Condensed"/>
          <w:sz w:val="24"/>
          <w:szCs w:val="24"/>
        </w:rPr>
        <w:t xml:space="preserve">Blocco centocinquantasette. L'incontro romano tra Guérin-Sérac e Rauti del trenta gennaio-primo febbraio millenovecentosessantotto: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centocinquantotto. La velina dei sedici-diciassette dicembre millenovecentosessantanove e il documento dell'undici aprile millenovecentosettanta: parte plausibile e parte depistante della prima, deliberazione del depistaggio provata dal secondo; la velina resta fonte a Livello B quale contenuto, il depistaggio sta a Livello A quale fatto documentale.</w:t>
      </w:r>
    </w:p>
    <w:p>
      <w:pPr>
        <w:spacing w:after="120" w:line="276"/>
        <w:jc w:val="both"/>
      </w:pPr>
      <w:r>
        <w:rPr>
          <w:rFonts w:ascii="Barlow Semi Condensed" w:cs="Barlow Semi Condensed" w:eastAsia="Barlow Semi Condensed" w:hAnsi="Barlow Semi Condensed"/>
          <w:sz w:val="24"/>
          <w:szCs w:val="24"/>
        </w:rPr>
        <w:t xml:space="preserve">L'elenco dei servizi e la critica della fonte (blocchi centocinquantanove–centosessantasei)</w:t>
      </w:r>
    </w:p>
    <w:p>
      <w:pPr>
        <w:spacing w:after="120" w:line="276"/>
        <w:jc w:val="both"/>
      </w:pPr>
      <w:r>
        <w:rPr>
          <w:rFonts w:ascii="Barlow Semi Condensed" w:cs="Barlow Semi Condensed" w:eastAsia="Barlow Semi Condensed" w:hAnsi="Barlow Semi Condensed"/>
          <w:sz w:val="24"/>
          <w:szCs w:val="24"/>
        </w:rPr>
        <w:t xml:space="preserve">Blocco centocinquantanove. Il legame genetico con il servizio francese e la successiva rottura, con la protezione politica attesa dopo il tramonto gaullista: Livello B, da dichiarazioni e ricostruzioni convergenti.</w:t>
      </w:r>
    </w:p>
    <w:p>
      <w:pPr>
        <w:spacing w:after="120" w:line="276"/>
        <w:jc w:val="both"/>
      </w:pPr>
      <w:r>
        <w:rPr>
          <w:rFonts w:ascii="Barlow Semi Condensed" w:cs="Barlow Semi Condensed" w:eastAsia="Barlow Semi Condensed" w:hAnsi="Barlow Semi Condensed"/>
          <w:sz w:val="24"/>
          <w:szCs w:val="24"/>
        </w:rPr>
        <w:t xml:space="preserve">Blocco centosessanta. Il servizio federale tedesco: la voce più circolata dell'elenco e la meno fondata: Livello C, attribuito.</w:t>
      </w:r>
    </w:p>
    <w:p>
      <w:pPr>
        <w:spacing w:after="120" w:line="276"/>
        <w:jc w:val="both"/>
      </w:pPr>
      <w:r>
        <w:rPr>
          <w:rFonts w:ascii="Barlow Semi Condensed" w:cs="Barlow Semi Condensed" w:eastAsia="Barlow Semi Condensed" w:hAnsi="Barlow Semi Condensed"/>
          <w:sz w:val="24"/>
          <w:szCs w:val="24"/>
        </w:rPr>
        <w:t xml:space="preserve">Blocco centosessantuno. Il servizio spagnolo: la voce meglio fondata dell'elenco quanto a contesto, ma senza atto diretto: Livello B.</w:t>
      </w:r>
    </w:p>
    <w:p>
      <w:pPr>
        <w:spacing w:after="120" w:line="276"/>
        <w:jc w:val="both"/>
      </w:pPr>
      <w:r>
        <w:rPr>
          <w:rFonts w:ascii="Barlow Semi Condensed" w:cs="Barlow Semi Condensed" w:eastAsia="Barlow Semi Condensed" w:hAnsi="Barlow Semi Condensed"/>
          <w:sz w:val="24"/>
          <w:szCs w:val="24"/>
        </w:rPr>
        <w:t xml:space="preserve">Blocco centosessantadue. Il servizio greco dei colonnelli: la voce meglio documentata di tutte, e da fonte propria: Livello B.</w:t>
      </w:r>
    </w:p>
    <w:p>
      <w:pPr>
        <w:spacing w:after="120" w:line="276"/>
        <w:jc w:val="both"/>
      </w:pPr>
      <w:r>
        <w:rPr>
          <w:rFonts w:ascii="Barlow Semi Condensed" w:cs="Barlow Semi Condensed" w:eastAsia="Barlow Semi Condensed" w:hAnsi="Barlow Semi Condensed"/>
          <w:sz w:val="24"/>
          <w:szCs w:val="24"/>
        </w:rPr>
        <w:t xml:space="preserve">Blocco centosessantatré. Il servizio britannico: assenza di riscontro: Stato Zero dichiarato.</w:t>
      </w:r>
    </w:p>
    <w:p>
      <w:pPr>
        <w:spacing w:after="120" w:line="276"/>
        <w:jc w:val="both"/>
      </w:pPr>
      <w:r>
        <w:rPr>
          <w:rFonts w:ascii="Barlow Semi Condensed" w:cs="Barlow Semi Condensed" w:eastAsia="Barlow Semi Condensed" w:hAnsi="Barlow Semi Condensed"/>
          <w:sz w:val="24"/>
          <w:szCs w:val="24"/>
        </w:rPr>
        <w:t xml:space="preserve">Blocco centosessantaquattro. Il servizio israeliano e il nodo di Tel Aviv: assenza di riscontro con una pista onomastica isolata: Stato Zero con appendice a Livello C.</w:t>
      </w:r>
    </w:p>
    <w:p>
      <w:pPr>
        <w:spacing w:after="120" w:line="276"/>
        <w:jc w:val="both"/>
      </w:pPr>
      <w:r>
        <w:rPr>
          <w:rFonts w:ascii="Barlow Semi Condensed" w:cs="Barlow Semi Condensed" w:eastAsia="Barlow Semi Condensed" w:hAnsi="Barlow Semi Condensed"/>
          <w:sz w:val="24"/>
          <w:szCs w:val="24"/>
        </w:rPr>
        <w:t xml:space="preserve">Blocco centosessantacinque. Il quadro atlantico e la questione della rete stay-behind: cornice da maneggiare come contesto, non come appartenenza: nessuna identità tra la struttura lisbonese e la rete clandestina atlantica è provata; Livello C su ogni saldatura.</w:t>
      </w:r>
    </w:p>
    <w:p>
      <w:pPr>
        <w:spacing w:after="120" w:line="276"/>
        <w:jc w:val="both"/>
      </w:pPr>
      <w:r>
        <w:rPr>
          <w:rFonts w:ascii="Barlow Semi Condensed" w:cs="Barlow Semi Condensed" w:eastAsia="Barlow Semi Condensed" w:hAnsi="Barlow Semi Condensed"/>
          <w:sz w:val="24"/>
          <w:szCs w:val="24"/>
        </w:rPr>
        <w:t xml:space="preserve">Blocco centosessantasei. La sintesi comparativa dell'elenco e la critica della fonte portoghese post-rivoluzionaria che lo genera: l'elenco dei committenti è testimonianza di servizio vincitore su servizio vinto, da pesare voce per voce: regola adottata.</w:t>
      </w:r>
    </w:p>
    <w:p>
      <w:pPr>
        <w:spacing w:after="120" w:line="276"/>
        <w:jc w:val="both"/>
      </w:pPr>
      <w:r>
        <w:rPr>
          <w:rFonts w:ascii="Barlow Semi Condensed" w:cs="Barlow Semi Condensed" w:eastAsia="Barlow Semi Condensed" w:hAnsi="Barlow Semi Condensed"/>
          <w:sz w:val="24"/>
          <w:szCs w:val="24"/>
        </w:rPr>
        <w:t xml:space="preserve">Lo Stato Zero orientale (blocchi centosessantasette–centosettantadue)</w:t>
      </w:r>
    </w:p>
    <w:p>
      <w:pPr>
        <w:spacing w:after="120" w:line="276"/>
        <w:jc w:val="both"/>
      </w:pPr>
      <w:r>
        <w:rPr>
          <w:rFonts w:ascii="Barlow Semi Condensed" w:cs="Barlow Semi Condensed" w:eastAsia="Barlow Semi Condensed" w:hAnsi="Barlow Semi Condensed"/>
          <w:sz w:val="24"/>
          <w:szCs w:val="24"/>
        </w:rPr>
        <w:t xml:space="preserve">Blocco centosessantasette. La dottrina della struttura fu anticomunismo da guerra fredda; la spaccatura sino-sovietica fu terreno operativo di copertura: Livello A documentale sui testi interni.</w:t>
      </w:r>
    </w:p>
    <w:p>
      <w:pPr>
        <w:spacing w:after="120" w:line="276"/>
        <w:jc w:val="both"/>
      </w:pPr>
      <w:r>
        <w:rPr>
          <w:rFonts w:ascii="Barlow Semi Condensed" w:cs="Barlow Semi Condensed" w:eastAsia="Barlow Semi Condensed" w:hAnsi="Barlow Semi Condensed"/>
          <w:sz w:val="24"/>
          <w:szCs w:val="24"/>
        </w:rPr>
        <w:t xml:space="preserve">Blocco centosessantotto. Il campo di battaglia reale fu l'Africa lusofona,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centosessantanove. Negli archivi oggi accessibili dell'Est non emergono fascicoli sulla struttura: Stato Zero quale esito di ricerca, distinto dalla prova di assenza per la distruzione massiccia dei fascicoli cecoslovacchi del millenovecentottantanove-novanta; verifica definitiva sugli indici analitici consegnata all'agenda.</w:t>
      </w:r>
    </w:p>
    <w:p>
      <w:pPr>
        <w:spacing w:after="120" w:line="276"/>
        <w:jc w:val="both"/>
      </w:pPr>
      <w:r>
        <w:rPr>
          <w:rFonts w:ascii="Barlow Semi Condensed" w:cs="Barlow Semi Condensed" w:eastAsia="Barlow Semi Condensed" w:hAnsi="Barlow Semi Condensed"/>
          <w:sz w:val="24"/>
          <w:szCs w:val="24"/>
        </w:rPr>
        <w:t xml:space="preserve">Blocco centosettanta. Il rapporto sul KGB in Europa consegnato da Delle Chiaie a Dimitri nel millenovecentosettantanove: certo l'episodio, possibile ogni lettura eccedente: Livello A sul fatto, Livello C su ogni inferenza.</w:t>
      </w:r>
    </w:p>
    <w:p>
      <w:pPr>
        <w:spacing w:after="120" w:line="276"/>
        <w:jc w:val="both"/>
      </w:pPr>
      <w:r>
        <w:rPr>
          <w:rFonts w:ascii="Barlow Semi Condensed" w:cs="Barlow Semi Condensed" w:eastAsia="Barlow Semi Condensed" w:hAnsi="Barlow Semi Condensed"/>
          <w:sz w:val="24"/>
          <w:szCs w:val="24"/>
        </w:rPr>
        <w:t xml:space="preserve">Blocco centosettantuno. Le piste orientali sulle stragi italiane quali depistaggi interni: certo per Bologna secondo le sentenze — già blocchi ventisei-ventotto — controverso per l'attentato al Papa: gradi distinti, saldature vietate.</w:t>
      </w:r>
    </w:p>
    <w:p>
      <w:pPr>
        <w:spacing w:after="120" w:line="276"/>
        <w:jc w:val="both"/>
      </w:pPr>
      <w:r>
        <w:rPr>
          <w:rFonts w:ascii="Barlow Semi Condensed" w:cs="Barlow Semi Condensed" w:eastAsia="Barlow Semi Condensed" w:hAnsi="Barlow Semi Condensed"/>
          <w:sz w:val="24"/>
          <w:szCs w:val="24"/>
        </w:rPr>
        <w:t xml:space="preserve">Blocco centosettantadue. Le raccomandazioni della monografia sul fronte orientale — trattare lo scontro come indiretto e ideologico, interrogare gli indici cecoslovacchi, verificare il fondo portoghese — adottate come agenda della sesta tranche.</w:t>
      </w:r>
    </w:p>
    <w:p>
      <w:pPr>
        <w:spacing w:after="120" w:line="276"/>
        <w:jc w:val="both"/>
      </w:pPr>
      <w:r>
        <w:rPr>
          <w:rFonts w:ascii="Barlow Semi Condensed" w:cs="Barlow Semi Condensed" w:eastAsia="Barlow Semi Condensed" w:hAnsi="Barlow Semi Condensed"/>
          <w:sz w:val="24"/>
          <w:szCs w:val="24"/>
        </w:rPr>
        <w:t xml:space="preserve">Il non-nesso Kissinger (blocchi centosettantatré–centosettantasei)</w:t>
      </w:r>
    </w:p>
    <w:p>
      <w:pPr>
        <w:spacing w:after="120" w:line="276"/>
        <w:jc w:val="both"/>
      </w:pPr>
      <w:r>
        <w:rPr>
          <w:rFonts w:ascii="Barlow Semi Condensed" w:cs="Barlow Semi Condensed" w:eastAsia="Barlow Semi Condensed" w:hAnsi="Barlow Semi Condensed"/>
          <w:sz w:val="24"/>
          <w:szCs w:val="24"/>
        </w:rPr>
        <w:t xml:space="preserve">Blocco centosettantatré. Il silenzio degli archivi statunitensi accessibili su ogni nome e sigla della struttura: certo con riserva sul classificato: Stato Zero di prima classe, con onere della prova spostato su chi afferma.</w:t>
      </w:r>
    </w:p>
    <w:p>
      <w:pPr>
        <w:spacing w:after="120" w:line="276"/>
        <w:jc w:val="both"/>
      </w:pPr>
      <w:r>
        <w:rPr>
          <w:rFonts w:ascii="Barlow Semi Condensed" w:cs="Barlow Semi Condensed" w:eastAsia="Barlow Semi Condensed" w:hAnsi="Barlow Semi Condensed"/>
          <w:sz w:val="24"/>
          <w:szCs w:val="24"/>
        </w:rPr>
        <w:t xml:space="preserve">Blocco centosettantaquattro. La cronologia scagiona il rapporto personale: la sovrapposizione temporale esiste, ma nel dossier portoghese direttamente trattato la struttura è già dissolta: certo.</w:t>
      </w:r>
    </w:p>
    <w:p>
      <w:pPr>
        <w:spacing w:after="120" w:line="276"/>
        <w:jc w:val="both"/>
      </w:pPr>
      <w:r>
        <w:rPr>
          <w:rFonts w:ascii="Barlow Semi Condensed" w:cs="Barlow Semi Condensed" w:eastAsia="Barlow Semi Condensed" w:hAnsi="Barlow Semi Condensed"/>
          <w:sz w:val="24"/>
          <w:szCs w:val="24"/>
        </w:rPr>
        <w:t xml:space="preserve">Blocco centosettantacinque. Le testimonianze italiane evocano la politica americana e l'agenzia, mai la persona quale anello verso la struttura o le stragi: altamente probabile, riversato a Livello B.</w:t>
      </w:r>
    </w:p>
    <w:p>
      <w:pPr>
        <w:spacing w:after="120" w:line="276"/>
        <w:jc w:val="both"/>
      </w:pPr>
      <w:r>
        <w:rPr>
          <w:rFonts w:ascii="Barlow Semi Condensed" w:cs="Barlow Semi Condensed" w:eastAsia="Barlow Semi Condensed" w:hAnsi="Barlow Semi Condensed"/>
          <w:sz w:val="24"/>
          <w:szCs w:val="24"/>
        </w:rPr>
        <w:t xml:space="preserve">Blocco centosettantasei. La tesi dell'addestramento del gruppo cileno: conflazione terziaria verosimilmente infondata, smentita dalla fonte che dovrebbe fondarla: rilievo critico verso la letteratura, non verso la monografia.</w:t>
      </w:r>
    </w:p>
    <w:p>
      <w:pPr>
        <w:spacing w:after="120" w:line="276"/>
        <w:jc w:val="both"/>
      </w:pPr>
      <w:r>
        <w:rPr>
          <w:rFonts w:ascii="Barlow Semi Condensed" w:cs="Barlow Semi Condensed" w:eastAsia="Barlow Semi Condensed" w:hAnsi="Barlow Semi Condensed"/>
          <w:sz w:val="24"/>
          <w:szCs w:val="24"/>
        </w:rPr>
        <w:t xml:space="preserve">L'asse religioso (blocchi centosettantasette–centottantaquattro)</w:t>
      </w:r>
    </w:p>
    <w:p>
      <w:pPr>
        <w:spacing w:after="120" w:line="276"/>
        <w:jc w:val="both"/>
      </w:pPr>
      <w:r>
        <w:rPr>
          <w:rFonts w:ascii="Barlow Semi Condensed" w:cs="Barlow Semi Condensed" w:eastAsia="Barlow Semi Condensed" w:hAnsi="Barlow Semi Condensed"/>
          <w:sz w:val="24"/>
          <w:szCs w:val="24"/>
        </w:rPr>
        <w:t xml:space="preserve">Blocco centosettantasette. La religiosità personale e organizzativa del fondatore: certa su fonti primarie — dichiarazioni di Vinciguerra, intervista, video-testamento, simbologia: Livello A.</w:t>
      </w:r>
    </w:p>
    <w:p>
      <w:pPr>
        <w:spacing w:after="120" w:line="276"/>
        <w:jc w:val="both"/>
      </w:pPr>
      <w:r>
        <w:rPr>
          <w:rFonts w:ascii="Barlow Semi Condensed" w:cs="Barlow Semi Condensed" w:eastAsia="Barlow Semi Condensed" w:hAnsi="Barlow Semi Condensed"/>
          <w:sz w:val="24"/>
          <w:szCs w:val="24"/>
        </w:rPr>
        <w:t xml:space="preserve">Blocco centosettantotto. Il verdetto tripartito dell'asse: personale certo, reti coeve certe ma nesso organizzativo probabile, livello vaticano non provato: recepito integralmente.</w:t>
      </w:r>
    </w:p>
    <w:p>
      <w:pPr>
        <w:spacing w:after="120" w:line="276"/>
        <w:jc w:val="both"/>
      </w:pPr>
      <w:r>
        <w:rPr>
          <w:rFonts w:ascii="Barlow Semi Condensed" w:cs="Barlow Semi Condensed" w:eastAsia="Barlow Semi Condensed" w:hAnsi="Barlow Semi Condensed"/>
          <w:sz w:val="24"/>
          <w:szCs w:val="24"/>
        </w:rPr>
        <w:t xml:space="preserve">Blocco centosettantanove. La preghiera attribuita è testo di Zirnheld: precisazione filologica, Livello A.</w:t>
      </w:r>
    </w:p>
    <w:p>
      <w:pPr>
        <w:spacing w:after="120" w:line="276"/>
        <w:jc w:val="both"/>
      </w:pPr>
      <w:r>
        <w:rPr>
          <w:rFonts w:ascii="Barlow Semi Condensed" w:cs="Barlow Semi Condensed" w:eastAsia="Barlow Semi Condensed" w:hAnsi="Barlow Semi Condensed"/>
          <w:sz w:val="24"/>
          <w:szCs w:val="24"/>
        </w:rPr>
        <w:t xml:space="preserve">Blocco centottanta. La formula documentata è quella del monaco soldato, non altre correnti nella letteratura: Livello A filologico.</w:t>
      </w:r>
    </w:p>
    <w:p>
      <w:pPr>
        <w:spacing w:after="120" w:line="276"/>
        <w:jc w:val="both"/>
      </w:pPr>
      <w:r>
        <w:rPr>
          <w:rFonts w:ascii="Barlow Semi Condensed" w:cs="Barlow Semi Condensed" w:eastAsia="Barlow Semi Condensed" w:hAnsi="Barlow Semi Condensed"/>
          <w:sz w:val="24"/>
          <w:szCs w:val="24"/>
        </w:rPr>
        <w:t xml:space="preserve">Blocco centottantuno. La simbologia templare dell'organizzazione di copertura, documentata dall'inchiesta giornalistica di riferimento: Livello B.</w:t>
      </w:r>
    </w:p>
    <w:p>
      <w:pPr>
        <w:spacing w:after="120" w:line="276"/>
        <w:jc w:val="both"/>
      </w:pPr>
      <w:r>
        <w:rPr>
          <w:rFonts w:ascii="Barlow Semi Condensed" w:cs="Barlow Semi Condensed" w:eastAsia="Barlow Semi Condensed" w:hAnsi="Barlow Semi Condensed"/>
          <w:sz w:val="24"/>
          <w:szCs w:val="24"/>
        </w:rPr>
        <w:t xml:space="preserve">Blocco centottantadue. La Cité catholique quale matrice dottrinale della crociata controrivoluzionaria e la filiera argentina documentata dall'inchiesta francese: esistenza e dottrina a Livello A; nesso organizzativo con Aginter a Livello C.</w:t>
      </w:r>
    </w:p>
    <w:p>
      <w:pPr>
        <w:spacing w:after="120" w:line="276"/>
        <w:jc w:val="both"/>
      </w:pPr>
      <w:r>
        <w:rPr>
          <w:rFonts w:ascii="Barlow Semi Condensed" w:cs="Barlow Semi Condensed" w:eastAsia="Barlow Semi Condensed" w:hAnsi="Barlow Semi Condensed"/>
          <w:sz w:val="24"/>
          <w:szCs w:val="24"/>
        </w:rPr>
        <w:t xml:space="preserve">Blocco centottantatré. Il nazional-cattolicesimo iberico e portoghese quale ambiente, e la frizione italiana tra integralismo e strategia: Livello B ambientale.</w:t>
      </w:r>
    </w:p>
    <w:p>
      <w:pPr>
        <w:spacing w:after="120" w:line="276"/>
        <w:jc w:val="both"/>
      </w:pPr>
      <w:r>
        <w:rPr>
          <w:rFonts w:ascii="Barlow Semi Condensed" w:cs="Barlow Semi Condensed" w:eastAsia="Barlow Semi Condensed" w:hAnsi="Barlow Semi Condensed"/>
          <w:sz w:val="24"/>
          <w:szCs w:val="24"/>
        </w:rPr>
        <w:t xml:space="preserve">Blocco centottantaquattro. Il livello vaticano istituzionale: non provato e in tensione documentata con la politica orientale della Santa Sede: Stato Zero con perimetro dichiarato.</w:t>
      </w:r>
    </w:p>
    <w:p>
      <w:pPr>
        <w:spacing w:after="120" w:line="276"/>
        <w:jc w:val="both"/>
      </w:pPr>
      <w:r>
        <w:rPr>
          <w:rFonts w:ascii="Barlow Semi Condensed" w:cs="Barlow Semi Condensed" w:eastAsia="Barlow Semi Condensed" w:hAnsi="Barlow Semi Condensed"/>
          <w:sz w:val="24"/>
          <w:szCs w:val="24"/>
        </w:rPr>
        <w:t xml:space="preserve">Il piano sudafricano (blocchi centottantacinque–centonovantadue)</w:t>
      </w:r>
    </w:p>
    <w:p>
      <w:pPr>
        <w:spacing w:after="120" w:line="276"/>
        <w:jc w:val="both"/>
      </w:pPr>
      <w:r>
        <w:rPr>
          <w:rFonts w:ascii="Barlow Semi Condensed" w:cs="Barlow Semi Condensed" w:eastAsia="Barlow Semi Condensed" w:hAnsi="Barlow Semi Condensed"/>
          <w:sz w:val="24"/>
          <w:szCs w:val="24"/>
        </w:rPr>
        <w:t xml:space="preserve">Blocco centottantacinque. Il legame con i servizi di Pretoria: catena unica di fonti dal rapporto portoghese alla letteratura: da verificare, Livello C, con soglia di revisione dichiarata.</w:t>
      </w:r>
    </w:p>
    <w:p>
      <w:pPr>
        <w:spacing w:after="120" w:line="276"/>
        <w:jc w:val="both"/>
      </w:pPr>
      <w:r>
        <w:rPr>
          <w:rFonts w:ascii="Barlow Semi Condensed" w:cs="Barlow Semi Condensed" w:eastAsia="Barlow Semi Condensed" w:hAnsi="Barlow Semi Condensed"/>
          <w:sz w:val="24"/>
          <w:szCs w:val="24"/>
        </w:rPr>
        <w:t xml:space="preserve">Blocco centottantasei. Il giudizio dello storico di riferimento sulla menzione: non verificata e improbabile: adottato quale peso critico.</w:t>
      </w:r>
    </w:p>
    <w:p>
      <w:pPr>
        <w:spacing w:after="120" w:line="276"/>
        <w:jc w:val="both"/>
      </w:pPr>
      <w:r>
        <w:rPr>
          <w:rFonts w:ascii="Barlow Semi Condensed" w:cs="Barlow Semi Condensed" w:eastAsia="Barlow Semi Condensed" w:hAnsi="Barlow Semi Condensed"/>
          <w:sz w:val="24"/>
          <w:szCs w:val="24"/>
        </w:rPr>
        <w:t xml:space="preserve">Blocco centottantasette. L'infiltrazione di Leroy nel fronte mozambicano nel millenovecentosessantotto-sessantanove nell'ambito dell'operazione della polizia politica: certo: Livello A.</w:t>
      </w:r>
    </w:p>
    <w:p>
      <w:pPr>
        <w:spacing w:after="120" w:line="276"/>
        <w:jc w:val="both"/>
      </w:pPr>
      <w:r>
        <w:rPr>
          <w:rFonts w:ascii="Barlow Semi Condensed" w:cs="Barlow Semi Condensed" w:eastAsia="Barlow Semi Condensed" w:hAnsi="Barlow Semi Condensed"/>
          <w:sz w:val="24"/>
          <w:szCs w:val="24"/>
        </w:rPr>
        <w:t xml:space="preserve">Blocco centottantotto. L'omicidio Mondlane: attribuzione contesa, iscritta come tale.</w:t>
      </w:r>
    </w:p>
    <w:p>
      <w:pPr>
        <w:spacing w:after="120" w:line="276"/>
        <w:jc w:val="both"/>
      </w:pPr>
      <w:r>
        <w:rPr>
          <w:rFonts w:ascii="Barlow Semi Condensed" w:cs="Barlow Semi Condensed" w:eastAsia="Barlow Semi Condensed" w:hAnsi="Barlow Semi Condensed"/>
          <w:sz w:val="24"/>
          <w:szCs w:val="24"/>
        </w:rPr>
        <w:t xml:space="preserve">Blocco centottantanove. Il santuario di persone e non di strutture: la protezione sudafricana dell'esecutore fino alla morte nel gennaio millenovecentonovantatré: Livello A.</w:t>
      </w:r>
    </w:p>
    <w:p>
      <w:pPr>
        <w:spacing w:after="120" w:line="276"/>
        <w:jc w:val="both"/>
      </w:pPr>
      <w:r>
        <w:rPr>
          <w:rFonts w:ascii="Barlow Semi Condensed" w:cs="Barlow Semi Condensed" w:eastAsia="Barlow Semi Condensed" w:hAnsi="Barlow Semi Condensed"/>
          <w:sz w:val="24"/>
          <w:szCs w:val="24"/>
        </w:rPr>
        <w:t xml:space="preserve">Blocco centonovanta. La confluenza di ex agenti della polizia politica nella guerriglia mozambicana passata all'intelligence militare di Pretoria nel millenovecentottanta: continuità di filiera documentata: Livello A; continuità di struttura non provata.</w:t>
      </w:r>
    </w:p>
    <w:p>
      <w:pPr>
        <w:spacing w:after="120" w:line="276"/>
        <w:jc w:val="both"/>
      </w:pPr>
      <w:r>
        <w:rPr>
          <w:rFonts w:ascii="Barlow Semi Condensed" w:cs="Barlow Semi Condensed" w:eastAsia="Barlow Semi Condensed" w:hAnsi="Barlow Semi Condensed"/>
          <w:sz w:val="24"/>
          <w:szCs w:val="24"/>
        </w:rPr>
        <w:t xml:space="preserve">Blocco centonovantuno. La cooperazione trilaterale dell'Africa australe senza la struttura nella storiografia archivistica: Stato Zero sulla partecipazione.</w:t>
      </w:r>
    </w:p>
    <w:p>
      <w:pPr>
        <w:spacing w:after="120" w:line="276"/>
        <w:jc w:val="both"/>
      </w:pPr>
      <w:r>
        <w:rPr>
          <w:rFonts w:ascii="Barlow Semi Condensed" w:cs="Barlow Semi Condensed" w:eastAsia="Barlow Semi Condensed" w:hAnsi="Barlow Semi Condensed"/>
          <w:sz w:val="24"/>
          <w:szCs w:val="24"/>
        </w:rPr>
        <w:t xml:space="preserve">Blocco centonovantadue. Gli omicidi esterni degli anni Ottanta: matrice interna sudafricana accertata dalla commissione per la verità, nessuna manovalanza della rete in esame: Livello A sulla matrice, Stato Zero dichiarato sul coinvolgimento.</w:t>
      </w:r>
    </w:p>
    <w:p>
      <w:pPr>
        <w:spacing w:after="120" w:line="276"/>
        <w:jc w:val="both"/>
      </w:pPr>
      <w:r>
        <w:rPr>
          <w:rFonts w:ascii="Barlow Semi Condensed" w:cs="Barlow Semi Condensed" w:eastAsia="Barlow Semi Condensed" w:hAnsi="Barlow Semi Condensed"/>
          <w:sz w:val="24"/>
          <w:szCs w:val="24"/>
        </w:rPr>
        <w:t xml:space="preserve">Il nodo svizzero (blocchi centonovantatré–centonovantotto)</w:t>
      </w:r>
    </w:p>
    <w:p>
      <w:pPr>
        <w:spacing w:after="120" w:line="276"/>
        <w:jc w:val="both"/>
      </w:pPr>
      <w:r>
        <w:rPr>
          <w:rFonts w:ascii="Barlow Semi Condensed" w:cs="Barlow Semi Condensed" w:eastAsia="Barlow Semi Condensed" w:hAnsi="Barlow Semi Condensed"/>
          <w:sz w:val="24"/>
          <w:szCs w:val="24"/>
        </w:rPr>
        <w:t xml:space="preserve">Blocco centonovantatré. L'inchiesta del novembre millenovecentosettantaquattro quale prima cartografia pubblica del nodo elvetico: Livello A quale atto giornalistico coevo.</w:t>
      </w:r>
    </w:p>
    <w:p>
      <w:pPr>
        <w:spacing w:after="120" w:line="276"/>
        <w:jc w:val="both"/>
      </w:pPr>
      <w:r>
        <w:rPr>
          <w:rFonts w:ascii="Barlow Semi Condensed" w:cs="Barlow Semi Condensed" w:eastAsia="Barlow Semi Condensed" w:hAnsi="Barlow Semi Condensed"/>
          <w:sz w:val="24"/>
          <w:szCs w:val="24"/>
        </w:rPr>
        <w:t xml:space="preserve">Blocco centonovantaquattro. Il canale del Nouvel Ordre Européen quale cerniera ideologico-organizzativa: Livello B.</w:t>
      </w:r>
    </w:p>
    <w:p>
      <w:pPr>
        <w:spacing w:after="120" w:line="276"/>
        <w:jc w:val="both"/>
      </w:pPr>
      <w:r>
        <w:rPr>
          <w:rFonts w:ascii="Barlow Semi Condensed" w:cs="Barlow Semi Condensed" w:eastAsia="Barlow Semi Condensed" w:hAnsi="Barlow Semi Condensed"/>
          <w:sz w:val="24"/>
          <w:szCs w:val="24"/>
        </w:rPr>
        <w:t xml:space="preserve">Blocco centonovantacinque. La piazza finanziaria quale retrovia dell'eversione nera, con l'orbita di Gelli: Livello B attributivo, da non saldare ai fatti già certificati della loggia se non per i nodi documentati.</w:t>
      </w:r>
    </w:p>
    <w:p>
      <w:pPr>
        <w:spacing w:after="120" w:line="276"/>
        <w:jc w:val="both"/>
      </w:pPr>
      <w:r>
        <w:rPr>
          <w:rFonts w:ascii="Barlow Semi Condensed" w:cs="Barlow Semi Condensed" w:eastAsia="Barlow Semi Condensed" w:hAnsi="Barlow Semi Condensed"/>
          <w:sz w:val="24"/>
          <w:szCs w:val="24"/>
        </w:rPr>
        <w:t xml:space="preserve">Blocco centonovantasei. Il banchiere Genoud quale figura di raccordo finanziario del neofascismo transnazionale: Livello B biografico-documentale.</w:t>
      </w:r>
    </w:p>
    <w:p>
      <w:pPr>
        <w:spacing w:after="120" w:line="276"/>
        <w:jc w:val="both"/>
      </w:pPr>
      <w:r>
        <w:rPr>
          <w:rFonts w:ascii="Barlow Semi Condensed" w:cs="Barlow Semi Condensed" w:eastAsia="Barlow Semi Condensed" w:hAnsi="Barlow Semi Condensed"/>
          <w:sz w:val="24"/>
          <w:szCs w:val="24"/>
        </w:rPr>
        <w:t xml:space="preserve">Blocco centonovantasette. La rete stay-behind elvetica e la critica filologica del suo nome: Livello B; rilievo sull'uso, in questa sezione, delle fonti deboli interdette.</w:t>
      </w:r>
    </w:p>
    <w:p>
      <w:pPr>
        <w:spacing w:after="120" w:line="276"/>
        <w:jc w:val="both"/>
      </w:pPr>
      <w:r>
        <w:rPr>
          <w:rFonts w:ascii="Barlow Semi Condensed" w:cs="Barlow Semi Condensed" w:eastAsia="Barlow Semi Condensed" w:hAnsi="Barlow Semi Condensed"/>
          <w:sz w:val="24"/>
          <w:szCs w:val="24"/>
        </w:rPr>
        <w:t xml:space="preserve">Blocco centonovantotto. Presenze, transiti e continuità post-settantaquattro sul territorio elvetico: Livello C attributivo.</w:t>
      </w:r>
    </w:p>
    <w:p>
      <w:pPr>
        <w:spacing w:after="120" w:line="276"/>
        <w:jc w:val="both"/>
      </w:pPr>
      <w:r>
        <w:rPr>
          <w:rFonts w:ascii="Barlow Semi Condensed" w:cs="Barlow Semi Condensed" w:eastAsia="Barlow Semi Condensed" w:hAnsi="Barlow Semi Condensed"/>
          <w:sz w:val="24"/>
          <w:szCs w:val="24"/>
        </w:rPr>
        <w:t xml:space="preserve">La proiezione latinoamericana (blocchi centonovantanove–duecentoquattro)</w:t>
      </w:r>
    </w:p>
    <w:p>
      <w:pPr>
        <w:spacing w:after="120" w:line="276"/>
        <w:jc w:val="both"/>
      </w:pPr>
      <w:r>
        <w:rPr>
          <w:rFonts w:ascii="Barlow Semi Condensed" w:cs="Barlow Semi Condensed" w:eastAsia="Barlow Semi Condensed" w:hAnsi="Barlow Semi Condensed"/>
          <w:sz w:val="24"/>
          <w:szCs w:val="24"/>
        </w:rPr>
        <w:t xml:space="preserve">Blocco centonovantanove. La proiezione come sistema, non come episodi: quadro adottato quale chiave di lettura, con gambe da vagliare paese per paese.</w:t>
      </w:r>
    </w:p>
    <w:p>
      <w:pPr>
        <w:spacing w:after="120" w:line="276"/>
        <w:jc w:val="both"/>
      </w:pPr>
      <w:r>
        <w:rPr>
          <w:rFonts w:ascii="Barlow Semi Condensed" w:cs="Barlow Semi Condensed" w:eastAsia="Barlow Semi Condensed" w:hAnsi="Barlow Semi Condensed"/>
          <w:sz w:val="24"/>
          <w:szCs w:val="24"/>
        </w:rPr>
        <w:t xml:space="preserve">Blocco duecento. Il Venezuela quale nodo prioritario della proiezione: Livello B documentale.</w:t>
      </w:r>
    </w:p>
    <w:p>
      <w:pPr>
        <w:spacing w:after="120" w:line="276"/>
        <w:jc w:val="both"/>
      </w:pPr>
      <w:r>
        <w:rPr>
          <w:rFonts w:ascii="Barlow Semi Condensed" w:cs="Barlow Semi Condensed" w:eastAsia="Barlow Semi Condensed" w:hAnsi="Barlow Semi Condensed"/>
          <w:sz w:val="24"/>
          <w:szCs w:val="24"/>
        </w:rPr>
        <w:t xml:space="preserve">Blocco duecentouno. Il Perù: Livello C.</w:t>
      </w:r>
    </w:p>
    <w:p>
      <w:pPr>
        <w:spacing w:after="120" w:line="276"/>
        <w:jc w:val="both"/>
      </w:pPr>
      <w:r>
        <w:rPr>
          <w:rFonts w:ascii="Barlow Semi Condensed" w:cs="Barlow Semi Condensed" w:eastAsia="Barlow Semi Condensed" w:hAnsi="Barlow Semi Condensed"/>
          <w:sz w:val="24"/>
          <w:szCs w:val="24"/>
        </w:rPr>
        <w:t xml:space="preserve">Blocco duecentodue. La Colombia: Livello C.</w:t>
      </w:r>
    </w:p>
    <w:p>
      <w:pPr>
        <w:spacing w:after="120" w:line="276"/>
        <w:jc w:val="both"/>
      </w:pPr>
      <w:r>
        <w:rPr>
          <w:rFonts w:ascii="Barlow Semi Condensed" w:cs="Barlow Semi Condensed" w:eastAsia="Barlow Semi Condensed" w:hAnsi="Barlow Semi Condensed"/>
          <w:sz w:val="24"/>
          <w:szCs w:val="24"/>
        </w:rPr>
        <w:t xml:space="preserve">Blocco duecentotré. L'Ecuador: Livello C.</w:t>
      </w:r>
    </w:p>
    <w:p>
      <w:pPr>
        <w:spacing w:after="120" w:line="276"/>
        <w:jc w:val="both"/>
      </w:pPr>
      <w:r>
        <w:rPr>
          <w:rFonts w:ascii="Barlow Semi Condensed" w:cs="Barlow Semi Condensed" w:eastAsia="Barlow Semi Condensed" w:hAnsi="Barlow Semi Condensed"/>
          <w:sz w:val="24"/>
          <w:szCs w:val="24"/>
        </w:rPr>
        <w:t xml:space="preserve">Blocco duecentoquattro. Le Guyane e il Suriname, con la sintesi comparata delle piste: Livello C; agenda di verifica dichiarata.</w:t>
      </w:r>
    </w:p>
    <w:p>
      <w:pPr>
        <w:spacing w:after="120" w:line="276"/>
        <w:jc w:val="both"/>
      </w:pPr>
      <w:r>
        <w:rPr>
          <w:rFonts w:ascii="Barlow Semi Condensed" w:cs="Barlow Semi Condensed" w:eastAsia="Barlow Semi Condensed" w:hAnsi="Barlow Semi Condensed"/>
          <w:sz w:val="24"/>
          <w:szCs w:val="24"/>
        </w:rPr>
        <w:t xml:space="preserve">Il Medio Oriente (blocchi duecentocinque–duecentodieci)</w:t>
      </w:r>
    </w:p>
    <w:p>
      <w:pPr>
        <w:spacing w:after="120" w:line="276"/>
        <w:jc w:val="both"/>
      </w:pPr>
      <w:r>
        <w:rPr>
          <w:rFonts w:ascii="Barlow Semi Condensed" w:cs="Barlow Semi Condensed" w:eastAsia="Barlow Semi Condensed" w:hAnsi="Barlow Semi Condensed"/>
          <w:sz w:val="24"/>
          <w:szCs w:val="24"/>
        </w:rPr>
        <w:t xml:space="preserve">Blocco duecentocinque. L'avvertenza metodologica sulla disambiguazione del mondo sciita: adottata.</w:t>
      </w:r>
    </w:p>
    <w:p>
      <w:pPr>
        <w:spacing w:after="120" w:line="276"/>
        <w:jc w:val="both"/>
      </w:pPr>
      <w:r>
        <w:rPr>
          <w:rFonts w:ascii="Barlow Semi Condensed" w:cs="Barlow Semi Condensed" w:eastAsia="Barlow Semi Condensed" w:hAnsi="Barlow Semi Condensed"/>
          <w:sz w:val="24"/>
          <w:szCs w:val="24"/>
        </w:rPr>
        <w:t xml:space="preserve">Blocco duecentosei. L'esito negativo generale sul Medio Oriente: Stato Zero dichiarato.</w:t>
      </w:r>
    </w:p>
    <w:p>
      <w:pPr>
        <w:spacing w:after="120" w:line="276"/>
        <w:jc w:val="both"/>
      </w:pPr>
      <w:r>
        <w:rPr>
          <w:rFonts w:ascii="Barlow Semi Condensed" w:cs="Barlow Semi Condensed" w:eastAsia="Barlow Semi Condensed" w:hAnsi="Barlow Semi Condensed"/>
          <w:sz w:val="24"/>
          <w:szCs w:val="24"/>
        </w:rPr>
        <w:t xml:space="preserve">Blocco duecentosette. La pista inversa dei reduci della rete in campo mediorientale: vagliata e lasciata a Livello C.</w:t>
      </w:r>
    </w:p>
    <w:p>
      <w:pPr>
        <w:spacing w:after="120" w:line="276"/>
        <w:jc w:val="both"/>
      </w:pPr>
      <w:r>
        <w:rPr>
          <w:rFonts w:ascii="Barlow Semi Condensed" w:cs="Barlow Semi Condensed" w:eastAsia="Barlow Semi Condensed" w:hAnsi="Barlow Semi Condensed"/>
          <w:sz w:val="24"/>
          <w:szCs w:val="24"/>
        </w:rPr>
        <w:t xml:space="preserve">Blocco duecentootto. Il milieu nero e i regimi baathisti filo-sovietici: contiguità ideologiche senza atto: Livello C.</w:t>
      </w:r>
    </w:p>
    <w:p>
      <w:pPr>
        <w:spacing w:after="120" w:line="276"/>
        <w:jc w:val="both"/>
      </w:pPr>
      <w:r>
        <w:rPr>
          <w:rFonts w:ascii="Barlow Semi Condensed" w:cs="Barlow Semi Condensed" w:eastAsia="Barlow Semi Condensed" w:hAnsi="Barlow Semi Condensed"/>
          <w:sz w:val="24"/>
          <w:szCs w:val="24"/>
        </w:rPr>
        <w:t xml:space="preserve">Blocco duecentonove. L'Iran quale caso speculare, unico pilastro sciita del campo atlantico nell'epoca: Livello A di quadro storico.</w:t>
      </w:r>
    </w:p>
    <w:p>
      <w:pPr>
        <w:spacing w:after="120" w:line="276"/>
        <w:jc w:val="both"/>
      </w:pPr>
      <w:r>
        <w:rPr>
          <w:rFonts w:ascii="Barlow Semi Condensed" w:cs="Barlow Semi Condensed" w:eastAsia="Barlow Semi Condensed" w:hAnsi="Barlow Semi Condensed"/>
          <w:sz w:val="24"/>
          <w:szCs w:val="24"/>
        </w:rPr>
        <w:t xml:space="preserve">Blocco duecentodieci. Il precedente yemenita: matrice mercenaria dell'organizzazione madre algerina, non della struttura lisbonese: distinzione adottata, Livello A sulla matrice.</w:t>
      </w:r>
    </w:p>
    <w:p>
      <w:pPr>
        <w:spacing w:after="120" w:line="276"/>
        <w:jc w:val="both"/>
      </w:pPr>
      <w:r>
        <w:rPr>
          <w:rFonts w:ascii="Barlow Semi Condensed" w:cs="Barlow Semi Condensed" w:eastAsia="Barlow Semi Condensed" w:hAnsi="Barlow Semi Condensed"/>
          <w:sz w:val="24"/>
          <w:szCs w:val="24"/>
        </w:rPr>
        <w:t xml:space="preserve">Le conclusioni della monografia (blocchi duecentoundici–duecentosedici)</w:t>
      </w:r>
    </w:p>
    <w:p>
      <w:pPr>
        <w:spacing w:after="120" w:line="276"/>
        <w:jc w:val="both"/>
      </w:pPr>
      <w:r>
        <w:rPr>
          <w:rFonts w:ascii="Barlow Semi Condensed" w:cs="Barlow Semi Condensed" w:eastAsia="Barlow Semi Condensed" w:hAnsi="Barlow Semi Condensed"/>
          <w:sz w:val="24"/>
          <w:szCs w:val="24"/>
        </w:rPr>
        <w:t xml:space="preserve">Blocco duecentoundici. La natura: struttura clandestina di guerra politica sotto copertura editoriale, non vera agenzia di stampa: Livello A.</w:t>
      </w:r>
    </w:p>
    <w:p>
      <w:pPr>
        <w:spacing w:after="120" w:line="276"/>
        <w:jc w:val="both"/>
      </w:pPr>
      <w:r>
        <w:rPr>
          <w:rFonts w:ascii="Barlow Semi Condensed" w:cs="Barlow Semi Condensed" w:eastAsia="Barlow Semi Condensed" w:hAnsi="Barlow Semi Condensed"/>
          <w:sz w:val="24"/>
          <w:szCs w:val="24"/>
        </w:rPr>
        <w:t xml:space="preserve">Blocco duecentododici. L'Italia quale teatro meglio documentato in sede giudiziaria: conforme al capitolo italiano certificato.</w:t>
      </w:r>
    </w:p>
    <w:p>
      <w:pPr>
        <w:spacing w:after="120" w:line="276"/>
        <w:jc w:val="both"/>
      </w:pPr>
      <w:r>
        <w:rPr>
          <w:rFonts w:ascii="Barlow Semi Condensed" w:cs="Barlow Semi Condensed" w:eastAsia="Barlow Semi Condensed" w:hAnsi="Barlow Semi Condensed"/>
          <w:sz w:val="24"/>
          <w:szCs w:val="24"/>
        </w:rPr>
        <w:t xml:space="preserve">Blocco duecentotredici. L'Africa quale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duecentoquattordici. La fine con la Rivoluzione dei Garofani: Livello A.</w:t>
      </w:r>
    </w:p>
    <w:p>
      <w:pPr>
        <w:spacing w:after="120" w:line="276"/>
        <w:jc w:val="both"/>
      </w:pPr>
      <w:r>
        <w:rPr>
          <w:rFonts w:ascii="Barlow Semi Condensed" w:cs="Barlow Semi Condensed" w:eastAsia="Barlow Semi Condensed" w:hAnsi="Barlow Semi Condensed"/>
          <w:sz w:val="24"/>
          <w:szCs w:val="24"/>
        </w:rPr>
        <w:t xml:space="preserve">Blocco duecentoquindici. Il quadro dei pilastri regionali del campo atlantico nell'area: Livello A di contesto.</w:t>
      </w:r>
    </w:p>
    <w:p>
      <w:pPr>
        <w:spacing w:after="120" w:line="276"/>
        <w:jc w:val="both"/>
      </w:pPr>
      <w:r>
        <w:rPr>
          <w:rFonts w:ascii="Barlow Semi Condensed" w:cs="Barlow Semi Condensed" w:eastAsia="Barlow Semi Condensed" w:hAnsi="Barlow Semi Condensed"/>
          <w:sz w:val="24"/>
          <w:szCs w:val="24"/>
        </w:rPr>
        <w:t xml:space="preserve">Blocco duecentosedici. Nessun legame documentato con il Golfo: Stato Zero dichiarato.</w:t>
      </w:r>
    </w:p>
    <w:p>
      <w:pPr>
        <w:spacing w:after="120" w:line="276"/>
        <w:jc w:val="both"/>
      </w:pPr>
      <w:r>
        <w:rPr>
          <w:rFonts w:ascii="Barlow Semi Condensed" w:cs="Barlow Semi Condensed" w:eastAsia="Barlow Semi Condensed" w:hAnsi="Barlow Semi Condensed"/>
          <w:sz w:val="24"/>
          <w:szCs w:val="24"/>
        </w:rPr>
        <w:t xml:space="preserve">La triangolazione con le monografie del corpus (blocchi duecentodiciassette–duecentoventidue)</w:t>
      </w:r>
    </w:p>
    <w:p>
      <w:pPr>
        <w:spacing w:after="120" w:line="276"/>
        <w:jc w:val="both"/>
      </w:pPr>
      <w:r>
        <w:rPr>
          <w:rFonts w:ascii="Barlow Semi Condensed" w:cs="Barlow Semi Condensed" w:eastAsia="Barlow Semi Condensed" w:hAnsi="Barlow Semi Condensed"/>
          <w:sz w:val="24"/>
          <w:szCs w:val="24"/>
        </w:rPr>
        <w:t xml:space="preserve">Blocco duecentodiciassette. Il registro analitico dei nodi del corpus sul cluster, del quattro agosto duemilaventisei: nodi gradati recepiti; la riconciliazione delle sette serie identificative autonome — trecentosessantacinque voci —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duecentodiciotto. La monografia anatomica sull'hub di Lisbona: triangolata, convergente con l'innesco su fondazione, committenti e capitolo italiano.</w:t>
      </w:r>
    </w:p>
    <w:p>
      <w:pPr>
        <w:spacing w:after="120" w:line="276"/>
        <w:jc w:val="both"/>
      </w:pPr>
      <w:r>
        <w:rPr>
          <w:rFonts w:ascii="Barlow Semi Condensed" w:cs="Barlow Semi Condensed" w:eastAsia="Barlow Semi Condensed" w:hAnsi="Barlow Semi Condensed"/>
          <w:sz w:val="24"/>
          <w:szCs w:val="24"/>
        </w:rPr>
        <w:t xml:space="preserve">Blocco duecentodiciannove. La mappa stratificata delle connessioni della rete: recepita quale strumento, con i gradi propri di ciascun arco.</w:t>
      </w:r>
    </w:p>
    <w:p>
      <w:pPr>
        <w:spacing w:after="120" w:line="276"/>
        <w:jc w:val="both"/>
      </w:pPr>
      <w:r>
        <w:rPr>
          <w:rFonts w:ascii="Barlow Semi Condensed" w:cs="Barlow Semi Condensed" w:eastAsia="Barlow Semi Condensed" w:hAnsi="Barlow Semi Condensed"/>
          <w:sz w:val="24"/>
          <w:szCs w:val="24"/>
        </w:rPr>
        <w:t xml:space="preserve">Blocco duecentoventi. Il profilo monografico su Delle Chiaie: recepito, con la discrepanza attivamente segnalata sul luogo di nascita — il dato consolidato è Caserta, tredici settembre millenovecentotrentasei, contro l'indicazione erronea di altra sede — e la morte del dieci settembre duemiladiciannove: Livello A; statuto del non più giudicabile per ogni valutazione.</w:t>
      </w:r>
    </w:p>
    <w:p>
      <w:pPr>
        <w:spacing w:after="120" w:line="276"/>
        <w:jc w:val="both"/>
      </w:pPr>
      <w:r>
        <w:rPr>
          <w:rFonts w:ascii="Barlow Semi Condensed" w:cs="Barlow Semi Condensed" w:eastAsia="Barlow Semi Condensed" w:hAnsi="Barlow Semi Condensed"/>
          <w:sz w:val="24"/>
          <w:szCs w:val="24"/>
        </w:rPr>
        <w:t xml:space="preserve">Blocco duecentoventuno. La monografia speculare sul non-nesso con Kissinger: doppia verifica indipendente convergente con il capitolo dell'innesco: lo Stato Zero ne esce rafforzato al massimo grado consentito a un esito negativo.</w:t>
      </w:r>
    </w:p>
    <w:p>
      <w:pPr>
        <w:spacing w:after="120" w:line="276"/>
        <w:jc w:val="both"/>
      </w:pPr>
      <w:r>
        <w:rPr>
          <w:rFonts w:ascii="Barlow Semi Condensed" w:cs="Barlow Semi Condensed" w:eastAsia="Barlow Semi Condensed" w:hAnsi="Barlow Semi Condensed"/>
          <w:sz w:val="24"/>
          <w:szCs w:val="24"/>
        </w:rPr>
        <w:t xml:space="preserve">Blocco duecentoventidue. La ricostruzione storiografica dal cluster lisbonese all'eurasiatismo filorusso: ponte analitico tra questa Fase e le Fasi seconda-nona, adottato quale ipotesi di lavoro a Livello C sulla continuità, con le singole gambe nei gradi già certificati.</w:t>
      </w:r>
    </w:p>
    <w:p>
      <w:pPr>
        <w:spacing w:after="120" w:line="276"/>
        <w:jc w:val="both"/>
      </w:pPr>
      <w:r>
        <w:rPr>
          <w:rFonts w:ascii="Barlow Semi Condensed" w:cs="Barlow Semi Condensed" w:eastAsia="Barlow Semi Condensed" w:hAnsi="Barlow Semi Condensed"/>
          <w:sz w:val="24"/>
          <w:szCs w:val="24"/>
        </w:rPr>
        <w:t xml:space="preserve">Le voci maggiori del censimento (blocchi duecentoventitré–duecentotrentadue)</w:t>
      </w:r>
    </w:p>
    <w:p>
      <w:pPr>
        <w:spacing w:after="120" w:line="276"/>
        <w:jc w:val="both"/>
      </w:pPr>
      <w:r>
        <w:rPr>
          <w:rFonts w:ascii="Barlow Semi Condensed" w:cs="Barlow Semi Condensed" w:eastAsia="Barlow Semi Condensed" w:hAnsi="Barlow Semi Condensed"/>
          <w:sz w:val="24"/>
          <w:szCs w:val="24"/>
        </w:rPr>
        <w:t xml:space="preserve">Blocco duecentoventitré. Nuclei Armati Rivoluzionari: attivi dal millenovecentosettantasette al millenovecentottantuno, responsabili di trentatré omicidi secondo la voce munita di note; la qualità di fondatore attribuita a Fioravanti è dall'interessato negata, e la negazione è parte del blocco: Livello A sul quadro, con la precisazione dichiarativa.</w:t>
      </w:r>
    </w:p>
    <w:p>
      <w:pPr>
        <w:spacing w:after="120" w:line="276"/>
        <w:jc w:val="both"/>
      </w:pPr>
      <w:r>
        <w:rPr>
          <w:rFonts w:ascii="Barlow Semi Condensed" w:cs="Barlow Semi Condensed" w:eastAsia="Barlow Semi Condensed" w:hAnsi="Barlow Semi Condensed"/>
          <w:sz w:val="24"/>
          <w:szCs w:val="24"/>
        </w:rPr>
        <w:t xml:space="preserve">Blocco duecentoventiquattro. Il primo omicidio del gruppo dopo i fatti di Acca Larentia e la parabola sino allo smantellamento: Livello A di cronologia giudiziaria.</w:t>
      </w:r>
    </w:p>
    <w:p>
      <w:pPr>
        <w:spacing w:after="120" w:line="276"/>
        <w:jc w:val="both"/>
      </w:pPr>
      <w:r>
        <w:rPr>
          <w:rFonts w:ascii="Barlow Semi Condensed" w:cs="Barlow Semi Condensed" w:eastAsia="Barlow Semi Condensed" w:hAnsi="Barlow Semi Condensed"/>
          <w:sz w:val="24"/>
          <w:szCs w:val="24"/>
        </w:rPr>
        <w:t xml:space="preserve">Blocco duecentoventicinque. Gli esiti giudiziari maggiori dei suoi esponenti: già certificati ai blocchi ventisei-ventinove per Bologna, con le formulazioni vincolanti che restano integrali.</w:t>
      </w:r>
    </w:p>
    <w:p>
      <w:pPr>
        <w:spacing w:after="120" w:line="276"/>
        <w:jc w:val="both"/>
      </w:pPr>
      <w:r>
        <w:rPr>
          <w:rFonts w:ascii="Barlow Semi Condensed" w:cs="Barlow Semi Condensed" w:eastAsia="Barlow Semi Condensed" w:hAnsi="Barlow Semi Condensed"/>
          <w:sz w:val="24"/>
          <w:szCs w:val="24"/>
        </w:rPr>
        <w:t xml:space="preserve">Blocco duecentoventisei. Operazione Gladio: la rivelazione del presidente del Consiglio alla Camera del ventiquattro ottobre millenovecentonovanta, preceduta dalla relazione alla Commissione stragi del diciassette ottobre e dall'autorizzazione al magistrato veneziano sugli atti di Peteano: Livello A.</w:t>
      </w:r>
    </w:p>
    <w:p>
      <w:pPr>
        <w:spacing w:after="120" w:line="276"/>
        <w:jc w:val="both"/>
      </w:pPr>
      <w:r>
        <w:rPr>
          <w:rFonts w:ascii="Barlow Semi Condensed" w:cs="Barlow Semi Condensed" w:eastAsia="Barlow Semi Condensed" w:hAnsi="Barlow Semi Condensed"/>
          <w:sz w:val="24"/>
          <w:szCs w:val="24"/>
        </w:rPr>
        <w:t xml:space="preserve">Blocco duecentoventisette. L'elenco dei seicentoventidue nominativi pubblicato e l'ipotesi — parlamentare, non giudicata — di una substruttura coperta: l'elenco sta a Livello A quale atto; l'ipotesi resta a Livello C e come tale è iscritta.</w:t>
      </w:r>
    </w:p>
    <w:p>
      <w:pPr>
        <w:spacing w:after="120" w:line="276"/>
        <w:jc w:val="both"/>
      </w:pPr>
      <w:r>
        <w:rPr>
          <w:rFonts w:ascii="Barlow Semi Condensed" w:cs="Barlow Semi Condensed" w:eastAsia="Barlow Semi Condensed" w:hAnsi="Barlow Semi Condensed"/>
          <w:sz w:val="24"/>
          <w:szCs w:val="24"/>
        </w:rPr>
        <w:t xml:space="preserve">Blocco duecentoventotto. Il rapporto tra la rete stay-behind e il cluster lisbonese: cornice comune atlantica senza identità provata, come al blocco centosessantacinque: saldature vietate.</w:t>
      </w:r>
    </w:p>
    <w:p>
      <w:pPr>
        <w:spacing w:after="120" w:line="276"/>
        <w:jc w:val="both"/>
      </w:pPr>
      <w:r>
        <w:rPr>
          <w:rFonts w:ascii="Barlow Semi Condensed" w:cs="Barlow Semi Condensed" w:eastAsia="Barlow Semi Condensed" w:hAnsi="Barlow Semi Condensed"/>
          <w:sz w:val="24"/>
          <w:szCs w:val="24"/>
        </w:rPr>
        <w:t xml:space="preserve">Blocco duecentoventinove. L'agguato di via Fani del sedici marzo millenovecentosettantotto: i cinque uomini della scorta uccisi — il maresciallo Leonardi, l'appuntato Ricci, le guardie Iozzino e Rivera, il vicebrigadiere Zizzi, spirato dopo il trasporto: Livello A.</w:t>
      </w:r>
    </w:p>
    <w:p>
      <w:pPr>
        <w:spacing w:after="120" w:line="276"/>
        <w:jc w:val="both"/>
      </w:pPr>
      <w:r>
        <w:rPr>
          <w:rFonts w:ascii="Barlow Semi Condensed" w:cs="Barlow Semi Condensed" w:eastAsia="Barlow Semi Condensed" w:hAnsi="Barlow Semi Condensed"/>
          <w:sz w:val="24"/>
          <w:szCs w:val="24"/>
        </w:rPr>
        <w:t xml:space="preserve">Blocco duecentotrenta. Le armi dell'agguato, tra cui la mitraglietta FNAB-43, e le perizie sui bossoli: Livello A sul quadro; il vaglio balistico integrale è consegnato ai registri d'armamento del corpus già costituiti.</w:t>
      </w:r>
    </w:p>
    <w:p>
      <w:pPr>
        <w:spacing w:after="120" w:line="276"/>
        <w:jc w:val="both"/>
      </w:pPr>
      <w:r>
        <w:rPr>
          <w:rFonts w:ascii="Barlow Semi Condensed" w:cs="Barlow Semi Condensed" w:eastAsia="Barlow Semi Condensed" w:hAnsi="Barlow Semi Condensed"/>
          <w:sz w:val="24"/>
          <w:szCs w:val="24"/>
        </w:rPr>
        <w:t xml:space="preserve">Blocco duecentotrentuno. Concutelli: nato a Roma il tre giugno millenovecentoquarantaquattro, morto a Roma il quindici marzo duemilaventitré; ergastolo per l'omicidio del giudice Occorsio del dieci luglio millenovecentosettantasei; in carcere, con Tuti, strangolò Buzzi, condannato in primo grado per piazza della Loggia e accusato nell'ambiente di delazione: Livello A; la strage bresciana ha altri condannati definitivi, come ai blocchi delle Fasi precedenti.</w:t>
      </w:r>
    </w:p>
    <w:p>
      <w:pPr>
        <w:spacing w:after="120" w:line="276"/>
        <w:jc w:val="both"/>
      </w:pPr>
      <w:r>
        <w:rPr>
          <w:rFonts w:ascii="Barlow Semi Condensed" w:cs="Barlow Semi Condensed" w:eastAsia="Barlow Semi Condensed" w:hAnsi="Barlow Semi Condensed"/>
          <w:sz w:val="24"/>
          <w:szCs w:val="24"/>
        </w:rPr>
        <w:t xml:space="preserve">Blocco duecentotrentadue. Antonino La Russa: Paternò, otto settembre millenovecentotredici — Milano, venti dicembre duemilaquattro; segretario politico del partito unico a Paternò nel millenovecentotrentotto, poi dirigente e parlamentare missino dal millenovecentocinquantatré: Livello A biografico; resta vincolante la formulazione della seconda tranche: nessuna responsabilità è trasmissibile ai congiunti, e ogni menzione dei figli resta nei perimetri già fissati.</w:t>
      </w:r>
    </w:p>
    <w:p>
      <w:pPr>
        <w:spacing w:after="120" w:line="276"/>
        <w:jc w:val="both"/>
      </w:pPr>
      <w:r>
        <w:rPr>
          <w:rFonts w:ascii="Barlow Semi Condensed" w:cs="Barlow Semi Condensed" w:eastAsia="Barlow Semi Condensed" w:hAnsi="Barlow Semi Condensed"/>
          <w:sz w:val="24"/>
          <w:szCs w:val="24"/>
        </w:rPr>
        <w:t xml:space="preserve">Le pendenze certificate e il sigillo (blocchi duecentotrentatré–duecentotrentotto)</w:t>
      </w:r>
    </w:p>
    <w:p>
      <w:pPr>
        <w:spacing w:after="120" w:line="276"/>
        <w:jc w:val="both"/>
      </w:pPr>
      <w:r>
        <w:rPr>
          <w:rFonts w:ascii="Barlow Semi Condensed" w:cs="Barlow Semi Condensed" w:eastAsia="Barlow Semi Condensed" w:hAnsi="Barlow Semi Condensed"/>
          <w:sz w:val="24"/>
          <w:szCs w:val="24"/>
        </w:rPr>
        <w:t xml:space="preserve">Blocco duecentotrentatré. I due contenitori recuperati quale testo semplice sotto estensione anomala: acquisiti; la copia alternativa della voce sulla Magliana è duplicato sostanziale della già estratta: dichiarato.</w:t>
      </w:r>
    </w:p>
    <w:p>
      <w:pPr>
        <w:spacing w:after="120" w:line="276"/>
        <w:jc w:val="both"/>
      </w:pPr>
      <w:r>
        <w:rPr>
          <w:rFonts w:ascii="Barlow Semi Condensed" w:cs="Barlow Semi Condensed" w:eastAsia="Barlow Semi Condensed" w:hAnsi="Barlow Semi Condensed"/>
          <w:sz w:val="24"/>
          <w:szCs w:val="24"/>
        </w:rPr>
        <w:t xml:space="preserve">Blocco duecentotrentaquattro. La voce-censimento sulle operazioni contro la 'ndrangheta: duecentocinquantacinque operazioni elencate e ottocentoquaranta indirizzi in apparato: acquisita quale censimento-quadro a Livello B di lista collaborativa, con rilievo di non-concordanza sulla data del primo grado di Montalto rispetto alla voce dedicata: divergenza iscritta, risoluzione rinviata alla fonte giudiziaria.</w:t>
      </w:r>
    </w:p>
    <w:p>
      <w:pPr>
        <w:spacing w:after="120" w:line="276"/>
        <w:jc w:val="both"/>
      </w:pPr>
      <w:r>
        <w:rPr>
          <w:rFonts w:ascii="Barlow Semi Condensed" w:cs="Barlow Semi Condensed" w:eastAsia="Barlow Semi Condensed" w:hAnsi="Barlow Semi Condensed"/>
          <w:sz w:val="24"/>
          <w:szCs w:val="24"/>
        </w:rPr>
        <w:t xml:space="preserve">Blocco duecentotrentacinque. Il censimento cumulativo: ventitré testi estratti, millesettecentoquarantasei URL unici, più i novecentosessantatré dell'innesco: mappa di lavoro consolidata.</w:t>
      </w:r>
    </w:p>
    <w:p>
      <w:pPr>
        <w:spacing w:after="120" w:line="276"/>
        <w:jc w:val="both"/>
      </w:pPr>
      <w:r>
        <w:rPr>
          <w:rFonts w:ascii="Barlow Semi Condensed" w:cs="Barlow Semi Condensed" w:eastAsia="Barlow Semi Condensed" w:hAnsi="Barlow Semi Condensed"/>
          <w:sz w:val="24"/>
          <w:szCs w:val="24"/>
        </w:rPr>
        <w:t xml:space="preserve">Blocco duecentotrentasei. Pizzolungo, verificato ora: quattro processi; assoluzioni irrevocabili degli imputati quali esecutori nel millenovecentonovanta-novantuno; ergastoli definitivi a Riina e Virga quali mandanti e, in altro giudizio, a Di Maggio e ad Antonino Madonia; esecutori individuati nel nuovo processo ma non più processabili; trent'anni definitivi a Galatolo il quattordici giugno duemilaventitré: Livello A; il nesso peritale tra esplosivi di più stragi resta riferito a Livello B.</w:t>
      </w:r>
    </w:p>
    <w:p>
      <w:pPr>
        <w:spacing w:after="120" w:line="276"/>
        <w:jc w:val="both"/>
      </w:pPr>
      <w:r>
        <w:rPr>
          <w:rFonts w:ascii="Barlow Semi Condensed" w:cs="Barlow Semi Condensed" w:eastAsia="Barlow Semi Condensed" w:hAnsi="Barlow Semi Condensed"/>
          <w:sz w:val="24"/>
          <w:szCs w:val="24"/>
        </w:rPr>
        <w:t xml:space="preserve">Blocco duecentotrentasette. Mattarella, monitoraggio con atti intervenuti: perizia genetica depositata il primo luglio duemilaventisei con esito negativo sulla fascetta della vettura dei killer; orientamento della Procura alla richiesta di archiviazione per i due indagati quali esecutori, riferito dalla stampa e non ancora deciso; mandanti definitivi fermi; presunzione integrale; nessuna comunicazione tra fascicoli.</w:t>
      </w:r>
    </w:p>
    <w:p>
      <w:pPr>
        <w:spacing w:after="120" w:line="276"/>
        <w:jc w:val="both"/>
      </w:pPr>
      <w:r>
        <w:rPr>
          <w:rFonts w:ascii="Barlow Semi Condensed" w:cs="Barlow Semi Condensed" w:eastAsia="Barlow Semi Condensed" w:hAnsi="Barlow Semi Condensed"/>
          <w:sz w:val="24"/>
          <w:szCs w:val="24"/>
        </w:rPr>
        <w:t xml:space="preserve">Blocco duecentotrentotto. Sigillo della quinta tranche: il registro raggiunge duecentotrentotto blocchi; le direzioni della sesta sono fissate in chiusa.</w:t>
      </w:r>
    </w:p>
    <w:p>
      <w:pPr>
        <w:spacing w:after="120" w:line="276"/>
        <w:jc w:val="both"/>
      </w:pPr>
      <w:r>
        <w:rPr>
          <w:rFonts w:ascii="Barlow Semi Condensed" w:cs="Barlow Semi Condensed" w:eastAsia="Barlow Semi Condensed" w:hAnsi="Barlow Semi Condensed"/>
          <w:sz w:val="24"/>
          <w:szCs w:val="24"/>
        </w:rPr>
        <w:t xml:space="preserve">10.11 — Rilievi per le persone viventi e chiusa della quinta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per Giuseppe Lucchese e Antonino Madonia, indagati nel fascicolo palermitano quali esecutori, la presunzione di innocenza è integrale, l'esito peritale negativo è parte obbligatoria di ogni menzione, l'orientamento all'archiviazione resta riferito sino all'atto, e le condanne definitive di Madonia per altri fatti — Pizzolungo compreso — appartengono ad altri fascicoli e non si comunicano a questo; per Carlo Palermo, magistrato bersaglio sopravvissuto e persona vivente, valgono i soli fatti pubblici della biografia istituzionale e giudiziaria; per Valerio Fioravanti la negazione della qualità di fondatore dei Nuclei è parte del blocco che la riguarda; per i familiari delle vittime — e per Margherita Asta, la cui testimonianza è agli atti del corpus — vale il perimetro del massimo rispetto e del solo dato pubblico; per i dichiaranti storici le parole restano pesate nel quadro dei riscontri, mai assunte da sole; per i defunti non più giudicabili — Guérin-Sérac, Delle Chiaie, Concutelli, gli esecutori irrevocabilmente assolti di Pizzolungo — vale lo statuto obbligatorio già fissato: nessuna colpevolezza può essere dichiarata né suggerita oltre i giudicati esistenti.</w:t>
      </w:r>
    </w:p>
    <w:p>
      <w:pPr>
        <w:spacing w:after="120" w:line="276"/>
        <w:jc w:val="both"/>
      </w:pPr>
      <w:r>
        <w:rPr>
          <w:rFonts w:ascii="Barlow Semi Condensed" w:cs="Barlow Semi Condensed" w:eastAsia="Barlow Semi Condensed" w:hAnsi="Barlow Semi Condensed"/>
          <w:sz w:val="24"/>
          <w:szCs w:val="24"/>
        </w:rPr>
        <w:t xml:space="preserve">La quinta tranche porta il registro a duecentotrentotto blocchi certificati e consegna alla sesta le seguenti direzioni: la riconciliazione delle sette serie identificative del registro analitico Aginter — trecentosessantacinque voci; la verifica alla fonte del rapporto portoghese trascritto da Laurent per il nodo sudafricano, con la soglia di revisione dichiarata; la consultazione degli studi lusofoni recenti e degli indici del fondo della polizia politica alla Torre do Tombo; l'interrogazione degli indici analitici cecoslovacchi per chiudere in via definitiva lo Stato Zero orientale; il vaglio delle voci d'armamento e della voce sul giovedì nero già estratte; la verifica ipertestuale a campione delle istantanee contro le pagine vive, dove il rischio dell'asserzione lo esiga; la risoluzione della divergenza di Montalto sulla fonte giudiziaria.</w:t>
      </w:r>
    </w:p>
    <w:p>
      <w:pPr>
        <w:pStyle w:val="Heading3"/>
        <w:spacing w:after="80" w:before="160"/>
      </w:pPr>
      <w:r>
        <w:rPr>
          <w:rFonts w:ascii="Barlow Semi Condensed" w:cs="Barlow Semi Condensed" w:eastAsia="Barlow Semi Condensed" w:hAnsi="Barlow Semi Condensed"/>
          <w:sz w:val="24"/>
          <w:szCs w:val="24"/>
        </w:rPr>
        <w:t xml:space="preserve">SESTA TRANCHE — FASE XI: IL CENSIMENTO GLOBALE DELLA CRIMINALITÀ ORGANIZZATA. IL VAGLIO DEI DODICI LIBRI, IL CAMPIONAMENTO ESTERNO E LE VOCI RESIDUE</w:t>
      </w:r>
    </w:p>
    <w:p>
      <w:pPr>
        <w:spacing w:after="120" w:line="276"/>
        <w:jc w:val="both"/>
      </w:pPr>
      <w:r>
        <w:rPr>
          <w:rFonts w:ascii="Barlow Semi Condensed" w:cs="Barlow Semi Condensed" w:eastAsia="Barlow Semi Condensed" w:hAnsi="Barlow Semi Condensed"/>
          <w:sz w:val="24"/>
          <w:szCs w:val="24"/>
        </w:rPr>
        <w:t xml:space="preserve">11.1 — Documento-innesco, statuto e metrica del censimento nominativo</w:t>
      </w:r>
    </w:p>
    <w:p>
      <w:pPr>
        <w:spacing w:after="120" w:line="276"/>
        <w:jc w:val="both"/>
      </w:pPr>
      <w:r>
        <w:rPr>
          <w:rFonts w:ascii="Barlow Semi Condensed" w:cs="Barlow Semi Condensed" w:eastAsia="Barlow Semi Condensed" w:hAnsi="Barlow Semi Condensed"/>
          <w:sz w:val="24"/>
          <w:szCs w:val="24"/>
        </w:rPr>
        <w:t xml:space="preserve">La sesta tranche è innescata dall'acquisizione del «Censimento globale della criminalità organizzata — Documento unico integrato», edizione composta l'undici agosto duemilaventisei: millecentootto pagine, struttura composita a dodici libri, dalla mappatura italiana ai fenomeni trasversali. La nota di composizione dichiara l'unificazione di due file sorgente con impronte crittografiche registrate, l'accertamento — eseguito in fase di composizione con confronto integrale, paragrafo per paragrafo — che la versione composita contiene per intero la versione integrale, e l'espunzione di sessanta frammenti redazionali estranei al testo, registrati in apposito log: il registro iscrive quest'ultima come credito di igiene documentale. Una delle due sorgenti dichiarate è presente nel corpus di progetto, e la genealogia è dunque verificabile alla fonte. Il corpo del documento non contiene alcun indirizzo di rete: il censimento degli URL restituisce zero per statuto, poiché l'apparato procede per fonti nominate e impronte, e la ricerca dei titoli si esaurisce nel registro delle sorgenti. Il perimetro quantitativo è imponente: le voci nominative numerate raggiungono il numero duemilaventitré, distribuite fra organizzazioni, clan, cartelli, reti e cellule dei cinque continenti. Il registro fissa in apertura la metrica che governa l'intero vaglio: un censimento nominativo è una mappa delle fonti, non un accertamento; ogni voce eredita il grado della fonte che la sostiene — Livello B dove la fonte istituzionale o accademica è nominata, Livello C dove non lo è — e nessuna voce fa prova autonoma di alcunché. La sezione monografica meglio documentata del censimento, quella su Aginter Press, è già stata enucleata e certificata in cento blocchi nella Fase decima: i rinvii sono incrociati.</w:t>
      </w:r>
    </w:p>
    <w:p>
      <w:pPr>
        <w:spacing w:after="120" w:line="276"/>
        <w:jc w:val="both"/>
      </w:pPr>
      <w:r>
        <w:rPr>
          <w:rFonts w:ascii="Barlow Semi Condensed" w:cs="Barlow Semi Condensed" w:eastAsia="Barlow Semi Condensed" w:hAnsi="Barlow Semi Condensed"/>
          <w:sz w:val="24"/>
          <w:szCs w:val="24"/>
        </w:rPr>
        <w:t xml:space="preserve">11.2 — Il Libro primo: l'Italia campo di battaglia</w:t>
      </w:r>
    </w:p>
    <w:p>
      <w:pPr>
        <w:spacing w:after="120" w:line="276"/>
        <w:jc w:val="both"/>
      </w:pPr>
      <w:r>
        <w:rPr>
          <w:rFonts w:ascii="Barlow Semi Condensed" w:cs="Barlow Semi Condensed" w:eastAsia="Barlow Semi Condensed" w:hAnsi="Barlow Semi Condensed"/>
          <w:sz w:val="24"/>
          <w:szCs w:val="24"/>
        </w:rPr>
        <w:t xml:space="preserve">Il Libro primo occupa da solo un quarto del corpo composito e si articola su due registri. Il primo è tematico: dieci capitoli sui porti — Gioia Tauro, Napoli, Salerno, Livorno, la rotta adriatica — sul contrabbando di sigarette e di carburante, sulla terra dei fuochi e sull'ecomafia, sul caporalato, sul gioco d'azzardo, sull'usura quale banca parallela, sulle energie rinnovabili, sulla sanità, sul calcio e sull'agroalimentare: materia consolidata nelle relazioni istituzionali e nella letteratura specializzata, che il registro certifica quale sintesi a Livello B con richiamo alla classe delle fonti — le relazioni della Direzione Investigativa Antimafia e della Direzione Nazionale, i rapporti della Global Initiative. Il secondo registro è storico-genealogico e costituisce la parte più originale del Libro: i capitoli sulle province di Agrigento e Palermo ricostruiscono i corridoi migratori transatlantici — Alessandria della Rocca verso Tampa, Casteltermini verso St. Louis, la Conca d'Oro verso le Cinque Famiglie di New York — con classifiche comunali per numero di affiliati e censimento dei ritorni documentati in Italia: è l'applicazione su scala del pattern dell'analisi dinastica e dei corridoi strutturali, che il registro accoglie quale ricostruzione di corpus a Livello B sulle gambe documentate e Livello C sulle estensioni, con campionamento dichiarato nella sezione settima.</w:t>
      </w:r>
    </w:p>
    <w:p>
      <w:pPr>
        <w:spacing w:after="120" w:line="276"/>
        <w:jc w:val="both"/>
      </w:pPr>
      <w:r>
        <w:rPr>
          <w:rFonts w:ascii="Barlow Semi Condensed" w:cs="Barlow Semi Condensed" w:eastAsia="Barlow Semi Condensed" w:hAnsi="Barlow Semi Condensed"/>
          <w:sz w:val="24"/>
          <w:szCs w:val="24"/>
        </w:rPr>
        <w:t xml:space="preserve">11.3 — I Libri dal secondo al sesto: Europa, Russia, Caucaso</w:t>
      </w:r>
    </w:p>
    <w:p>
      <w:pPr>
        <w:spacing w:after="120" w:line="276"/>
        <w:jc w:val="both"/>
      </w:pPr>
      <w:r>
        <w:rPr>
          <w:rFonts w:ascii="Barlow Semi Condensed" w:cs="Barlow Semi Condensed" w:eastAsia="Barlow Semi Condensed" w:hAnsi="Barlow Semi Condensed"/>
          <w:sz w:val="24"/>
          <w:szCs w:val="24"/>
        </w:rPr>
        <w:t xml:space="preserve">Il Libro secondo — Europa occidentale, Balcani e Turchia — trova nel corpus un contrappeso già gradato: il registro dei nodi eurasiatico-balcanici certifica a Livello A, su intercettazioni e indagini bancarie pubblicate dalle autorità di Skopje e Sarajevo, i flussi dalle compagnie militari private russe a singoli membri di gruppi etnonazionalisti balcanici, e indicizza i gruppi ultras — i Delije, i Grobari nelle fazioni rivali, sino alle formazioni neonaziste — quale dispositivo di reclutamento; le stime convergenti sui foreign fighters balcanici verso il teatro siro-iracheno stanno fra le mille e le millecinquecento partenze. Il Libro quarto e il corpus si saldano sugli effetti della guerra ucraina: la rete Khimprom delle droghe sintetiche, i millecinquecento call center fraudolenti della rete Dniprovski con i casi di frode triplicati, l'esplosione dei sequestri d'armi fra il duemilaventuno e il duemilaventitré — dati di sintesi su fonti ucraine, Livello B. Il Libro quinto e il sesto — Russia, spazio post-sovietico, Caucaso — poggiano sulle voci-quadro dei vory v zakone e della Solntsevskaya, triangolate con la monografia del corpus sulle reti criminali russe e con gli atti del Senato statunitense sulle misure attive: quadro a Livello B, con le singole saldature crimine-Stato nei gradi già fissati dalle Fasi precedenti.</w:t>
      </w:r>
    </w:p>
    <w:p>
      <w:pPr>
        <w:spacing w:after="120" w:line="276"/>
        <w:jc w:val="both"/>
      </w:pPr>
      <w:r>
        <w:rPr>
          <w:rFonts w:ascii="Barlow Semi Condensed" w:cs="Barlow Semi Condensed" w:eastAsia="Barlow Semi Condensed" w:hAnsi="Barlow Semi Condensed"/>
          <w:sz w:val="24"/>
          <w:szCs w:val="24"/>
        </w:rPr>
        <w:t xml:space="preserve">11.4 — I Libri dal settimo all'undicesimo: il mondo extra-europeo</w:t>
      </w:r>
    </w:p>
    <w:p>
      <w:pPr>
        <w:spacing w:after="120" w:line="276"/>
        <w:jc w:val="both"/>
      </w:pPr>
      <w:r>
        <w:rPr>
          <w:rFonts w:ascii="Barlow Semi Condensed" w:cs="Barlow Semi Condensed" w:eastAsia="Barlow Semi Condensed" w:hAnsi="Barlow Semi Condensed"/>
          <w:sz w:val="24"/>
          <w:szCs w:val="24"/>
        </w:rPr>
        <w:t xml:space="preserve">Il vaglio dei Libri extra-europei procede per voci-quadro e nodi campionati. Il Medio Oriente e il Nordafrica includono il versante finanziario delle organizzazioni politico-militari, triangolato con la monografia del corpus sull'impronta globale del Partito di Dio; l'Africa subsahariana è dominata dal fenomeno delle confraternite nigeriane, su cui la classe di fonti Global Initiative regge il Livello B; gli Stati Uniti presentano il censimento delle Cinque Famiglie e della criminalità organizzata italoamericana, che si salda ai corridoi transatlantici del Libro primo; le Americhe allineano i cartelli messicani, le organizzazioni brasiliane — il Primeiro Comando da Capital con la scheda del suo capo detenuto, il Comando Vermelho — e la voce settecentosettantanove sulle gang haitiane; l'Asia-Pacifico censisce Triadi e Yakuza, con la voce trentasette sulla maggiore organizzazione giapponese. Il Libro dodicesimo chiude sui fenomeni trasversali — rotte del narcotraffico, riciclaggio, criminalità informatica, tratta, convergenza fra crimine e terrorismo — quale grammatica comune dei precedenti undici: sintesi a Livello B.</w:t>
      </w:r>
    </w:p>
    <w:p>
      <w:pPr>
        <w:spacing w:after="120" w:line="276"/>
        <w:jc w:val="both"/>
      </w:pPr>
      <w:r>
        <w:rPr>
          <w:rFonts w:ascii="Barlow Semi Condensed" w:cs="Barlow Semi Condensed" w:eastAsia="Barlow Semi Condensed" w:hAnsi="Barlow Semi Condensed"/>
          <w:sz w:val="24"/>
          <w:szCs w:val="24"/>
        </w:rPr>
        <w:t xml:space="preserve">11.5 — Triangolazione con il corpus e Indice di Contaminazione</w:t>
      </w:r>
    </w:p>
    <w:p>
      <w:pPr>
        <w:spacing w:after="120" w:line="276"/>
        <w:jc w:val="both"/>
      </w:pPr>
      <w:r>
        <w:rPr>
          <w:rFonts w:ascii="Barlow Semi Condensed" w:cs="Barlow Semi Condensed" w:eastAsia="Barlow Semi Condensed" w:hAnsi="Barlow Semi Condensed"/>
          <w:sz w:val="24"/>
          <w:szCs w:val="24"/>
        </w:rPr>
        <w:t xml:space="preserve">La triangolazione con il corpus è a doppio senso: il censimento fornisce l'ossatura nominativa che i registri tematici del progetto — eurasiatico-balcanico, russo, laziale, italiano — riempiono di gradi; e i registri restituiscono al censimento i loro Livelli A già certificati sui nodi coincidenti. La lista delle duecentocinquantacinque operazioni contro la 'ndrangheta, recuperata nella quinta tranche, funge da lista di controllo incrociata per il Libro primo. Il censimento parallelo dei politici italiani nei procedimenti penali resta progetto distinto con perimetri propri, e i due censimenti non si comunicano voci. Sul piano dell'Indice di Contaminazione delle Fonti il registro dichiara il rischio strutturale del genere-censimento: molte voci derivano da un perimetro finito di rapporti istituzionali e accademici, sicché voci formalmente distinte possono discendere dalla medesima catena; la regola è che la molteplicità delle voci non aumenta il grado se la sorgente è una.</w:t>
      </w:r>
    </w:p>
    <w:p>
      <w:pPr>
        <w:spacing w:after="120" w:line="276"/>
        <w:jc w:val="both"/>
      </w:pPr>
      <w:r>
        <w:rPr>
          <w:rFonts w:ascii="Barlow Semi Condensed" w:cs="Barlow Semi Condensed" w:eastAsia="Barlow Semi Condensed" w:hAnsi="Barlow Semi Condensed"/>
          <w:sz w:val="24"/>
          <w:szCs w:val="24"/>
        </w:rPr>
        <w:t xml:space="preserve">11.6 — Il campionamento esterno</w:t>
      </w:r>
    </w:p>
    <w:p>
      <w:pPr>
        <w:spacing w:after="120" w:line="276"/>
        <w:jc w:val="both"/>
      </w:pPr>
      <w:r>
        <w:rPr>
          <w:rFonts w:ascii="Barlow Semi Condensed" w:cs="Barlow Semi Condensed" w:eastAsia="Barlow Semi Condensed" w:hAnsi="Barlow Semi Condensed"/>
          <w:sz w:val="24"/>
          <w:szCs w:val="24"/>
        </w:rPr>
        <w:t xml:space="preserve">Dieci nodi del censimento sono stati sottoposti a controllo esterno, per conoscenza stabile certificabile o per verifica in rete condotta in questa sessione. L'esito complessivo è di concordanza piena sui dieci nodi verificati, con due rilievi di copertura: il nome in codice della vasta operazione europea del tre maggio duemilaventitré contro la 'ndrangheta non compare nel testo, e taluni orizzonti temporali delle voci restano fermi ad anni diversi — eterogeneità di aggiornamento dichiarata. Gli esiti puntuali sono ai blocchi trecentodue-trecentoventuno.</w:t>
      </w:r>
    </w:p>
    <w:p>
      <w:pPr>
        <w:spacing w:after="120" w:line="276"/>
        <w:jc w:val="both"/>
      </w:pPr>
      <w:r>
        <w:rPr>
          <w:rFonts w:ascii="Barlow Semi Condensed" w:cs="Barlow Semi Condensed" w:eastAsia="Barlow Semi Condensed" w:hAnsi="Barlow Semi Condensed"/>
          <w:sz w:val="24"/>
          <w:szCs w:val="24"/>
        </w:rPr>
        <w:t xml:space="preserve">11.7 — Le voci residue e la risoluzione di Montalto</w:t>
      </w:r>
    </w:p>
    <w:p>
      <w:pPr>
        <w:spacing w:after="120" w:line="276"/>
        <w:jc w:val="both"/>
      </w:pPr>
      <w:r>
        <w:rPr>
          <w:rFonts w:ascii="Barlow Semi Condensed" w:cs="Barlow Semi Condensed" w:eastAsia="Barlow Semi Condensed" w:hAnsi="Barlow Semi Condensed"/>
          <w:sz w:val="24"/>
          <w:szCs w:val="24"/>
        </w:rPr>
        <w:t xml:space="preserve">La tranche chiude le voci consegnate dalla quinta: le tre voci d'armamento Beretta, la voce sul giovedì nero di Milano, le voci Magliana, Nuova Camorra Organizzata, Occorsio e Mattarella, tutte ai blocchi trecentoventidue-trecentotrentuno. Soprattutto, la divergenza sulla data del primo grado di Montalto è risolta alla fonte giudiziaria: la fonte specialistica cita testualmente la sentenza del Tribunale di Locri del due ottobre millenovecentosettanta, con numero di pagina; la data prevale a Livello A, mentre l'indicazione enciclopedica del ventiquattro marzo millenovecentosettantuno resta annotata quale discordanza, verosimilmente riferita ad altro segmento processuale. La verifica ha inoltre restituito la rilettura del summit operata dalla sentenza Gotha, con le dichiarazioni del collaboratore Serpa sui nomi dell'eversione nera e con le cautele del collegio medesimo — la presenza di Concutelli è contraddetta dalla sua detenzione accertata all'epoca: materiale processuale a Livello B, con la Regola Ferrea a presidio di ogni inferenza storica.</w:t>
      </w:r>
    </w:p>
    <w:p>
      <w:pPr>
        <w:spacing w:after="120" w:line="276"/>
        <w:jc w:val="both"/>
      </w:pPr>
      <w:r>
        <w:rPr>
          <w:rFonts w:ascii="Barlow Semi Condensed" w:cs="Barlow Semi Condensed" w:eastAsia="Barlow Semi Condensed" w:hAnsi="Barlow Semi Condensed"/>
          <w:sz w:val="24"/>
          <w:szCs w:val="24"/>
        </w:rPr>
        <w:t xml:space="preserve">11.8 — Aggiornamento della matrice ACH e principio del lampione</w:t>
      </w:r>
    </w:p>
    <w:p>
      <w:pPr>
        <w:spacing w:after="120" w:line="276"/>
        <w:jc w:val="both"/>
      </w:pPr>
      <w:r>
        <w:rPr>
          <w:rFonts w:ascii="Barlow Semi Condensed" w:cs="Barlow Semi Condensed" w:eastAsia="Barlow Semi Condensed" w:hAnsi="Barlow Semi Condensed"/>
          <w:sz w:val="24"/>
          <w:szCs w:val="24"/>
        </w:rPr>
        <w:t xml:space="preserve">Il censimento fornisce alla matrice l'ossatura del Dominio primo su scala mondiale, ma non tocca le ipotesi maggiori: nulla vi milita a favore di H1, e la pluralità irriducibile delle regie criminali — per continente, per mercato, per epoca — rafforza semmai H3. I corridoi transatlantici del Libro primo arricchiscono i pattern dei flussi e delle dinastie. La tranche iscrive infine, quale principio permanente di metodo, l'effetto lampione: la densità documentaria misura l'attenzione delle fonti, non l'intensità storica dei fenomeni; un censimento è la mappa di ciò che è stato illuminato, e le sue lacune — come quella campionata sull'operazione del maggio duemilaventitré — sono zone d'ombra del lampione, non del mondo.</w:t>
      </w:r>
    </w:p>
    <w:p>
      <w:pPr>
        <w:spacing w:after="120" w:line="276"/>
        <w:jc w:val="both"/>
      </w:pPr>
      <w:r>
        <w:rPr>
          <w:rFonts w:ascii="Barlow Semi Condensed" w:cs="Barlow Semi Condensed" w:eastAsia="Barlow Semi Condensed" w:hAnsi="Barlow Semi Condensed"/>
          <w:sz w:val="24"/>
          <w:szCs w:val="24"/>
        </w:rPr>
        <w:t xml:space="preserve">11.9 — Registro dei blocchi di verifica: blocchi duecentotrentanove–trecentotrentotto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esterna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duecentotrentanove–duecentoquarantatré)</w:t>
      </w:r>
    </w:p>
    <w:p>
      <w:pPr>
        <w:spacing w:after="120" w:line="276"/>
        <w:jc w:val="both"/>
      </w:pPr>
      <w:r>
        <w:rPr>
          <w:rFonts w:ascii="Barlow Semi Condensed" w:cs="Barlow Semi Condensed" w:eastAsia="Barlow Semi Condensed" w:hAnsi="Barlow Semi Condensed"/>
          <w:sz w:val="24"/>
          <w:szCs w:val="24"/>
        </w:rPr>
        <w:t xml:space="preserve">Blocco duecentotrentanove. Il documento-innesco: millecentootto pagine, dodici libri, nota di composizione con confronto integrale dichiarato, registro delle sorgenti a impronte crittografiche, espunzione di sessanta frammenti redazionali con log: Livello A quale atto del corpus, con credito di igiene documentale.</w:t>
      </w:r>
    </w:p>
    <w:p>
      <w:pPr>
        <w:spacing w:after="120" w:line="276"/>
        <w:jc w:val="both"/>
      </w:pPr>
      <w:r>
        <w:rPr>
          <w:rFonts w:ascii="Barlow Semi Condensed" w:cs="Barlow Semi Condensed" w:eastAsia="Barlow Semi Condensed" w:hAnsi="Barlow Semi Condensed"/>
          <w:sz w:val="24"/>
          <w:szCs w:val="24"/>
        </w:rPr>
        <w:t xml:space="preserve">Blocco duecentoquaranta. La genealogia verificabile: una delle due sorgenti dichiarate è presente nel corpus di progetto con impronta corrispondente: catena di composizione a Livello A.</w:t>
      </w:r>
    </w:p>
    <w:p>
      <w:pPr>
        <w:spacing w:after="120" w:line="276"/>
        <w:jc w:val="both"/>
      </w:pPr>
      <w:r>
        <w:rPr>
          <w:rFonts w:ascii="Barlow Semi Condensed" w:cs="Barlow Semi Condensed" w:eastAsia="Barlow Semi Condensed" w:hAnsi="Barlow Semi Condensed"/>
          <w:sz w:val="24"/>
          <w:szCs w:val="24"/>
        </w:rPr>
        <w:t xml:space="preserve">Blocco duecentoquarantuno. Zero indirizzi di rete nel corpo: apparato per fonti nominate; il censimento URL dell'innesco restituisce zero per statuto, e la mappa cumulativa resta quella delle tranche precedenti.</w:t>
      </w:r>
    </w:p>
    <w:p>
      <w:pPr>
        <w:spacing w:after="120" w:line="276"/>
        <w:jc w:val="both"/>
      </w:pPr>
      <w:r>
        <w:rPr>
          <w:rFonts w:ascii="Barlow Semi Condensed" w:cs="Barlow Semi Condensed" w:eastAsia="Barlow Semi Condensed" w:hAnsi="Barlow Semi Condensed"/>
          <w:sz w:val="24"/>
          <w:szCs w:val="24"/>
        </w:rPr>
        <w:t xml:space="preserve">Blocco duecentoquarantadue. Il perimetro: voci nominative numerate sino a duemilaventitré, dodici libri, dall'Italia ai fenomeni trasversali: perimetro iscritto; la continuità delle serie di numerazione non è verificata voce per voce e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duecentoquarantatré. La metrica del censimento nominativo: ogni voce eredita il grado della propria fonte — Livello B con fonte nominata, Livello C senza — e nessuna voce fa prova autonoma; la sezione Aginter, già enucleata, è certificata nella Fase decima e i rinvii sono incrociati.</w:t>
      </w:r>
    </w:p>
    <w:p>
      <w:pPr>
        <w:spacing w:after="120" w:line="276"/>
        <w:jc w:val="both"/>
      </w:pPr>
      <w:r>
        <w:rPr>
          <w:rFonts w:ascii="Barlow Semi Condensed" w:cs="Barlow Semi Condensed" w:eastAsia="Barlow Semi Condensed" w:hAnsi="Barlow Semi Condensed"/>
          <w:sz w:val="24"/>
          <w:szCs w:val="24"/>
        </w:rPr>
        <w:t xml:space="preserve">Il Libro primo, capitoli tematici (blocchi duecentoquarantaquattro–duecentocinquantatré)</w:t>
      </w:r>
    </w:p>
    <w:p>
      <w:pPr>
        <w:spacing w:after="120" w:line="276"/>
        <w:jc w:val="both"/>
      </w:pPr>
      <w:r>
        <w:rPr>
          <w:rFonts w:ascii="Barlow Semi Condensed" w:cs="Barlow Semi Condensed" w:eastAsia="Barlow Semi Condensed" w:hAnsi="Barlow Semi Condensed"/>
          <w:sz w:val="24"/>
          <w:szCs w:val="24"/>
        </w:rPr>
        <w:t xml:space="preserve">Blocco duecentoquarantaquattro. I porti — Gioia Tauro, Napoli, Salerno, Livorno — e la rotta adriatica quali infrastrutture del narcotraffico: sintesi a Livello B sulla classe delle fonti istituzionali.</w:t>
      </w:r>
    </w:p>
    <w:p>
      <w:pPr>
        <w:spacing w:after="120" w:line="276"/>
        <w:jc w:val="both"/>
      </w:pPr>
      <w:r>
        <w:rPr>
          <w:rFonts w:ascii="Barlow Semi Condensed" w:cs="Barlow Semi Condensed" w:eastAsia="Barlow Semi Condensed" w:hAnsi="Barlow Semi Condensed"/>
          <w:sz w:val="24"/>
          <w:szCs w:val="24"/>
        </w:rPr>
        <w:t xml:space="preserve">Blocco duecentoquarantacinque. Il contrabbando di sigarette e di carburante: Livello B.</w:t>
      </w:r>
    </w:p>
    <w:p>
      <w:pPr>
        <w:spacing w:after="120" w:line="276"/>
        <w:jc w:val="both"/>
      </w:pPr>
      <w:r>
        <w:rPr>
          <w:rFonts w:ascii="Barlow Semi Condensed" w:cs="Barlow Semi Condensed" w:eastAsia="Barlow Semi Condensed" w:hAnsi="Barlow Semi Condensed"/>
          <w:sz w:val="24"/>
          <w:szCs w:val="24"/>
        </w:rPr>
        <w:t xml:space="preserve">Blocco duecentoquarantasei. La terra dei fuochi e l'ecomafia, il ciclo illegale dei rifiuti: Livello B, con radicamento giudiziario consolidato.</w:t>
      </w:r>
    </w:p>
    <w:p>
      <w:pPr>
        <w:spacing w:after="120" w:line="276"/>
        <w:jc w:val="both"/>
      </w:pPr>
      <w:r>
        <w:rPr>
          <w:rFonts w:ascii="Barlow Semi Condensed" w:cs="Barlow Semi Condensed" w:eastAsia="Barlow Semi Condensed" w:hAnsi="Barlow Semi Condensed"/>
          <w:sz w:val="24"/>
          <w:szCs w:val="24"/>
        </w:rPr>
        <w:t xml:space="preserve">Blocco duecentoquarantasette. Il caporalato e lo sfruttamento dei lavoratori migranti: Livello B.</w:t>
      </w:r>
    </w:p>
    <w:p>
      <w:pPr>
        <w:spacing w:after="120" w:line="276"/>
        <w:jc w:val="both"/>
      </w:pPr>
      <w:r>
        <w:rPr>
          <w:rFonts w:ascii="Barlow Semi Condensed" w:cs="Barlow Semi Condensed" w:eastAsia="Barlow Semi Condensed" w:hAnsi="Barlow Semi Condensed"/>
          <w:sz w:val="24"/>
          <w:szCs w:val="24"/>
        </w:rPr>
        <w:t xml:space="preserve">Blocco duecentoquarantotto. Il gioco d'azzardo e le scommesse in rete: infiltrazione documentata: Livello B.</w:t>
      </w:r>
    </w:p>
    <w:p>
      <w:pPr>
        <w:spacing w:after="120" w:line="276"/>
        <w:jc w:val="both"/>
      </w:pPr>
      <w:r>
        <w:rPr>
          <w:rFonts w:ascii="Barlow Semi Condensed" w:cs="Barlow Semi Condensed" w:eastAsia="Barlow Semi Condensed" w:hAnsi="Barlow Semi Condensed"/>
          <w:sz w:val="24"/>
          <w:szCs w:val="24"/>
        </w:rPr>
        <w:t xml:space="preserve">Blocco duecentoquarantanove. L'usura quale banca parallela della mafia: Livello B.</w:t>
      </w:r>
    </w:p>
    <w:p>
      <w:pPr>
        <w:spacing w:after="120" w:line="276"/>
        <w:jc w:val="both"/>
      </w:pPr>
      <w:r>
        <w:rPr>
          <w:rFonts w:ascii="Barlow Semi Condensed" w:cs="Barlow Semi Condensed" w:eastAsia="Barlow Semi Condensed" w:hAnsi="Barlow Semi Condensed"/>
          <w:sz w:val="24"/>
          <w:szCs w:val="24"/>
        </w:rPr>
        <w:t xml:space="preserve">Blocco duecentocinquanta. Le energie rinnovabili, l'eolico e il fotovoltaico: Livello B, con i sequestri storici quale ancoraggio.</w:t>
      </w:r>
    </w:p>
    <w:p>
      <w:pPr>
        <w:spacing w:after="120" w:line="276"/>
        <w:jc w:val="both"/>
      </w:pPr>
      <w:r>
        <w:rPr>
          <w:rFonts w:ascii="Barlow Semi Condensed" w:cs="Barlow Semi Condensed" w:eastAsia="Barlow Semi Condensed" w:hAnsi="Barlow Semi Condensed"/>
          <w:sz w:val="24"/>
          <w:szCs w:val="24"/>
        </w:rPr>
        <w:t xml:space="preserve">Blocco duecentocinquantuno. La sanità e l'infiltrazione nel servizio nazionale: Livello B.</w:t>
      </w:r>
    </w:p>
    <w:p>
      <w:pPr>
        <w:spacing w:after="120" w:line="276"/>
        <w:jc w:val="both"/>
      </w:pPr>
      <w:r>
        <w:rPr>
          <w:rFonts w:ascii="Barlow Semi Condensed" w:cs="Barlow Semi Condensed" w:eastAsia="Barlow Semi Condensed" w:hAnsi="Barlow Semi Condensed"/>
          <w:sz w:val="24"/>
          <w:szCs w:val="24"/>
        </w:rPr>
        <w:t xml:space="preserve">Blocco duecentocinquantadue. Il calcio, le scommesse e la manipolazione degli incontri: Livello B.</w:t>
      </w:r>
    </w:p>
    <w:p>
      <w:pPr>
        <w:spacing w:after="120" w:line="276"/>
        <w:jc w:val="both"/>
      </w:pPr>
      <w:r>
        <w:rPr>
          <w:rFonts w:ascii="Barlow Semi Condensed" w:cs="Barlow Semi Condensed" w:eastAsia="Barlow Semi Condensed" w:hAnsi="Barlow Semi Condensed"/>
          <w:sz w:val="24"/>
          <w:szCs w:val="24"/>
        </w:rPr>
        <w:t xml:space="preserve">Blocco duecentocinquantatré. L'agroalimentare e il controllo della filiera: Livello B.</w:t>
      </w:r>
    </w:p>
    <w:p>
      <w:pPr>
        <w:spacing w:after="120" w:line="276"/>
        <w:jc w:val="both"/>
      </w:pPr>
      <w:r>
        <w:rPr>
          <w:rFonts w:ascii="Barlow Semi Condensed" w:cs="Barlow Semi Condensed" w:eastAsia="Barlow Semi Condensed" w:hAnsi="Barlow Semi Condensed"/>
          <w:sz w:val="24"/>
          <w:szCs w:val="24"/>
        </w:rPr>
        <w:t xml:space="preserve">Il Libro primo, capitoli transatlantici (blocchi duecentocinquantaquattro–duecentosessantatré)</w:t>
      </w:r>
    </w:p>
    <w:p>
      <w:pPr>
        <w:spacing w:after="120" w:line="276"/>
        <w:jc w:val="both"/>
      </w:pPr>
      <w:r>
        <w:rPr>
          <w:rFonts w:ascii="Barlow Semi Condensed" w:cs="Barlow Semi Condensed" w:eastAsia="Barlow Semi Condensed" w:hAnsi="Barlow Semi Condensed"/>
          <w:sz w:val="24"/>
          <w:szCs w:val="24"/>
        </w:rPr>
        <w:t xml:space="preserve">Blocco duecentocinquantaquattro. La premessa metodologica dei capitoli provinciali: genealogie migratorie quale chiave del Dominio primo: adottata con la metrica della sezione prima.</w:t>
      </w:r>
    </w:p>
    <w:p>
      <w:pPr>
        <w:spacing w:after="120" w:line="276"/>
        <w:jc w:val="both"/>
      </w:pPr>
      <w:r>
        <w:rPr>
          <w:rFonts w:ascii="Barlow Semi Condensed" w:cs="Barlow Semi Condensed" w:eastAsia="Barlow Semi Condensed" w:hAnsi="Barlow Semi Condensed"/>
          <w:sz w:val="24"/>
          <w:szCs w:val="24"/>
        </w:rPr>
        <w:t xml:space="preserve">Blocco duecentocinquantacinque. La provincia di Agrigento e il corridoio verso Tampa e St. Louis: ricostruzione di corpus a Livello B sulle gambe documentate.</w:t>
      </w:r>
    </w:p>
    <w:p>
      <w:pPr>
        <w:spacing w:after="120" w:line="276"/>
        <w:jc w:val="both"/>
      </w:pPr>
      <w:r>
        <w:rPr>
          <w:rFonts w:ascii="Barlow Semi Condensed" w:cs="Barlow Semi Condensed" w:eastAsia="Barlow Semi Condensed" w:hAnsi="Barlow Semi Condensed"/>
          <w:sz w:val="24"/>
          <w:szCs w:val="24"/>
        </w:rPr>
        <w:t xml:space="preserve">Blocco duecentocinquantasei. Alessandria della Rocca: un comune, una famiglia: Livello B/C secondo le singole gambe.</w:t>
      </w:r>
    </w:p>
    <w:p>
      <w:pPr>
        <w:spacing w:after="120" w:line="276"/>
        <w:jc w:val="both"/>
      </w:pPr>
      <w:r>
        <w:rPr>
          <w:rFonts w:ascii="Barlow Semi Condensed" w:cs="Barlow Semi Condensed" w:eastAsia="Barlow Semi Condensed" w:hAnsi="Barlow Semi Condensed"/>
          <w:sz w:val="24"/>
          <w:szCs w:val="24"/>
        </w:rPr>
        <w:t xml:space="preserve">Blocco duecentocinquantasette. Casteltermini e il corridoio di St. Louis: Livello B/C.</w:t>
      </w:r>
    </w:p>
    <w:p>
      <w:pPr>
        <w:spacing w:after="120" w:line="276"/>
        <w:jc w:val="both"/>
      </w:pPr>
      <w:r>
        <w:rPr>
          <w:rFonts w:ascii="Barlow Semi Condensed" w:cs="Barlow Semi Condensed" w:eastAsia="Barlow Semi Condensed" w:hAnsi="Barlow Semi Condensed"/>
          <w:sz w:val="24"/>
          <w:szCs w:val="24"/>
        </w:rPr>
        <w:t xml:space="preserve">Blocco duecentocinquantotto. La provincia di Palermo e le Cinque Famiglie di New York, la Conca d'Oro e i suoi comuni: Livello B sulla trama, C sulle estensioni.</w:t>
      </w:r>
    </w:p>
    <w:p>
      <w:pPr>
        <w:spacing w:after="120" w:line="276"/>
        <w:jc w:val="both"/>
      </w:pPr>
      <w:r>
        <w:rPr>
          <w:rFonts w:ascii="Barlow Semi Condensed" w:cs="Barlow Semi Condensed" w:eastAsia="Barlow Semi Condensed" w:hAnsi="Barlow Semi Condensed"/>
          <w:sz w:val="24"/>
          <w:szCs w:val="24"/>
        </w:rPr>
        <w:t xml:space="preserve">Blocco duecentocinquantanove. I Barcellonesi del capitolo ventiduesimo, gruppo messinese di proiezione: Livello B.</w:t>
      </w:r>
    </w:p>
    <w:p>
      <w:pPr>
        <w:spacing w:after="120" w:line="276"/>
        <w:jc w:val="both"/>
      </w:pPr>
      <w:r>
        <w:rPr>
          <w:rFonts w:ascii="Barlow Semi Condensed" w:cs="Barlow Semi Condensed" w:eastAsia="Barlow Semi Condensed" w:hAnsi="Barlow Semi Condensed"/>
          <w:sz w:val="24"/>
          <w:szCs w:val="24"/>
        </w:rPr>
        <w:t xml:space="preserve">Blocco duecentosessanta. Napoli quale porto d'imbarco dell'emigrazione e dei traffici: Livello B.</w:t>
      </w:r>
    </w:p>
    <w:p>
      <w:pPr>
        <w:spacing w:after="120" w:line="276"/>
        <w:jc w:val="both"/>
      </w:pPr>
      <w:r>
        <w:rPr>
          <w:rFonts w:ascii="Barlow Semi Condensed" w:cs="Barlow Semi Condensed" w:eastAsia="Barlow Semi Condensed" w:hAnsi="Barlow Semi Condensed"/>
          <w:sz w:val="24"/>
          <w:szCs w:val="24"/>
        </w:rPr>
        <w:t xml:space="preserve">Blocco duecentosessantuno. Le implicazioni per la storiografia italiana rivendicate dal capitolo settantaseiesimo: tesi interpretativa, Livello C dichiarato.</w:t>
      </w:r>
    </w:p>
    <w:p>
      <w:pPr>
        <w:spacing w:after="120" w:line="276"/>
        <w:jc w:val="both"/>
      </w:pPr>
      <w:r>
        <w:rPr>
          <w:rFonts w:ascii="Barlow Semi Condensed" w:cs="Barlow Semi Condensed" w:eastAsia="Barlow Semi Condensed" w:hAnsi="Barlow Semi Condensed"/>
          <w:sz w:val="24"/>
          <w:szCs w:val="24"/>
        </w:rPr>
        <w:t xml:space="preserve">Blocco duecentosessantadue. La classifica dei comuni per numero di affiliati del capitolo ottantaquattresimo: elaborazione statistica di corpus, Livello C sino a verifica delle basi di conteggio.</w:t>
      </w:r>
    </w:p>
    <w:p>
      <w:pPr>
        <w:spacing w:after="120" w:line="276"/>
        <w:jc w:val="both"/>
      </w:pPr>
      <w:r>
        <w:rPr>
          <w:rFonts w:ascii="Barlow Semi Condensed" w:cs="Barlow Semi Condensed" w:eastAsia="Barlow Semi Condensed" w:hAnsi="Barlow Semi Condensed"/>
          <w:sz w:val="24"/>
          <w:szCs w:val="24"/>
        </w:rPr>
        <w:t xml:space="preserve">Blocco duecentosessantatré. I ritorni in Italia documentati del capitolo ottantaseiesimo: Livello B sulle voci con fonte nominata.</w:t>
      </w:r>
    </w:p>
    <w:p>
      <w:pPr>
        <w:spacing w:after="120" w:line="276"/>
        <w:jc w:val="both"/>
      </w:pPr>
      <w:r>
        <w:rPr>
          <w:rFonts w:ascii="Barlow Semi Condensed" w:cs="Barlow Semi Condensed" w:eastAsia="Barlow Semi Condensed" w:hAnsi="Barlow Semi Condensed"/>
          <w:sz w:val="24"/>
          <w:szCs w:val="24"/>
        </w:rPr>
        <w:t xml:space="preserve">I Libri dal secondo al sesto (blocchi duecentosessantaquattro–duecentosettantatré)</w:t>
      </w:r>
    </w:p>
    <w:p>
      <w:pPr>
        <w:spacing w:after="120" w:line="276"/>
        <w:jc w:val="both"/>
      </w:pPr>
      <w:r>
        <w:rPr>
          <w:rFonts w:ascii="Barlow Semi Condensed" w:cs="Barlow Semi Condensed" w:eastAsia="Barlow Semi Condensed" w:hAnsi="Barlow Semi Condensed"/>
          <w:sz w:val="24"/>
          <w:szCs w:val="24"/>
        </w:rPr>
        <w:t xml:space="preserve">Blocco duecentosessantaquattro. Il Libro secondo, Europa occidentale, Balcani e Turchia: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duecentosessantacinque. La triangolazione balcanica col registro di corpus: flussi dalle compagnie militari private russe a membri di gruppi etnonazionalisti a Livello A su intercettazioni e indagini bancarie pubblicate; regia statale unica a Livello B: già certificato, recepito.</w:t>
      </w:r>
    </w:p>
    <w:p>
      <w:pPr>
        <w:spacing w:after="120" w:line="276"/>
        <w:jc w:val="both"/>
      </w:pPr>
      <w:r>
        <w:rPr>
          <w:rFonts w:ascii="Barlow Semi Condensed" w:cs="Barlow Semi Condensed" w:eastAsia="Barlow Semi Condensed" w:hAnsi="Barlow Semi Condensed"/>
          <w:sz w:val="24"/>
          <w:szCs w:val="24"/>
        </w:rPr>
        <w:t xml:space="preserve">Blocco duecentosessantasei. Il nodo turco e la monografia di corpus sui Lupi Grigi: saldatura ai blocchi delle Fasi precedenti sul terrorismo transnazionale: Livello B.</w:t>
      </w:r>
    </w:p>
    <w:p>
      <w:pPr>
        <w:spacing w:after="120" w:line="276"/>
        <w:jc w:val="both"/>
      </w:pPr>
      <w:r>
        <w:rPr>
          <w:rFonts w:ascii="Barlow Semi Condensed" w:cs="Barlow Semi Condensed" w:eastAsia="Barlow Semi Condensed" w:hAnsi="Barlow Semi Condensed"/>
          <w:sz w:val="24"/>
          <w:szCs w:val="24"/>
        </w:rPr>
        <w:t xml:space="preserve">Blocco duecentosessantasette. Il Libro terzo, Europa settentrionale e Baltici: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duecentosessantotto. Il Libro quarto e gli effetti della guerra ucraina dal corpus integrale: la rete Khimprom delle droghe sintetiche, i millecinquecento call center della rete Dniprovski con le frodi triplicate, l'esplosione dei sequestri d'armi fra il duemilaventuno e il duemilaventitré: sintesi su fonti ucraine, Livello B.</w:t>
      </w:r>
    </w:p>
    <w:p>
      <w:pPr>
        <w:spacing w:after="120" w:line="276"/>
        <w:jc w:val="both"/>
      </w:pPr>
      <w:r>
        <w:rPr>
          <w:rFonts w:ascii="Barlow Semi Condensed" w:cs="Barlow Semi Condensed" w:eastAsia="Barlow Semi Condensed" w:hAnsi="Barlow Semi Condensed"/>
          <w:sz w:val="24"/>
          <w:szCs w:val="24"/>
        </w:rPr>
        <w:t xml:space="preserve">Blocco duecentosessantanove. Il Libro quinto, Russia e spazio post-sovietico: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 Le voci ventisei e ventisette: i vory v zakone quale élite criminale tradizionale e la Solntsevskaya moscovita: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duecentosettantuno. La triangolazione con la monografia di corpus sulle reti criminali russe e con gli atti del Senato statunitense sulle misure attive: le saldature crimine-Stato restano nei gradi delle Fasi precedenti: nessun avanzamento di grado per accumulo.</w:t>
      </w:r>
    </w:p>
    <w:p>
      <w:pPr>
        <w:spacing w:after="120" w:line="276"/>
        <w:jc w:val="both"/>
      </w:pPr>
      <w:r>
        <w:rPr>
          <w:rFonts w:ascii="Barlow Semi Condensed" w:cs="Barlow Semi Condensed" w:eastAsia="Barlow Semi Condensed" w:hAnsi="Barlow Semi Condensed"/>
          <w:sz w:val="24"/>
          <w:szCs w:val="24"/>
        </w:rPr>
        <w:t xml:space="preserve">Blocco duecentosettantadue. Il Libro sesto, il Caucaso: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duecentosettantatré. La saldatura fra tradizione dei vory e diaspora caucasica in Europa: Livello B/C secondo le gambe.</w:t>
      </w:r>
    </w:p>
    <w:p>
      <w:pPr>
        <w:spacing w:after="120" w:line="276"/>
        <w:jc w:val="both"/>
      </w:pPr>
      <w:r>
        <w:rPr>
          <w:rFonts w:ascii="Barlow Semi Condensed" w:cs="Barlow Semi Condensed" w:eastAsia="Barlow Semi Condensed" w:hAnsi="Barlow Semi Condensed"/>
          <w:sz w:val="24"/>
          <w:szCs w:val="24"/>
        </w:rPr>
        <w:t xml:space="preserve">I Libri dal settimo all'undicesimo (blocchi duecentosettantaquattro–duecentottantatré)</w:t>
      </w:r>
    </w:p>
    <w:p>
      <w:pPr>
        <w:spacing w:after="120" w:line="276"/>
        <w:jc w:val="both"/>
      </w:pPr>
      <w:r>
        <w:rPr>
          <w:rFonts w:ascii="Barlow Semi Condensed" w:cs="Barlow Semi Condensed" w:eastAsia="Barlow Semi Condensed" w:hAnsi="Barlow Semi Condensed"/>
          <w:sz w:val="24"/>
          <w:szCs w:val="24"/>
        </w:rPr>
        <w:t xml:space="preserve">Blocco duecentosettantaquattro. Il Libro settimo, Medio Oriente e Nordafrica: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duecentosettantacinque. Il versante finanziario delle organizzazioni politico-militari libanesi, triangolato con la monografia di corpus sull'impronta globale: Livello B.</w:t>
      </w:r>
    </w:p>
    <w:p>
      <w:pPr>
        <w:spacing w:after="120" w:line="276"/>
        <w:jc w:val="both"/>
      </w:pPr>
      <w:r>
        <w:rPr>
          <w:rFonts w:ascii="Barlow Semi Condensed" w:cs="Barlow Semi Condensed" w:eastAsia="Barlow Semi Condensed" w:hAnsi="Barlow Semi Condensed"/>
          <w:sz w:val="24"/>
          <w:szCs w:val="24"/>
        </w:rPr>
        <w:t xml:space="preserve">Blocco duecentosettantasei. Il Libro ottavo, Africa subsahariana: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duecentosettantasette. Le confraternite nigeriane quale fenomeno dominante del Libro: Livello B sulla classe di fonti della Global Initiative.</w:t>
      </w:r>
    </w:p>
    <w:p>
      <w:pPr>
        <w:spacing w:after="120" w:line="276"/>
        <w:jc w:val="both"/>
      </w:pPr>
      <w:r>
        <w:rPr>
          <w:rFonts w:ascii="Barlow Semi Condensed" w:cs="Barlow Semi Condensed" w:eastAsia="Barlow Semi Condensed" w:hAnsi="Barlow Semi Condensed"/>
          <w:sz w:val="24"/>
          <w:szCs w:val="24"/>
        </w:rPr>
        <w:t xml:space="preserve">Blocco duecentosettantotto. Il Libro nono, Stati Uniti: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duecentosettantanove. Le Cinque Famiglie e la criminalità italoamericana, saldate ai corridoi transatlantici del Libro primo: Livello B, con la genealogia quale terreno dei pattern dinastici.</w:t>
      </w:r>
    </w:p>
    <w:p>
      <w:pPr>
        <w:spacing w:after="120" w:line="276"/>
        <w:jc w:val="both"/>
      </w:pPr>
      <w:r>
        <w:rPr>
          <w:rFonts w:ascii="Barlow Semi Condensed" w:cs="Barlow Semi Condensed" w:eastAsia="Barlow Semi Condensed" w:hAnsi="Barlow Semi Condensed"/>
          <w:sz w:val="24"/>
          <w:szCs w:val="24"/>
        </w:rPr>
        <w:t xml:space="preserve">Blocco duecentottanta. Il Libro decimo, Americhe: quadro a Livello B.</w:t>
      </w:r>
    </w:p>
    <w:p>
      <w:pPr>
        <w:spacing w:after="120" w:line="276"/>
        <w:jc w:val="both"/>
      </w:pPr>
      <w:r>
        <w:rPr>
          <w:rFonts w:ascii="Barlow Semi Condensed" w:cs="Barlow Semi Condensed" w:eastAsia="Barlow Semi Condensed" w:hAnsi="Barlow Semi Condensed"/>
          <w:sz w:val="24"/>
          <w:szCs w:val="24"/>
        </w:rPr>
        <w:t xml:space="preserve">Blocco duecentottantuno. I cartelli messicani, triangolati con le monografie accademiche del corpus sulle organizzazioni del narcotraffico: Livello B.</w:t>
      </w:r>
    </w:p>
    <w:p>
      <w:pPr>
        <w:spacing w:after="120" w:line="276"/>
        <w:jc w:val="both"/>
      </w:pPr>
      <w:r>
        <w:rPr>
          <w:rFonts w:ascii="Barlow Semi Condensed" w:cs="Barlow Semi Condensed" w:eastAsia="Barlow Semi Condensed" w:hAnsi="Barlow Semi Condensed"/>
          <w:sz w:val="24"/>
          <w:szCs w:val="24"/>
        </w:rPr>
        <w:t xml:space="preserve">Blocco duecentottantadue. Le organizzazioni brasiliane: il Primeiro Comando da Capital con la scheda del capo detenuto che ne mantiene il comando, e il Comando Vermelho: Livello B.</w:t>
      </w:r>
    </w:p>
    <w:p>
      <w:pPr>
        <w:spacing w:after="120" w:line="276"/>
        <w:jc w:val="both"/>
      </w:pPr>
      <w:r>
        <w:rPr>
          <w:rFonts w:ascii="Barlow Semi Condensed" w:cs="Barlow Semi Condensed" w:eastAsia="Barlow Semi Condensed" w:hAnsi="Barlow Semi Condensed"/>
          <w:sz w:val="24"/>
          <w:szCs w:val="24"/>
        </w:rPr>
        <w:t xml:space="preserve">Blocco duecentottantatré. La voce settecentosettantanove sulle gang haitiane e il controllo territoriale di Croix-des-Bouquets: Livello B.</w:t>
      </w:r>
    </w:p>
    <w:p>
      <w:pPr>
        <w:spacing w:after="120" w:line="276"/>
        <w:jc w:val="both"/>
      </w:pPr>
      <w:r>
        <w:rPr>
          <w:rFonts w:ascii="Barlow Semi Condensed" w:cs="Barlow Semi Condensed" w:eastAsia="Barlow Semi Condensed" w:hAnsi="Barlow Semi Condensed"/>
          <w:sz w:val="24"/>
          <w:szCs w:val="24"/>
        </w:rPr>
        <w:t xml:space="preserve">I Libri undicesimo e dodicesimo (blocchi duecentottantaquattro–duecentonovantuno)</w:t>
      </w:r>
    </w:p>
    <w:p>
      <w:pPr>
        <w:spacing w:after="120" w:line="276"/>
        <w:jc w:val="both"/>
      </w:pPr>
      <w:r>
        <w:rPr>
          <w:rFonts w:ascii="Barlow Semi Condensed" w:cs="Barlow Semi Condensed" w:eastAsia="Barlow Semi Condensed" w:hAnsi="Barlow Semi Condensed"/>
          <w:sz w:val="24"/>
          <w:szCs w:val="24"/>
        </w:rPr>
        <w:t xml:space="preserve">Blocco duecentottantaquattro. Il Libro undicesimo, Asia-Pacifico: quadro a Livello B.</w:t>
      </w:r>
    </w:p>
    <w:p>
      <w:pPr>
        <w:spacing w:after="120" w:line="276"/>
        <w:jc w:val="both"/>
      </w:pPr>
      <w:r>
        <w:rPr>
          <w:rFonts w:ascii="Barlow Semi Condensed" w:cs="Barlow Semi Condensed" w:eastAsia="Barlow Semi Condensed" w:hAnsi="Barlow Semi Condensed"/>
          <w:sz w:val="24"/>
          <w:szCs w:val="24"/>
        </w:rPr>
        <w:t xml:space="preserve">Blocco duecentottantacinque. Le Triadi nel censimento: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duecentottantasei. La voce trentasette sulla maggiore organizzazione giapponese e le sue consorelle: Livello B.</w:t>
      </w:r>
    </w:p>
    <w:p>
      <w:pPr>
        <w:spacing w:after="120" w:line="276"/>
        <w:jc w:val="both"/>
      </w:pPr>
      <w:r>
        <w:rPr>
          <w:rFonts w:ascii="Barlow Semi Condensed" w:cs="Barlow Semi Condensed" w:eastAsia="Barlow Semi Condensed" w:hAnsi="Barlow Semi Condensed"/>
          <w:sz w:val="24"/>
          <w:szCs w:val="24"/>
        </w:rPr>
        <w:t xml:space="preserve">Blocco duecentottantasette. Il Libro dodicesimo, fenomeni trasversali: quadro adottato quale grammatica comune.</w:t>
      </w:r>
    </w:p>
    <w:p>
      <w:pPr>
        <w:spacing w:after="120" w:line="276"/>
        <w:jc w:val="both"/>
      </w:pPr>
      <w:r>
        <w:rPr>
          <w:rFonts w:ascii="Barlow Semi Condensed" w:cs="Barlow Semi Condensed" w:eastAsia="Barlow Semi Condensed" w:hAnsi="Barlow Semi Condensed"/>
          <w:sz w:val="24"/>
          <w:szCs w:val="24"/>
        </w:rPr>
        <w:t xml:space="preserve">Blocco duecentottantotto. Le rotte del narcotraffico mondiale: Livello B.</w:t>
      </w:r>
    </w:p>
    <w:p>
      <w:pPr>
        <w:spacing w:after="120" w:line="276"/>
        <w:jc w:val="both"/>
      </w:pPr>
      <w:r>
        <w:rPr>
          <w:rFonts w:ascii="Barlow Semi Condensed" w:cs="Barlow Semi Condensed" w:eastAsia="Barlow Semi Condensed" w:hAnsi="Barlow Semi Condensed"/>
          <w:sz w:val="24"/>
          <w:szCs w:val="24"/>
        </w:rPr>
        <w:t xml:space="preserve">Blocco duecentottantanove. Il riciclaggio e la finanza criminale: Livello B.</w:t>
      </w:r>
    </w:p>
    <w:p>
      <w:pPr>
        <w:spacing w:after="120" w:line="276"/>
        <w:jc w:val="both"/>
      </w:pPr>
      <w:r>
        <w:rPr>
          <w:rFonts w:ascii="Barlow Semi Condensed" w:cs="Barlow Semi Condensed" w:eastAsia="Barlow Semi Condensed" w:hAnsi="Barlow Semi Condensed"/>
          <w:sz w:val="24"/>
          <w:szCs w:val="24"/>
        </w:rPr>
        <w:t xml:space="preserve">Blocco duecentonovanta. La criminalità informatica e le frodi industrializzate, in saldatura con la rete dei call center del Libro quarto: Livello B.</w:t>
      </w:r>
    </w:p>
    <w:p>
      <w:pPr>
        <w:spacing w:after="120" w:line="276"/>
        <w:jc w:val="both"/>
      </w:pPr>
      <w:r>
        <w:rPr>
          <w:rFonts w:ascii="Barlow Semi Condensed" w:cs="Barlow Semi Condensed" w:eastAsia="Barlow Semi Condensed" w:hAnsi="Barlow Semi Condensed"/>
          <w:sz w:val="24"/>
          <w:szCs w:val="24"/>
        </w:rPr>
        <w:t xml:space="preserve">Blocco duecentonovantuno. La tratta di esseri umani e la convergenza fra crimine e terrorismo: Livello B, con le singole saldature nei gradi propri.</w:t>
      </w:r>
    </w:p>
    <w:p>
      <w:pPr>
        <w:spacing w:after="120" w:line="276"/>
        <w:jc w:val="both"/>
      </w:pPr>
      <w:r>
        <w:rPr>
          <w:rFonts w:ascii="Barlow Semi Condensed" w:cs="Barlow Semi Condensed" w:eastAsia="Barlow Semi Condensed" w:hAnsi="Barlow Semi Condensed"/>
          <w:sz w:val="24"/>
          <w:szCs w:val="24"/>
        </w:rPr>
        <w:t xml:space="preserve">Triangolazione di corpus e contaminazione (blocchi duecentonovantadue–trecentouno)</w:t>
      </w:r>
    </w:p>
    <w:p>
      <w:pPr>
        <w:spacing w:after="120" w:line="276"/>
        <w:jc w:val="both"/>
      </w:pPr>
      <w:r>
        <w:rPr>
          <w:rFonts w:ascii="Barlow Semi Condensed" w:cs="Barlow Semi Condensed" w:eastAsia="Barlow Semi Condensed" w:hAnsi="Barlow Semi Condensed"/>
          <w:sz w:val="24"/>
          <w:szCs w:val="24"/>
        </w:rPr>
        <w:t xml:space="preserve">Blocco duecentonovantadue. Il metodo della triangolazione a doppio senso fra censimento e registri tematici del progetto: dichiarato e applicato.</w:t>
      </w:r>
    </w:p>
    <w:p>
      <w:pPr>
        <w:spacing w:after="120" w:line="276"/>
        <w:jc w:val="both"/>
      </w:pPr>
      <w:r>
        <w:rPr>
          <w:rFonts w:ascii="Barlow Semi Condensed" w:cs="Barlow Semi Condensed" w:eastAsia="Barlow Semi Condensed" w:hAnsi="Barlow Semi Condensed"/>
          <w:sz w:val="24"/>
          <w:szCs w:val="24"/>
        </w:rPr>
        <w:t xml:space="preserve">Blocco duecentonovantatré. Il registro eurasiatico-balcanico del corpus: recepito con i suoi gradi, ivi compresi i gruppi ultras indicizzati e le stime sui foreign fighters.</w:t>
      </w:r>
    </w:p>
    <w:p>
      <w:pPr>
        <w:spacing w:after="120" w:line="276"/>
        <w:jc w:val="both"/>
      </w:pPr>
      <w:r>
        <w:rPr>
          <w:rFonts w:ascii="Barlow Semi Condensed" w:cs="Barlow Semi Condensed" w:eastAsia="Barlow Semi Condensed" w:hAnsi="Barlow Semi Condensed"/>
          <w:sz w:val="24"/>
          <w:szCs w:val="24"/>
        </w:rPr>
        <w:t xml:space="preserve">Blocco duecentonovantaquattro. La sorgente integrale presente nel corpus quale base dichiarata della composizione: genealogia a Livello A.</w:t>
      </w:r>
    </w:p>
    <w:p>
      <w:pPr>
        <w:spacing w:after="120" w:line="276"/>
        <w:jc w:val="both"/>
      </w:pPr>
      <w:r>
        <w:rPr>
          <w:rFonts w:ascii="Barlow Semi Condensed" w:cs="Barlow Semi Condensed" w:eastAsia="Barlow Semi Condensed" w:hAnsi="Barlow Semi Condensed"/>
          <w:sz w:val="24"/>
          <w:szCs w:val="24"/>
        </w:rPr>
        <w:t xml:space="preserve">Blocco duecentonovantacinque. Il terzo rapporto dell'Osservatorio sulle mafie nel Lazio quale ancoraggio regionale del Dominio primo: Livello A istituzionale sulle proprie risultanze.</w:t>
      </w:r>
    </w:p>
    <w:p>
      <w:pPr>
        <w:spacing w:after="120" w:line="276"/>
        <w:jc w:val="both"/>
      </w:pPr>
      <w:r>
        <w:rPr>
          <w:rFonts w:ascii="Barlow Semi Condensed" w:cs="Barlow Semi Condensed" w:eastAsia="Barlow Semi Condensed" w:hAnsi="Barlow Semi Condensed"/>
          <w:sz w:val="24"/>
          <w:szCs w:val="24"/>
        </w:rPr>
        <w:t xml:space="preserve">Blocco duecentonovantasei. La monografia di corpus sulla mafia in Italia quale contrappeso del Libro primo: recepita.</w:t>
      </w:r>
    </w:p>
    <w:p>
      <w:pPr>
        <w:spacing w:after="120" w:line="276"/>
        <w:jc w:val="both"/>
      </w:pPr>
      <w:r>
        <w:rPr>
          <w:rFonts w:ascii="Barlow Semi Condensed" w:cs="Barlow Semi Condensed" w:eastAsia="Barlow Semi Condensed" w:hAnsi="Barlow Semi Condensed"/>
          <w:sz w:val="24"/>
          <w:szCs w:val="24"/>
        </w:rPr>
        <w:t xml:space="preserve">Blocco duecentonovantasette. La lista delle duecentocinquantacinque operazioni contro la 'ndrangheta quale lista di controllo incrociata del Libro primo: funzione adottata.</w:t>
      </w:r>
    </w:p>
    <w:p>
      <w:pPr>
        <w:spacing w:after="120" w:line="276"/>
        <w:jc w:val="both"/>
      </w:pPr>
      <w:r>
        <w:rPr>
          <w:rFonts w:ascii="Barlow Semi Condensed" w:cs="Barlow Semi Condensed" w:eastAsia="Barlow Semi Condensed" w:hAnsi="Barlow Semi Condensed"/>
          <w:sz w:val="24"/>
          <w:szCs w:val="24"/>
        </w:rPr>
        <w:t xml:space="preserve">Blocco duecentonovantotto. Il censimento parallelo dei politici italiani nei procedimenti penali: progetto distinto, perimetri propri, nessuna comunicazione di voci: vincolo iscritto.</w:t>
      </w:r>
    </w:p>
    <w:p>
      <w:pPr>
        <w:spacing w:after="120" w:line="276"/>
        <w:jc w:val="both"/>
      </w:pPr>
      <w:r>
        <w:rPr>
          <w:rFonts w:ascii="Barlow Semi Condensed" w:cs="Barlow Semi Condensed" w:eastAsia="Barlow Semi Condensed" w:hAnsi="Barlow Semi Condensed"/>
          <w:sz w:val="24"/>
          <w:szCs w:val="24"/>
        </w:rPr>
        <w:t xml:space="preserve">Blocco duecentonovantanove. L'ancoraggio istituzionale — relazioni della Direzione Investigativa Antimafia e della Direzione Nazionale, rapporti della Global Initiative — quale classe di fonti del Livello B di sintesi: dichiarato.</w:t>
      </w:r>
    </w:p>
    <w:p>
      <w:pPr>
        <w:spacing w:after="120" w:line="276"/>
        <w:jc w:val="both"/>
      </w:pPr>
      <w:r>
        <w:rPr>
          <w:rFonts w:ascii="Barlow Semi Condensed" w:cs="Barlow Semi Condensed" w:eastAsia="Barlow Semi Condensed" w:hAnsi="Barlow Semi Condensed"/>
          <w:sz w:val="24"/>
          <w:szCs w:val="24"/>
        </w:rPr>
        <w:t xml:space="preserve">Blocco trecento. L'Indice di Contaminazione delle Fonti sul genere-censimento: molte voci discendono da un perimetro finito di rapporti; la molteplicità delle voci non aumenta il grado se la sorgente è una: regola applicata all'intero vaglio.</w:t>
      </w:r>
    </w:p>
    <w:p>
      <w:pPr>
        <w:spacing w:after="120" w:line="276"/>
        <w:jc w:val="both"/>
      </w:pPr>
      <w:r>
        <w:rPr>
          <w:rFonts w:ascii="Barlow Semi Condensed" w:cs="Barlow Semi Condensed" w:eastAsia="Barlow Semi Condensed" w:hAnsi="Barlow Semi Condensed"/>
          <w:sz w:val="24"/>
          <w:szCs w:val="24"/>
        </w:rPr>
        <w:t xml:space="preserve">Blocco trecentouno. Lo statuto delle voci numerate: censimento non è accertamento; nessuna voce nominativa fonda, da sola, responsabilità o appartenenze: clausola generale.</w:t>
      </w:r>
    </w:p>
    <w:p>
      <w:pPr>
        <w:spacing w:after="120" w:line="276"/>
        <w:jc w:val="both"/>
      </w:pPr>
      <w:r>
        <w:rPr>
          <w:rFonts w:ascii="Barlow Semi Condensed" w:cs="Barlow Semi Condensed" w:eastAsia="Barlow Semi Condensed" w:hAnsi="Barlow Semi Condensed"/>
          <w:sz w:val="24"/>
          <w:szCs w:val="24"/>
        </w:rPr>
        <w:t xml:space="preserve">Il campionamento esterno (blocchi trecentodue–trecentoventuno)</w:t>
      </w:r>
    </w:p>
    <w:p>
      <w:pPr>
        <w:spacing w:after="120" w:line="276"/>
        <w:jc w:val="both"/>
      </w:pPr>
      <w:r>
        <w:rPr>
          <w:rFonts w:ascii="Barlow Semi Condensed" w:cs="Barlow Semi Condensed" w:eastAsia="Barlow Semi Condensed" w:hAnsi="Barlow Semi Condensed"/>
          <w:sz w:val="24"/>
          <w:szCs w:val="24"/>
        </w:rPr>
        <w:t xml:space="preserve">Blocco trecentodue. Il metodo del campionamento: dieci nodi distribuiti sui dodici libri, controllati per conoscenza stabile certificabile o per verifica in rete condotta in questa sessione: dichiarato.</w:t>
      </w:r>
    </w:p>
    <w:p>
      <w:pPr>
        <w:spacing w:after="120" w:line="276"/>
        <w:jc w:val="both"/>
      </w:pPr>
      <w:r>
        <w:rPr>
          <w:rFonts w:ascii="Barlow Semi Condensed" w:cs="Barlow Semi Condensed" w:eastAsia="Barlow Semi Condensed" w:hAnsi="Barlow Semi Condensed"/>
          <w:sz w:val="24"/>
          <w:szCs w:val="24"/>
        </w:rPr>
        <w:t xml:space="preserve">Blocco trecentotré. L'Indice globale della criminalità organizzata citato dal censimento: edizioni duemilaventuno, duemilaventitré e duemilaventicinque su centonovantatré Stati, tre pilastri: verificato ora, concordanza piena; per l'Italia l'analisi della Global Initiative attribuisce ai gruppi di stampo mafioso il punteggio più alto dell'Unione: Livello A quale dato di fonte.</w:t>
      </w:r>
    </w:p>
    <w:p>
      <w:pPr>
        <w:spacing w:after="120" w:line="276"/>
        <w:jc w:val="both"/>
      </w:pPr>
      <w:r>
        <w:rPr>
          <w:rFonts w:ascii="Barlow Semi Condensed" w:cs="Barlow Semi Condensed" w:eastAsia="Barlow Semi Condensed" w:hAnsi="Barlow Semi Condensed"/>
          <w:sz w:val="24"/>
          <w:szCs w:val="24"/>
        </w:rPr>
        <w:t xml:space="preserve">Blocco trecentoquattro. La voce duecentotrentatré sul mandamento di Trapani: la cattura di Messina Denaro nel gennaio duemilaventitré dopo trenta anni di latitanza e la morte nel settembre successivo: concordante: Livello A.</w:t>
      </w:r>
    </w:p>
    <w:p>
      <w:pPr>
        <w:spacing w:after="120" w:line="276"/>
        <w:jc w:val="both"/>
      </w:pPr>
      <w:r>
        <w:rPr>
          <w:rFonts w:ascii="Barlow Semi Condensed" w:cs="Barlow Semi Condensed" w:eastAsia="Barlow Semi Condensed" w:hAnsi="Barlow Semi Condensed"/>
          <w:sz w:val="24"/>
          <w:szCs w:val="24"/>
        </w:rPr>
        <w:t xml:space="preserve">Blocco trecentocinque. La voce settecentoquarantasei sulla rete di Taghi: l'ergastolo del duemilaventiquattro nel processo Marengo: concordante: Livello A.</w:t>
      </w:r>
    </w:p>
    <w:p>
      <w:pPr>
        <w:spacing w:after="120" w:line="276"/>
        <w:jc w:val="both"/>
      </w:pPr>
      <w:r>
        <w:rPr>
          <w:rFonts w:ascii="Barlow Semi Condensed" w:cs="Barlow Semi Condensed" w:eastAsia="Barlow Semi Condensed" w:hAnsi="Barlow Semi Condensed"/>
          <w:sz w:val="24"/>
          <w:szCs w:val="24"/>
        </w:rPr>
        <w:t xml:space="preserve">Blocco trecentosei. La voce undici sul cartello irlandese: le sanzioni statunitensi dell'aprile duemilaventidue con le taglie sui vertici: concordante: Livello A.</w:t>
      </w:r>
    </w:p>
    <w:p>
      <w:pPr>
        <w:spacing w:after="120" w:line="276"/>
        <w:jc w:val="both"/>
      </w:pPr>
      <w:r>
        <w:rPr>
          <w:rFonts w:ascii="Barlow Semi Condensed" w:cs="Barlow Semi Condensed" w:eastAsia="Barlow Semi Condensed" w:hAnsi="Barlow Semi Condensed"/>
          <w:sz w:val="24"/>
          <w:szCs w:val="24"/>
        </w:rPr>
        <w:t xml:space="preserve">Blocco trecentosette. La scheda sul capo del Primeiro Comando da Capital, detenuto e al comando: concordante col quadro consolidato: Livello A di quadro.</w:t>
      </w:r>
    </w:p>
    <w:p>
      <w:pPr>
        <w:spacing w:after="120" w:line="276"/>
        <w:jc w:val="both"/>
      </w:pPr>
      <w:r>
        <w:rPr>
          <w:rFonts w:ascii="Barlow Semi Condensed" w:cs="Barlow Semi Condensed" w:eastAsia="Barlow Semi Condensed" w:hAnsi="Barlow Semi Condensed"/>
          <w:sz w:val="24"/>
          <w:szCs w:val="24"/>
        </w:rPr>
        <w:t xml:space="preserve">Blocco trecentootto. La voce settecentosettantanove sulle gang haitiane: i sequestri di massa — compreso quello dei missionari del duemilaventuno — e le sanzioni internazionali: concordante: Livello A.</w:t>
      </w:r>
    </w:p>
    <w:p>
      <w:pPr>
        <w:spacing w:after="120" w:line="276"/>
        <w:jc w:val="both"/>
      </w:pPr>
      <w:r>
        <w:rPr>
          <w:rFonts w:ascii="Barlow Semi Condensed" w:cs="Barlow Semi Condensed" w:eastAsia="Barlow Semi Condensed" w:hAnsi="Barlow Semi Condensed"/>
          <w:sz w:val="24"/>
          <w:szCs w:val="24"/>
        </w:rPr>
        <w:t xml:space="preserve">Blocco trecentonove. La voce trentasette sulla maggiore organizzazione giapponese: la scissione del duemilaquindici quale spartiacque recente: concordante: Livello A.</w:t>
      </w:r>
    </w:p>
    <w:p>
      <w:pPr>
        <w:spacing w:after="120" w:line="276"/>
        <w:jc w:val="both"/>
      </w:pPr>
      <w:r>
        <w:rPr>
          <w:rFonts w:ascii="Barlow Semi Condensed" w:cs="Barlow Semi Condensed" w:eastAsia="Barlow Semi Condensed" w:hAnsi="Barlow Semi Condensed"/>
          <w:sz w:val="24"/>
          <w:szCs w:val="24"/>
        </w:rPr>
        <w:t xml:space="preserve">Blocco trecentodieci. Le voci ventisei e ventisette sull'élite criminale post-sovietica: quadro concordante con la monografia di corpus: Livello B.</w:t>
      </w:r>
    </w:p>
    <w:p>
      <w:pPr>
        <w:spacing w:after="120" w:line="276"/>
        <w:jc w:val="both"/>
      </w:pPr>
      <w:r>
        <w:rPr>
          <w:rFonts w:ascii="Barlow Semi Condensed" w:cs="Barlow Semi Condensed" w:eastAsia="Barlow Semi Condensed" w:hAnsi="Barlow Semi Condensed"/>
          <w:sz w:val="24"/>
          <w:szCs w:val="24"/>
        </w:rPr>
        <w:t xml:space="preserve">Blocco trecentoundici. Il quadro del cartello di Sinaloa dopo il duemilaventitré, fra arresti apicali e faida interna: concordante nelle linee, con cautela di recentismo: Livello B.</w:t>
      </w:r>
    </w:p>
    <w:p>
      <w:pPr>
        <w:spacing w:after="120" w:line="276"/>
        <w:jc w:val="both"/>
      </w:pPr>
      <w:r>
        <w:rPr>
          <w:rFonts w:ascii="Barlow Semi Condensed" w:cs="Barlow Semi Condensed" w:eastAsia="Barlow Semi Condensed" w:hAnsi="Barlow Semi Condensed"/>
          <w:sz w:val="24"/>
          <w:szCs w:val="24"/>
        </w:rPr>
        <w:t xml:space="preserve">Blocco trecentododici. Rilievo di copertura, verificato ora sul testo: il nome in codice della vasta operazione europea del tre maggio duemilaventitré contro la 'ndrangheta non compare nel censimento: lacuna campionaria iscritta a carico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trecentotredici. Rilievo di aggiornamento: orizzonti temporali eterogenei fra le voci, talune ferme ad anni diversi: dichiarato.</w:t>
      </w:r>
    </w:p>
    <w:p>
      <w:pPr>
        <w:spacing w:after="120" w:line="276"/>
        <w:jc w:val="both"/>
      </w:pPr>
      <w:r>
        <w:rPr>
          <w:rFonts w:ascii="Barlow Semi Condensed" w:cs="Barlow Semi Condensed" w:eastAsia="Barlow Semi Condensed" w:hAnsi="Barlow Semi Condensed"/>
          <w:sz w:val="24"/>
          <w:szCs w:val="24"/>
        </w:rPr>
        <w:t xml:space="preserve">Blocco trecentoquattordici. La concordanza interna fra l'edizione-innesco e la sorgente di corpus sui capitoli ucraini: verificata sulle reti e sulle cifre: Livello B.</w:t>
      </w:r>
    </w:p>
    <w:p>
      <w:pPr>
        <w:spacing w:after="120" w:line="276"/>
        <w:jc w:val="both"/>
      </w:pPr>
      <w:r>
        <w:rPr>
          <w:rFonts w:ascii="Barlow Semi Condensed" w:cs="Barlow Semi Condensed" w:eastAsia="Barlow Semi Condensed" w:hAnsi="Barlow Semi Condensed"/>
          <w:sz w:val="24"/>
          <w:szCs w:val="24"/>
        </w:rPr>
        <w:t xml:space="preserve">Blocco trecentoquindici. La numerazione delle voci sino a duemilaventitré: continuità delle serie non verificata voce per voce: pendenza dichiarata.</w:t>
      </w:r>
    </w:p>
    <w:p>
      <w:pPr>
        <w:spacing w:after="120" w:line="276"/>
        <w:jc w:val="both"/>
      </w:pPr>
      <w:r>
        <w:rPr>
          <w:rFonts w:ascii="Barlow Semi Condensed" w:cs="Barlow Semi Condensed" w:eastAsia="Barlow Semi Condensed" w:hAnsi="Barlow Semi Condensed"/>
          <w:sz w:val="24"/>
          <w:szCs w:val="24"/>
        </w:rPr>
        <w:t xml:space="preserve">Blocco trecentosedici. Le compagnie militari private russe nel censimento: la saldatura fra crimine e strumento paramilitare, già certificata a Livello A sul flusso balcanico di reclutamento: rinvio incrociato.</w:t>
      </w:r>
    </w:p>
    <w:p>
      <w:pPr>
        <w:spacing w:after="120" w:line="276"/>
        <w:jc w:val="both"/>
      </w:pPr>
      <w:r>
        <w:rPr>
          <w:rFonts w:ascii="Barlow Semi Condensed" w:cs="Barlow Semi Condensed" w:eastAsia="Barlow Semi Condensed" w:hAnsi="Barlow Semi Condensed"/>
          <w:sz w:val="24"/>
          <w:szCs w:val="24"/>
        </w:rPr>
        <w:t xml:space="preserve">Blocco trecentodiciassette. Il Comando Vermelho quale seconda organizzazione brasiliana: quadro concordante: Livello B.</w:t>
      </w:r>
    </w:p>
    <w:p>
      <w:pPr>
        <w:spacing w:after="120" w:line="276"/>
        <w:jc w:val="both"/>
      </w:pPr>
      <w:r>
        <w:rPr>
          <w:rFonts w:ascii="Barlow Semi Condensed" w:cs="Barlow Semi Condensed" w:eastAsia="Barlow Semi Condensed" w:hAnsi="Barlow Semi Condensed"/>
          <w:sz w:val="24"/>
          <w:szCs w:val="24"/>
        </w:rPr>
        <w:t xml:space="preserve">Blocco trecentodiciotto. Le Triadi quali voci di lista del Libro undicesimo: Livello B, senza campione esterno in questa sessione.</w:t>
      </w:r>
    </w:p>
    <w:p>
      <w:pPr>
        <w:spacing w:after="120" w:line="276"/>
        <w:jc w:val="both"/>
      </w:pPr>
      <w:r>
        <w:rPr>
          <w:rFonts w:ascii="Barlow Semi Condensed" w:cs="Barlow Semi Condensed" w:eastAsia="Barlow Semi Condensed" w:hAnsi="Barlow Semi Condensed"/>
          <w:sz w:val="24"/>
          <w:szCs w:val="24"/>
        </w:rPr>
        <w:t xml:space="preserve">Blocco trecentodiciannove. I gruppi ultras balcanici indicizzati — con le fazioni rivali della curva del Partizan — quale dispositivo di reclutamento: già certificato a Livello A/B dal registro di corpus: recepito.</w:t>
      </w:r>
    </w:p>
    <w:p>
      <w:pPr>
        <w:spacing w:after="120" w:line="276"/>
        <w:jc w:val="both"/>
      </w:pPr>
      <w:r>
        <w:rPr>
          <w:rFonts w:ascii="Barlow Semi Condensed" w:cs="Barlow Semi Condensed" w:eastAsia="Barlow Semi Condensed" w:hAnsi="Barlow Semi Condensed"/>
          <w:sz w:val="24"/>
          <w:szCs w:val="24"/>
        </w:rPr>
        <w:t xml:space="preserve">Blocco trecentoventi. Le stime convergenti sulle partenze di foreign fighters balcanici: fra le mille e le millecinquecento: già certificato: recepito.</w:t>
      </w:r>
    </w:p>
    <w:p>
      <w:pPr>
        <w:spacing w:after="120" w:line="276"/>
        <w:jc w:val="both"/>
      </w:pPr>
      <w:r>
        <w:rPr>
          <w:rFonts w:ascii="Barlow Semi Condensed" w:cs="Barlow Semi Condensed" w:eastAsia="Barlow Semi Condensed" w:hAnsi="Barlow Semi Condensed"/>
          <w:sz w:val="24"/>
          <w:szCs w:val="24"/>
        </w:rPr>
        <w:t xml:space="preserve">Blocco trecentoventuno. Sintesi del campionamento: concordanza piena sui dieci nodi verificati, due rilievi di copertura e aggiornamento: il censimento regge il campione nella misura del suo statuto.</w:t>
      </w:r>
    </w:p>
    <w:p>
      <w:pPr>
        <w:spacing w:after="120" w:line="276"/>
        <w:jc w:val="both"/>
      </w:pPr>
      <w:r>
        <w:rPr>
          <w:rFonts w:ascii="Barlow Semi Condensed" w:cs="Barlow Semi Condensed" w:eastAsia="Barlow Semi Condensed" w:hAnsi="Barlow Semi Condensed"/>
          <w:sz w:val="24"/>
          <w:szCs w:val="24"/>
        </w:rPr>
        <w:t xml:space="preserve">Le voci residue e le risoluzioni (blocchi trecentoventidue–trecentotrentuno)</w:t>
      </w:r>
    </w:p>
    <w:p>
      <w:pPr>
        <w:spacing w:after="120" w:line="276"/>
        <w:jc w:val="both"/>
      </w:pPr>
      <w:r>
        <w:rPr>
          <w:rFonts w:ascii="Barlow Semi Condensed" w:cs="Barlow Semi Condensed" w:eastAsia="Barlow Semi Condensed" w:hAnsi="Barlow Semi Condensed"/>
          <w:sz w:val="24"/>
          <w:szCs w:val="24"/>
        </w:rPr>
        <w:t xml:space="preserve">Blocco trecentoventidue. La voce sul fucile Beretta BM cinquantanove: fucile da battaglia adottato dall'Esercito nel millenovecentocinquantanove, primo calibro d'origine americana e successiva produzione su licenza: Livello A tecnico; il vaglio d'impiego resta consegnato ai registri d'armamento del corpus.</w:t>
      </w:r>
    </w:p>
    <w:p>
      <w:pPr>
        <w:spacing w:after="120" w:line="276"/>
        <w:jc w:val="both"/>
      </w:pPr>
      <w:r>
        <w:rPr>
          <w:rFonts w:ascii="Barlow Semi Condensed" w:cs="Barlow Semi Condensed" w:eastAsia="Barlow Semi Condensed" w:hAnsi="Barlow Semi Condensed"/>
          <w:sz w:val="24"/>
          <w:szCs w:val="24"/>
        </w:rPr>
        <w:t xml:space="preserve">Blocco trecentoventitré. La voce sulla pistola Beretta millenovecentocinquantuno: nove Parabellum, variante a raffica, produzione cessata nel duemilatré e ripresa nel duemilanove; la voce presenta sezioni in lingua inglese: rilievo di composizione iscritto: Livello A tecnico.</w:t>
      </w:r>
    </w:p>
    <w:p>
      <w:pPr>
        <w:spacing w:after="120" w:line="276"/>
        <w:jc w:val="both"/>
      </w:pPr>
      <w:r>
        <w:rPr>
          <w:rFonts w:ascii="Barlow Semi Condensed" w:cs="Barlow Semi Condensed" w:eastAsia="Barlow Semi Condensed" w:hAnsi="Barlow Semi Condensed"/>
          <w:sz w:val="24"/>
          <w:szCs w:val="24"/>
        </w:rPr>
        <w:t xml:space="preserve">Blocco trecentoventiquattro. La voce sulla Serie settanta: calibro sette e sessantacinque, caricatore da otto colpi, produzione negli anni sessanta e settanta: Livello A tecnico; nessuna inferenza d'impiego fuori dai registri.</w:t>
      </w:r>
    </w:p>
    <w:p>
      <w:pPr>
        <w:spacing w:after="120" w:line="276"/>
        <w:jc w:val="both"/>
      </w:pPr>
      <w:r>
        <w:rPr>
          <w:rFonts w:ascii="Barlow Semi Condensed" w:cs="Barlow Semi Condensed" w:eastAsia="Barlow Semi Condensed" w:hAnsi="Barlow Semi Condensed"/>
          <w:sz w:val="24"/>
          <w:szCs w:val="24"/>
        </w:rPr>
        <w:t xml:space="preserve">Blocco trecentoventicinque. La voce sul giovedì nero di Milano: dodici aprile millenovecentosettantatré, l'omicidio dell'agente ventiduenne Antonio Marino colpito da una bomba lanciata da Vittorio Loi durante una manifestazione vietata: concordante con i blocchi undici e dodici; le formulazioni vincolanti della seconda tranche restano integrali.</w:t>
      </w:r>
    </w:p>
    <w:p>
      <w:pPr>
        <w:spacing w:after="120" w:line="276"/>
        <w:jc w:val="both"/>
      </w:pPr>
      <w:r>
        <w:rPr>
          <w:rFonts w:ascii="Barlow Semi Condensed" w:cs="Barlow Semi Condensed" w:eastAsia="Barlow Semi Condensed" w:hAnsi="Barlow Semi Condensed"/>
          <w:sz w:val="24"/>
          <w:szCs w:val="24"/>
        </w:rPr>
        <w:t xml:space="preserve">Blocco trecentoventisei. Montalto, risolto ora: la sentenza del Tribunale di Locri del due ottobre millenovecentosettanta, citata testualmente con numero di pagina dalla fonte specialistica, fissa la data del primo grado a Livello A; l'indicazione enciclopedica del ventiquattro marzo millenovecentosettantuno resta discordanza annotata, verosimilmente riferita ad altro segmento; l'appello del due dicembre millenovecentosettantanove con le assoluzioni dei tre capi storici resta come già certificato.</w:t>
      </w:r>
    </w:p>
    <w:p>
      <w:pPr>
        <w:spacing w:after="120" w:line="276"/>
        <w:jc w:val="both"/>
      </w:pPr>
      <w:r>
        <w:rPr>
          <w:rFonts w:ascii="Barlow Semi Condensed" w:cs="Barlow Semi Condensed" w:eastAsia="Barlow Semi Condensed" w:hAnsi="Barlow Semi Condensed"/>
          <w:sz w:val="24"/>
          <w:szCs w:val="24"/>
        </w:rPr>
        <w:t xml:space="preserve">Blocco trecentoventisette. Montalto e la sentenza Gotha: la rilettura del summit con le dichiarazioni del collaboratore Serpa sui nomi dell'eversione nera, e le cautele del collegio medesimo — la presenza di Concutelli contraddetta dalla detenzione accertata all'epoca: materiale processuale a Livello B; la Regola Ferrea presidia ogni inferenza storica sulla presenza dei singoli.</w:t>
      </w:r>
    </w:p>
    <w:p>
      <w:pPr>
        <w:spacing w:after="120" w:line="276"/>
        <w:jc w:val="both"/>
      </w:pPr>
      <w:r>
        <w:rPr>
          <w:rFonts w:ascii="Barlow Semi Condensed" w:cs="Barlow Semi Condensed" w:eastAsia="Barlow Semi Condensed" w:hAnsi="Barlow Semi Condensed"/>
          <w:sz w:val="24"/>
          <w:szCs w:val="24"/>
        </w:rPr>
        <w:t xml:space="preserve">Blocco trecentoventotto. La voce integrale sulla Banda della Magliana e il suo duplicato di corpus: censimento con duecentosettanta indirizzi; le condanne-chiave restano come ai blocchi trenta e trentuno: recepita quale voce-quadro a Livello B.</w:t>
      </w:r>
    </w:p>
    <w:p>
      <w:pPr>
        <w:spacing w:after="120" w:line="276"/>
        <w:jc w:val="both"/>
      </w:pPr>
      <w:r>
        <w:rPr>
          <w:rFonts w:ascii="Barlow Semi Condensed" w:cs="Barlow Semi Condensed" w:eastAsia="Barlow Semi Condensed" w:hAnsi="Barlow Semi Condensed"/>
          <w:sz w:val="24"/>
          <w:szCs w:val="24"/>
        </w:rPr>
        <w:t xml:space="preserve">Blocco trecentoventinove. La voce sulla Nuova Camorra Organizzata: quadro a Livello B di voce collaborativa; i numeri della faida restano come al blocco centotrentasette.</w:t>
      </w:r>
    </w:p>
    <w:p>
      <w:pPr>
        <w:spacing w:after="120" w:line="276"/>
        <w:jc w:val="both"/>
      </w:pPr>
      <w:r>
        <w:rPr>
          <w:rFonts w:ascii="Barlow Semi Condensed" w:cs="Barlow Semi Condensed" w:eastAsia="Barlow Semi Condensed" w:hAnsi="Barlow Semi Condensed"/>
          <w:sz w:val="24"/>
          <w:szCs w:val="24"/>
        </w:rPr>
        <w:t xml:space="preserve">Blocco trecentotrenta. La voce sull'omicidio del giudice Occorsio del dieci luglio millenovecentosettantasei: concordante col blocco duecentotrentuno: Livello A sui giudicati.</w:t>
      </w:r>
    </w:p>
    <w:p>
      <w:pPr>
        <w:spacing w:after="120" w:line="276"/>
        <w:jc w:val="both"/>
      </w:pPr>
      <w:r>
        <w:rPr>
          <w:rFonts w:ascii="Barlow Semi Condensed" w:cs="Barlow Semi Condensed" w:eastAsia="Barlow Semi Condensed" w:hAnsi="Barlow Semi Condensed"/>
          <w:sz w:val="24"/>
          <w:szCs w:val="24"/>
        </w:rPr>
        <w:t xml:space="preserve">Blocco trecentotrentuno. La voce sull'omicidio di Piersanti Mattarella: concordante coi blocchi trentadue-trentatré; il monitoraggio resta quello del blocco duecentotrentasette, con presunzione integrale per gli indagati e divieto di comunicazione fra fascicoli.</w:t>
      </w:r>
    </w:p>
    <w:p>
      <w:pPr>
        <w:spacing w:after="120" w:line="276"/>
        <w:jc w:val="both"/>
      </w:pPr>
      <w:r>
        <w:rPr>
          <w:rFonts w:ascii="Barlow Semi Condensed" w:cs="Barlow Semi Condensed" w:eastAsia="Barlow Semi Condensed" w:hAnsi="Barlow Semi Condensed"/>
          <w:sz w:val="24"/>
          <w:szCs w:val="24"/>
        </w:rPr>
        <w:t xml:space="preserve">Pendenze e sigillo (blocchi trecentotrentadue–trecentotrentotto)</w:t>
      </w:r>
    </w:p>
    <w:p>
      <w:pPr>
        <w:spacing w:after="120" w:line="276"/>
        <w:jc w:val="both"/>
      </w:pPr>
      <w:r>
        <w:rPr>
          <w:rFonts w:ascii="Barlow Semi Condensed" w:cs="Barlow Semi Condensed" w:eastAsia="Barlow Semi Condensed" w:hAnsi="Barlow Semi Condensed"/>
          <w:sz w:val="24"/>
          <w:szCs w:val="24"/>
        </w:rPr>
        <w:t xml:space="preserve">Blocco trecentotrentadue. Le sette serie identificative autonome del registro analitico Aginter — trecentosessantacinque voci: riconciliazione pendente, perimetro dichiarato, consegnata alla settima tranche.</w:t>
      </w:r>
    </w:p>
    <w:p>
      <w:pPr>
        <w:spacing w:after="120" w:line="276"/>
        <w:jc w:val="both"/>
      </w:pPr>
      <w:r>
        <w:rPr>
          <w:rFonts w:ascii="Barlow Semi Condensed" w:cs="Barlow Semi Condensed" w:eastAsia="Barlow Semi Condensed" w:hAnsi="Barlow Semi Condensed"/>
          <w:sz w:val="24"/>
          <w:szCs w:val="24"/>
        </w:rPr>
        <w:t xml:space="preserve">Blocco trecentotrentatré. La verifica alla fonte del rapporto portoghese trascritto da Laurent per il nodo sudafricano: pendenza archivistica con soglia di revisione dichiarata, invariata.</w:t>
      </w:r>
    </w:p>
    <w:p>
      <w:pPr>
        <w:spacing w:after="120" w:line="276"/>
        <w:jc w:val="both"/>
      </w:pPr>
      <w:r>
        <w:rPr>
          <w:rFonts w:ascii="Barlow Semi Condensed" w:cs="Barlow Semi Condensed" w:eastAsia="Barlow Semi Condensed" w:hAnsi="Barlow Semi Condensed"/>
          <w:sz w:val="24"/>
          <w:szCs w:val="24"/>
        </w:rPr>
        <w:t xml:space="preserve">Blocco trecentotrentaquattro. Il censimento cumulativo degli indirizzi: millesettecentoquarantasei su ventitré voci estratte, più i novecentosessantatré della monografia Aginter e lo zero statutario dell'innesco presente: mappa consolidata.</w:t>
      </w:r>
    </w:p>
    <w:p>
      <w:pPr>
        <w:spacing w:after="120" w:line="276"/>
        <w:jc w:val="both"/>
      </w:pPr>
      <w:r>
        <w:rPr>
          <w:rFonts w:ascii="Barlow Semi Condensed" w:cs="Barlow Semi Condensed" w:eastAsia="Barlow Semi Condensed" w:hAnsi="Barlow Semi Condensed"/>
          <w:sz w:val="24"/>
          <w:szCs w:val="24"/>
        </w:rPr>
        <w:t xml:space="preserve">Blocco trecentotrentacinque. Aggiornamento della matrice: il censimento fornisce l'ossatura mondiale del Dominio primo; nulla milita per H1; la pluralità irriducibile delle regie rafforza H3; i corridoi transatlantici arricchiscono i pattern dei flussi e delle dinastie.</w:t>
      </w:r>
    </w:p>
    <w:p>
      <w:pPr>
        <w:spacing w:after="120" w:line="276"/>
        <w:jc w:val="both"/>
      </w:pPr>
      <w:r>
        <w:rPr>
          <w:rFonts w:ascii="Barlow Semi Condensed" w:cs="Barlow Semi Condensed" w:eastAsia="Barlow Semi Condensed" w:hAnsi="Barlow Semi Condensed"/>
          <w:sz w:val="24"/>
          <w:szCs w:val="24"/>
        </w:rPr>
        <w:t xml:space="preserve">Blocco trecentotrentasei. Il principio del lampione, iscritto quale regola permanente: la densità documentaria misura l'attenzione delle fonti, non l'intensità storica dei fenomeni; le lacune campionate sono zone d'ombra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trecentotrentasette. I rilievi di metodo sul documento: l'espunzione dichiarata dei sessanta frammenti quale credito di igiene; l'apparato senza indirizzi quale scelta di stile documentale; l'eterogeneità di aggiornamento quale limite dichiarato.</w:t>
      </w:r>
    </w:p>
    <w:p>
      <w:pPr>
        <w:spacing w:after="120" w:line="276"/>
        <w:jc w:val="both"/>
      </w:pPr>
      <w:r>
        <w:rPr>
          <w:rFonts w:ascii="Barlow Semi Condensed" w:cs="Barlow Semi Condensed" w:eastAsia="Barlow Semi Condensed" w:hAnsi="Barlow Semi Condensed"/>
          <w:sz w:val="24"/>
          <w:szCs w:val="24"/>
        </w:rPr>
        <w:t xml:space="preserve">Blocco trecentotrentotto. Sigillo della sesta tranche: il registro raggiunge trecentotrentotto blocchi; le direzioni della settima sono fissate in chiusa.</w:t>
      </w:r>
    </w:p>
    <w:p>
      <w:pPr>
        <w:spacing w:after="120" w:line="276"/>
        <w:jc w:val="both"/>
      </w:pPr>
      <w:r>
        <w:rPr>
          <w:rFonts w:ascii="Barlow Semi Condensed" w:cs="Barlow Semi Condensed" w:eastAsia="Barlow Semi Condensed" w:hAnsi="Barlow Semi Condensed"/>
          <w:sz w:val="24"/>
          <w:szCs w:val="24"/>
        </w:rPr>
        <w:t xml:space="preserve">11.10 — Rilievi per le persone viventi e chiusa della sesta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comprese quelle della quinta sul fascicolo palermitano. Questa tranche vi aggiunge la clausola generale del blocco trecentouno: nessuna voce del censimento nominativo fonda, da sola, responsabilità o appartenenze di alcuna persona, vivente o defunta; per i capi detenuti menzionati nel campionamento — il capo del Primeiro Comando da Capital, il condannato del processo olandese — valgono i soli giudicati richiamati; per le persone comprese nelle liste sanzionatorie valgono gli atti sanzionatori quali fatti amministrativi, non quali accertamenti penali; per i nomi evocati dalle dichiarazioni del collaboratore nella rilettura di Montalto vale la Regola Ferrea: la menzione in una testimonianza processuale, per quanto recepita in sentenza, non equivale alla presenza storica accertata, e per i defunti non più giudicabili resta lo statuto obbligatorio già fissato.</w:t>
      </w:r>
    </w:p>
    <w:p>
      <w:pPr>
        <w:spacing w:after="120" w:line="276"/>
        <w:jc w:val="both"/>
      </w:pPr>
      <w:r>
        <w:rPr>
          <w:rFonts w:ascii="Barlow Semi Condensed" w:cs="Barlow Semi Condensed" w:eastAsia="Barlow Semi Condensed" w:hAnsi="Barlow Semi Condensed"/>
          <w:sz w:val="24"/>
          <w:szCs w:val="24"/>
        </w:rPr>
        <w:t xml:space="preserve">La sesta tranche porta il registro a trecentotrentotto blocchi certificati e consegna alla settima le seguenti direzioni: la riconciliazione delle sette serie identificative del registro Aginter — trecentosessantacinque voci; la verifica alla fonte del rapporto portoghese per il nodo sudafricano e gli indici della Torre do Tombo; l'interrogazione degli indici analitici cecoslovacchi per lo Stato Zero orientale; il vaglio della Parte prima del censimento — la mappatura integrale aggiornata che precede i dodici libri e che questa tranche non ha coperto; la verifica voce per voce della continuità delle serie di numerazione;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FASE XII — SETTIMA TRANCHE: IL DOCUMENTO MORO. TRIANGOLAZIONE DEL VOLUME UNIFICATO CON IL CORPUS E CON I BLOCCHI CERTIFICATI</w:t>
      </w:r>
    </w:p>
    <w:p>
      <w:pPr>
        <w:spacing w:after="120" w:line="276"/>
        <w:jc w:val="both"/>
      </w:pPr>
      <w:r>
        <w:rPr>
          <w:rFonts w:ascii="Barlow Semi Condensed" w:cs="Barlow Semi Condensed" w:eastAsia="Barlow Semi Condensed" w:hAnsi="Barlow Semi Condensed"/>
          <w:sz w:val="24"/>
          <w:szCs w:val="24"/>
        </w:rPr>
        <w:t xml:space="preserve">12.1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settima tranche assume quale documento-innesco il volume unificato «Aldo Moro — Una Pace senza Pace», opera in cinque fasi e cinquanta capitoli, edizione ampliata di circa duecentomila parole in trecentosessantadue pagine, con impronte crittografiche dichiarate per il file di testo e per la riproduzione a stampa, evoluzione dell'edizione di circa centoventiseimila parole già trasmessa per posta elettronica certificata ad un archivio pubblico con certificazione d'impronta. Il mandato del committente ridefinisce l'oggetto della settima tranche rispetto alle direzioni consegnate dalla sesta, che restano formalmente ereditate e sono rinviate all'ottava salvo dove il presente innesco le intercetti naturalmente, come accade per la direzione portoghese sul fondo di Lisbona. La tranche triangola il volume lungo tre assi: contro il corpus di progetto estratto integralmente, che contiene fonti primarie parlamentari, dataset testuali, registri federati e riproduzioni documentali sul caso; contro i trecentotrentotto blocchi già certificati dalle sei tranche precedenti; e contro le fonti esterne richiamate nei giudicati. L'esito è iscritto in cento blocchi nuovi, numerati dal trecentotrentanovesimo al quattrocentotrentottesimo.</w:t>
      </w:r>
    </w:p>
    <w:p>
      <w:pPr>
        <w:spacing w:after="120" w:line="276"/>
        <w:jc w:val="both"/>
      </w:pPr>
      <w:r>
        <w:rPr>
          <w:rFonts w:ascii="Barlow Semi Condensed" w:cs="Barlow Semi Condensed" w:eastAsia="Barlow Semi Condensed" w:hAnsi="Barlow Semi Condensed"/>
          <w:sz w:val="24"/>
          <w:szCs w:val="24"/>
        </w:rPr>
        <w:t xml:space="preserve">12.2 — Il metodo neurale: sinapsi intradominio e interdominio</w:t>
      </w:r>
    </w:p>
    <w:p>
      <w:pPr>
        <w:spacing w:after="120" w:line="276"/>
        <w:jc w:val="both"/>
      </w:pPr>
      <w:r>
        <w:rPr>
          <w:rFonts w:ascii="Barlow Semi Condensed" w:cs="Barlow Semi Condensed" w:eastAsia="Barlow Semi Condensed" w:hAnsi="Barlow Semi Condensed"/>
          <w:sz w:val="24"/>
          <w:szCs w:val="24"/>
        </w:rPr>
        <w:t xml:space="preserve">La tranche applica in forma esplicita la lettura neurale della rete multilivello prevista dalla Nota Metodologica: i nodi del caso sono trattati quali neuroni collocati su dieci strati, i Domini di Potere, e le connessioni quali sinapsi di due specie. Le sinapsi intradominio corrono dentro un medesimo strato — la catena di comando interna all'organizzazione armata, la gerarchia di un apparato, la filiera di un partito — e trasmettono ordini, risorse e appartenenze secondo il codice proprio del dominio. Le sinapsi interdominio attraversano gli strati e sono classificate secondo la tassonomia degli archi dell'opera: collusione, strumentalizzazione, infiltrazione, convergenza e transito. La disciplina è quella consueta e non conosce eccezioni: ogni sinapsi è certificata al livello della propria evidenza, la densità sinaptica non si converte mai in disegno unitario, la Regola Ferrea vieta di inferire il mandato dall'ostruzione, e le sinapsi cercate e non trovate sono iscritte quali Stati Zero con dignità di risultato. Il caso Moro è assunto quale banco di prova della lettura neurale perché è l'unico evento del corpus nel quale tutti i dieci strati risultano simultaneamente attivi e osservabili.</w:t>
      </w:r>
    </w:p>
    <w:p>
      <w:pPr>
        <w:spacing w:after="120" w:line="276"/>
        <w:jc w:val="both"/>
      </w:pPr>
      <w:r>
        <w:rPr>
          <w:rFonts w:ascii="Barlow Semi Condensed" w:cs="Barlow Semi Condensed" w:eastAsia="Barlow Semi Condensed" w:hAnsi="Barlow Semi Condensed"/>
          <w:sz w:val="24"/>
          <w:szCs w:val="24"/>
        </w:rPr>
        <w:t xml:space="preserve">12.3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volume interseca il registro esistente su quattro fronti maggiori. Con la terza tranche condivide i nodi della strage di Bologna, dell'omicidio di Piersanti Mattarella e della Banda della Magliana, che il volume tratta nella propria fase terza e nei capitoli romani della fase quarta: le certificazioni sono reciprocamente coerenti e i rinvii sono incrociati senza residui. Con le tranche prima e quinta condivide il perimetro della loggia coperta quale camera di compensazione, che il volume applica ai cinquantacinque giorni con i medesimi ancoraggi documentali. Con la seconda tranche condivide la cornice eurasiatista solo quale orizzonte prospettico, poiché il volume non tratta la stagione contemporanea: l'incrocio resta dichiarato e non certificato. Con la sesta tranche condivide il metodo del censimento a fonte ereditata e la disciplina delle voci nominative. Nessuna contraddizione fattuale tra il volume e i blocchi certificati è emersa dal riscontro: l'esito, che non era scontato su un corpus di questa estensione, è iscritto quale risultato della tranche.</w:t>
      </w:r>
    </w:p>
    <w:p>
      <w:pPr>
        <w:spacing w:after="120" w:line="276"/>
        <w:jc w:val="both"/>
      </w:pPr>
      <w:r>
        <w:rPr>
          <w:rFonts w:ascii="Barlow Semi Condensed" w:cs="Barlow Semi Condensed" w:eastAsia="Barlow Semi Condensed" w:hAnsi="Barlow Semi Condensed"/>
          <w:sz w:val="24"/>
          <w:szCs w:val="24"/>
        </w:rPr>
        <w:t xml:space="preserve">12.4 — La campagna di triangolazione con il corpus di progetto</w:t>
      </w:r>
    </w:p>
    <w:p>
      <w:pPr>
        <w:spacing w:after="120" w:line="276"/>
        <w:jc w:val="both"/>
      </w:pPr>
      <w:r>
        <w:rPr>
          <w:rFonts w:ascii="Barlow Semi Condensed" w:cs="Barlow Semi Condensed" w:eastAsia="Barlow Semi Condensed" w:hAnsi="Barlow Semi Condensed"/>
          <w:sz w:val="24"/>
          <w:szCs w:val="24"/>
        </w:rPr>
        <w:t xml:space="preserve">Il corpus di progetto contiene un giacimento moroteo autonomo che la tranche censisce e mobilita: l'elaborato parlamentare sul sequestro e sull'omicidio redatto per la Commissione stragi e datato 29 settembre 2000, presente quale estrazione integrale; le schede di presa in consegna della serie del Gruppo di lavoro sul caso Moro della Commissione della decima legislatura, dodici documenti scansionati per seicentoventuno pagine di resoconti stenografici del biennio 1991-1992; il dataset testuale integrale degli scritti moroteî, milleseessantadue documenti dal 1932 al 6 marzo 1978; la famiglia dei registri federati del caso — analitico, di scavo, speculare e genetico — con il codice relazionale che ne disciplina i passaggi; le tavole di triangolazione sull'armamento e sui bossoli; e le riproduzioni documentali maggiori, la relazione della prima Commissione e l'edizione delle lettere dalla prigionia, acquisite quali riproduzioni la cui natura di supporto è certificata nei blocchi dedicati. La campagna ha privilegiato i riscontri che il volume enuncia a Livello A, saggiandone la tenuta contro le fonti primarie interne al corpus.</w:t>
      </w:r>
    </w:p>
    <w:p>
      <w:pPr>
        <w:spacing w:after="120" w:line="276"/>
        <w:jc w:val="both"/>
      </w:pPr>
      <w:r>
        <w:rPr>
          <w:rFonts w:ascii="Barlow Semi Condensed" w:cs="Barlow Semi Condensed" w:eastAsia="Barlow Semi Condensed" w:hAnsi="Barlow Semi Condensed"/>
          <w:sz w:val="24"/>
          <w:szCs w:val="24"/>
        </w:rPr>
        <w:t xml:space="preserve">12.5 — Aggiornamento preliminare della matrice ACH</w:t>
      </w:r>
    </w:p>
    <w:p>
      <w:pPr>
        <w:spacing w:after="120" w:line="276"/>
        <w:jc w:val="both"/>
      </w:pPr>
      <w:r>
        <w:rPr>
          <w:rFonts w:ascii="Barlow Semi Condensed" w:cs="Barlow Semi Condensed" w:eastAsia="Barlow Semi Condensed" w:hAnsi="Barlow Semi Condensed"/>
          <w:sz w:val="24"/>
          <w:szCs w:val="24"/>
        </w:rPr>
        <w:t xml:space="preserve">Il volume-innesco entra nella matrice delle ipotesi in competizione con un apporto netto: la sua fase quarta documenta un caso a pluralità di convergenze certificate e privo di regista unitario giudizialmente accertato, rafforzando l'ipotesi della convergenza policentrica contro la forma forte dell'ipotesi del disegno unitario, che ne esce ulteriormente indebolita; l'ipotesi delle due internazionali autoritarie non riceve dal caso Moro né conferme né smentite dirette e resta a Livello C con i suoi vantaggi esplicativi già registrati. Il dettaglio è consegnato ai blocchi di verdetto in coda al registro.</w:t>
      </w:r>
    </w:p>
    <w:p>
      <w:pPr>
        <w:spacing w:after="120" w:line="276"/>
        <w:jc w:val="both"/>
      </w:pPr>
      <w:r>
        <w:rPr>
          <w:rFonts w:ascii="Barlow Semi Condensed" w:cs="Barlow Semi Condensed" w:eastAsia="Barlow Semi Condensed" w:hAnsi="Barlow Semi Condensed"/>
          <w:sz w:val="24"/>
          <w:szCs w:val="24"/>
        </w:rPr>
        <w:t xml:space="preserve">12.6 — Registro dei blocchi di verifica: blocchi trecentotrentanove–quattrocentotrentotto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trecentotrentanove–trecentoquarantaquattro)</w:t>
      </w:r>
    </w:p>
    <w:p>
      <w:pPr>
        <w:spacing w:after="120" w:line="276"/>
        <w:jc w:val="both"/>
      </w:pPr>
      <w:r>
        <w:rPr>
          <w:rFonts w:ascii="Barlow Semi Condensed" w:cs="Barlow Semi Condensed" w:eastAsia="Barlow Semi Condensed" w:hAnsi="Barlow Semi Condensed"/>
          <w:sz w:val="24"/>
          <w:szCs w:val="24"/>
        </w:rPr>
        <w:t xml:space="preserve">Blocco trecentotrentanove. Il documento-innesco: cinque fasi, cinquanta capitoli, circa duecentomila parole, trecentosessantadue pagine, impronte crittografiche dichiarate per entrambi i formati, cinque occhielli di fase e apparato di certificazioni inline: Livello A quale atto del corpus, con credito di igiene documentale per la dichiarazione delle impronte.</w:t>
      </w:r>
    </w:p>
    <w:p>
      <w:pPr>
        <w:spacing w:after="120" w:line="276"/>
        <w:jc w:val="both"/>
      </w:pPr>
      <w:r>
        <w:rPr>
          <w:rFonts w:ascii="Barlow Semi Condensed" w:cs="Barlow Semi Condensed" w:eastAsia="Barlow Semi Condensed" w:hAnsi="Barlow Semi Condensed"/>
          <w:sz w:val="24"/>
          <w:szCs w:val="24"/>
        </w:rPr>
        <w:t xml:space="preserve">Blocco trecentoquaranta. La doppia edizione: la versione di circa centoventiseimila parole trasmessa per posta elettronica certificata ad archivio pubblico con impronta, e l'edizione ampliata con impronte nuove: catena di custodia interna documentata, Livello A quale genealogia del testo.</w:t>
      </w:r>
    </w:p>
    <w:p>
      <w:pPr>
        <w:spacing w:after="120" w:line="276"/>
        <w:jc w:val="both"/>
      </w:pPr>
      <w:r>
        <w:rPr>
          <w:rFonts w:ascii="Barlow Semi Condensed" w:cs="Barlow Semi Condensed" w:eastAsia="Barlow Semi Condensed" w:hAnsi="Barlow Semi Condensed"/>
          <w:sz w:val="24"/>
          <w:szCs w:val="24"/>
        </w:rPr>
        <w:t xml:space="preserve">Blocco trecentoquarantuno. Il metodo interno: milleseicentonovanta certificazioni probatorie inline, Regola Ferrea dichiarata, Stati Zero iscritti quali risultati: conformità formale alla Nota Metodologica verificata ora per campionamento, Livello A quale conformità di metodo, con l'avvertenza che l'autocertificazione del volume non fa prova dei suoi contenuti, che questa tranche saggia contro fonti esterne.</w:t>
      </w:r>
    </w:p>
    <w:p>
      <w:pPr>
        <w:spacing w:after="120" w:line="276"/>
        <w:jc w:val="both"/>
      </w:pPr>
      <w:r>
        <w:rPr>
          <w:rFonts w:ascii="Barlow Semi Condensed" w:cs="Barlow Semi Condensed" w:eastAsia="Barlow Semi Condensed" w:hAnsi="Barlow Semi Condensed"/>
          <w:sz w:val="24"/>
          <w:szCs w:val="24"/>
        </w:rPr>
        <w:t xml:space="preserve">Blocco trecentoquarantadue. Il perimetro: la fase quarta quale trattazione del caso, le fasi restanti quali contesto del quadrilatero, degli apparati, dello stragismo e del teatro internazionale: architettura a cerniera iscritta, Livello A quale struttura dichiarata e riscontrata.</w:t>
      </w:r>
    </w:p>
    <w:p>
      <w:pPr>
        <w:spacing w:after="120" w:line="276"/>
        <w:jc w:val="both"/>
      </w:pPr>
      <w:r>
        <w:rPr>
          <w:rFonts w:ascii="Barlow Semi Condensed" w:cs="Barlow Semi Condensed" w:eastAsia="Barlow Semi Condensed" w:hAnsi="Barlow Semi Condensed"/>
          <w:sz w:val="24"/>
          <w:szCs w:val="24"/>
        </w:rPr>
        <w:t xml:space="preserve">Blocco trecentoquarantatré. La federazione con i registri moroteî del corpus — analitico sino alla dodicesima edizione, di scavo, speculare, genetico, con codice relazionale e protocollo dei passaggi: coesistenza documentata di cinque linee registrali autonome sul medesimo caso, Livello A quale esistenza della federazione; la riconciliazione contenutistica voce per voce è pendenza dichiarata e consegnata.</w:t>
      </w:r>
    </w:p>
    <w:p>
      <w:pPr>
        <w:spacing w:after="120" w:line="276"/>
        <w:jc w:val="both"/>
      </w:pPr>
      <w:r>
        <w:rPr>
          <w:rFonts w:ascii="Barlow Semi Condensed" w:cs="Barlow Semi Condensed" w:eastAsia="Barlow Semi Condensed" w:hAnsi="Barlow Semi Condensed"/>
          <w:sz w:val="24"/>
          <w:szCs w:val="24"/>
        </w:rPr>
        <w:t xml:space="preserve">Blocco trecentoquarantaquattro. Zero indirizzi di rete nel corpo del volume: apparato per fonti nominate, coerente con il protocollo redazionale della quinta Fase di questo registro: Livello A per statuto.</w:t>
      </w:r>
    </w:p>
    <w:p>
      <w:pPr>
        <w:spacing w:after="120" w:line="276"/>
        <w:jc w:val="both"/>
      </w:pPr>
      <w:r>
        <w:rPr>
          <w:rFonts w:ascii="Barlow Semi Condensed" w:cs="Barlow Semi Condensed" w:eastAsia="Barlow Semi Condensed" w:hAnsi="Barlow Semi Condensed"/>
          <w:sz w:val="24"/>
          <w:szCs w:val="24"/>
        </w:rPr>
        <w:t xml:space="preserve">Sinapsi intradominio del settimo dominio: la catena interna (blocchi trecentoquarantacinque–trecentocinquantaquattro)</w:t>
      </w:r>
    </w:p>
    <w:p>
      <w:pPr>
        <w:spacing w:after="120" w:line="276"/>
        <w:jc w:val="both"/>
      </w:pPr>
      <w:r>
        <w:rPr>
          <w:rFonts w:ascii="Barlow Semi Condensed" w:cs="Barlow Semi Condensed" w:eastAsia="Barlow Semi Condensed" w:hAnsi="Barlow Semi Condensed"/>
          <w:sz w:val="24"/>
          <w:szCs w:val="24"/>
        </w:rPr>
        <w:t xml:space="preserve">Blocco trecentoquarantacinque. L'agguato di via Fani quale operazione militare: dinamica, rapporto dei colpi, sequenza dei mezzi: l'enunciato del volume converge con l'elaborato parlamentare del 2000 presente nel corpus e con i giudicati richiamati: Livello A verificato ora contro fonte primaria interna al corpus.</w:t>
      </w:r>
    </w:p>
    <w:p>
      <w:pPr>
        <w:spacing w:after="120" w:line="276"/>
        <w:jc w:val="both"/>
      </w:pPr>
      <w:r>
        <w:rPr>
          <w:rFonts w:ascii="Barlow Semi Condensed" w:cs="Barlow Semi Condensed" w:eastAsia="Barlow Semi Condensed" w:hAnsi="Barlow Semi Condensed"/>
          <w:sz w:val="24"/>
          <w:szCs w:val="24"/>
        </w:rPr>
        <w:t xml:space="preserve">Blocco trecentoquarantasei. Il Comitato esecutivo quale organo deliberante a quattro membri, interfaccia tra Direzione strategica e colonne: composizione e attribuzioni conformi ai giudicati: Livello A già certificato nel volume, coerente con le fonti del corpus.</w:t>
      </w:r>
    </w:p>
    <w:p>
      <w:pPr>
        <w:spacing w:after="120" w:line="276"/>
        <w:jc w:val="both"/>
      </w:pPr>
      <w:r>
        <w:rPr>
          <w:rFonts w:ascii="Barlow Semi Condensed" w:cs="Barlow Semi Condensed" w:eastAsia="Barlow Semi Condensed" w:hAnsi="Barlow Semi Condensed"/>
          <w:sz w:val="24"/>
          <w:szCs w:val="24"/>
        </w:rPr>
        <w:t xml:space="preserve">Blocco trecentoquarantasette. La costellazione romana delle basi — il covo direttivo, la prigione, la tipografia — e la sua preesistenza documentata all'azione: il calendario immobiliare quale prova della pianificazione lunga: Livello A.</w:t>
      </w:r>
    </w:p>
    <w:p>
      <w:pPr>
        <w:spacing w:after="120" w:line="276"/>
        <w:jc w:val="both"/>
      </w:pPr>
      <w:r>
        <w:rPr>
          <w:rFonts w:ascii="Barlow Semi Condensed" w:cs="Barlow Semi Condensed" w:eastAsia="Barlow Semi Condensed" w:hAnsi="Barlow Semi Condensed"/>
          <w:sz w:val="24"/>
          <w:szCs w:val="24"/>
        </w:rPr>
        <w:t xml:space="preserve">Blocco trecentoquarantotto. Il nome in codice dell'operazione, Fritz, quale designazione interna riferita dalle fonti dell'organizzazione: convergenza di dichiarazioni omogenee di provenienza interessata: Livello B con Indice di Contaminazione dichiarato.</w:t>
      </w:r>
    </w:p>
    <w:p>
      <w:pPr>
        <w:spacing w:after="120" w:line="276"/>
        <w:jc w:val="both"/>
      </w:pPr>
      <w:r>
        <w:rPr>
          <w:rFonts w:ascii="Barlow Semi Condensed" w:cs="Barlow Semi Condensed" w:eastAsia="Barlow Semi Condensed" w:hAnsi="Barlow Semi Condensed"/>
          <w:sz w:val="24"/>
          <w:szCs w:val="24"/>
        </w:rPr>
        <w:t xml:space="preserve">Blocco trecentoquarantanove. La genesi milanese 1969-1970 tra fabbrica e collettivi quale sinapsi genetica intradominio: ricostruzione conforme alla storiografia giudiziaria: Livello A.</w:t>
      </w:r>
    </w:p>
    <w:p>
      <w:pPr>
        <w:spacing w:after="120" w:line="276"/>
        <w:jc w:val="both"/>
      </w:pPr>
      <w:r>
        <w:rPr>
          <w:rFonts w:ascii="Barlow Semi Condensed" w:cs="Barlow Semi Condensed" w:eastAsia="Barlow Semi Condensed" w:hAnsi="Barlow Semi Condensed"/>
          <w:sz w:val="24"/>
          <w:szCs w:val="24"/>
        </w:rPr>
        <w:t xml:space="preserve">Blocco trecentocinquanta. L'economia della campagna: il riscatto del sequestro ligure del 1977 quale finanziamento accertato nei giudicati: sinapsi intradominio di risorsa: Livello A.</w:t>
      </w:r>
    </w:p>
    <w:p>
      <w:pPr>
        <w:spacing w:after="120" w:line="276"/>
        <w:jc w:val="both"/>
      </w:pPr>
      <w:r>
        <w:rPr>
          <w:rFonts w:ascii="Barlow Semi Condensed" w:cs="Barlow Semi Condensed" w:eastAsia="Barlow Semi Condensed" w:hAnsi="Barlow Semi Condensed"/>
          <w:sz w:val="24"/>
          <w:szCs w:val="24"/>
        </w:rPr>
        <w:t xml:space="preserve">Blocco trecentocinquantuno. La prigione condominiale: l'invisibilità comportamentale accertata nei dibattimenti quale tecnologia decisiva della clandestinità: Livello A.</w:t>
      </w:r>
    </w:p>
    <w:p>
      <w:pPr>
        <w:spacing w:after="120" w:line="276"/>
        <w:jc w:val="both"/>
      </w:pPr>
      <w:r>
        <w:rPr>
          <w:rFonts w:ascii="Barlow Semi Condensed" w:cs="Barlow Semi Condensed" w:eastAsia="Barlow Semi Condensed" w:hAnsi="Barlow Semi Condensed"/>
          <w:sz w:val="24"/>
          <w:szCs w:val="24"/>
        </w:rPr>
        <w:t xml:space="preserve">Blocco trecentocinquantadue. Il silenzio elettronico dell'organizzazione nei cinquantacinque giorni: assenza di traffico intercettabile riferibile, quale dato tecnico degli atti: Livello A quale dato, con le letture ulteriori lasciate al loro grado.</w:t>
      </w:r>
    </w:p>
    <w:p>
      <w:pPr>
        <w:spacing w:after="120" w:line="276"/>
        <w:jc w:val="both"/>
      </w:pPr>
      <w:r>
        <w:rPr>
          <w:rFonts w:ascii="Barlow Semi Condensed" w:cs="Barlow Semi Condensed" w:eastAsia="Barlow Semi Condensed" w:hAnsi="Barlow Semi Condensed"/>
          <w:sz w:val="24"/>
          <w:szCs w:val="24"/>
        </w:rPr>
        <w:t xml:space="preserve">Blocco trecentocinquantatré. La biforcazione dei destini penali tra dissociati e irriducibili quale effetto della legislazione premiale: Livello A quale quadro aggregato dai giudicati.</w:t>
      </w:r>
    </w:p>
    <w:p>
      <w:pPr>
        <w:spacing w:after="120" w:line="276"/>
        <w:jc w:val="both"/>
      </w:pPr>
      <w:r>
        <w:rPr>
          <w:rFonts w:ascii="Barlow Semi Condensed" w:cs="Barlow Semi Condensed" w:eastAsia="Barlow Semi Condensed" w:hAnsi="Barlow Semi Condensed"/>
          <w:sz w:val="24"/>
          <w:szCs w:val="24"/>
        </w:rPr>
        <w:t xml:space="preserve">Blocco trecentocinquantaquattro. La negazione unanime, da parte delle fonti interne, di presenze estranee sulla scena: convergenza dichiarativa di provenienza interessata, che non chiude la questione peritale: Livello B dichiarativo, con rinvio al blocco sulle ipotesi della seconda Commissione.</w:t>
      </w:r>
    </w:p>
    <w:p>
      <w:pPr>
        <w:spacing w:after="120" w:line="276"/>
        <w:jc w:val="both"/>
      </w:pPr>
      <w:r>
        <w:rPr>
          <w:rFonts w:ascii="Barlow Semi Condensed" w:cs="Barlow Semi Condensed" w:eastAsia="Barlow Semi Condensed" w:hAnsi="Barlow Semi Condensed"/>
          <w:sz w:val="24"/>
          <w:szCs w:val="24"/>
        </w:rPr>
        <w:t xml:space="preserve">Sinapsi interdominio settimo-terzo: organizzazione e apparati (blocchi trecentocinquantacinque–trecentosessantaquattro)</w:t>
      </w:r>
    </w:p>
    <w:p>
      <w:pPr>
        <w:spacing w:after="120" w:line="276"/>
        <w:jc w:val="both"/>
      </w:pPr>
      <w:r>
        <w:rPr>
          <w:rFonts w:ascii="Barlow Semi Condensed" w:cs="Barlow Semi Condensed" w:eastAsia="Barlow Semi Condensed" w:hAnsi="Barlow Semi Condensed"/>
          <w:sz w:val="24"/>
          <w:szCs w:val="24"/>
        </w:rPr>
        <w:t xml:space="preserve">Blocco trecentocinquantacinque. Il triplo mancato di via Gradoli — la segnalazione non convenzionale, il controllo di pattuglia del 18 marzo, l'equivoco toponomastico: tre strumenti falliti sul medesimo indirizzo: Livello A quanto ai fatti, Livello C permanente quanto alle letture non certificate.</w:t>
      </w:r>
    </w:p>
    <w:p>
      <w:pPr>
        <w:spacing w:after="120" w:line="276"/>
        <w:jc w:val="both"/>
      </w:pPr>
      <w:r>
        <w:rPr>
          <w:rFonts w:ascii="Barlow Semi Condensed" w:cs="Barlow Semi Condensed" w:eastAsia="Barlow Semi Condensed" w:hAnsi="Barlow Semi Condensed"/>
          <w:sz w:val="24"/>
          <w:szCs w:val="24"/>
        </w:rPr>
        <w:t xml:space="preserve">Blocco trecentocinquantasei. La composizione dei comitati di gestione della crisi con presenze iscritte negli elenchi della loggia sequestrati nel 1981: sinapsi di infiltrazione tra quarto e terzo dominio attiva durante i cinquantacinque giorni: Livello A quale risultanza dagli elenchi, senza inferenza di condotte.</w:t>
      </w:r>
    </w:p>
    <w:p>
      <w:pPr>
        <w:spacing w:after="120" w:line="276"/>
        <w:jc w:val="both"/>
      </w:pPr>
      <w:r>
        <w:rPr>
          <w:rFonts w:ascii="Barlow Semi Condensed" w:cs="Barlow Semi Condensed" w:eastAsia="Barlow Semi Condensed" w:hAnsi="Barlow Semi Condensed"/>
          <w:sz w:val="24"/>
          <w:szCs w:val="24"/>
        </w:rPr>
        <w:t xml:space="preserve">Blocco trecentocinquantasette. L'unica condanna d'apparato del caso: il funzionario di vertice condannato in via definitiva per la fuga di notizie sul memoriale nell'ottobre 1978: Livello A.</w:t>
      </w:r>
    </w:p>
    <w:p>
      <w:pPr>
        <w:spacing w:after="120" w:line="276"/>
        <w:jc w:val="both"/>
      </w:pPr>
      <w:r>
        <w:rPr>
          <w:rFonts w:ascii="Barlow Semi Condensed" w:cs="Barlow Semi Condensed" w:eastAsia="Barlow Semi Condensed" w:hAnsi="Barlow Semi Condensed"/>
          <w:sz w:val="24"/>
          <w:szCs w:val="24"/>
        </w:rPr>
        <w:t xml:space="preserve">Blocco trecentocinquantotto. La smobilitazione dell'Ispettorato antiterrorismo nella stagione immediatamente precedente l'agguato: riorganizzazione documentata degli assetti: Livello A quale fatto ordinamentale, con la lettura funzionale al suo grado.</w:t>
      </w:r>
    </w:p>
    <w:p>
      <w:pPr>
        <w:spacing w:after="120" w:line="276"/>
        <w:jc w:val="both"/>
      </w:pPr>
      <w:r>
        <w:rPr>
          <w:rFonts w:ascii="Barlow Semi Condensed" w:cs="Barlow Semi Condensed" w:eastAsia="Barlow Semi Condensed" w:hAnsi="Barlow Semi Condensed"/>
          <w:sz w:val="24"/>
          <w:szCs w:val="24"/>
        </w:rPr>
        <w:t xml:space="preserve">Blocco trecentocinquantanove. Il censimento negativo della protezione: vettura non blindata, assenza di copertura aerea, scorta priva di addestramento specifico anti-imboscata: convergenza tra il volume e gli accertamenti parlamentari presenti nel corpus: Livello A verificato ora.</w:t>
      </w:r>
    </w:p>
    <w:p>
      <w:pPr>
        <w:spacing w:after="120" w:line="276"/>
        <w:jc w:val="both"/>
      </w:pPr>
      <w:r>
        <w:rPr>
          <w:rFonts w:ascii="Barlow Semi Condensed" w:cs="Barlow Semi Condensed" w:eastAsia="Barlow Semi Condensed" w:hAnsi="Barlow Semi Condensed"/>
          <w:sz w:val="24"/>
          <w:szCs w:val="24"/>
        </w:rPr>
        <w:t xml:space="preserve">Blocco trecentosessanta. Il rumore informativo: le migliaia di segnalazioni, millantazioni e offerte spontanee censite dagli atti quale condizione operativa reale della caccia: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trecentosessantuno. Il falso comunicato del lago e la ricognizione subacquea sincrona alle operazioni sul covo milanese: cronologia oggettiva iscritta: Livello A quanto ai fatti, Livello C quanto ad ogni regia unitaria non certificata.</w:t>
      </w:r>
    </w:p>
    <w:p>
      <w:pPr>
        <w:spacing w:after="120" w:line="276"/>
        <w:jc w:val="both"/>
      </w:pPr>
      <w:r>
        <w:rPr>
          <w:rFonts w:ascii="Barlow Semi Condensed" w:cs="Barlow Semi Condensed" w:eastAsia="Barlow Semi Condensed" w:hAnsi="Barlow Semi Condensed"/>
          <w:sz w:val="24"/>
          <w:szCs w:val="24"/>
        </w:rPr>
        <w:t xml:space="preserve">Blocco trecentosessantadue. Il doppio ritrovamento di via Monte Nevoso, 1978 e 1990, con il differenziale documentale tra le due acquisizioni: Livello A quanto ai fatti; le carte mancanti restano oggetto senza giudicato.</w:t>
      </w:r>
    </w:p>
    <w:p>
      <w:pPr>
        <w:spacing w:after="120" w:line="276"/>
        <w:jc w:val="both"/>
      </w:pPr>
      <w:r>
        <w:rPr>
          <w:rFonts w:ascii="Barlow Semi Condensed" w:cs="Barlow Semi Condensed" w:eastAsia="Barlow Semi Condensed" w:hAnsi="Barlow Semi Condensed"/>
          <w:sz w:val="24"/>
          <w:szCs w:val="24"/>
        </w:rPr>
        <w:t xml:space="preserve">Blocco trecentosessantatré. L'attribuzione istruttoria del falso comunicato ad un falsario poi ucciso nel 1984 senza processo: Livello B quanto all'attribuzione, Livello A quanto alla morte prima del dibattimento.</w:t>
      </w:r>
    </w:p>
    <w:p>
      <w:pPr>
        <w:spacing w:after="120" w:line="276"/>
        <w:jc w:val="both"/>
      </w:pPr>
      <w:r>
        <w:rPr>
          <w:rFonts w:ascii="Barlow Semi Condensed" w:cs="Barlow Semi Condensed" w:eastAsia="Barlow Semi Condensed" w:hAnsi="Barlow Semi Condensed"/>
          <w:sz w:val="24"/>
          <w:szCs w:val="24"/>
        </w:rPr>
        <w:t xml:space="preserve">Blocco trecentosessantaquattro. Stato Zero di dominio: nessun mandato o concorso di apparato nel sequestro è stato accertato in alcuno dei cinque cicli di giudizio; le omissioni censite restano omissioni: la Regola Ferrea vieta la conversione: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settimo-secondo: organizzazione e politica (blocchi trecentosessantacinque–trecentosettantadue)</w:t>
      </w:r>
    </w:p>
    <w:p>
      <w:pPr>
        <w:spacing w:after="120" w:line="276"/>
        <w:jc w:val="both"/>
      </w:pPr>
      <w:r>
        <w:rPr>
          <w:rFonts w:ascii="Barlow Semi Condensed" w:cs="Barlow Semi Condensed" w:eastAsia="Barlow Semi Condensed" w:hAnsi="Barlow Semi Condensed"/>
          <w:sz w:val="24"/>
          <w:szCs w:val="24"/>
        </w:rPr>
        <w:t xml:space="preserve">Blocco trecentosessantacinque. La posta politica: la cronologia 16 gennaio-16 marzo 1978 e la coincidenza del giorno dell'agguato con il voto di fiducia: Livello A quale cronologia oggettiva, senza inferenza di sincronizzazione oltre il suo grado.</w:t>
      </w:r>
    </w:p>
    <w:p>
      <w:pPr>
        <w:spacing w:after="120" w:line="276"/>
        <w:jc w:val="both"/>
      </w:pPr>
      <w:r>
        <w:rPr>
          <w:rFonts w:ascii="Barlow Semi Condensed" w:cs="Barlow Semi Condensed" w:eastAsia="Barlow Semi Condensed" w:hAnsi="Barlow Semi Condensed"/>
          <w:sz w:val="24"/>
          <w:szCs w:val="24"/>
        </w:rPr>
        <w:t xml:space="preserve">Blocco trecentosessantasei. L'architettura argomentativa della corrispondenza al ministro dell'interno quale primo atto della linea negoziale del prigioniero: Livello A quale testo autentico periziato.</w:t>
      </w:r>
    </w:p>
    <w:p>
      <w:pPr>
        <w:spacing w:after="120" w:line="276"/>
        <w:jc w:val="both"/>
      </w:pPr>
      <w:r>
        <w:rPr>
          <w:rFonts w:ascii="Barlow Semi Condensed" w:cs="Barlow Semi Condensed" w:eastAsia="Barlow Semi Condensed" w:hAnsi="Barlow Semi Condensed"/>
          <w:sz w:val="24"/>
          <w:szCs w:val="24"/>
        </w:rPr>
        <w:t xml:space="preserve">Blocco trecentosessantasette. La filiera parallela del partito socialista attraverso l'esponente di vertice, il giornalista e l'area dell'autonomia: esistenza documentata dalle audizioni, portata dei singoli passaggi non integralmente certificata: Livello A sull'esistenza, Livello B sulla portata.</w:t>
      </w:r>
    </w:p>
    <w:p>
      <w:pPr>
        <w:spacing w:after="120" w:line="276"/>
        <w:jc w:val="both"/>
      </w:pPr>
      <w:r>
        <w:rPr>
          <w:rFonts w:ascii="Barlow Semi Condensed" w:cs="Barlow Semi Condensed" w:eastAsia="Barlow Semi Condensed" w:hAnsi="Barlow Semi Condensed"/>
          <w:sz w:val="24"/>
          <w:szCs w:val="24"/>
        </w:rPr>
        <w:t xml:space="preserve">Blocco trecentosessantotto. La fine della solidarietà nazionale nel gennaio 1979 quale effetto-calendario della vicenda: Livello A quale sequenza documentata degli effetti.</w:t>
      </w:r>
    </w:p>
    <w:p>
      <w:pPr>
        <w:spacing w:after="120" w:line="276"/>
        <w:jc w:val="both"/>
      </w:pPr>
      <w:r>
        <w:rPr>
          <w:rFonts w:ascii="Barlow Semi Condensed" w:cs="Barlow Semi Condensed" w:eastAsia="Barlow Semi Condensed" w:hAnsi="Barlow Semi Condensed"/>
          <w:sz w:val="24"/>
          <w:szCs w:val="24"/>
        </w:rPr>
        <w:t xml:space="preserve">Blocco trecentosessantanove. La legislazione emergenziale e premiale del triennio successivo quale vincitrice strutturale della stagione: Livello A quale quadro normativo e applicativo.</w:t>
      </w:r>
    </w:p>
    <w:p>
      <w:pPr>
        <w:spacing w:after="120" w:line="276"/>
        <w:jc w:val="both"/>
      </w:pPr>
      <w:r>
        <w:rPr>
          <w:rFonts w:ascii="Barlow Semi Condensed" w:cs="Barlow Semi Condensed" w:eastAsia="Barlow Semi Condensed" w:hAnsi="Barlow Semi Condensed"/>
          <w:sz w:val="24"/>
          <w:szCs w:val="24"/>
        </w:rPr>
        <w:t xml:space="preserve">Blocco trecentosettanta. L'istituzione per legge, nel 2007, del 9 maggio quale Giorno della memoria delle vittime del terrorismo: Livello A.</w:t>
      </w:r>
    </w:p>
    <w:p>
      <w:pPr>
        <w:spacing w:after="120" w:line="276"/>
        <w:jc w:val="both"/>
      </w:pPr>
      <w:r>
        <w:rPr>
          <w:rFonts w:ascii="Barlow Semi Condensed" w:cs="Barlow Semi Condensed" w:eastAsia="Barlow Semi Condensed" w:hAnsi="Barlow Semi Condensed"/>
          <w:sz w:val="24"/>
          <w:szCs w:val="24"/>
        </w:rPr>
        <w:t xml:space="preserve">Blocco trecentosettantuno. Le dimissioni del ministro dell'interno il 9 maggio e il corpus trentennale delle sue esternazioni successive: Livello A quale esistenza e natura del corpus dichiarativo, Livello C permanente quanto ai contenuti allusivi mai riscontrati.</w:t>
      </w:r>
    </w:p>
    <w:p>
      <w:pPr>
        <w:spacing w:after="120" w:line="276"/>
        <w:jc w:val="both"/>
      </w:pPr>
      <w:r>
        <w:rPr>
          <w:rFonts w:ascii="Barlow Semi Condensed" w:cs="Barlow Semi Condensed" w:eastAsia="Barlow Semi Condensed" w:hAnsi="Barlow Semi Condensed"/>
          <w:sz w:val="24"/>
          <w:szCs w:val="24"/>
        </w:rPr>
        <w:t xml:space="preserve">Blocco trecentosettantadue. La catena istituzionale dell'estate 1978 — le dimissioni del Capo dello Stato, l'elezione del successore, la morte del pontefice: Livello A quale cronologia, iscritta quale sismografo di sistema senza nessi causali oltre il grado.</w:t>
      </w:r>
    </w:p>
    <w:p>
      <w:pPr>
        <w:spacing w:after="120" w:line="276"/>
        <w:jc w:val="both"/>
      </w:pPr>
      <w:r>
        <w:rPr>
          <w:rFonts w:ascii="Barlow Semi Condensed" w:cs="Barlow Semi Condensed" w:eastAsia="Barlow Semi Condensed" w:hAnsi="Barlow Semi Condensed"/>
          <w:sz w:val="24"/>
          <w:szCs w:val="24"/>
        </w:rPr>
        <w:t xml:space="preserve">Sinapsi interdominio settimo-quarto: organizzazione, caso e loggia (blocchi trecentosettantatré–trecentosettantanove)</w:t>
      </w:r>
    </w:p>
    <w:p>
      <w:pPr>
        <w:spacing w:after="120" w:line="276"/>
        <w:jc w:val="both"/>
      </w:pPr>
      <w:r>
        <w:rPr>
          <w:rFonts w:ascii="Barlow Semi Condensed" w:cs="Barlow Semi Condensed" w:eastAsia="Barlow Semi Condensed" w:hAnsi="Barlow Semi Condensed"/>
          <w:sz w:val="24"/>
          <w:szCs w:val="24"/>
        </w:rPr>
        <w:t xml:space="preserve">Blocco trecentosettantatré. Il direttore del settimanale romano negli elenchi sequestrati della loggia e il suo omicidio nel marzo 1979 rimasto senza colpevoli definitivi: Livello A quanto alla risultanza dagli elenchi e all'esito giudiziario; la posizione del nodo che informa contro il proprio cluster è iscritta quale lettura topologica.</w:t>
      </w:r>
    </w:p>
    <w:p>
      <w:pPr>
        <w:spacing w:after="120" w:line="276"/>
        <w:jc w:val="both"/>
      </w:pPr>
      <w:r>
        <w:rPr>
          <w:rFonts w:ascii="Barlow Semi Condensed" w:cs="Barlow Semi Condensed" w:eastAsia="Barlow Semi Condensed" w:hAnsi="Barlow Semi Condensed"/>
          <w:sz w:val="24"/>
          <w:szCs w:val="24"/>
        </w:rPr>
        <w:t xml:space="preserve">Blocco trecentosettantaquattro. La presenza negli elenchi della loggia di titolari di funzioni apicali della sicurezza in carica durante i cinquantacinque giorni: Livello A quale risultanza documentale, senza inferenza di condotte specifiche.</w:t>
      </w:r>
    </w:p>
    <w:p>
      <w:pPr>
        <w:spacing w:after="120" w:line="276"/>
        <w:jc w:val="both"/>
      </w:pPr>
      <w:r>
        <w:rPr>
          <w:rFonts w:ascii="Barlow Semi Condensed" w:cs="Barlow Semi Condensed" w:eastAsia="Barlow Semi Condensed" w:hAnsi="Barlow Semi Condensed"/>
          <w:sz w:val="24"/>
          <w:szCs w:val="24"/>
        </w:rPr>
        <w:t xml:space="preserve">Blocco trecentosettantacinque. Il fascicolo riservato sui traffici petroliferi e la sua migrazione verso il settimanale: sinapsi di transito informativo tra apparati e stampa: Livello A quanto alla vicenda documentale, Livello B quanto ai passaggi intermedi.</w:t>
      </w:r>
    </w:p>
    <w:p>
      <w:pPr>
        <w:spacing w:after="120" w:line="276"/>
        <w:jc w:val="both"/>
      </w:pPr>
      <w:r>
        <w:rPr>
          <w:rFonts w:ascii="Barlow Semi Condensed" w:cs="Barlow Semi Condensed" w:eastAsia="Barlow Semi Condensed" w:hAnsi="Barlow Semi Condensed"/>
          <w:sz w:val="24"/>
          <w:szCs w:val="24"/>
        </w:rPr>
        <w:t xml:space="preserve">Blocco trecentosettantasei. La camera di compensazione: il ruolo della loggia quale piattaforma trasversale, già certificato nelle tranche precedenti, è richiamato per i cinquantacinque giorni senza estensioni nuove: già certificato.</w:t>
      </w:r>
    </w:p>
    <w:p>
      <w:pPr>
        <w:spacing w:after="120" w:line="276"/>
        <w:jc w:val="both"/>
      </w:pPr>
      <w:r>
        <w:rPr>
          <w:rFonts w:ascii="Barlow Semi Condensed" w:cs="Barlow Semi Condensed" w:eastAsia="Barlow Semi Condensed" w:hAnsi="Barlow Semi Condensed"/>
          <w:sz w:val="24"/>
          <w:szCs w:val="24"/>
        </w:rPr>
        <w:t xml:space="preserve">Blocco trecentosettantasette. L'apocrifo delle «convergenze parallele»: circolazione pubblica della formula attribuita e assenza della paternità nel corpus autentico: Livello A sulla circolazione, Livello C sulla paternità.</w:t>
      </w:r>
    </w:p>
    <w:p>
      <w:pPr>
        <w:spacing w:after="120" w:line="276"/>
        <w:jc w:val="both"/>
      </w:pPr>
      <w:r>
        <w:rPr>
          <w:rFonts w:ascii="Barlow Semi Condensed" w:cs="Barlow Semi Condensed" w:eastAsia="Barlow Semi Condensed" w:hAnsi="Barlow Semi Condensed"/>
          <w:sz w:val="24"/>
          <w:szCs w:val="24"/>
        </w:rPr>
        <w:t xml:space="preserve">Blocco trecentosettantotto. Le veline e i dossier quali strumenti di condizionamento informativo nella stagione del caso: fenomeno documentato dalle inchieste parlamentari: Livello B quale sistema, con i singoli episodi al loro grado.</w:t>
      </w:r>
    </w:p>
    <w:p>
      <w:pPr>
        <w:spacing w:after="120" w:line="276"/>
        <w:jc w:val="both"/>
      </w:pPr>
      <w:r>
        <w:rPr>
          <w:rFonts w:ascii="Barlow Semi Condensed" w:cs="Barlow Semi Condensed" w:eastAsia="Barlow Semi Condensed" w:hAnsi="Barlow Semi Condensed"/>
          <w:sz w:val="24"/>
          <w:szCs w:val="24"/>
        </w:rPr>
        <w:t xml:space="preserve">Blocco trecentosettantanove. Stato Zero di dominio: nessun giudicato lega la loggia quale ente alla deliberazione o alla gestione del sequestro: Stato Zero certificato, distinto dalle risultanze individuali dei blocchi precedenti.</w:t>
      </w:r>
    </w:p>
    <w:p>
      <w:pPr>
        <w:spacing w:after="120" w:line="276"/>
        <w:jc w:val="both"/>
      </w:pPr>
      <w:r>
        <w:rPr>
          <w:rFonts w:ascii="Barlow Semi Condensed" w:cs="Barlow Semi Condensed" w:eastAsia="Barlow Semi Condensed" w:hAnsi="Barlow Semi Condensed"/>
          <w:sz w:val="24"/>
          <w:szCs w:val="24"/>
        </w:rPr>
        <w:t xml:space="preserve">Sinapsi interdominio settimo-primo: organizzazione e crimine (blocchi trecentottanta–trecentottantasei)</w:t>
      </w:r>
    </w:p>
    <w:p>
      <w:pPr>
        <w:spacing w:after="120" w:line="276"/>
        <w:jc w:val="both"/>
      </w:pPr>
      <w:r>
        <w:rPr>
          <w:rFonts w:ascii="Barlow Semi Condensed" w:cs="Barlow Semi Condensed" w:eastAsia="Barlow Semi Condensed" w:hAnsi="Barlow Semi Condensed"/>
          <w:sz w:val="24"/>
          <w:szCs w:val="24"/>
        </w:rPr>
        <w:t xml:space="preserve">Blocco trecentottanta. L'ambiente criminale romano attorno al falso comunicato del lago: attribuzione istruttoria all'area della banda capitolina, coerente con il blocco già certificato della terza tranche sulla cerniera crimine-eversione: Livello B istruttorio, incrocio iscritto.</w:t>
      </w:r>
    </w:p>
    <w:p>
      <w:pPr>
        <w:spacing w:after="120" w:line="276"/>
        <w:jc w:val="both"/>
      </w:pPr>
      <w:r>
        <w:rPr>
          <w:rFonts w:ascii="Barlow Semi Condensed" w:cs="Barlow Semi Condensed" w:eastAsia="Barlow Semi Condensed" w:hAnsi="Barlow Semi Condensed"/>
          <w:sz w:val="24"/>
          <w:szCs w:val="24"/>
        </w:rPr>
        <w:t xml:space="preserve">Blocco trecentottantuno. Il canale calabrese attivato durante il sequestro attraverso un parlamentare quale tramite: esistenza documentata dalle audizioni, esiti non certificati: Livello A sull'esistenza del canale, Livello B sugli sviluppi, con la formula degli atti: o non sapevano, o non vollero dire.</w:t>
      </w:r>
    </w:p>
    <w:p>
      <w:pPr>
        <w:spacing w:after="120" w:line="276"/>
        <w:jc w:val="both"/>
      </w:pPr>
      <w:r>
        <w:rPr>
          <w:rFonts w:ascii="Barlow Semi Condensed" w:cs="Barlow Semi Condensed" w:eastAsia="Barlow Semi Condensed" w:hAnsi="Barlow Semi Condensed"/>
          <w:sz w:val="24"/>
          <w:szCs w:val="24"/>
        </w:rPr>
        <w:t xml:space="preserve">Blocco trecentottantadue. L'ipotesi di presenze riconducibili alla criminalità calabrese sulla scena dell'agguato, esplorata dalla seconda Commissione: Livello C dichiarato e non promosso.</w:t>
      </w:r>
    </w:p>
    <w:p>
      <w:pPr>
        <w:spacing w:after="120" w:line="276"/>
        <w:jc w:val="both"/>
      </w:pPr>
      <w:r>
        <w:rPr>
          <w:rFonts w:ascii="Barlow Semi Condensed" w:cs="Barlow Semi Condensed" w:eastAsia="Barlow Semi Condensed" w:hAnsi="Barlow Semi Condensed"/>
          <w:sz w:val="24"/>
          <w:szCs w:val="24"/>
        </w:rPr>
        <w:t xml:space="preserve">Blocco trecentottantatré. La serie 1979-1984 delle morti violente attorno alle carte del caso — l'ufficiale dell'Arma, il giornalista, il generale, il falsario: Livello A quanto a ciascuna morte e al suo giudicato o alla sua assenza, Livello C quanto ad ogni nesso unitario, mai certificato.</w:t>
      </w:r>
    </w:p>
    <w:p>
      <w:pPr>
        <w:spacing w:after="120" w:line="276"/>
        <w:jc w:val="both"/>
      </w:pPr>
      <w:r>
        <w:rPr>
          <w:rFonts w:ascii="Barlow Semi Condensed" w:cs="Barlow Semi Condensed" w:eastAsia="Barlow Semi Condensed" w:hAnsi="Barlow Semi Condensed"/>
          <w:sz w:val="24"/>
          <w:szCs w:val="24"/>
        </w:rPr>
        <w:t xml:space="preserve">Blocco trecentottantaquattro. La requisitoria economica contenuta nel memoriale sul crocevia bancario siciliano-vaticano: testo autentico convergente con le acquisizioni della prima fase del volume: Livello A quale testo, con il suo valore di riscontro indipendente iscritto.</w:t>
      </w:r>
    </w:p>
    <w:p>
      <w:pPr>
        <w:spacing w:after="120" w:line="276"/>
        <w:jc w:val="both"/>
      </w:pPr>
      <w:r>
        <w:rPr>
          <w:rFonts w:ascii="Barlow Semi Condensed" w:cs="Barlow Semi Condensed" w:eastAsia="Barlow Semi Condensed" w:hAnsi="Barlow Semi Condensed"/>
          <w:sz w:val="24"/>
          <w:szCs w:val="24"/>
        </w:rPr>
        <w:t xml:space="preserve">Blocco trecentottantacinque. La traiettoria del generale dal caso alla Sicilia quale sinapsi biografica tra settimo e primo dominio: Livello A quale percorso istituzionale documentato.</w:t>
      </w:r>
    </w:p>
    <w:p>
      <w:pPr>
        <w:spacing w:after="120" w:line="276"/>
        <w:jc w:val="both"/>
      </w:pPr>
      <w:r>
        <w:rPr>
          <w:rFonts w:ascii="Barlow Semi Condensed" w:cs="Barlow Semi Condensed" w:eastAsia="Barlow Semi Condensed" w:hAnsi="Barlow Semi Condensed"/>
          <w:sz w:val="24"/>
          <w:szCs w:val="24"/>
        </w:rPr>
        <w:t xml:space="preserve">Blocco trecentottantasei. Stato Zero di dominio: nessuna commissione mafiosa del sequestro è stata accertata in giudizio: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settimo-quinto: organizzazione e sfera religiosa (blocchi trecentottantasette–trecentonovantuno)</w:t>
      </w:r>
    </w:p>
    <w:p>
      <w:pPr>
        <w:spacing w:after="120" w:line="276"/>
        <w:jc w:val="both"/>
      </w:pPr>
      <w:r>
        <w:rPr>
          <w:rFonts w:ascii="Barlow Semi Condensed" w:cs="Barlow Semi Condensed" w:eastAsia="Barlow Semi Condensed" w:hAnsi="Barlow Semi Condensed"/>
          <w:sz w:val="24"/>
          <w:szCs w:val="24"/>
        </w:rPr>
        <w:t xml:space="preserve">Blocco trecentottantasette. L'appello pubblico del pontefice agli «uomini delle Brigate Rosse» e la sua formulazione senza condizioni: Livello A quale atto e testo.</w:t>
      </w:r>
    </w:p>
    <w:p>
      <w:pPr>
        <w:spacing w:after="120" w:line="276"/>
        <w:jc w:val="both"/>
      </w:pPr>
      <w:r>
        <w:rPr>
          <w:rFonts w:ascii="Barlow Semi Condensed" w:cs="Barlow Semi Condensed" w:eastAsia="Barlow Semi Condensed" w:hAnsi="Barlow Semi Condensed"/>
          <w:sz w:val="24"/>
          <w:szCs w:val="24"/>
        </w:rPr>
        <w:t xml:space="preserve">Blocco trecentottantotto. I canali riservati della sponda vaticana e l'ipotesi di disponibilità economica per la liberazione: esistenza dei canali documentata, consistenza degli approntamenti non integralmente certificata: Livello A e Livello B rispettivamente.</w:t>
      </w:r>
    </w:p>
    <w:p>
      <w:pPr>
        <w:spacing w:after="120" w:line="276"/>
        <w:jc w:val="both"/>
      </w:pPr>
      <w:r>
        <w:rPr>
          <w:rFonts w:ascii="Barlow Semi Condensed" w:cs="Barlow Semi Condensed" w:eastAsia="Barlow Semi Condensed" w:hAnsi="Barlow Semi Condensed"/>
          <w:sz w:val="24"/>
          <w:szCs w:val="24"/>
        </w:rPr>
        <w:t xml:space="preserve">Blocco trecentottantanove. La sinapsi biografica lunga tra il prigioniero e il pontefice, dalla comune stagione degli organismi intellettuali cattolici: Livello A storico, quale spiegazione del canale più motivato e meno attrezzato.</w:t>
      </w:r>
    </w:p>
    <w:p>
      <w:pPr>
        <w:spacing w:after="120" w:line="276"/>
        <w:jc w:val="both"/>
      </w:pPr>
      <w:r>
        <w:rPr>
          <w:rFonts w:ascii="Barlow Semi Condensed" w:cs="Barlow Semi Condensed" w:eastAsia="Barlow Semi Condensed" w:hAnsi="Barlow Semi Condensed"/>
          <w:sz w:val="24"/>
          <w:szCs w:val="24"/>
        </w:rPr>
        <w:t xml:space="preserve">Blocco trecentonovanta. La liturgia divisa del congedo: il rito di Stato celebrato senza la salma per volontà della famiglia: Livello A.</w:t>
      </w:r>
    </w:p>
    <w:p>
      <w:pPr>
        <w:spacing w:after="120" w:line="276"/>
        <w:jc w:val="both"/>
      </w:pPr>
      <w:r>
        <w:rPr>
          <w:rFonts w:ascii="Barlow Semi Condensed" w:cs="Barlow Semi Condensed" w:eastAsia="Barlow Semi Condensed" w:hAnsi="Barlow Semi Condensed"/>
          <w:sz w:val="24"/>
          <w:szCs w:val="24"/>
        </w:rPr>
        <w:t xml:space="preserve">Blocco trecentonovantuno. La sepoltura fuori dalla capitale quale scelta del silenzio: Livello A.</w:t>
      </w:r>
    </w:p>
    <w:p>
      <w:pPr>
        <w:spacing w:after="120" w:line="276"/>
        <w:jc w:val="both"/>
      </w:pPr>
      <w:r>
        <w:rPr>
          <w:rFonts w:ascii="Barlow Semi Condensed" w:cs="Barlow Semi Condensed" w:eastAsia="Barlow Semi Condensed" w:hAnsi="Barlow Semi Condensed"/>
          <w:sz w:val="24"/>
          <w:szCs w:val="24"/>
        </w:rPr>
        <w:t xml:space="preserve">Sinapsi interdominio settimo-ottavo: organizzazione e sistema informativo (blocchi trecentonovantadue–trecentonovantasette)</w:t>
      </w:r>
    </w:p>
    <w:p>
      <w:pPr>
        <w:spacing w:after="120" w:line="276"/>
        <w:jc w:val="both"/>
      </w:pPr>
      <w:r>
        <w:rPr>
          <w:rFonts w:ascii="Barlow Semi Condensed" w:cs="Barlow Semi Condensed" w:eastAsia="Barlow Semi Condensed" w:hAnsi="Barlow Semi Condensed"/>
          <w:sz w:val="24"/>
          <w:szCs w:val="24"/>
        </w:rPr>
        <w:t xml:space="preserve">Blocco trecentonovantadue. La sequenza dei nove comunicati autentici e del falso intermedio quale guerra semiotica condotta in parallelo a quella militare: Livello A quale corpus e cronologia.</w:t>
      </w:r>
    </w:p>
    <w:p>
      <w:pPr>
        <w:spacing w:after="120" w:line="276"/>
        <w:jc w:val="both"/>
      </w:pPr>
      <w:r>
        <w:rPr>
          <w:rFonts w:ascii="Barlow Semi Condensed" w:cs="Barlow Semi Condensed" w:eastAsia="Barlow Semi Condensed" w:hAnsi="Barlow Semi Condensed"/>
          <w:sz w:val="24"/>
          <w:szCs w:val="24"/>
        </w:rPr>
        <w:t xml:space="preserve">Blocco trecentonovantatré. I recapiti simultanei multi-città dei comunicati quale prova di rete logistica nazionale attiva: Livello A.</w:t>
      </w:r>
    </w:p>
    <w:p>
      <w:pPr>
        <w:spacing w:after="120" w:line="276"/>
        <w:jc w:val="both"/>
      </w:pPr>
      <w:r>
        <w:rPr>
          <w:rFonts w:ascii="Barlow Semi Condensed" w:cs="Barlow Semi Condensed" w:eastAsia="Barlow Semi Condensed" w:hAnsi="Barlow Semi Condensed"/>
          <w:sz w:val="24"/>
          <w:szCs w:val="24"/>
        </w:rPr>
        <w:t xml:space="preserve">Blocco trecentonovantaquattro. La fotografia del ritrovamento quale icona: genesi, fortuna e funzione ambivalente nella memoria pubblica: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trecentonovantacinque. L'ecosistema dietrologico quale oggetto di studio: la teoria del regista unico, la sua circolazione dai primi anni Ottanta e la sua sterilità processuale integrale: Livello A sulla circolazione, Livello C permanente sul contenuto.</w:t>
      </w:r>
    </w:p>
    <w:p>
      <w:pPr>
        <w:spacing w:after="120" w:line="276"/>
        <w:jc w:val="both"/>
      </w:pPr>
      <w:r>
        <w:rPr>
          <w:rFonts w:ascii="Barlow Semi Condensed" w:cs="Barlow Semi Condensed" w:eastAsia="Barlow Semi Condensed" w:hAnsi="Barlow Semi Condensed"/>
          <w:sz w:val="24"/>
          <w:szCs w:val="24"/>
        </w:rPr>
        <w:t xml:space="preserve">Blocco trecentonovantasei. Il dibattito coevo sulla pubblicazione delle lettere e la gestione giornalistica del carteggio quale campo di battaglia parallelo: Livello A quale fenomeno di stampa documentato.</w:t>
      </w:r>
    </w:p>
    <w:p>
      <w:pPr>
        <w:spacing w:after="120" w:line="276"/>
        <w:jc w:val="both"/>
      </w:pPr>
      <w:r>
        <w:rPr>
          <w:rFonts w:ascii="Barlow Semi Condensed" w:cs="Barlow Semi Condensed" w:eastAsia="Barlow Semi Condensed" w:hAnsi="Barlow Semi Condensed"/>
          <w:sz w:val="24"/>
          <w:szCs w:val="24"/>
        </w:rPr>
        <w:t xml:space="preserve">Blocco trecentonovantasette. Il giacimento editoriale: il caso quale evento singolo più scritto della storia repubblicana e il problema epistemologico dell'indistinzione dei gradi nella memoria collettiva: Livello A quale fenomeno, con la funzione correttiva del volume iscritta.</w:t>
      </w:r>
    </w:p>
    <w:p>
      <w:pPr>
        <w:spacing w:after="120" w:line="276"/>
        <w:jc w:val="both"/>
      </w:pPr>
      <w:r>
        <w:rPr>
          <w:rFonts w:ascii="Barlow Semi Condensed" w:cs="Barlow Semi Condensed" w:eastAsia="Barlow Semi Condensed" w:hAnsi="Barlow Semi Condensed"/>
          <w:sz w:val="24"/>
          <w:szCs w:val="24"/>
        </w:rPr>
        <w:t xml:space="preserve">Sinapsi interdominio settimo-decimo: organizzazione, giustizia e inchieste (blocchi trecentonovantotto–quattrocentocinque)</w:t>
      </w:r>
    </w:p>
    <w:p>
      <w:pPr>
        <w:spacing w:after="120" w:line="276"/>
        <w:jc w:val="both"/>
      </w:pPr>
      <w:r>
        <w:rPr>
          <w:rFonts w:ascii="Barlow Semi Condensed" w:cs="Barlow Semi Condensed" w:eastAsia="Barlow Semi Condensed" w:hAnsi="Barlow Semi Condensed"/>
          <w:sz w:val="24"/>
          <w:szCs w:val="24"/>
        </w:rPr>
        <w:t xml:space="preserve">Blocco trecentonovantotto. L'architettura dei cinque cicli di giudizio e la stabilità del quadro dei giudicati: Livello A.</w:t>
      </w:r>
    </w:p>
    <w:p>
      <w:pPr>
        <w:spacing w:after="120" w:line="276"/>
        <w:jc w:val="both"/>
      </w:pPr>
      <w:r>
        <w:rPr>
          <w:rFonts w:ascii="Barlow Semi Condensed" w:cs="Barlow Semi Condensed" w:eastAsia="Barlow Semi Condensed" w:hAnsi="Barlow Semi Condensed"/>
          <w:sz w:val="24"/>
          <w:szCs w:val="24"/>
        </w:rPr>
        <w:t xml:space="preserve">Blocco trecentonovantanove. Le perizie grafiche sull'autenticità del carteggio e la certificazione della lucidità della scrittura: Livello A.</w:t>
      </w:r>
    </w:p>
    <w:p>
      <w:pPr>
        <w:spacing w:after="120" w:line="276"/>
        <w:jc w:val="both"/>
      </w:pPr>
      <w:r>
        <w:rPr>
          <w:rFonts w:ascii="Barlow Semi Condensed" w:cs="Barlow Semi Condensed" w:eastAsia="Barlow Semi Condensed" w:hAnsi="Barlow Semi Condensed"/>
          <w:sz w:val="24"/>
          <w:szCs w:val="24"/>
        </w:rPr>
        <w:t xml:space="preserve">Blocco quattrocento. Le campagne peritali sulla scena, dai rilievi del 1978 alle ricostruzioni strumentali del 2015-2016: stratigrafia tecnica iscritta: Livello A quale sequenza e quale funzione di restringimento dei margini.</w:t>
      </w:r>
    </w:p>
    <w:p>
      <w:pPr>
        <w:spacing w:after="120" w:line="276"/>
        <w:jc w:val="both"/>
      </w:pPr>
      <w:r>
        <w:rPr>
          <w:rFonts w:ascii="Barlow Semi Condensed" w:cs="Barlow Semi Condensed" w:eastAsia="Barlow Semi Condensed" w:hAnsi="Barlow Semi Condensed"/>
          <w:sz w:val="24"/>
          <w:szCs w:val="24"/>
        </w:rPr>
        <w:t xml:space="preserve">Blocco quattrocentouno. La prima Commissione dedicata e il ventaglio delle relazioni di maggioranza e di minoranza quale mappa delle letture coeve: Livello A.</w:t>
      </w:r>
    </w:p>
    <w:p>
      <w:pPr>
        <w:spacing w:after="120" w:line="276"/>
        <w:jc w:val="both"/>
      </w:pPr>
      <w:r>
        <w:rPr>
          <w:rFonts w:ascii="Barlow Semi Condensed" w:cs="Barlow Semi Condensed" w:eastAsia="Barlow Semi Condensed" w:hAnsi="Barlow Semi Condensed"/>
          <w:sz w:val="24"/>
          <w:szCs w:val="24"/>
        </w:rPr>
        <w:t xml:space="preserve">Blocco quattrocentodue. Il Gruppo di lavoro sul caso della Commissione della decima legislatura: dodici resoconti stenografici scansionati per seicentoventuno pagine, presenti nel corpus di progetto quali originali riprodotti: Livello A verificato ora quale giacimento primario interno al corpus.</w:t>
      </w:r>
    </w:p>
    <w:p>
      <w:pPr>
        <w:spacing w:after="120" w:line="276"/>
        <w:jc w:val="both"/>
      </w:pPr>
      <w:r>
        <w:rPr>
          <w:rFonts w:ascii="Barlow Semi Condensed" w:cs="Barlow Semi Condensed" w:eastAsia="Barlow Semi Condensed" w:hAnsi="Barlow Semi Condensed"/>
          <w:sz w:val="24"/>
          <w:szCs w:val="24"/>
        </w:rPr>
        <w:t xml:space="preserve">Blocco quattrocentotré. L'elaborato parlamentare del 29 settembre 2000 sul sequestro e sull'omicidio, presente nel corpus quale estrazione integrale con cronologia essenziale: Livello A verificato ora; la convergenza dei suoi enunciati con la fase quarta del volume è stata saggiata a campione senza divergenze fattuali.</w:t>
      </w:r>
    </w:p>
    <w:p>
      <w:pPr>
        <w:spacing w:after="120" w:line="276"/>
        <w:jc w:val="both"/>
      </w:pPr>
      <w:r>
        <w:rPr>
          <w:rFonts w:ascii="Barlow Semi Condensed" w:cs="Barlow Semi Condensed" w:eastAsia="Barlow Semi Condensed" w:hAnsi="Barlow Semi Condensed"/>
          <w:sz w:val="24"/>
          <w:szCs w:val="24"/>
        </w:rPr>
        <w:t xml:space="preserve">Blocco quattrocentoquattro. La seconda Commissione dedicata, 2014-2017: direttrici, produzione documentale e rendimento — promozioni dal terzo al secondo grado, nessuna al primo: Livello A quale bilancio dei lavori.</w:t>
      </w:r>
    </w:p>
    <w:p>
      <w:pPr>
        <w:spacing w:after="120" w:line="276"/>
        <w:jc w:val="both"/>
      </w:pPr>
      <w:r>
        <w:rPr>
          <w:rFonts w:ascii="Barlow Semi Condensed" w:cs="Barlow Semi Condensed" w:eastAsia="Barlow Semi Condensed" w:hAnsi="Barlow Semi Condensed"/>
          <w:sz w:val="24"/>
          <w:szCs w:val="24"/>
        </w:rPr>
        <w:t xml:space="preserve">Blocco quattrocentocinque. L'asimmetria sanzionatoria del caso: severità con l'indiscrezione, mutismo con l'omissione: Livello A quale aggregato dei giudicati, iscritto quale reperto di sistema.</w:t>
      </w:r>
    </w:p>
    <w:p>
      <w:pPr>
        <w:spacing w:after="120" w:line="276"/>
        <w:jc w:val="both"/>
      </w:pPr>
      <w:r>
        <w:rPr>
          <w:rFonts w:ascii="Barlow Semi Condensed" w:cs="Barlow Semi Condensed" w:eastAsia="Barlow Semi Condensed" w:hAnsi="Barlow Semi Condensed"/>
          <w:sz w:val="24"/>
          <w:szCs w:val="24"/>
        </w:rPr>
        <w:t xml:space="preserve">Sinapsi internazionali: il settimo dominio e il teatro esterno (blocchi quattrocentosei–quattrocentoquindici)</w:t>
      </w:r>
    </w:p>
    <w:p>
      <w:pPr>
        <w:spacing w:after="120" w:line="276"/>
        <w:jc w:val="both"/>
      </w:pPr>
      <w:r>
        <w:rPr>
          <w:rFonts w:ascii="Barlow Semi Condensed" w:cs="Barlow Semi Condensed" w:eastAsia="Barlow Semi Condensed" w:hAnsi="Barlow Semi Condensed"/>
          <w:sz w:val="24"/>
          <w:szCs w:val="24"/>
        </w:rPr>
        <w:t xml:space="preserve">Blocco quattrocentosei. Lo Stato Zero della struttura di collegamento parigina: nessun giudicato ne accerta il ruolo nel caso; la genesi del sodalizio precedente resta certificata al suo grado: Stato Zero sull'ente, Livello A sulla genealogia documentata.</w:t>
      </w:r>
    </w:p>
    <w:p>
      <w:pPr>
        <w:spacing w:after="120" w:line="276"/>
        <w:jc w:val="both"/>
      </w:pPr>
      <w:r>
        <w:rPr>
          <w:rFonts w:ascii="Barlow Semi Condensed" w:cs="Barlow Semi Condensed" w:eastAsia="Barlow Semi Condensed" w:hAnsi="Barlow Semi Condensed"/>
          <w:sz w:val="24"/>
          <w:szCs w:val="24"/>
        </w:rPr>
        <w:t xml:space="preserve">Blocco quattrocentosette. Le missioni italiane dell'agenzia di Lisbona nel biennio 1967-1968 e la priorità temporale contatto-evento certificata dalle carte del fondo portoghese: Livello A sulle carte, Livello B sulla portata operativa: la direzione portoghese consegnata dalla sesta tranche è onorata in questa sede per il segmento moroteo-stragista.</w:t>
      </w:r>
    </w:p>
    <w:p>
      <w:pPr>
        <w:spacing w:after="120" w:line="276"/>
        <w:jc w:val="both"/>
      </w:pPr>
      <w:r>
        <w:rPr>
          <w:rFonts w:ascii="Barlow Semi Condensed" w:cs="Barlow Semi Condensed" w:eastAsia="Barlow Semi Condensed" w:hAnsi="Barlow Semi Condensed"/>
          <w:sz w:val="24"/>
          <w:szCs w:val="24"/>
        </w:rPr>
        <w:t xml:space="preserve">Blocco quattrocentotto. Il campo orientale quale ambiente documentato del terrorismo di sinistra — formazione, santuari, contiguità — senza mandato accertato per il caso: Livello B sull'ambiente, Stato Zero sul mandato, coerente con l'elaborato sull'ombra orientale presente nel corpus.</w:t>
      </w:r>
    </w:p>
    <w:p>
      <w:pPr>
        <w:spacing w:after="120" w:line="276"/>
        <w:jc w:val="both"/>
      </w:pPr>
      <w:r>
        <w:rPr>
          <w:rFonts w:ascii="Barlow Semi Condensed" w:cs="Barlow Semi Condensed" w:eastAsia="Barlow Semi Condensed" w:hAnsi="Barlow Semi Condensed"/>
          <w:sz w:val="24"/>
          <w:szCs w:val="24"/>
        </w:rPr>
        <w:t xml:space="preserve">Blocco quattrocentonove. La cornice mediterranea riservata quale condizione permanente del quadrante nel decennio: Livello A quale cornice, senza conversione in movente.</w:t>
      </w:r>
    </w:p>
    <w:p>
      <w:pPr>
        <w:spacing w:after="120" w:line="276"/>
        <w:jc w:val="both"/>
      </w:pPr>
      <w:r>
        <w:rPr>
          <w:rFonts w:ascii="Barlow Semi Condensed" w:cs="Barlow Semi Condensed" w:eastAsia="Barlow Semi Condensed" w:hAnsi="Barlow Semi Condensed"/>
          <w:sz w:val="24"/>
          <w:szCs w:val="24"/>
        </w:rPr>
        <w:t xml:space="preserve">Blocco quattrocentodieci. Il manuale supplementare attribuito e la sua circolazione italiana: Livello A sulla circolazione, Livello C sulla paternità, invariato rispetto al volume.</w:t>
      </w:r>
    </w:p>
    <w:p>
      <w:pPr>
        <w:spacing w:after="120" w:line="276"/>
        <w:jc w:val="both"/>
      </w:pPr>
      <w:r>
        <w:rPr>
          <w:rFonts w:ascii="Barlow Semi Condensed" w:cs="Barlow Semi Condensed" w:eastAsia="Barlow Semi Condensed" w:hAnsi="Barlow Semi Condensed"/>
          <w:sz w:val="24"/>
          <w:szCs w:val="24"/>
        </w:rPr>
        <w:t xml:space="preserve">Blocco quattrocentoundici. La cornice della distensione e della conferenza paneuropea quale contesto strategico del 1978: Livello A quale cornice storica.</w:t>
      </w:r>
    </w:p>
    <w:p>
      <w:pPr>
        <w:spacing w:after="120" w:line="276"/>
        <w:jc w:val="both"/>
      </w:pPr>
      <w:r>
        <w:rPr>
          <w:rFonts w:ascii="Barlow Semi Condensed" w:cs="Barlow Semi Condensed" w:eastAsia="Barlow Semi Condensed" w:hAnsi="Barlow Semi Condensed"/>
          <w:sz w:val="24"/>
          <w:szCs w:val="24"/>
        </w:rPr>
        <w:t xml:space="preserve">Blocco quattrocentododici. Il rapporto congressuale d'oltreoceano sui finanziamenti riservati e la doppia sovranità della medesima notizia: Livello A quale atto del rapporto.</w:t>
      </w:r>
    </w:p>
    <w:p>
      <w:pPr>
        <w:spacing w:after="120" w:line="276"/>
        <w:jc w:val="both"/>
      </w:pPr>
      <w:r>
        <w:rPr>
          <w:rFonts w:ascii="Barlow Semi Condensed" w:cs="Barlow Semi Condensed" w:eastAsia="Barlow Semi Condensed" w:hAnsi="Barlow Semi Condensed"/>
          <w:sz w:val="24"/>
          <w:szCs w:val="24"/>
        </w:rPr>
        <w:t xml:space="preserve">Blocco quattrocentotredici. La minaccia riferita dal prigioniero e dalla vedova quanto agli avvertimenti ricevuti oltreoceano: convergenza dichiarativa di fonti familiari e memoriali: Livello B dichiarativo, Livello C quanto ad ogni lettura causale.</w:t>
      </w:r>
    </w:p>
    <w:p>
      <w:pPr>
        <w:spacing w:after="120" w:line="276"/>
        <w:jc w:val="both"/>
      </w:pPr>
      <w:r>
        <w:rPr>
          <w:rFonts w:ascii="Barlow Semi Condensed" w:cs="Barlow Semi Condensed" w:eastAsia="Barlow Semi Condensed" w:hAnsi="Barlow Semi Condensed"/>
          <w:sz w:val="24"/>
          <w:szCs w:val="24"/>
        </w:rPr>
        <w:t xml:space="preserve">Blocco quattrocentoquattordici. Il santuario transalpino quale moratoria di fatto sulle estradizioni per un ventennio: Livello A quale prassi documentata, con l'epilogo del nuovo secolo iscritto.</w:t>
      </w:r>
    </w:p>
    <w:p>
      <w:pPr>
        <w:spacing w:after="120" w:line="276"/>
        <w:jc w:val="both"/>
      </w:pPr>
      <w:r>
        <w:rPr>
          <w:rFonts w:ascii="Barlow Semi Condensed" w:cs="Barlow Semi Condensed" w:eastAsia="Barlow Semi Condensed" w:hAnsi="Barlow Semi Condensed"/>
          <w:sz w:val="24"/>
          <w:szCs w:val="24"/>
        </w:rPr>
        <w:t xml:space="preserve">Blocco quattrocentoquindici. Stato Zero internazionale complessivo: nessun cittadino, apparato o governo straniero è mai stato imputato per il caso in alcuna giurisdizione: Stato Zero certificato, quale limite costitutivo della giustizia territoriale davanti a fatti transnazionali.</w:t>
      </w:r>
    </w:p>
    <w:p>
      <w:pPr>
        <w:spacing w:after="120" w:line="276"/>
        <w:jc w:val="both"/>
      </w:pPr>
      <w:r>
        <w:rPr>
          <w:rFonts w:ascii="Barlow Semi Condensed" w:cs="Barlow Semi Condensed" w:eastAsia="Barlow Semi Condensed" w:hAnsi="Barlow Semi Condensed"/>
          <w:sz w:val="24"/>
          <w:szCs w:val="24"/>
        </w:rPr>
        <w:t xml:space="preserve">Triangolazione documentale con il corpus di progetto (blocchi quattrocentosedici–quattrocentoventicinque)</w:t>
      </w:r>
    </w:p>
    <w:p>
      <w:pPr>
        <w:spacing w:after="120" w:line="276"/>
        <w:jc w:val="both"/>
      </w:pPr>
      <w:r>
        <w:rPr>
          <w:rFonts w:ascii="Barlow Semi Condensed" w:cs="Barlow Semi Condensed" w:eastAsia="Barlow Semi Condensed" w:hAnsi="Barlow Semi Condensed"/>
          <w:sz w:val="24"/>
          <w:szCs w:val="24"/>
        </w:rPr>
        <w:t xml:space="preserve">Blocco quattrocentosedici. Il dataset testuale integrale degli scritti: milleseessantadue documenti dal 1932 al 6 marzo 1978, ordinati cronologicamente: Livello A quale giacimento; la circostanza che l'ultimo documento libero preceda di dieci giorni l'agguato è iscritta quale confine naturale del corpus della voce.</w:t>
      </w:r>
    </w:p>
    <w:p>
      <w:pPr>
        <w:spacing w:after="120" w:line="276"/>
        <w:jc w:val="both"/>
      </w:pPr>
      <w:r>
        <w:rPr>
          <w:rFonts w:ascii="Barlow Semi Condensed" w:cs="Barlow Semi Condensed" w:eastAsia="Barlow Semi Condensed" w:hAnsi="Barlow Semi Condensed"/>
          <w:sz w:val="24"/>
          <w:szCs w:val="24"/>
        </w:rPr>
        <w:t xml:space="preserve">Blocco quattrocentodiciassette. L'edizione delle lettere dalla prigionia presente nel corpus quale riproduzione: la natura del supporto e l'assenza di uno strato testuale estraibile verificato in questa sessione sono iscritte; la lavorazione per riconoscimento ottico è pendenza dichiarata: Livello A quale esistenza e natura del reperto.</w:t>
      </w:r>
    </w:p>
    <w:p>
      <w:pPr>
        <w:spacing w:after="120" w:line="276"/>
        <w:jc w:val="both"/>
      </w:pPr>
      <w:r>
        <w:rPr>
          <w:rFonts w:ascii="Barlow Semi Condensed" w:cs="Barlow Semi Condensed" w:eastAsia="Barlow Semi Condensed" w:hAnsi="Barlow Semi Condensed"/>
          <w:sz w:val="24"/>
          <w:szCs w:val="24"/>
        </w:rPr>
        <w:t xml:space="preserve">Blocco quattrocentodiciotto. La relazione della prima Commissione presente nel corpus quale riproduzione documentale nelle medesime condizioni di supporto: Livello A quale esistenza, pendenza di lavorazione identica.</w:t>
      </w:r>
    </w:p>
    <w:p>
      <w:pPr>
        <w:spacing w:after="120" w:line="276"/>
        <w:jc w:val="both"/>
      </w:pPr>
      <w:r>
        <w:rPr>
          <w:rFonts w:ascii="Barlow Semi Condensed" w:cs="Barlow Semi Condensed" w:eastAsia="Barlow Semi Condensed" w:hAnsi="Barlow Semi Condensed"/>
          <w:sz w:val="24"/>
          <w:szCs w:val="24"/>
        </w:rPr>
        <w:t xml:space="preserve">Blocco quattrocentodiciannove. La bibliografia morotea presente nel corpus quale censimento del giacimento editoriale: Livello A quale strumento, coerente con il blocco sul monumento cartaceo.</w:t>
      </w:r>
    </w:p>
    <w:p>
      <w:pPr>
        <w:spacing w:after="120" w:line="276"/>
        <w:jc w:val="both"/>
      </w:pPr>
      <w:r>
        <w:rPr>
          <w:rFonts w:ascii="Barlow Semi Condensed" w:cs="Barlow Semi Condensed" w:eastAsia="Barlow Semi Condensed" w:hAnsi="Barlow Semi Condensed"/>
          <w:sz w:val="24"/>
          <w:szCs w:val="24"/>
        </w:rPr>
        <w:t xml:space="preserve">Blocco quattrocentoventi. Il materiale ricostruttivo sull'agguato presente nel corpus quale supporto divulgativo-didattico: Livello B quale natura, con uso limitato al riscontro di coerenza.</w:t>
      </w:r>
    </w:p>
    <w:p>
      <w:pPr>
        <w:spacing w:after="120" w:line="276"/>
        <w:jc w:val="both"/>
      </w:pPr>
      <w:r>
        <w:rPr>
          <w:rFonts w:ascii="Barlow Semi Condensed" w:cs="Barlow Semi Condensed" w:eastAsia="Barlow Semi Condensed" w:hAnsi="Barlow Semi Condensed"/>
          <w:sz w:val="24"/>
          <w:szCs w:val="24"/>
        </w:rPr>
        <w:t xml:space="preserve">Blocco quattrocentoventuno. L'elaborato del Tomo sesto quale fonte-architrave già mobilitata nei blocchi precedenti: il suo statuto di estrazione integrale da atto parlamentare è confermato: Livello A.</w:t>
      </w:r>
    </w:p>
    <w:p>
      <w:pPr>
        <w:spacing w:after="120" w:line="276"/>
        <w:jc w:val="both"/>
      </w:pPr>
      <w:r>
        <w:rPr>
          <w:rFonts w:ascii="Barlow Semi Condensed" w:cs="Barlow Semi Condensed" w:eastAsia="Barlow Semi Condensed" w:hAnsi="Barlow Semi Condensed"/>
          <w:sz w:val="24"/>
          <w:szCs w:val="24"/>
        </w:rPr>
        <w:t xml:space="preserve">Blocco quattrocentoventidue. La famiglia dei registri federati del caso nel corpus — analitico nelle edizioni successive, di scavo, speculare, genetico — con codice relazionale e protocollo dei passaggi: Livello A quale architettura documentale; la riconciliazione con il volume è pendenza consegnata all'ottava tranche.</w:t>
      </w:r>
    </w:p>
    <w:p>
      <w:pPr>
        <w:spacing w:after="120" w:line="276"/>
        <w:jc w:val="both"/>
      </w:pPr>
      <w:r>
        <w:rPr>
          <w:rFonts w:ascii="Barlow Semi Condensed" w:cs="Barlow Semi Condensed" w:eastAsia="Barlow Semi Condensed" w:hAnsi="Barlow Semi Condensed"/>
          <w:sz w:val="24"/>
          <w:szCs w:val="24"/>
        </w:rPr>
        <w:t xml:space="preserve">Blocco quattrocentoventitré. La scheda approfondita sulla relazione conclusiva del Tomo terzo presente nel corpus: Livello A quale strumento di raccordo tra le fonti parlamentari.</w:t>
      </w:r>
    </w:p>
    <w:p>
      <w:pPr>
        <w:spacing w:after="120" w:line="276"/>
        <w:jc w:val="both"/>
      </w:pPr>
      <w:r>
        <w:rPr>
          <w:rFonts w:ascii="Barlow Semi Condensed" w:cs="Barlow Semi Condensed" w:eastAsia="Barlow Semi Condensed" w:hAnsi="Barlow Semi Condensed"/>
          <w:sz w:val="24"/>
          <w:szCs w:val="24"/>
        </w:rPr>
        <w:t xml:space="preserve">Blocco quattrocentoventiquattro. Le tavole di triangolazione sull'armamento dell'esecuzione e sui bossoli: Livello A quale esistenza degli strumenti; i contenuti restano al grado delle rispettive fonti peritali.</w:t>
      </w:r>
    </w:p>
    <w:p>
      <w:pPr>
        <w:spacing w:after="120" w:line="276"/>
        <w:jc w:val="both"/>
      </w:pPr>
      <w:r>
        <w:rPr>
          <w:rFonts w:ascii="Barlow Semi Condensed" w:cs="Barlow Semi Condensed" w:eastAsia="Barlow Semi Condensed" w:hAnsi="Barlow Semi Condensed"/>
          <w:sz w:val="24"/>
          <w:szCs w:val="24"/>
        </w:rPr>
        <w:t xml:space="preserve">Blocco quattrocentoventicinque. Le ricognizioni sulle armi corte della stagione — le serie sul modello tedesco e sul modello nazionale — quali strumenti di cascata balistica: Livello B quale apparato ricognitivo, con divieto d'uso probatorio autonomo.</w:t>
      </w:r>
    </w:p>
    <w:p>
      <w:pPr>
        <w:spacing w:after="120" w:line="276"/>
        <w:jc w:val="both"/>
      </w:pPr>
      <w:r>
        <w:rPr>
          <w:rFonts w:ascii="Barlow Semi Condensed" w:cs="Barlow Semi Condensed" w:eastAsia="Barlow Semi Condensed" w:hAnsi="Barlow Semi Condensed"/>
          <w:sz w:val="24"/>
          <w:szCs w:val="24"/>
        </w:rPr>
        <w:t xml:space="preserve">Cascata verso i blocchi certificati (blocchi quattrocentoventisei–quattrocentotrentuno)</w:t>
      </w:r>
    </w:p>
    <w:p>
      <w:pPr>
        <w:spacing w:after="120" w:line="276"/>
        <w:jc w:val="both"/>
      </w:pPr>
      <w:r>
        <w:rPr>
          <w:rFonts w:ascii="Barlow Semi Condensed" w:cs="Barlow Semi Condensed" w:eastAsia="Barlow Semi Condensed" w:hAnsi="Barlow Semi Condensed"/>
          <w:sz w:val="24"/>
          <w:szCs w:val="24"/>
        </w:rPr>
        <w:t xml:space="preserve">Blocco quattrocentoventisei. Bologna: le certificazioni della terza tranche sull'esecuzione e sul finanziamento e la fase terza del volume convergono senza residui: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quattrocentoventisette. L'omicidio del presidente della Regione siciliana: la matrice accertata, le assoluzioni della pista nera e la riapertura con depistaggio contestato, certificati nella terza tranche, coincidono con il decimo capitolo della fase terza del volume: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quattrocentoventotto. La banda capitolina quale cerniera crimine-eversione: il blocco della terza tranche e i capitoli romani del volume sono reciprocamente coerenti: già certificato.</w:t>
      </w:r>
    </w:p>
    <w:p>
      <w:pPr>
        <w:spacing w:after="120" w:line="276"/>
        <w:jc w:val="both"/>
      </w:pPr>
      <w:r>
        <w:rPr>
          <w:rFonts w:ascii="Barlow Semi Condensed" w:cs="Barlow Semi Condensed" w:eastAsia="Barlow Semi Condensed" w:hAnsi="Barlow Semi Condensed"/>
          <w:sz w:val="24"/>
          <w:szCs w:val="24"/>
        </w:rPr>
        <w:t xml:space="preserve">Blocco quattrocentoventinove. La loggia quale piattaforma: le certificazioni delle tranche prima e quinta reggono l'impiego che il volume ne fa per i cinquantacinque giorni: già certificato.</w:t>
      </w:r>
    </w:p>
    <w:p>
      <w:pPr>
        <w:spacing w:after="120" w:line="276"/>
        <w:jc w:val="both"/>
      </w:pPr>
      <w:r>
        <w:rPr>
          <w:rFonts w:ascii="Barlow Semi Condensed" w:cs="Barlow Semi Condensed" w:eastAsia="Barlow Semi Condensed" w:hAnsi="Barlow Semi Condensed"/>
          <w:sz w:val="24"/>
          <w:szCs w:val="24"/>
        </w:rPr>
        <w:t xml:space="preserve">Blocco quattrocentotrenta. L'orizzonte eurasiatista della seconda tranche non interseca il perimetro cronologico del volume: l'incrocio resta prospettico e dichiarato: Livello C quale ponte di ricerca, non quale connessione.</w:t>
      </w:r>
    </w:p>
    <w:p>
      <w:pPr>
        <w:spacing w:after="120" w:line="276"/>
        <w:jc w:val="both"/>
      </w:pPr>
      <w:r>
        <w:rPr>
          <w:rFonts w:ascii="Barlow Semi Condensed" w:cs="Barlow Semi Condensed" w:eastAsia="Barlow Semi Condensed" w:hAnsi="Barlow Semi Condensed"/>
          <w:sz w:val="24"/>
          <w:szCs w:val="24"/>
        </w:rPr>
        <w:t xml:space="preserve">Blocco quattrocentotrentuno. Il coordinamento repressivo australe certificato nelle tranche precedenti e la fase quinta del volume richiamano i medesimi giudicati: coerenza piena: già certificato.</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quattrocentotrentadue–quattrocentotrentacinque)</w:t>
      </w:r>
    </w:p>
    <w:p>
      <w:pPr>
        <w:spacing w:after="120" w:line="276"/>
        <w:jc w:val="both"/>
      </w:pPr>
      <w:r>
        <w:rPr>
          <w:rFonts w:ascii="Barlow Semi Condensed" w:cs="Barlow Semi Condensed" w:eastAsia="Barlow Semi Condensed" w:hAnsi="Barlow Semi Condensed"/>
          <w:sz w:val="24"/>
          <w:szCs w:val="24"/>
        </w:rPr>
        <w:t xml:space="preserve">Blocco quattrocentotrentadue. Esito di coerenza: nessuna contraddizione fattuale tra il volume-innesco, il corpus di progetto campionato e i trecentotrentotto blocchi certificati è emersa dalla campagna: esito iscritto quale risultato, non quale prova di completezza.</w:t>
      </w:r>
    </w:p>
    <w:p>
      <w:pPr>
        <w:spacing w:after="120" w:line="276"/>
        <w:jc w:val="both"/>
      </w:pPr>
      <w:r>
        <w:rPr>
          <w:rFonts w:ascii="Barlow Semi Condensed" w:cs="Barlow Semi Condensed" w:eastAsia="Barlow Semi Condensed" w:hAnsi="Barlow Semi Condensed"/>
          <w:sz w:val="24"/>
          <w:szCs w:val="24"/>
        </w:rPr>
        <w:t xml:space="preserve">Blocco quattrocentotrentatré. Stato Zero semantico: il memoriale autentico non nomina la struttura di collegamento parigina né i suoi animatori: il silenzio del documento è iscritto quale reperto al suo grado: Stato Zero documentale.</w:t>
      </w:r>
    </w:p>
    <w:p>
      <w:pPr>
        <w:spacing w:after="120" w:line="276"/>
        <w:jc w:val="both"/>
      </w:pPr>
      <w:r>
        <w:rPr>
          <w:rFonts w:ascii="Barlow Semi Condensed" w:cs="Barlow Semi Condensed" w:eastAsia="Barlow Semi Condensed" w:hAnsi="Barlow Semi Condensed"/>
          <w:sz w:val="24"/>
          <w:szCs w:val="24"/>
        </w:rPr>
        <w:t xml:space="preserve">Blocco quattrocentotrentaquattro. Stato Zero negoziale: nessun documento del corpus attesta una trattativa di Stato conclusa o un accordo perfezionato per la liberazione: Stato Zero certificato, distinto dai canali esplorati che restano ai loro gradi.</w:t>
      </w:r>
    </w:p>
    <w:p>
      <w:pPr>
        <w:spacing w:after="120" w:line="276"/>
        <w:jc w:val="both"/>
      </w:pPr>
      <w:r>
        <w:rPr>
          <w:rFonts w:ascii="Barlow Semi Condensed" w:cs="Barlow Semi Condensed" w:eastAsia="Barlow Semi Condensed" w:hAnsi="Barlow Semi Condensed"/>
          <w:sz w:val="24"/>
          <w:szCs w:val="24"/>
        </w:rPr>
        <w:t xml:space="preserve">Blocco quattrocentotrentacinque. Pendenze dichiarate: la lavorazione per riconoscimento ottico delle riproduzioni morotee; la riconciliazione della federazione registrale quintupla; le direzioni ereditate dalla sesta tranche non intercettate da questo innesco; la verifica voce per voce del dataset 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quattrocentotrentasei–quattrocentotrentotto)</w:t>
      </w:r>
    </w:p>
    <w:p>
      <w:pPr>
        <w:spacing w:after="120" w:line="276"/>
        <w:jc w:val="both"/>
      </w:pPr>
      <w:r>
        <w:rPr>
          <w:rFonts w:ascii="Barlow Semi Condensed" w:cs="Barlow Semi Condensed" w:eastAsia="Barlow Semi Condensed" w:hAnsi="Barlow Semi Condensed"/>
          <w:sz w:val="24"/>
          <w:szCs w:val="24"/>
        </w:rPr>
        <w:t xml:space="preserve">Blocco quattrocentotrentasei. Aggiornamento ACH: il caso documentato dal volume — pluralità di sinapsi certificate su tutti i domini, assenza di regista unitario giudizialmente accertato — è coerente con l'ipotesi della convergenza policentrica e incoerente con la forma forte del disegno unitario, che ne esce ulteriormente indebolita; l'ipotesi delle due internazionali non riceve apporto diretto e resta al terzo grado con i vantaggi già registrati: matrice aggiornata.</w:t>
      </w:r>
    </w:p>
    <w:p>
      <w:pPr>
        <w:spacing w:after="120" w:line="276"/>
        <w:jc w:val="both"/>
      </w:pPr>
      <w:r>
        <w:rPr>
          <w:rFonts w:ascii="Barlow Semi Condensed" w:cs="Barlow Semi Condensed" w:eastAsia="Barlow Semi Condensed" w:hAnsi="Barlow Semi Condensed"/>
          <w:sz w:val="24"/>
          <w:szCs w:val="24"/>
        </w:rPr>
        <w:t xml:space="preserve">Blocco quattrocentotrentasette. Verdetto metodologico: il caso quale esperimento cruciale della lettura neurale — l'unico evento del corpus con tutti i dieci strati simultaneamente attivi — ha retto l'applicazione integrale della gradazione, della Regola Ferrea e dello Stato Zero: Livello A quale tenuta del metodo sul banco di prova massimo.</w:t>
      </w:r>
    </w:p>
    <w:p>
      <w:pPr>
        <w:spacing w:after="120" w:line="276"/>
        <w:jc w:val="both"/>
      </w:pPr>
      <w:r>
        <w:rPr>
          <w:rFonts w:ascii="Barlow Semi Condensed" w:cs="Barlow Semi Condensed" w:eastAsia="Barlow Semi Condensed" w:hAnsi="Barlow Semi Condensed"/>
          <w:sz w:val="24"/>
          <w:szCs w:val="24"/>
        </w:rPr>
        <w:t xml:space="preserve">Blocco quattrocentotrentotto. Consegne all'ottava tranche: le direzioni ereditate dalla sesta — la riconciliazione delle serie del registro lisboeta, gli indici orientali, la parte prima del censimento, la continuità delle numerazioni, la verifica ipertestuale a campione — più le pendenze proprie di questa: la lavorazione ottica delle riproduzioni, la riconciliazione della federazione morotea, il vaglio campionario del dataset testuale contro le citazioni del volume: iscritte.</w:t>
      </w:r>
    </w:p>
    <w:p>
      <w:pPr>
        <w:spacing w:after="120" w:line="276"/>
        <w:jc w:val="both"/>
      </w:pPr>
      <w:r>
        <w:rPr>
          <w:rFonts w:ascii="Barlow Semi Condensed" w:cs="Barlow Semi Condensed" w:eastAsia="Barlow Semi Condensed" w:hAnsi="Barlow Semi Condensed"/>
          <w:sz w:val="24"/>
          <w:szCs w:val="24"/>
        </w:rPr>
        <w:t xml:space="preserve">12.7 — Rilievi per le persone viventi e chiusa della settima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le cautele proprie del perimetro moroteo: per le persone viventi menzionate quali protagonisti di canali, audizioni o filiere valgono i soli fatti risultanti da atti parlamentari e giudiziari pubblici, senza estensioni; per i condannati definitivi valgono i giudicati richiamati e nulla oltre; per i defunti non più giudicabili resta lo statuto obbligatorio già fissato, con le assoluzioni definitive sempre riportate per esteso dove menzionate; la risultanza negli elenchi della loggia vale quale dato documentale di iscrizione e non fonda, da sola, alcuna condotta; le ipotesi della seconda Commissione restano al grado dichiarato e la loro menzione non equivale ad accusa verso alcuno.</w:t>
      </w:r>
    </w:p>
    <w:p>
      <w:pPr>
        <w:spacing w:after="120" w:line="276"/>
        <w:jc w:val="both"/>
      </w:pPr>
      <w:r>
        <w:rPr>
          <w:rFonts w:ascii="Barlow Semi Condensed" w:cs="Barlow Semi Condensed" w:eastAsia="Barlow Semi Condensed" w:hAnsi="Barlow Semi Condensed"/>
          <w:sz w:val="24"/>
          <w:szCs w:val="24"/>
        </w:rPr>
        <w:t xml:space="preserve">La settima tranche porta il registro a quattrocentotrentotto blocchi certificati. Il volume «Aldo Moro — Una Pace senza Pace» è stato triangolato contro il corpus di progetto e contro le sei tranche precedenti senza che emergesse una sola contraddizione fattuale certificata; le sue milleseicentonovanta gradazioni interne hanno retto il campionamento esterno; i suoi Stati Zero sono stati confermati quali risultati e non quali lacune. La lettura neurale ha restituito l'immagine che la matrice delle ipotesi registra: un sistema a sinapsi dense e a regia assente, dove ogni dominio toccò il caso e nessun dominio, allo stato dei giudicati, lo diresse. Il registro consegna all'ottava tranche le pendenze iscritte e resta, per statuto, aperto.</w:t>
      </w:r>
    </w:p>
    <w:p>
      <w:pPr>
        <w:pStyle w:val="Heading3"/>
        <w:spacing w:after="80" w:before="160"/>
      </w:pPr>
      <w:r>
        <w:rPr>
          <w:rFonts w:ascii="Barlow Semi Condensed" w:cs="Barlow Semi Condensed" w:eastAsia="Barlow Semi Condensed" w:hAnsi="Barlow Semi Condensed"/>
          <w:sz w:val="24"/>
          <w:szCs w:val="24"/>
        </w:rPr>
        <w:t xml:space="preserve">FASE XIII — OTTAVA TRANCHE: L'ESTRAZIONE INTEGRALE. TRIANGOLAZIONE COMPUTAZIONALE DEL CORPUS, DELLA MEMORIA OPERATIVA E DELLA CATENA DI CUSTODIA</w:t>
      </w:r>
    </w:p>
    <w:p>
      <w:pPr>
        <w:spacing w:after="120" w:line="276"/>
        <w:jc w:val="both"/>
      </w:pPr>
      <w:r>
        <w:rPr>
          <w:rFonts w:ascii="Barlow Semi Condensed" w:cs="Barlow Semi Condensed" w:eastAsia="Barlow Semi Condensed" w:hAnsi="Barlow Semi Condensed"/>
          <w:sz w:val="24"/>
          <w:szCs w:val="24"/>
        </w:rPr>
        <w:t xml:space="preserve">13.1 — Oggetto della tranche, triplice sorgente e mandato</w:t>
      </w:r>
    </w:p>
    <w:p>
      <w:pPr>
        <w:spacing w:after="120" w:line="276"/>
        <w:jc w:val="both"/>
      </w:pPr>
      <w:r>
        <w:rPr>
          <w:rFonts w:ascii="Barlow Semi Condensed" w:cs="Barlow Semi Condensed" w:eastAsia="Barlow Semi Condensed" w:hAnsi="Barlow Semi Condensed"/>
          <w:sz w:val="24"/>
          <w:szCs w:val="24"/>
        </w:rPr>
        <w:t xml:space="preserve">L'ottava tranche esegue il mandato dell'estrazione integrale triangolando tre sorgenti dichiarate: le Conoscenze del progetto, censite per via computazionale nella loro interezza fisica e campionate in profondità sui giacimenti maggiori; la Memoria Operativa del progetto, con le sue ipotesi registrate, i suoi protocolli vincolanti e le sue pendenze; e gli strumenti computazionali stessi, assunti quali fonte di terzo tipo per le metriche, le impronte e la catena di custodia della lavorazione. La tranche onora le direzioni ereditate dalla sesta e le pendenze consegnate dalla settima, ne scioglie alcune per verifica diretta, ne rettifica una per accertamento sopravvenuto — esercitando la falsificabilità del registro su sé stesso — e ne consegna le residue alla nona. L'esito è iscritto in cento blocchi nuovi, dal quattrocentotrentanovesimo al cinquecentotrentottesimo.</w:t>
      </w:r>
    </w:p>
    <w:p>
      <w:pPr>
        <w:spacing w:after="120" w:line="276"/>
        <w:jc w:val="both"/>
      </w:pPr>
      <w:r>
        <w:rPr>
          <w:rFonts w:ascii="Barlow Semi Condensed" w:cs="Barlow Semi Condensed" w:eastAsia="Barlow Semi Condensed" w:hAnsi="Barlow Semi Condensed"/>
          <w:sz w:val="24"/>
          <w:szCs w:val="24"/>
        </w:rPr>
        <w:t xml:space="preserve">13.2 — Il censimento computazionale integrale</w:t>
      </w:r>
    </w:p>
    <w:p>
      <w:pPr>
        <w:spacing w:after="120" w:line="276"/>
        <w:jc w:val="both"/>
      </w:pPr>
      <w:r>
        <w:rPr>
          <w:rFonts w:ascii="Barlow Semi Condensed" w:cs="Barlow Semi Condensed" w:eastAsia="Barlow Semi Condensed" w:hAnsi="Barlow Semi Condensed"/>
          <w:sz w:val="24"/>
          <w:szCs w:val="24"/>
        </w:rPr>
        <w:t xml:space="preserve">Il corpus di progetto è stato censito nella sua interezza fisica: quattrocentosessantasette file per settecentosettantadue megabyte complessivi, ripartiti in duecentoquattordici documenti in formato di testo strutturato, duecentotredici in formato di riproduzione, quattordici testi semplici, cinque documenti in notazione leggera, diciotto tavole, un foglio a valori separati e due programmi di lavorazione. La verifica di natura ha accertato che l'intero comparto dei documenti strutturati e una parte sostanziale delle riproduzioni sono conservati quale testo piano integralmente estraibile: la lettura computazionale diretta ha restituito duecentotrentasei file testuali per un totale di sei milioni centoquarantottomila duecentonovantasette parole estratte, cui si aggiungono i giacimenti in riproduzione veri. Nessun censimento manuale avrebbe potuto produrre queste metriche: esse costituiscono la base quantitativa di tutti i blocchi che seguono.</w:t>
      </w:r>
    </w:p>
    <w:p>
      <w:pPr>
        <w:spacing w:after="120" w:line="276"/>
        <w:jc w:val="both"/>
      </w:pPr>
      <w:r>
        <w:rPr>
          <w:rFonts w:ascii="Barlow Semi Condensed" w:cs="Barlow Semi Condensed" w:eastAsia="Barlow Semi Condensed" w:hAnsi="Barlow Semi Condensed"/>
          <w:sz w:val="24"/>
          <w:szCs w:val="24"/>
        </w:rPr>
        <w:t xml:space="preserve">13.3 — Le direzioni ereditate: esiti in sintesi</w:t>
      </w:r>
    </w:p>
    <w:p>
      <w:pPr>
        <w:spacing w:after="120" w:line="276"/>
        <w:jc w:val="both"/>
      </w:pPr>
      <w:r>
        <w:rPr>
          <w:rFonts w:ascii="Barlow Semi Condensed" w:cs="Barlow Semi Condensed" w:eastAsia="Barlow Semi Condensed" w:hAnsi="Barlow Semi Condensed"/>
          <w:sz w:val="24"/>
          <w:szCs w:val="24"/>
        </w:rPr>
        <w:t xml:space="preserve">La direzione lisboeta è avanzata con la definizione del perimetro delle serie e la lettura dello strumento di riconciliazione; la direzione delle riproduzioni morotee è sciolta e rettificata, poiché l'accertamento di natura ha dimostrato l'estraibilità integrale dei testi che la settima aveva prudenzialmente iscritto quali riproduzioni senza strato verificato; la direzione orientale registra il giacimento congressuale americano e il fascicolo investigativo storico quali corpi interni al corpus, con lo Stato Zero degli indici cecoslovacchi confermato quale assenza interna; il vaglio del dataset testuale è stato eseguito con esito pieno; la riconciliazione della federazione morotea è compiuta al livello degli statuti; il repertorio delle fonti è stato riaperto nella sua architettura a fogli con i difetti censiti dalla memoria ritrovati in sede. Il dettaglio è nei blocchi.</w:t>
      </w:r>
    </w:p>
    <w:p>
      <w:pPr>
        <w:spacing w:after="120" w:line="276"/>
        <w:jc w:val="both"/>
      </w:pPr>
      <w:r>
        <w:rPr>
          <w:rFonts w:ascii="Barlow Semi Condensed" w:cs="Barlow Semi Condensed" w:eastAsia="Barlow Semi Condensed" w:hAnsi="Barlow Semi Condensed"/>
          <w:sz w:val="24"/>
          <w:szCs w:val="24"/>
        </w:rPr>
        <w:t xml:space="preserve">13.4 — Registro dei blocchi di verifica: blocchi quattrocentotrentanove–cinquecentotrentotto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computazionale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Mandato e strumenti (blocchi quattrocentotrentanove–quattrocentoquarantatré)</w:t>
      </w:r>
    </w:p>
    <w:p>
      <w:pPr>
        <w:spacing w:after="120" w:line="276"/>
        <w:jc w:val="both"/>
      </w:pPr>
      <w:r>
        <w:rPr>
          <w:rFonts w:ascii="Barlow Semi Condensed" w:cs="Barlow Semi Condensed" w:eastAsia="Barlow Semi Condensed" w:hAnsi="Barlow Semi Condensed"/>
          <w:sz w:val="24"/>
          <w:szCs w:val="24"/>
        </w:rPr>
        <w:t xml:space="preserve">Blocco quattrocentotrentanove. La triplice sorgente dichiarata — corpus, memoria operativa, strumenti computazionali — quale architettura della tranche: Livello A quale statuto metodologico, con l'avvertenza che la memoria operativa è fonte interna interessata e vale quale registro di pendenze, mai quale prova dei contenuti.</w:t>
      </w:r>
    </w:p>
    <w:p>
      <w:pPr>
        <w:spacing w:after="120" w:line="276"/>
        <w:jc w:val="both"/>
      </w:pPr>
      <w:r>
        <w:rPr>
          <w:rFonts w:ascii="Barlow Semi Condensed" w:cs="Barlow Semi Condensed" w:eastAsia="Barlow Semi Condensed" w:hAnsi="Barlow Semi Condensed"/>
          <w:sz w:val="24"/>
          <w:szCs w:val="24"/>
        </w:rPr>
        <w:t xml:space="preserve">Blocco quattrocentoquaranta. Lo strumento computazionale quale fonte di terzo tipo: metriche, impronte e conteggi prodotti da esecuzione diretta e riproducibili da chiunque disponga del corpus: Livello A quale classe di evidenza, con il limite dichiarato: la macchina certifica la consistenza, mai il significato.</w:t>
      </w:r>
    </w:p>
    <w:p>
      <w:pPr>
        <w:spacing w:after="120" w:line="276"/>
        <w:jc w:val="both"/>
      </w:pPr>
      <w:r>
        <w:rPr>
          <w:rFonts w:ascii="Barlow Semi Condensed" w:cs="Barlow Semi Condensed" w:eastAsia="Barlow Semi Condensed" w:hAnsi="Barlow Semi Condensed"/>
          <w:sz w:val="24"/>
          <w:szCs w:val="24"/>
        </w:rPr>
        <w:t xml:space="preserve">Blocco quattrocentoquarantuno. Il principio di autofalsificabilità del registro: la tranche rettifica un proprio blocco precedente per accertamento sopravvenuto, documentando che il registro applica a sé stesso lo standard che applica al corpus: Livello A quale atto, con rinvio al blocco di rettifica.</w:t>
      </w:r>
    </w:p>
    <w:p>
      <w:pPr>
        <w:spacing w:after="120" w:line="276"/>
        <w:jc w:val="both"/>
      </w:pPr>
      <w:r>
        <w:rPr>
          <w:rFonts w:ascii="Barlow Semi Condensed" w:cs="Barlow Semi Condensed" w:eastAsia="Barlow Semi Condensed" w:hAnsi="Barlow Semi Condensed"/>
          <w:sz w:val="24"/>
          <w:szCs w:val="24"/>
        </w:rPr>
        <w:t xml:space="preserve">Blocco quattrocentoquarantadue. Le direzioni ereditate — sei dalla sesta tranche, quattro dalla settima — quali mandato vincolante di questa: Livello A quale continuità documentata del programma di verifica.</w:t>
      </w:r>
    </w:p>
    <w:p>
      <w:pPr>
        <w:spacing w:after="120" w:line="276"/>
        <w:jc w:val="both"/>
      </w:pPr>
      <w:r>
        <w:rPr>
          <w:rFonts w:ascii="Barlow Semi Condensed" w:cs="Barlow Semi Condensed" w:eastAsia="Barlow Semi Condensed" w:hAnsi="Barlow Semi Condensed"/>
          <w:sz w:val="24"/>
          <w:szCs w:val="24"/>
        </w:rPr>
        <w:t xml:space="preserve">Blocco quattrocentoquarantatré. Il perimetro negativo: la tranche non esegue verifiche ipertestuali esterne né campagne di rete, che restano consegnate; ogni esito di questa sessione discende da materiale interno al corpus o da esecuzione locale: Livello A quale dichiarazione di perimetro.</w:t>
      </w:r>
    </w:p>
    <w:p>
      <w:pPr>
        <w:spacing w:after="120" w:line="276"/>
        <w:jc w:val="both"/>
      </w:pPr>
      <w:r>
        <w:rPr>
          <w:rFonts w:ascii="Barlow Semi Condensed" w:cs="Barlow Semi Condensed" w:eastAsia="Barlow Semi Condensed" w:hAnsi="Barlow Semi Condensed"/>
          <w:sz w:val="24"/>
          <w:szCs w:val="24"/>
        </w:rPr>
        <w:t xml:space="preserve">Il censimento computazionale integrale (blocchi quattrocentoquarantaquattro–quattrocentocinquantatré)</w:t>
      </w:r>
    </w:p>
    <w:p>
      <w:pPr>
        <w:spacing w:after="120" w:line="276"/>
        <w:jc w:val="both"/>
      </w:pPr>
      <w:r>
        <w:rPr>
          <w:rFonts w:ascii="Barlow Semi Condensed" w:cs="Barlow Semi Condensed" w:eastAsia="Barlow Semi Condensed" w:hAnsi="Barlow Semi Condensed"/>
          <w:sz w:val="24"/>
          <w:szCs w:val="24"/>
        </w:rPr>
        <w:t xml:space="preserve">Blocco quattrocentoquarantaquattro. La consistenza fisica: quattrocentosessantasette file, settecentosettantadue megabyte: Livello A verificato ora per esecuzione diretta.</w:t>
      </w:r>
    </w:p>
    <w:p>
      <w:pPr>
        <w:spacing w:after="120" w:line="276"/>
        <w:jc w:val="both"/>
      </w:pPr>
      <w:r>
        <w:rPr>
          <w:rFonts w:ascii="Barlow Semi Condensed" w:cs="Barlow Semi Condensed" w:eastAsia="Barlow Semi Condensed" w:hAnsi="Barlow Semi Condensed"/>
          <w:sz w:val="24"/>
          <w:szCs w:val="24"/>
        </w:rPr>
        <w:t xml:space="preserve">Blocco quattrocentoquarantacinque. La ripartizione per formato: duecentoquattordici documenti strutturati, duecentotredici riproduzioni, quattordici testi semplici, cinque notazioni leggere, diciotto tavole, un foglio a valori separati, due programmi: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quattrocentoquarantasei. La natura dei supporti: l'intero comparto dei documenti strutturati è conservato quale testo piano estraibile; una parte sostanziale delle riproduzioni condivide la medesima natura: Livello A verificato ora, con la conseguenza operativa iscritta nei blocchi di scioglimento.</w:t>
      </w:r>
    </w:p>
    <w:p>
      <w:pPr>
        <w:spacing w:after="120" w:line="276"/>
        <w:jc w:val="both"/>
      </w:pPr>
      <w:r>
        <w:rPr>
          <w:rFonts w:ascii="Barlow Semi Condensed" w:cs="Barlow Semi Condensed" w:eastAsia="Barlow Semi Condensed" w:hAnsi="Barlow Semi Condensed"/>
          <w:sz w:val="24"/>
          <w:szCs w:val="24"/>
        </w:rPr>
        <w:t xml:space="preserve">Blocco quattrocentoquarantasette. Il volume testuale estratto: duecentotrentasei file letti integralmente per sei milioni centoquarantottomila duecentonovantasette parole: Livello A verificato ora quale metrica riproducibile.</w:t>
      </w:r>
    </w:p>
    <w:p>
      <w:pPr>
        <w:spacing w:after="120" w:line="276"/>
        <w:jc w:val="both"/>
      </w:pPr>
      <w:r>
        <w:rPr>
          <w:rFonts w:ascii="Barlow Semi Condensed" w:cs="Barlow Semi Condensed" w:eastAsia="Barlow Semi Condensed" w:hAnsi="Barlow Semi Condensed"/>
          <w:sz w:val="24"/>
          <w:szCs w:val="24"/>
        </w:rPr>
        <w:t xml:space="preserve">Blocco quattrocentoquarantotto. Le tavole quali testo strutturato a fogli: la lettura diretta delle tavole maggiori ha restituito architetture a fogli nominati con intestazioni di dominio, grado e provenienza: Livello A verificato ora su campione.</w:t>
      </w:r>
    </w:p>
    <w:p>
      <w:pPr>
        <w:spacing w:after="120" w:line="276"/>
        <w:jc w:val="both"/>
      </w:pPr>
      <w:r>
        <w:rPr>
          <w:rFonts w:ascii="Barlow Semi Condensed" w:cs="Barlow Semi Condensed" w:eastAsia="Barlow Semi Condensed" w:hAnsi="Barlow Semi Condensed"/>
          <w:sz w:val="24"/>
          <w:szCs w:val="24"/>
        </w:rPr>
        <w:t xml:space="preserve">Blocco quattrocentoquarantanove. I due programmi di lavorazione quali documenti di metodo: lo script di estrazione lisboeta e lo strumento di operazioni: Livello A quale esistenza e leggibilità, con la loro funzione certificata nei blocchi dedicati.</w:t>
      </w:r>
    </w:p>
    <w:p>
      <w:pPr>
        <w:spacing w:after="120" w:line="276"/>
        <w:jc w:val="both"/>
      </w:pPr>
      <w:r>
        <w:rPr>
          <w:rFonts w:ascii="Barlow Semi Condensed" w:cs="Barlow Semi Condensed" w:eastAsia="Barlow Semi Condensed" w:hAnsi="Barlow Semi Condensed"/>
          <w:sz w:val="24"/>
          <w:szCs w:val="24"/>
        </w:rPr>
        <w:t xml:space="preserve">Blocco quattrocentocinquanta. Il giacimento congressuale americano sulle misure attive: sette file per quattrocentotrentunomilaseicentoquarantasette parole estratte: Livello A verificato ora quale consistenza.</w:t>
      </w:r>
    </w:p>
    <w:p>
      <w:pPr>
        <w:spacing w:after="120" w:line="276"/>
        <w:jc w:val="both"/>
      </w:pPr>
      <w:r>
        <w:rPr>
          <w:rFonts w:ascii="Barlow Semi Condensed" w:cs="Barlow Semi Condensed" w:eastAsia="Barlow Semi Condensed" w:hAnsi="Barlow Semi Condensed"/>
          <w:sz w:val="24"/>
          <w:szCs w:val="24"/>
        </w:rPr>
        <w:t xml:space="preserve">Blocco quattrocentocinquantuno. Il fascicolo investigativo storico sul caso di spionaggio atomico: due file per quarantunomilanovecentottantanove parole: Livello A verificato ora quale consistenza, con l'uso limitato al riscontro delle tranche orientali.</w:t>
      </w:r>
    </w:p>
    <w:p>
      <w:pPr>
        <w:spacing w:after="120" w:line="276"/>
        <w:jc w:val="both"/>
      </w:pPr>
      <w:r>
        <w:rPr>
          <w:rFonts w:ascii="Barlow Semi Condensed" w:cs="Barlow Semi Condensed" w:eastAsia="Barlow Semi Condensed" w:hAnsi="Barlow Semi Condensed"/>
          <w:sz w:val="24"/>
          <w:szCs w:val="24"/>
        </w:rPr>
        <w:t xml:space="preserve">Blocco quattrocentocinquantadue. Il censimento globale della criminalità organizzata quale testo integrale con indice: natura piana accertata, incipit conforme al titolo: Livello A verificato ora quale natura; il vaglio della parte prima resta alla direzione ereditata.</w:t>
      </w:r>
    </w:p>
    <w:p>
      <w:pPr>
        <w:spacing w:after="120" w:line="276"/>
        <w:jc w:val="both"/>
      </w:pPr>
      <w:r>
        <w:rPr>
          <w:rFonts w:ascii="Barlow Semi Condensed" w:cs="Barlow Semi Condensed" w:eastAsia="Barlow Semi Condensed" w:hAnsi="Barlow Semi Condensed"/>
          <w:sz w:val="24"/>
          <w:szCs w:val="24"/>
        </w:rPr>
        <w:t xml:space="preserve">Blocco quattrocentocinquantatré. La lista delle formazioni della destra radicale continentale: centoquarantasette righe utili: Livello A verificato ora quale consistenza, con lo statuto di strumento di lavoro e non di prova.</w:t>
      </w:r>
    </w:p>
    <w:p>
      <w:pPr>
        <w:spacing w:after="120" w:line="276"/>
        <w:jc w:val="both"/>
      </w:pPr>
      <w:r>
        <w:rPr>
          <w:rFonts w:ascii="Barlow Semi Condensed" w:cs="Barlow Semi Condensed" w:eastAsia="Barlow Semi Condensed" w:hAnsi="Barlow Semi Condensed"/>
          <w:sz w:val="24"/>
          <w:szCs w:val="24"/>
        </w:rPr>
        <w:t xml:space="preserve">La direzione lisboeta: le serie e lo strumento di riconciliazione (blocchi quattrocentocinquantaquattro–quattrocentosessantuno)</w:t>
      </w:r>
    </w:p>
    <w:p>
      <w:pPr>
        <w:spacing w:after="120" w:line="276"/>
        <w:jc w:val="both"/>
      </w:pPr>
      <w:r>
        <w:rPr>
          <w:rFonts w:ascii="Barlow Semi Condensed" w:cs="Barlow Semi Condensed" w:eastAsia="Barlow Semi Condensed" w:hAnsi="Barlow Semi Condensed"/>
          <w:sz w:val="24"/>
          <w:szCs w:val="24"/>
        </w:rPr>
        <w:t xml:space="preserve">Blocco quattrocentocinquantaquattro. Lo script di estrazione quale documento di metodo: centosessantaquattro righe che mappano le sessioni di lavorazione del registro lisboeta sui rispettivi file di provenienza: Livello A verificato ora quale strumento.</w:t>
      </w:r>
    </w:p>
    <w:p>
      <w:pPr>
        <w:spacing w:after="120" w:line="276"/>
        <w:jc w:val="both"/>
      </w:pPr>
      <w:r>
        <w:rPr>
          <w:rFonts w:ascii="Barlow Semi Condensed" w:cs="Barlow Semi Condensed" w:eastAsia="Barlow Semi Condensed" w:hAnsi="Barlow Semi Condensed"/>
          <w:sz w:val="24"/>
          <w:szCs w:val="24"/>
        </w:rPr>
        <w:t xml:space="preserve">Blocco quattrocentocinquantacinque. Le sessioni nominate nello script: il corpus generale, l'asse sudafricano-sudamericano, l'asse asiatico-pacifico, la sessione sunnita e la sessione dell'integrazione apartheid: cinque serie mappate su file di sessione datati: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quattrocentocinquantasei. Il differenziale con la consegna: la direzione ereditata parla di sette serie per trecentosessantacinque voci; lo script ne mappa cinque; le residue giacciono nel registro-madre e nelle tavole di integrazione: perimetro della riconciliazione ora definito, completamento voce per voce consegnato: Livello B quale stato della riconciliazione.</w:t>
      </w:r>
    </w:p>
    <w:p>
      <w:pPr>
        <w:spacing w:after="120" w:line="276"/>
        <w:jc w:val="both"/>
      </w:pPr>
      <w:r>
        <w:rPr>
          <w:rFonts w:ascii="Barlow Semi Condensed" w:cs="Barlow Semi Condensed" w:eastAsia="Barlow Semi Condensed" w:hAnsi="Barlow Semi Condensed"/>
          <w:sz w:val="24"/>
          <w:szCs w:val="24"/>
        </w:rPr>
        <w:t xml:space="preserve">Blocco quattrocentocinquantasette. La tavola di integrazione apartheid: centodieci righe con intestazione a otto campi — numero, nodo, dominio, tipo, grado, sintesi, stato nel registro-madre, monografia di provenienza: Livello A verificato ora quale architettura.</w:t>
      </w:r>
    </w:p>
    <w:p>
      <w:pPr>
        <w:spacing w:after="120" w:line="276"/>
        <w:jc w:val="both"/>
      </w:pPr>
      <w:r>
        <w:rPr>
          <w:rFonts w:ascii="Barlow Semi Condensed" w:cs="Barlow Semi Condensed" w:eastAsia="Barlow Semi Condensed" w:hAnsi="Barlow Semi Condensed"/>
          <w:sz w:val="24"/>
          <w:szCs w:val="24"/>
        </w:rPr>
        <w:t xml:space="preserve">Blocco quattrocentocinquantotto. Il primo nodo della tavola: la centrale di Lisbona 1966-1974 quale hub del settimo dominio con grado massimo dichiarato: coerente con le certificazioni delle tranche precedenti e con la fase quinta del volume moroteo: Livello A quale coerenza interna verificata ora.</w:t>
      </w:r>
    </w:p>
    <w:p>
      <w:pPr>
        <w:spacing w:after="120" w:line="276"/>
        <w:jc w:val="both"/>
      </w:pPr>
      <w:r>
        <w:rPr>
          <w:rFonts w:ascii="Barlow Semi Condensed" w:cs="Barlow Semi Condensed" w:eastAsia="Barlow Semi Condensed" w:hAnsi="Barlow Semi Condensed"/>
          <w:sz w:val="24"/>
          <w:szCs w:val="24"/>
        </w:rPr>
        <w:t xml:space="preserve">Blocco quattrocentocinquantanove. Il campo «monografia di provenienza» quale genealogia dichiarata di ogni nodo: l'architettura realizza l'Indice di Contaminazione delle Fonti a livello di tavola: Livello A quale conformità metodologica.</w:t>
      </w:r>
    </w:p>
    <w:p>
      <w:pPr>
        <w:spacing w:after="120" w:line="276"/>
        <w:jc w:val="both"/>
      </w:pPr>
      <w:r>
        <w:rPr>
          <w:rFonts w:ascii="Barlow Semi Condensed" w:cs="Barlow Semi Condensed" w:eastAsia="Barlow Semi Condensed" w:hAnsi="Barlow Semi Condensed"/>
          <w:sz w:val="24"/>
          <w:szCs w:val="24"/>
        </w:rPr>
        <w:t xml:space="preserve">Blocco quattrocentosessanta. Le riproduzioni del fondo portoghese presenti nel corpus in due parti: la verifica alla fonte degli indici della Torre do Tombo resta non eseguibile in locale ed è confermata quale direzione esterna: Stato Zero di eseguibilità interna, consegnato.</w:t>
      </w:r>
    </w:p>
    <w:p>
      <w:pPr>
        <w:spacing w:after="120" w:line="276"/>
        <w:jc w:val="both"/>
      </w:pPr>
      <w:r>
        <w:rPr>
          <w:rFonts w:ascii="Barlow Semi Condensed" w:cs="Barlow Semi Condensed" w:eastAsia="Barlow Semi Condensed" w:hAnsi="Barlow Semi Condensed"/>
          <w:sz w:val="24"/>
          <w:szCs w:val="24"/>
        </w:rPr>
        <w:t xml:space="preserve">Blocco quattrocentosessantuno. La monografia sul rapporto controverso tra il capo carismatico dell'eversione nera italiana e la centrale, presente in doppia copia con notazione leggera di quattromilaseicento parole: Livello A quale giacimento, con i contenuti ai gradi già certificati nelle tranche dedicate.</w:t>
      </w:r>
    </w:p>
    <w:p>
      <w:pPr>
        <w:spacing w:after="120" w:line="276"/>
        <w:jc w:val="both"/>
      </w:pPr>
      <w:r>
        <w:rPr>
          <w:rFonts w:ascii="Barlow Semi Condensed" w:cs="Barlow Semi Condensed" w:eastAsia="Barlow Semi Condensed" w:hAnsi="Barlow Semi Condensed"/>
          <w:sz w:val="24"/>
          <w:szCs w:val="24"/>
        </w:rPr>
        <w:t xml:space="preserve">La direzione orientale: giacimenti interni e Stato Zero (blocchi quattrocentosessantadue–quattrocentosessantanove)</w:t>
      </w:r>
    </w:p>
    <w:p>
      <w:pPr>
        <w:spacing w:after="120" w:line="276"/>
        <w:jc w:val="both"/>
      </w:pPr>
      <w:r>
        <w:rPr>
          <w:rFonts w:ascii="Barlow Semi Condensed" w:cs="Barlow Semi Condensed" w:eastAsia="Barlow Semi Condensed" w:hAnsi="Barlow Semi Condensed"/>
          <w:sz w:val="24"/>
          <w:szCs w:val="24"/>
        </w:rPr>
        <w:t xml:space="preserve">Blocco quattrocentosessantadue. Il giacimento congressuale sulle misure attive quale corpo documentale interno di quasi mezzo milione di parole: la sua natura di atto pubblico d'oltreoceano ne fa fonte di alta affidabilità per il versante contemporaneo: Livello A quale natura, con i singoli contenuti ai gradi delle tranche che li hanno usati.</w:t>
      </w:r>
    </w:p>
    <w:p>
      <w:pPr>
        <w:spacing w:after="120" w:line="276"/>
        <w:jc w:val="both"/>
      </w:pPr>
      <w:r>
        <w:rPr>
          <w:rFonts w:ascii="Barlow Semi Condensed" w:cs="Barlow Semi Condensed" w:eastAsia="Barlow Semi Condensed" w:hAnsi="Barlow Semi Condensed"/>
          <w:sz w:val="24"/>
          <w:szCs w:val="24"/>
        </w:rPr>
        <w:t xml:space="preserve">Blocco quattrocentosessantatré. Il fascicolo storico sul caso atomico quale controllo di profondità del metodo orientale: la lavorazione investigativa degli anni Quaranta-Cinquanta documenta la persistenza generazionale delle tecniche di penetrazione: Livello B quale valore comparativo, senza estensioni.</w:t>
      </w:r>
    </w:p>
    <w:p>
      <w:pPr>
        <w:spacing w:after="120" w:line="276"/>
        <w:jc w:val="both"/>
      </w:pPr>
      <w:r>
        <w:rPr>
          <w:rFonts w:ascii="Barlow Semi Condensed" w:cs="Barlow Semi Condensed" w:eastAsia="Barlow Semi Condensed" w:hAnsi="Barlow Semi Condensed"/>
          <w:sz w:val="24"/>
          <w:szCs w:val="24"/>
        </w:rPr>
        <w:t xml:space="preserve">Blocco quattrocentosessantaquattro. Gli indici analitici cecoslovacchi: assenti dal corpus in ogni forma: Stato Zero di reperibilità interna confermato, direzione esterna consegnata.</w:t>
      </w:r>
    </w:p>
    <w:p>
      <w:pPr>
        <w:spacing w:after="120" w:line="276"/>
        <w:jc w:val="both"/>
      </w:pPr>
      <w:r>
        <w:rPr>
          <w:rFonts w:ascii="Barlow Semi Condensed" w:cs="Barlow Semi Condensed" w:eastAsia="Barlow Semi Condensed" w:hAnsi="Barlow Semi Condensed"/>
          <w:sz w:val="24"/>
          <w:szCs w:val="24"/>
        </w:rPr>
        <w:t xml:space="preserve">Blocco quattrocentosessantacinque. L'elaborato parlamentare sull'ombra orientale presente nel corpus quale estrazione del Tomo dedicato: coerenza con i blocchi della quarta e della settima tranche: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quattrocentosessantasei. Il dossier sulle radici dell'imperialismo orientale quale riproduzione presente: Livello A quale esistenza, contenuti al grado della loro natura di elaborato.</w:t>
      </w:r>
    </w:p>
    <w:p>
      <w:pPr>
        <w:spacing w:after="120" w:line="276"/>
        <w:jc w:val="both"/>
      </w:pPr>
      <w:r>
        <w:rPr>
          <w:rFonts w:ascii="Barlow Semi Condensed" w:cs="Barlow Semi Condensed" w:eastAsia="Barlow Semi Condensed" w:hAnsi="Barlow Semi Condensed"/>
          <w:sz w:val="24"/>
          <w:szCs w:val="24"/>
        </w:rPr>
        <w:t xml:space="preserve">Blocco quattrocentosessantasette. I materiali sull'architettura contemporanea dell'influenza — i cinque hub, la rete degli osservatori, il caso parlamentare, l'indagine sul coordinatore — presenti quali elaborati d'inchiesta in copia multipla: Livello A quale giacimento, con la gradazione delle attribuzioni fissata nelle tranche seconda e quarta e qui non estesa.</w:t>
      </w:r>
    </w:p>
    <w:p>
      <w:pPr>
        <w:spacing w:after="120" w:line="276"/>
        <w:jc w:val="both"/>
      </w:pPr>
      <w:r>
        <w:rPr>
          <w:rFonts w:ascii="Barlow Semi Condensed" w:cs="Barlow Semi Condensed" w:eastAsia="Barlow Semi Condensed" w:hAnsi="Barlow Semi Condensed"/>
          <w:sz w:val="24"/>
          <w:szCs w:val="24"/>
        </w:rPr>
        <w:t xml:space="preserve">Blocco quattrocentosessantotto. La simmetria documentale dei finanziamenti, certificata nel volume per l'età bipolare, trova nel corpus i giacimenti di entrambi i versanti: la coerenza tra il volume e il corpus su questo punto sensibile è verificata ora senza attriti: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quattrocentosessantanove. Stato Zero orientale del caso capitale: nessun documento del corpus, incluso il giacimento congressuale, attesta un mandato orientale per il sequestro del 1978: Stato Zero confermato per la terza volta consecutiva, con valore di stabilità.</w:t>
      </w:r>
    </w:p>
    <w:p>
      <w:pPr>
        <w:spacing w:after="120" w:line="276"/>
        <w:jc w:val="both"/>
      </w:pPr>
      <w:r>
        <w:rPr>
          <w:rFonts w:ascii="Barlow Semi Condensed" w:cs="Barlow Semi Condensed" w:eastAsia="Barlow Semi Condensed" w:hAnsi="Barlow Semi Condensed"/>
          <w:sz w:val="24"/>
          <w:szCs w:val="24"/>
        </w:rPr>
        <w:t xml:space="preserve">Lo scioglimento della pendenza morotea: la rettifica (blocchi quattrocentosettanta–quattrocentosettantacinque)</w:t>
      </w:r>
    </w:p>
    <w:p>
      <w:pPr>
        <w:spacing w:after="120" w:line="276"/>
        <w:jc w:val="both"/>
      </w:pPr>
      <w:r>
        <w:rPr>
          <w:rFonts w:ascii="Barlow Semi Condensed" w:cs="Barlow Semi Condensed" w:eastAsia="Barlow Semi Condensed" w:hAnsi="Barlow Semi Condensed"/>
          <w:sz w:val="24"/>
          <w:szCs w:val="24"/>
        </w:rPr>
        <w:t xml:space="preserve">Blocco quattrocentosettanta. Rettifica formale: i blocchi della settima tranche sulle riproduzioni morotee iscrivevano prudenzialmente l'assenza di uno strato testuale verificato; l'accertamento di natura di questa sessione dimostra che entrambi i reperti sono conservati quale testo piano integralmente estraibile: la pendenza della lavorazione ottica è sciolta per insussistenza: rettifica iscritta,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quattrocentosettantuno. La relazione della prima Commissione: settantottomilacinquecentodieci parole estratte, incipit istituzionale conforme: Livello A verificato ora quale consistenza e natura.</w:t>
      </w:r>
    </w:p>
    <w:p>
      <w:pPr>
        <w:spacing w:after="120" w:line="276"/>
        <w:jc w:val="both"/>
      </w:pPr>
      <w:r>
        <w:rPr>
          <w:rFonts w:ascii="Barlow Semi Condensed" w:cs="Barlow Semi Condensed" w:eastAsia="Barlow Semi Condensed" w:hAnsi="Barlow Semi Condensed"/>
          <w:sz w:val="24"/>
          <w:szCs w:val="24"/>
        </w:rPr>
        <w:t xml:space="preserve">Blocco quattrocentosettantadue. L'edizione delle lettere dalla prigionia: ventitremilaquattrocentodiciannove parole estratte, frontespizio conforme alla curatela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quattrocentosettantatré. La relazione della Commissione sulla loggia, presente nel corpus con la medesima natura estraibile e consistenza di settantasettemilaseicentottantasette parole: Livello A verificato ora, quale fonte-architrave della prima fase del volume ora disponibile alla verifica testuale diretta.</w:t>
      </w:r>
    </w:p>
    <w:p>
      <w:pPr>
        <w:spacing w:after="120" w:line="276"/>
        <w:jc w:val="both"/>
      </w:pPr>
      <w:r>
        <w:rPr>
          <w:rFonts w:ascii="Barlow Semi Condensed" w:cs="Barlow Semi Condensed" w:eastAsia="Barlow Semi Condensed" w:hAnsi="Barlow Semi Condensed"/>
          <w:sz w:val="24"/>
          <w:szCs w:val="24"/>
        </w:rPr>
        <w:t xml:space="preserve">Blocco quattrocentosettantaquattro. La conseguenza di metodo della rettifica: il vaglio testuale diretto delle tre fonti primarie contro le citazioni del volume diventa eseguibile e viene iscritto quale direzione della nona tranche con priorità massima: consegna qualificata.</w:t>
      </w:r>
    </w:p>
    <w:p>
      <w:pPr>
        <w:spacing w:after="120" w:line="276"/>
        <w:jc w:val="both"/>
      </w:pPr>
      <w:r>
        <w:rPr>
          <w:rFonts w:ascii="Barlow Semi Condensed" w:cs="Barlow Semi Condensed" w:eastAsia="Barlow Semi Condensed" w:hAnsi="Barlow Semi Condensed"/>
          <w:sz w:val="24"/>
          <w:szCs w:val="24"/>
        </w:rPr>
        <w:t xml:space="preserve">Blocco quattrocentosettantacinque. Il valore epistemologico della rettifica: il registro ha corretto sé stesso su un accertamento di fatto entro una tranche dalla propria iscrizione, documentando il funzionamento del protocollo di falsificabilità interna: Livello A quale atto di metodo.</w:t>
      </w:r>
    </w:p>
    <w:p>
      <w:pPr>
        <w:spacing w:after="120" w:line="276"/>
        <w:jc w:val="both"/>
      </w:pPr>
      <w:r>
        <w:rPr>
          <w:rFonts w:ascii="Barlow Semi Condensed" w:cs="Barlow Semi Condensed" w:eastAsia="Barlow Semi Condensed" w:hAnsi="Barlow Semi Condensed"/>
          <w:sz w:val="24"/>
          <w:szCs w:val="24"/>
        </w:rPr>
        <w:t xml:space="preserve">Il vaglio del dataset testuale (blocchi quattrocentosettantasei–quattrocentottantuno)</w:t>
      </w:r>
    </w:p>
    <w:p>
      <w:pPr>
        <w:spacing w:after="120" w:line="276"/>
        <w:jc w:val="both"/>
      </w:pPr>
      <w:r>
        <w:rPr>
          <w:rFonts w:ascii="Barlow Semi Condensed" w:cs="Barlow Semi Condensed" w:eastAsia="Barlow Semi Condensed" w:hAnsi="Barlow Semi Condensed"/>
          <w:sz w:val="24"/>
          <w:szCs w:val="24"/>
        </w:rPr>
        <w:t xml:space="preserve">Blocco quattrocentosettantasei. Il conteggio dei marcatori: milleseessantadue documenti numerati, senza lacune nel campione dei marcatori: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quattrocentosettantasette. Il perimetro cronologico: data minima primo luglio 1932, data massima sei marzo 1978: conferma computazionale del confine iscritto nel volume definitivo: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quattrocentosettantotto. Il differenziale delle datazioni: quattrocentonovantuno date esplicite dichiarate su milleseessantadue documenti: la copertura parziale delle datazioni è iscritta quale limite del dataset, non del corpus: Livello A quale metrica, Livello B quale usabilità cronologica fine.</w:t>
      </w:r>
    </w:p>
    <w:p>
      <w:pPr>
        <w:spacing w:after="120" w:line="276"/>
        <w:jc w:val="both"/>
      </w:pPr>
      <w:r>
        <w:rPr>
          <w:rFonts w:ascii="Barlow Semi Condensed" w:cs="Barlow Semi Condensed" w:eastAsia="Barlow Semi Condensed" w:hAnsi="Barlow Semi Condensed"/>
          <w:sz w:val="24"/>
          <w:szCs w:val="24"/>
        </w:rPr>
        <w:t xml:space="preserve">Blocco quattrocentosettantanove. La provenienza dichiarata del dataset da un progetto di ricerca pubblico con partizioni riunite e deduplicate: Livello A quale genealogia dichiarata, verificabile esternamente quale direzione.</w:t>
      </w:r>
    </w:p>
    <w:p>
      <w:pPr>
        <w:spacing w:after="120" w:line="276"/>
        <w:jc w:val="both"/>
      </w:pPr>
      <w:r>
        <w:rPr>
          <w:rFonts w:ascii="Barlow Semi Condensed" w:cs="Barlow Semi Condensed" w:eastAsia="Barlow Semi Condensed" w:hAnsi="Barlow Semi Condensed"/>
          <w:sz w:val="24"/>
          <w:szCs w:val="24"/>
        </w:rPr>
        <w:t xml:space="preserve">Blocco quattrocentottanta. La coerenza dell'incipit: il primo documento, un saluto formativo del luglio 1932 negli organismi giovanili cattolici, converge con la biografia intellettuale censita nel volume: Livello A quale riscontro puntuale.</w:t>
      </w:r>
    </w:p>
    <w:p>
      <w:pPr>
        <w:spacing w:after="120" w:line="276"/>
        <w:jc w:val="both"/>
      </w:pPr>
      <w:r>
        <w:rPr>
          <w:rFonts w:ascii="Barlow Semi Condensed" w:cs="Barlow Semi Condensed" w:eastAsia="Barlow Semi Condensed" w:hAnsi="Barlow Semi Condensed"/>
          <w:sz w:val="24"/>
          <w:szCs w:val="24"/>
        </w:rPr>
        <w:t xml:space="preserve">Blocco quattrocentottantuno. Il vaglio campionario delle citazioni del volume contro il dataset: eseguito sul campione degli enunciati biografici con esito di coerenza piena; il vaglio integrale resta consegnato: Livello B quale stato del vaglio, esito parziale positivo iscritto.</w:t>
      </w:r>
    </w:p>
    <w:p>
      <w:pPr>
        <w:spacing w:after="120" w:line="276"/>
        <w:jc w:val="both"/>
      </w:pPr>
      <w:r>
        <w:rPr>
          <w:rFonts w:ascii="Barlow Semi Condensed" w:cs="Barlow Semi Condensed" w:eastAsia="Barlow Semi Condensed" w:hAnsi="Barlow Semi Condensed"/>
          <w:sz w:val="24"/>
          <w:szCs w:val="24"/>
        </w:rPr>
        <w:t xml:space="preserve">La federazione morotea: riconciliazione degli statuti (blocchi quattrocentottantadue–quattrocentottantasette)</w:t>
      </w:r>
    </w:p>
    <w:p>
      <w:pPr>
        <w:spacing w:after="120" w:line="276"/>
        <w:jc w:val="both"/>
      </w:pPr>
      <w:r>
        <w:rPr>
          <w:rFonts w:ascii="Barlow Semi Condensed" w:cs="Barlow Semi Condensed" w:eastAsia="Barlow Semi Condensed" w:hAnsi="Barlow Semi Condensed"/>
          <w:sz w:val="24"/>
          <w:szCs w:val="24"/>
        </w:rPr>
        <w:t xml:space="preserve">Blocco quattrocentottantadue. Il registro analitico: dodicesima versione recante lo statuto di nona edizione, con incorporazione dichiarata verbatim dell'ottava e delle precedenti: architettura cumulativa conforme al principio di conservazione del progetto: Livello A verificato ora sugli statuti.</w:t>
      </w:r>
    </w:p>
    <w:p>
      <w:pPr>
        <w:spacing w:after="120" w:line="276"/>
        <w:jc w:val="both"/>
      </w:pPr>
      <w:r>
        <w:rPr>
          <w:rFonts w:ascii="Barlow Semi Condensed" w:cs="Barlow Semi Condensed" w:eastAsia="Barlow Semi Condensed" w:hAnsi="Barlow Semi Condensed"/>
          <w:sz w:val="24"/>
          <w:szCs w:val="24"/>
        </w:rPr>
        <w:t xml:space="preserve">Blocco quattrocentottantatré. Il registro di scavo: terza versione recante lo statuto di edizione prima quale fondazione per comando d'autore: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quattrocentottantaquattro. Il registro speculare: quarta versione recante lo statuto di edizione seconda con applicazione della metodologia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quattrocentottantacinque. Il registro genetico: prima edizione di fondazione, recante la dichiarazione che l'apparato moroteo conta quattro documenti ed un codice: la quintupla è dichiarata dalla fonte stessa: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quattrocentottantasei. Il codice relazionale: edizione di fondazione del campo con subordinazione dichiarata ai documenti che coordina: architettura di governo della federazione conforme: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quattrocentottantasette. L'esito della riconciliazione: gli statuti delle cinque componenti sono reciprocamente coerenti e coerenti con la descrizione iscritta nel volume definitivo; la riconciliazione contenutistica voce per voce resta consegnata con perimetro ora certificato: Livello A sugli statuti, Livello B sullo stato complessivo.</w:t>
      </w:r>
    </w:p>
    <w:p>
      <w:pPr>
        <w:spacing w:after="120" w:line="276"/>
        <w:jc w:val="both"/>
      </w:pPr>
      <w:r>
        <w:rPr>
          <w:rFonts w:ascii="Barlow Semi Condensed" w:cs="Barlow Semi Condensed" w:eastAsia="Barlow Semi Condensed" w:hAnsi="Barlow Semi Condensed"/>
          <w:sz w:val="24"/>
          <w:szCs w:val="24"/>
        </w:rPr>
        <w:t xml:space="preserve">Il repertorio delle fonti: architettura e difetti (blocchi quattrocentottantotto–quattrocentonovantatré)</w:t>
      </w:r>
    </w:p>
    <w:p>
      <w:pPr>
        <w:spacing w:after="120" w:line="276"/>
        <w:jc w:val="both"/>
      </w:pPr>
      <w:r>
        <w:rPr>
          <w:rFonts w:ascii="Barlow Semi Condensed" w:cs="Barlow Semi Condensed" w:eastAsia="Barlow Semi Condensed" w:hAnsi="Barlow Semi Condensed"/>
          <w:sz w:val="24"/>
          <w:szCs w:val="24"/>
        </w:rPr>
        <w:t xml:space="preserve">Blocco quattrocentottantotto. L'architettura a fogli del repertorio riparato: undici fogli nominati — controllo di riparazione, nota, archivi, fonti seriali, atti giudiziari e normativi, atti parlamentari, bibliografia, archivi desecretati, archivi sudamericani, revisione manuale, residui numerici: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quattrocentottantanove. La consistenza: quattrocentoventisei righe utili per settantasettemilacinquecentosettantaquattro parole: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quattrocentonovanta. Il foglio dei residui numerici quale sede documentale del difetto di corruzione a due classi censito dalla memoria operativa: il difetto è ritrovato in sede con il suo apparato di controllo: Livello A quale riscontro della memoria contro il corpus.</w:t>
      </w:r>
    </w:p>
    <w:p>
      <w:pPr>
        <w:spacing w:after="120" w:line="276"/>
        <w:jc w:val="both"/>
      </w:pPr>
      <w:r>
        <w:rPr>
          <w:rFonts w:ascii="Barlow Semi Condensed" w:cs="Barlow Semi Condensed" w:eastAsia="Barlow Semi Condensed" w:hAnsi="Barlow Semi Condensed"/>
          <w:sz w:val="24"/>
          <w:szCs w:val="24"/>
        </w:rPr>
        <w:t xml:space="preserve">Blocco quattrocentonovantuno. I fogli di controllo e revisione manuale quale protocollo di riparazione documentato: il repertorio incorpora la propria storia di correzione: Livello A quale igiene documentale.</w:t>
      </w:r>
    </w:p>
    <w:p>
      <w:pPr>
        <w:spacing w:after="120" w:line="276"/>
        <w:jc w:val="both"/>
      </w:pPr>
      <w:r>
        <w:rPr>
          <w:rFonts w:ascii="Barlow Semi Condensed" w:cs="Barlow Semi Condensed" w:eastAsia="Barlow Semi Condensed" w:hAnsi="Barlow Semi Condensed"/>
          <w:sz w:val="24"/>
          <w:szCs w:val="24"/>
        </w:rPr>
        <w:t xml:space="preserve">Blocco quattrocentonovantadue. Il difetto maggiore censito dalla memoria — l'omissione sistematica dei nomi propri quale impedimento alla generazione dei nodi — resta pendenza sostanziale del repertorio: la sua risoluzione è direzione consegnata: Livello B quale stato, pendenza confermata.</w:t>
      </w:r>
    </w:p>
    <w:p>
      <w:pPr>
        <w:spacing w:after="120" w:line="276"/>
        <w:jc w:val="both"/>
      </w:pPr>
      <w:r>
        <w:rPr>
          <w:rFonts w:ascii="Barlow Semi Condensed" w:cs="Barlow Semi Condensed" w:eastAsia="Barlow Semi Condensed" w:hAnsi="Barlow Semi Condensed"/>
          <w:sz w:val="24"/>
          <w:szCs w:val="24"/>
        </w:rPr>
        <w:t xml:space="preserve">Blocco quattrocentonovantatré. La tavola di triangolazione dei personaggi: duecentottantasei righe quale strumento di incrocio tra repertorio e registri: Livello A verificato ora quale esistenza e consistenza.</w:t>
      </w:r>
    </w:p>
    <w:p>
      <w:pPr>
        <w:spacing w:after="120" w:line="276"/>
        <w:jc w:val="both"/>
      </w:pPr>
      <w:r>
        <w:rPr>
          <w:rFonts w:ascii="Barlow Semi Condensed" w:cs="Barlow Semi Condensed" w:eastAsia="Barlow Semi Condensed" w:hAnsi="Barlow Semi Condensed"/>
          <w:sz w:val="24"/>
          <w:szCs w:val="24"/>
        </w:rPr>
        <w:t xml:space="preserve">La memoria operativa: triangolazione delle ipotesi e dei protocolli (blocchi quattrocentonovantaquattro–cinquecentouno)</w:t>
      </w:r>
    </w:p>
    <w:p>
      <w:pPr>
        <w:spacing w:after="120" w:line="276"/>
        <w:jc w:val="both"/>
      </w:pPr>
      <w:r>
        <w:rPr>
          <w:rFonts w:ascii="Barlow Semi Condensed" w:cs="Barlow Semi Condensed" w:eastAsia="Barlow Semi Condensed" w:hAnsi="Barlow Semi Condensed"/>
          <w:sz w:val="24"/>
          <w:szCs w:val="24"/>
        </w:rPr>
        <w:t xml:space="preserve">Blocco quattrocentonovantaquattro. La memoria operativa quale fonte interna dichiarata: registro di ipotesi, protocolli e pendenze del progetto, con statuto di fonte interessata: ogni suo enunciato vale quale asserzione da verificare, mai quale prova: Livello A quale statuto, applicato in ogni blocco che segue.</w:t>
      </w:r>
    </w:p>
    <w:p>
      <w:pPr>
        <w:spacing w:after="120" w:line="276"/>
        <w:jc w:val="both"/>
      </w:pPr>
      <w:r>
        <w:rPr>
          <w:rFonts w:ascii="Barlow Semi Condensed" w:cs="Barlow Semi Condensed" w:eastAsia="Barlow Semi Condensed" w:hAnsi="Barlow Semi Condensed"/>
          <w:sz w:val="24"/>
          <w:szCs w:val="24"/>
        </w:rPr>
        <w:t xml:space="preserve">Blocco quattrocentonovantacinque. La macro-ipotesi prima nella memoria — la convergenza delle potenze esterne contro l'integrazione continentale — registrata al terzo grado con falsificatore permanente designato: la collocazione converge con la matrice di questo registro, che ne ha falsificato la forma forte e conservato la debole al medesimo grado: Livello A quale coerenza tra memoria e matrice.</w:t>
      </w:r>
    </w:p>
    <w:p>
      <w:pPr>
        <w:spacing w:after="120" w:line="276"/>
        <w:jc w:val="both"/>
      </w:pPr>
      <w:r>
        <w:rPr>
          <w:rFonts w:ascii="Barlow Semi Condensed" w:cs="Barlow Semi Condensed" w:eastAsia="Barlow Semi Condensed" w:hAnsi="Barlow Semi Condensed"/>
          <w:sz w:val="24"/>
          <w:szCs w:val="24"/>
        </w:rPr>
        <w:t xml:space="preserve">Blocco quattrocentonovantasei. La macro-ipotesi seconda — i due progetti autoritari rivali sul contenitore europeo — registrata nella memoria al terzo grado con quattro vantaggi esplicativi: identica alla collocazione della matrice di questo registro sin dalla prima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quattrocentonovantasette. Il clustering nullo delle stragi registrato nella memoria quale abbandono definitivo della tesi originaria di convergenza nella sua formulazione statistica: coerente con la disciplina del Pattern temporale applicata dal volume e da questo registro: Livello A quale coerenza di metodo.</w:t>
      </w:r>
    </w:p>
    <w:p>
      <w:pPr>
        <w:spacing w:after="120" w:line="276"/>
        <w:jc w:val="both"/>
      </w:pPr>
      <w:r>
        <w:rPr>
          <w:rFonts w:ascii="Barlow Semi Condensed" w:cs="Barlow Semi Condensed" w:eastAsia="Barlow Semi Condensed" w:hAnsi="Barlow Semi Condensed"/>
          <w:sz w:val="24"/>
          <w:szCs w:val="24"/>
        </w:rPr>
        <w:t xml:space="preserve">Blocco quattrocentonovantotto. Il Registro Unico Federato a sei strati con spina federante quale architettura madre dichiarata dalla memoria: la federazione morotea verificata in questa tranche ne costituisce il caso applicato: Livello A quale coerenza architetturale.</w:t>
      </w:r>
    </w:p>
    <w:p>
      <w:pPr>
        <w:spacing w:after="120" w:line="276"/>
        <w:jc w:val="both"/>
      </w:pPr>
      <w:r>
        <w:rPr>
          <w:rFonts w:ascii="Barlow Semi Condensed" w:cs="Barlow Semi Condensed" w:eastAsia="Barlow Semi Condensed" w:hAnsi="Barlow Semi Condensed"/>
          <w:sz w:val="24"/>
          <w:szCs w:val="24"/>
        </w:rPr>
        <w:t xml:space="preserve">Blocco quattrocentonovantanove. Il censimento parallelo dei procedimenti politici 1994-2026 registrato nella memoria quale progetto enciclopedico in corso: estraneo al perimetro di questo registro, iscritto quale confine dichiarato: Livello A quale perimetro.</w:t>
      </w:r>
    </w:p>
    <w:p>
      <w:pPr>
        <w:spacing w:after="120" w:line="276"/>
        <w:jc w:val="both"/>
      </w:pPr>
      <w:r>
        <w:rPr>
          <w:rFonts w:ascii="Barlow Semi Condensed" w:cs="Barlow Semi Condensed" w:eastAsia="Barlow Semi Condensed" w:hAnsi="Barlow Semi Condensed"/>
          <w:sz w:val="24"/>
          <w:szCs w:val="24"/>
        </w:rPr>
        <w:t xml:space="preserve">Blocco cinquecento. I protocolli vincolanti della memoria — la Regola Ferrea, lo Stato Zero quale risultato, la disciplina dei viventi, le esclusioni di fonte permanenti, il principio cumulativo: tutti riscontrati in applicazione nel corpus e in questo registro: Livello A quale conformità sistemica.</w:t>
      </w:r>
    </w:p>
    <w:p>
      <w:pPr>
        <w:spacing w:after="120" w:line="276"/>
        <w:jc w:val="both"/>
      </w:pPr>
      <w:r>
        <w:rPr>
          <w:rFonts w:ascii="Barlow Semi Condensed" w:cs="Barlow Semi Condensed" w:eastAsia="Barlow Semi Condensed" w:hAnsi="Barlow Semi Condensed"/>
          <w:sz w:val="24"/>
          <w:szCs w:val="24"/>
        </w:rPr>
        <w:t xml:space="preserve">Blocco cinquecentouno. Il principio del lampione registrato nella memoria quale risultato empirico e non quale cautela teorica: la densità documentale misura l'attenzione e non l'intensità storica: assunto quale avvertenza permanente di lettura per le metriche di questa tranche: Livello A quale principio, applicato.</w:t>
      </w:r>
    </w:p>
    <w:p>
      <w:pPr>
        <w:spacing w:after="120" w:line="276"/>
        <w:jc w:val="both"/>
      </w:pPr>
      <w:r>
        <w:rPr>
          <w:rFonts w:ascii="Barlow Semi Condensed" w:cs="Barlow Semi Condensed" w:eastAsia="Barlow Semi Condensed" w:hAnsi="Barlow Semi Condensed"/>
          <w:sz w:val="24"/>
          <w:szCs w:val="24"/>
        </w:rPr>
        <w:t xml:space="preserve">Cascata sui giacimenti contemporanei orientali (blocchi cinquecentodue–cinquecentonove)</w:t>
      </w:r>
    </w:p>
    <w:p>
      <w:pPr>
        <w:spacing w:after="120" w:line="276"/>
        <w:jc w:val="both"/>
      </w:pPr>
      <w:r>
        <w:rPr>
          <w:rFonts w:ascii="Barlow Semi Condensed" w:cs="Barlow Semi Condensed" w:eastAsia="Barlow Semi Condensed" w:hAnsi="Barlow Semi Condensed"/>
          <w:sz w:val="24"/>
          <w:szCs w:val="24"/>
        </w:rPr>
        <w:t xml:space="preserve">Blocco cinquecentodue. Il giacimento congressuale quale spina del versante contemporaneo: i cinque volumi con le appendici, già mobilitati dalle tranche seconda e quarta, sono ora censiti nella loro consistenza integrale: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cinquecentotré. Gli elaborati sui cinque hub geografici dell'influenza in doppia copia: la duplicazione interna al corpus è iscritta quale ridondanza di conservazione, con Indice di Contaminazione unitario: Livello A quale igiene di catena.</w:t>
      </w:r>
    </w:p>
    <w:p>
      <w:pPr>
        <w:spacing w:after="120" w:line="276"/>
        <w:jc w:val="both"/>
      </w:pPr>
      <w:r>
        <w:rPr>
          <w:rFonts w:ascii="Barlow Semi Condensed" w:cs="Barlow Semi Condensed" w:eastAsia="Barlow Semi Condensed" w:hAnsi="Barlow Semi Condensed"/>
          <w:sz w:val="24"/>
          <w:szCs w:val="24"/>
        </w:rPr>
        <w:t xml:space="preserve">Blocco cinquecentoquattro. Il caso della rete degli osservatori elettorali quale anatomia di un'operazione: elaborato presente in copia multipla, gradazioni fissate nella quarta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cinquecentocinque. L'indagine sul coordinatore parlamentare della rete e le liste sanzionatorie quali fatti amministrativi: statuto invariato dalla quinta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cinquecentosei. Il caso del finanziamento milanese nella sua interezza giudiziaria: certificato nella seconda tranche, richiamato senza estensioni: già certificato.</w:t>
      </w:r>
    </w:p>
    <w:p>
      <w:pPr>
        <w:spacing w:after="120" w:line="276"/>
        <w:jc w:val="both"/>
      </w:pPr>
      <w:r>
        <w:rPr>
          <w:rFonts w:ascii="Barlow Semi Condensed" w:cs="Barlow Semi Condensed" w:eastAsia="Barlow Semi Condensed" w:hAnsi="Barlow Semi Condensed"/>
          <w:sz w:val="24"/>
          <w:szCs w:val="24"/>
        </w:rPr>
        <w:t xml:space="preserve">Blocco cinquecentosette. I materiali sul controllo oligarchico dei sistemi informativi orientali e sulla fondazione mediatica danubiana: giacimenti presenti, usati quali contesto: Livello A quale esistenza, contenuti al grado di elaborato.</w:t>
      </w:r>
    </w:p>
    <w:p>
      <w:pPr>
        <w:spacing w:after="120" w:line="276"/>
        <w:jc w:val="both"/>
      </w:pPr>
      <w:r>
        <w:rPr>
          <w:rFonts w:ascii="Barlow Semi Condensed" w:cs="Barlow Semi Condensed" w:eastAsia="Barlow Semi Condensed" w:hAnsi="Barlow Semi Condensed"/>
          <w:sz w:val="24"/>
          <w:szCs w:val="24"/>
        </w:rPr>
        <w:t xml:space="preserve">Blocco cinquecentotto. La coerenza trasversale: nessun documento del versante contemporaneo contraddice le certificazioni del versante storico; i due corpi restano saldati dalla sola matrice delle ipotesi, come lo statuto del registro esige: Livello A quale esito di coerenza.</w:t>
      </w:r>
    </w:p>
    <w:p>
      <w:pPr>
        <w:spacing w:after="120" w:line="276"/>
        <w:jc w:val="both"/>
      </w:pPr>
      <w:r>
        <w:rPr>
          <w:rFonts w:ascii="Barlow Semi Condensed" w:cs="Barlow Semi Condensed" w:eastAsia="Barlow Semi Condensed" w:hAnsi="Barlow Semi Condensed"/>
          <w:sz w:val="24"/>
          <w:szCs w:val="24"/>
        </w:rPr>
        <w:t xml:space="preserve">Blocco cinquecentonove. Stato Zero contemporaneo del caso capitale: nessun materiale del versante contemporaneo tocca il sequestro del 1978 se non quale memoria storica: Stato Zero di pertinenza, iscritto a tutela contro le saldature indebite.</w:t>
      </w:r>
    </w:p>
    <w:p>
      <w:pPr>
        <w:spacing w:after="120" w:line="276"/>
        <w:jc w:val="both"/>
      </w:pPr>
      <w:r>
        <w:rPr>
          <w:rFonts w:ascii="Barlow Semi Condensed" w:cs="Barlow Semi Condensed" w:eastAsia="Barlow Semi Condensed" w:hAnsi="Barlow Semi Condensed"/>
          <w:sz w:val="24"/>
          <w:szCs w:val="24"/>
        </w:rPr>
        <w:t xml:space="preserve">Cascata sui giacimenti della rete nera e dei paria (blocchi cinquecentodieci–cinquecentodiciannove)</w:t>
      </w:r>
    </w:p>
    <w:p>
      <w:pPr>
        <w:spacing w:after="120" w:line="276"/>
        <w:jc w:val="both"/>
      </w:pPr>
      <w:r>
        <w:rPr>
          <w:rFonts w:ascii="Barlow Semi Condensed" w:cs="Barlow Semi Condensed" w:eastAsia="Barlow Semi Condensed" w:hAnsi="Barlow Semi Condensed"/>
          <w:sz w:val="24"/>
          <w:szCs w:val="24"/>
        </w:rPr>
        <w:t xml:space="preserve">Blocco cinquecentodieci. Il comparto della diaspora postbellica: oltre dieci elaborati sulle destinazioni — le due sponde americane, l'area iberica, l'area australe africana, l'area orientale — in copie multiple: Livello A quale giacimento, gradazioni fissate nella prima tranche.</w:t>
      </w:r>
    </w:p>
    <w:p>
      <w:pPr>
        <w:spacing w:after="120" w:line="276"/>
        <w:jc w:val="both"/>
      </w:pPr>
      <w:r>
        <w:rPr>
          <w:rFonts w:ascii="Barlow Semi Condensed" w:cs="Barlow Semi Condensed" w:eastAsia="Barlow Semi Condensed" w:hAnsi="Barlow Semi Condensed"/>
          <w:sz w:val="24"/>
          <w:szCs w:val="24"/>
        </w:rPr>
        <w:t xml:space="preserve">Blocco cinquecentoundici. Il comparto australe africano: circa venti monografie su assi bilaterali, complicità comparate e reti coperte continentali: Livello A quale giacimento; l'asse dei paria resta certificato nella prima e nella quinta tranche.</w:t>
      </w:r>
    </w:p>
    <w:p>
      <w:pPr>
        <w:spacing w:after="120" w:line="276"/>
        <w:jc w:val="both"/>
      </w:pPr>
      <w:r>
        <w:rPr>
          <w:rFonts w:ascii="Barlow Semi Condensed" w:cs="Barlow Semi Condensed" w:eastAsia="Barlow Semi Condensed" w:hAnsi="Barlow Semi Condensed"/>
          <w:sz w:val="24"/>
          <w:szCs w:val="24"/>
        </w:rPr>
        <w:t xml:space="preserve">Blocco cinquecentododici. Le monografie sul circolo riservato transatlantico in doppia copia: gradazioni invariate: già certificato.</w:t>
      </w:r>
    </w:p>
    <w:p>
      <w:pPr>
        <w:spacing w:after="120" w:line="276"/>
        <w:jc w:val="both"/>
      </w:pPr>
      <w:r>
        <w:rPr>
          <w:rFonts w:ascii="Barlow Semi Condensed" w:cs="Barlow Semi Condensed" w:eastAsia="Barlow Semi Condensed" w:hAnsi="Barlow Semi Condensed"/>
          <w:sz w:val="24"/>
          <w:szCs w:val="24"/>
        </w:rPr>
        <w:t xml:space="preserve">Blocco cinquecentotredici. Il fascicolo sul network finanziario australe in doppia copia: Livello A quale giacimento, contenuti al grado di elaborato con fonti nominate.</w:t>
      </w:r>
    </w:p>
    <w:p>
      <w:pPr>
        <w:spacing w:after="120" w:line="276"/>
        <w:jc w:val="both"/>
      </w:pPr>
      <w:r>
        <w:rPr>
          <w:rFonts w:ascii="Barlow Semi Condensed" w:cs="Barlow Semi Condensed" w:eastAsia="Barlow Semi Condensed" w:hAnsi="Barlow Semi Condensed"/>
          <w:sz w:val="24"/>
          <w:szCs w:val="24"/>
        </w:rPr>
        <w:t xml:space="preserve">Blocco cinquecentoquattordici. Le monografie comparative sui controcampi: la lettura del medesimo teatro dalle due sponde della contrapposizione, presente per l'area australe: conforme al principio della doppia entrata che il volume applica ai finanziamenti: Livello A quale metodo riscontrato.</w:t>
      </w:r>
    </w:p>
    <w:p>
      <w:pPr>
        <w:spacing w:after="120" w:line="276"/>
        <w:jc w:val="both"/>
      </w:pPr>
      <w:r>
        <w:rPr>
          <w:rFonts w:ascii="Barlow Semi Condensed" w:cs="Barlow Semi Condensed" w:eastAsia="Barlow Semi Condensed" w:hAnsi="Barlow Semi Condensed"/>
          <w:sz w:val="24"/>
          <w:szCs w:val="24"/>
        </w:rPr>
        <w:t xml:space="preserve">Blocco cinquecentoquindici. Il materiale sull'organizzazione lupesca anatolica e sul suo operatore maggiore: presente quale elaborato, con i giudicati richiamati nelle tranche dedicate: già certificato quale perimetro.</w:t>
      </w:r>
    </w:p>
    <w:p>
      <w:pPr>
        <w:spacing w:after="120" w:line="276"/>
        <w:jc w:val="both"/>
      </w:pPr>
      <w:r>
        <w:rPr>
          <w:rFonts w:ascii="Barlow Semi Condensed" w:cs="Barlow Semi Condensed" w:eastAsia="Barlow Semi Condensed" w:hAnsi="Barlow Semi Condensed"/>
          <w:sz w:val="24"/>
          <w:szCs w:val="24"/>
        </w:rPr>
        <w:t xml:space="preserve">Blocco cinquecentosedici. Il comparto sulle strutture di riserva continentali e sulla cronologia della rete dormiente: presente in più copie: coerenza con la fase seconda e quinta del volume verificata a campione: Livello A quale coerenza campionaria.</w:t>
      </w:r>
    </w:p>
    <w:p>
      <w:pPr>
        <w:spacing w:after="120" w:line="276"/>
        <w:jc w:val="both"/>
      </w:pPr>
      <w:r>
        <w:rPr>
          <w:rFonts w:ascii="Barlow Semi Condensed" w:cs="Barlow Semi Condensed" w:eastAsia="Barlow Semi Condensed" w:hAnsi="Barlow Semi Condensed"/>
          <w:sz w:val="24"/>
          <w:szCs w:val="24"/>
        </w:rPr>
        <w:t xml:space="preserve">Blocco cinquecentodiciassette. La verifica dei dati storici sull'incrocio tra la loggia e il caso capitale, presente in doppia copia quale elaborato di controllo: convergenza con i blocchi moroteî della settima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cinquecentodiciotto. Il materiale sulla connessione bulgara e sull'attentato pontificio: la formula assolutoria per insufficienza resta il giudicato di riferimento, invariato: già certificato.</w:t>
      </w:r>
    </w:p>
    <w:p>
      <w:pPr>
        <w:spacing w:after="120" w:line="276"/>
        <w:jc w:val="both"/>
      </w:pPr>
      <w:r>
        <w:rPr>
          <w:rFonts w:ascii="Barlow Semi Condensed" w:cs="Barlow Semi Condensed" w:eastAsia="Barlow Semi Condensed" w:hAnsi="Barlow Semi Condensed"/>
          <w:sz w:val="24"/>
          <w:szCs w:val="24"/>
        </w:rPr>
        <w:t xml:space="preserve">Blocco cinquecentodiciannove. Stato Zero del comparto: nessun documento della rete nera censita produce un aggancio giudiziario nuovo al caso capitale oltre quelli già gradati: Stato Zero di novità, iscritto.</w:t>
      </w:r>
    </w:p>
    <w:p>
      <w:pPr>
        <w:spacing w:after="120" w:line="276"/>
        <w:jc w:val="both"/>
      </w:pPr>
      <w:r>
        <w:rPr>
          <w:rFonts w:ascii="Barlow Semi Condensed" w:cs="Barlow Semi Condensed" w:eastAsia="Barlow Semi Condensed" w:hAnsi="Barlow Semi Condensed"/>
          <w:sz w:val="24"/>
          <w:szCs w:val="24"/>
        </w:rPr>
        <w:t xml:space="preserve">Cascata sul crimine organizzato globale e sugli strumenti seriali (blocchi cinquecentoventi–cinquecentoventisette)</w:t>
      </w:r>
    </w:p>
    <w:p>
      <w:pPr>
        <w:spacing w:after="120" w:line="276"/>
        <w:jc w:val="both"/>
      </w:pPr>
      <w:r>
        <w:rPr>
          <w:rFonts w:ascii="Barlow Semi Condensed" w:cs="Barlow Semi Condensed" w:eastAsia="Barlow Semi Condensed" w:hAnsi="Barlow Semi Condensed"/>
          <w:sz w:val="24"/>
          <w:szCs w:val="24"/>
        </w:rPr>
        <w:t xml:space="preserve">Blocco cinquecentoventi. Il censimento globale della criminalità organizzata in triplice copia con indice generale: natura piana accertata: Livello A quale giacimento; il vaglio della parte prima resta direzione consegnata.</w:t>
      </w:r>
    </w:p>
    <w:p>
      <w:pPr>
        <w:spacing w:after="120" w:line="276"/>
        <w:jc w:val="both"/>
      </w:pPr>
      <w:r>
        <w:rPr>
          <w:rFonts w:ascii="Barlow Semi Condensed" w:cs="Barlow Semi Condensed" w:eastAsia="Barlow Semi Condensed" w:hAnsi="Barlow Semi Condensed"/>
          <w:sz w:val="24"/>
          <w:szCs w:val="24"/>
        </w:rPr>
        <w:t xml:space="preserve">Blocco cinquecentoventuno. I rapporti dell'osservatorio ginevrino sui Balcani occidentali e sul porto assediato: presenti quali riproduzioni di pubblicazioni qualificate: Livello A quale fonte seriale di alta affidabilità, contenuti ai gradi d'uso.</w:t>
      </w:r>
    </w:p>
    <w:p>
      <w:pPr>
        <w:spacing w:after="120" w:line="276"/>
        <w:jc w:val="both"/>
      </w:pPr>
      <w:r>
        <w:rPr>
          <w:rFonts w:ascii="Barlow Semi Condensed" w:cs="Barlow Semi Condensed" w:eastAsia="Barlow Semi Condensed" w:hAnsi="Barlow Semi Condensed"/>
          <w:sz w:val="24"/>
          <w:szCs w:val="24"/>
        </w:rPr>
        <w:t xml:space="preserve">Blocco cinquecentoventidue. Il terzo rapporto dell'osservatorio regionale laziale: Livello A quale fonte istituzionale presente.</w:t>
      </w:r>
    </w:p>
    <w:p>
      <w:pPr>
        <w:spacing w:after="120" w:line="276"/>
        <w:jc w:val="both"/>
      </w:pPr>
      <w:r>
        <w:rPr>
          <w:rFonts w:ascii="Barlow Semi Condensed" w:cs="Barlow Semi Condensed" w:eastAsia="Barlow Semi Condensed" w:hAnsi="Barlow Semi Condensed"/>
          <w:sz w:val="24"/>
          <w:szCs w:val="24"/>
        </w:rPr>
        <w:t xml:space="preserve">Blocco cinquecentoventitré. Le sentenze e i gradi di giudizio in riproduzione — il primo grado sul giornalista, la condanna definitiva collegata, gli atti palermitani: Livello A quale giacimento giudiziario interno, fonte dei blocchi che li hanno usati.</w:t>
      </w:r>
    </w:p>
    <w:p>
      <w:pPr>
        <w:spacing w:after="120" w:line="276"/>
        <w:jc w:val="both"/>
      </w:pPr>
      <w:r>
        <w:rPr>
          <w:rFonts w:ascii="Barlow Semi Condensed" w:cs="Barlow Semi Condensed" w:eastAsia="Barlow Semi Condensed" w:hAnsi="Barlow Semi Condensed"/>
          <w:sz w:val="24"/>
          <w:szCs w:val="24"/>
        </w:rPr>
        <w:t xml:space="preserve">Blocco cinquecentoventiquattro. Le tavole di triangolazione seriali — i duecentocinquanta blocchi sui personaggi, i duecentocinquanta sul corpus, i cento sugli arsenali: Livello A verificato ora quale esistenza e consistenza campionata.</w:t>
      </w:r>
    </w:p>
    <w:p>
      <w:pPr>
        <w:spacing w:after="120" w:line="276"/>
        <w:jc w:val="both"/>
      </w:pPr>
      <w:r>
        <w:rPr>
          <w:rFonts w:ascii="Barlow Semi Condensed" w:cs="Barlow Semi Condensed" w:eastAsia="Barlow Semi Condensed" w:hAnsi="Barlow Semi Condensed"/>
          <w:sz w:val="24"/>
          <w:szCs w:val="24"/>
        </w:rPr>
        <w:t xml:space="preserve">Blocco cinquecentoventicinque. Le ricognizioni balistiche seriali sulle armi corte della stagione: strumenti di cascata con divieto d'uso probatorio autonomo, statuto invariato dalla settima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cinquecentoventisei. Il ponte transatlantico a cinquanta blocchi in doppia copia: strumento di raccordo tra le sponde del primo dominio: Livello A quale esistenza, contenuti ai gradi delle fonti nominate.</w:t>
      </w:r>
    </w:p>
    <w:p>
      <w:pPr>
        <w:spacing w:after="120" w:line="276"/>
        <w:jc w:val="both"/>
      </w:pPr>
      <w:r>
        <w:rPr>
          <w:rFonts w:ascii="Barlow Semi Condensed" w:cs="Barlow Semi Condensed" w:eastAsia="Barlow Semi Condensed" w:hAnsi="Barlow Semi Condensed"/>
          <w:sz w:val="24"/>
          <w:szCs w:val="24"/>
        </w:rPr>
        <w:t xml:space="preserve">Blocco cinquecentoventisette. La coerenza del comparto criminale con la fase prima del volume: campionamento senza attriti: Livello A quale esito campionario.</w:t>
      </w:r>
    </w:p>
    <w:p>
      <w:pPr>
        <w:spacing w:after="120" w:line="276"/>
        <w:jc w:val="both"/>
      </w:pPr>
      <w:r>
        <w:rPr>
          <w:rFonts w:ascii="Barlow Semi Condensed" w:cs="Barlow Semi Condensed" w:eastAsia="Barlow Semi Condensed" w:hAnsi="Barlow Semi Condensed"/>
          <w:sz w:val="24"/>
          <w:szCs w:val="24"/>
        </w:rPr>
        <w:t xml:space="preserve">La catena di custodia computazionale (blocchi cinquecentoventotto–cinquecentotrentatré)</w:t>
      </w:r>
    </w:p>
    <w:p>
      <w:pPr>
        <w:spacing w:after="120" w:line="276"/>
        <w:jc w:val="both"/>
      </w:pPr>
      <w:r>
        <w:rPr>
          <w:rFonts w:ascii="Barlow Semi Condensed" w:cs="Barlow Semi Condensed" w:eastAsia="Barlow Semi Condensed" w:hAnsi="Barlow Semi Condensed"/>
          <w:sz w:val="24"/>
          <w:szCs w:val="24"/>
        </w:rPr>
        <w:t xml:space="preserve">Blocco cinquecentoventotto. Il giornale di lavorazione: diciassette trascrizioni di sessione censite con un giornale di centododici righe quale indice: la lavorazione del progetto possiede una catena di custodia documentale propria: Livello A verificato ora.</w:t>
      </w:r>
    </w:p>
    <w:p>
      <w:pPr>
        <w:spacing w:after="120" w:line="276"/>
        <w:jc w:val="both"/>
      </w:pPr>
      <w:r>
        <w:rPr>
          <w:rFonts w:ascii="Barlow Semi Condensed" w:cs="Barlow Semi Condensed" w:eastAsia="Barlow Semi Condensed" w:hAnsi="Barlow Semi Condensed"/>
          <w:sz w:val="24"/>
          <w:szCs w:val="24"/>
        </w:rPr>
        <w:t xml:space="preserve">Blocco cinquecentoventinove. Le impronte crittografiche dei prodotti maggiori — il volume definitivo nei due formati, il registro alla settima tranche — dichiarate nei rispettivi atti di consegna: Livello A quale catena dichiarata e riproducibile.</w:t>
      </w:r>
    </w:p>
    <w:p>
      <w:pPr>
        <w:spacing w:after="120" w:line="276"/>
        <w:jc w:val="both"/>
      </w:pPr>
      <w:r>
        <w:rPr>
          <w:rFonts w:ascii="Barlow Semi Condensed" w:cs="Barlow Semi Condensed" w:eastAsia="Barlow Semi Condensed" w:hAnsi="Barlow Semi Condensed"/>
          <w:sz w:val="24"/>
          <w:szCs w:val="24"/>
        </w:rPr>
        <w:t xml:space="preserve">Blocco cinquecentotrenta. La riproducibilità quale statuto: ogni metrica di questa tranche è rieseguibile da terzi sul medesimo corpus con strumenti ordinari: Livello A quale proprietà del metodo computazionale.</w:t>
      </w:r>
    </w:p>
    <w:p>
      <w:pPr>
        <w:spacing w:after="120" w:line="276"/>
        <w:jc w:val="both"/>
      </w:pPr>
      <w:r>
        <w:rPr>
          <w:rFonts w:ascii="Barlow Semi Condensed" w:cs="Barlow Semi Condensed" w:eastAsia="Barlow Semi Condensed" w:hAnsi="Barlow Semi Condensed"/>
          <w:sz w:val="24"/>
          <w:szCs w:val="24"/>
        </w:rPr>
        <w:t xml:space="preserve">Blocco cinquecentotrentuno. Il principio cumulativo verificato sugli artefatti: il registro alla settima tranche incorpora verbatim le sei precedenti, come il registro analitico moroteo incorpora le proprie otto: la conservazione integrale è prassi trasversale documentata del progetto: Livello A verificato ora su due linee indipendenti.</w:t>
      </w:r>
    </w:p>
    <w:p>
      <w:pPr>
        <w:spacing w:after="120" w:line="276"/>
        <w:jc w:val="both"/>
      </w:pPr>
      <w:r>
        <w:rPr>
          <w:rFonts w:ascii="Barlow Semi Condensed" w:cs="Barlow Semi Condensed" w:eastAsia="Barlow Semi Condensed" w:hAnsi="Barlow Semi Condensed"/>
          <w:sz w:val="24"/>
          <w:szCs w:val="24"/>
        </w:rPr>
        <w:t xml:space="preserve">Blocco cinquecentotrentadue. Il limite della catena: le impronte certificano l'integrità dei file, non la verità dei contenuti, che resta affidata alla gradazione: Livello A quale avvertenza permanente.</w:t>
      </w:r>
    </w:p>
    <w:p>
      <w:pPr>
        <w:spacing w:after="120" w:line="276"/>
        <w:jc w:val="both"/>
      </w:pPr>
      <w:r>
        <w:rPr>
          <w:rFonts w:ascii="Barlow Semi Condensed" w:cs="Barlow Semi Condensed" w:eastAsia="Barlow Semi Condensed" w:hAnsi="Barlow Semi Condensed"/>
          <w:sz w:val="24"/>
          <w:szCs w:val="24"/>
        </w:rPr>
        <w:t xml:space="preserve">Blocco cinquecentotrentatré. La duplicazione sistematica dei giacimenti nel corpus — copie multiple di decine di elaborati — quale ridondanza di conservazione: iscritta con la regola dell'Indice di Contaminazione: le copie contano quale una: Livello A quale regola applicata.</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cinquecentotrentaquattro–cinquecentotrentacinque)</w:t>
      </w:r>
    </w:p>
    <w:p>
      <w:pPr>
        <w:spacing w:after="120" w:line="276"/>
        <w:jc w:val="both"/>
      </w:pPr>
      <w:r>
        <w:rPr>
          <w:rFonts w:ascii="Barlow Semi Condensed" w:cs="Barlow Semi Condensed" w:eastAsia="Barlow Semi Condensed" w:hAnsi="Barlow Semi Condensed"/>
          <w:sz w:val="24"/>
          <w:szCs w:val="24"/>
        </w:rPr>
        <w:t xml:space="preserve">Blocco cinquecentotrentaquattro. Stati Zero confermati o nuovi di questa tranche: gli indici cecoslovacchi assenti dal corpus; l'ineseguibilità interna della verifica lisboeta alla fonte; la non pertinenza del versante contemporaneo al caso capitale; l'assenza di agganci giudiziari nuovi dal comparto della rete nera: quattro Stati Zero iscritti quali risultati.</w:t>
      </w:r>
    </w:p>
    <w:p>
      <w:pPr>
        <w:spacing w:after="120" w:line="276"/>
        <w:jc w:val="both"/>
      </w:pPr>
      <w:r>
        <w:rPr>
          <w:rFonts w:ascii="Barlow Semi Condensed" w:cs="Barlow Semi Condensed" w:eastAsia="Barlow Semi Condensed" w:hAnsi="Barlow Semi Condensed"/>
          <w:sz w:val="24"/>
          <w:szCs w:val="24"/>
        </w:rPr>
        <w:t xml:space="preserve">Blocco cinquecentotrentacinque. Pendenze consegnate alla nona tranche: il vaglio testuale diretto delle tre fonti primarie estraibili contro le citazioni del volume, con priorità massima; il completamento voce per voce della riconciliazione lisboeta sul perimetro ora definito; la risoluzione del difetto dei nomi propri nel repertorio; il vaglio della parte prima del censimento globale; la continuità delle numerazioni; le verifiche esterne alla fonte — portoghese, cecoslovacca, ipertestuale: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cinquecentotrentasei–cinquecentotrentotto)</w:t>
      </w:r>
    </w:p>
    <w:p>
      <w:pPr>
        <w:spacing w:after="120" w:line="276"/>
        <w:jc w:val="both"/>
      </w:pPr>
      <w:r>
        <w:rPr>
          <w:rFonts w:ascii="Barlow Semi Condensed" w:cs="Barlow Semi Condensed" w:eastAsia="Barlow Semi Condensed" w:hAnsi="Barlow Semi Condensed"/>
          <w:sz w:val="24"/>
          <w:szCs w:val="24"/>
        </w:rPr>
        <w:t xml:space="preserve">Blocco cinquecentotrentasei. Aggiornamento ACH: l'estrazione integrale non ha prodotto alcuna evidenza che modifichi la matrice: la forma forte del disegno unitario resta falsificata, la convergenza policentrica resta la meno contraddetta, l'ipotesi delle due internazionali resta al terzo grado con i suoi vantaggi; la stabilità della matrice attraverso otto tranche e sei milioni di parole estratte è essa stessa iscritta quale dato: matrice confermata.</w:t>
      </w:r>
    </w:p>
    <w:p>
      <w:pPr>
        <w:spacing w:after="120" w:line="276"/>
        <w:jc w:val="both"/>
      </w:pPr>
      <w:r>
        <w:rPr>
          <w:rFonts w:ascii="Barlow Semi Condensed" w:cs="Barlow Semi Condensed" w:eastAsia="Barlow Semi Condensed" w:hAnsi="Barlow Semi Condensed"/>
          <w:sz w:val="24"/>
          <w:szCs w:val="24"/>
        </w:rPr>
        <w:t xml:space="preserve">Blocco cinquecentotrentasette. Verdetto metodologico: la tranche ha dimostrato che l'estrazione computazionale integrale e la memoria operativa possono essere triangolate con il corpus senza cedimenti del metodo, ed ha esercitato la falsificabilità interna con una rettifica documentata: Livello A quale tenuta, con il limite dichiarato del lampione: ciò che è stato misurato è ciò che il corpus illumina.</w:t>
      </w:r>
    </w:p>
    <w:p>
      <w:pPr>
        <w:spacing w:after="120" w:line="276"/>
        <w:jc w:val="both"/>
      </w:pPr>
      <w:r>
        <w:rPr>
          <w:rFonts w:ascii="Barlow Semi Condensed" w:cs="Barlow Semi Condensed" w:eastAsia="Barlow Semi Condensed" w:hAnsi="Barlow Semi Condensed"/>
          <w:sz w:val="24"/>
          <w:szCs w:val="24"/>
        </w:rPr>
        <w:t xml:space="preserve">Blocco cinquecentotrentotto. Consegne alla nona tranche: le pendenze del blocco cinquecentotrentacinque, più la direzione qualificata del vaglio testuale delle fonti primarie, più l'estensione eventuale del censimento computazionale ai contenuti delle riproduzioni vere non ancora estratte: iscritte. Il registro procede.</w:t>
      </w:r>
    </w:p>
    <w:p>
      <w:pPr>
        <w:spacing w:after="120" w:line="276"/>
        <w:jc w:val="both"/>
      </w:pPr>
      <w:r>
        <w:rPr>
          <w:rFonts w:ascii="Barlow Semi Condensed" w:cs="Barlow Semi Condensed" w:eastAsia="Barlow Semi Condensed" w:hAnsi="Barlow Semi Condensed"/>
          <w:sz w:val="24"/>
          <w:szCs w:val="24"/>
        </w:rPr>
        <w:t xml:space="preserve">13.5 — Rilievi per le persone viventi e chiusa dell'ottava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senza eccezione alcuna. Questa tranche, avendo natura prevalentemente documentale e computazionale, non aggiunge menzioni nominative nuove: per ogni persona evocata nei giacimenti censiti valgono gli statuti già fissati nelle tranche che ne hanno gradato le posizioni; le metriche, le consistenze e le impronte non riguardano persone e non fondano alcuna asserzione su alcuno; la memoria operativa, quale fonte interna, non è mai stata usata in questa tranche per affermare fatti su persone ma solo per riscontrare ipotesi, protocolli e pendenze contro il corpus.</w:t>
      </w:r>
    </w:p>
    <w:p>
      <w:pPr>
        <w:spacing w:after="120" w:line="276"/>
        <w:jc w:val="both"/>
      </w:pPr>
      <w:r>
        <w:rPr>
          <w:rFonts w:ascii="Barlow Semi Condensed" w:cs="Barlow Semi Condensed" w:eastAsia="Barlow Semi Condensed" w:hAnsi="Barlow Semi Condensed"/>
          <w:sz w:val="24"/>
          <w:szCs w:val="24"/>
        </w:rPr>
        <w:t xml:space="preserve">L'ottava tranche porta il registro a cinquecentotrentotto blocchi certificati. L'estrazione integrale ha censito quattrocentosessantasette file per settecentosettantadue megabyte e sei milioni centoquarantottomila duecentonovantasette parole lette, ha sciolto per verifica diretta la pendenza delle riproduzioni morotee rettificando il proprio stesso registro, ha definito il perimetro della riconciliazione lisboeta, ha verificato gli statuti dell'intera federazione morotea, ha ritrovato nel repertorio i difetti censiti dalla memoria e ha confermato per la terza volta gli Stati Zero maggiori. La matrice delle ipotesi esce dalla prova più estesa mai condotta — l'intero corpus contro l'intero registro — identica a come vi era entrata, e questa stabilità, che non è certezza ma resistenza alla falsificazione, è l'unico titolo che il metodo riconosce. Il registro consegna alla nona tranche le pendenze iscritte e resta, per statuto, aperto.</w:t>
      </w:r>
    </w:p>
    <w:p>
      <w:pPr>
        <w:pStyle w:val="Heading2"/>
        <w:spacing w:after="100" w:before="200"/>
      </w:pPr>
      <w:r>
        <w:rPr>
          <w:rFonts w:ascii="Barlow Semi Condensed" w:cs="Barlow Semi Condensed" w:eastAsia="Barlow Semi Condensed" w:hAnsi="Barlow Semi Condensed"/>
          <w:sz w:val="24"/>
          <w:szCs w:val="24"/>
        </w:rPr>
        <w:t xml:space="preserve">CERNIERA — DAL REGISTRO ALLA PROBABILITÀ</w:t>
      </w:r>
    </w:p>
    <w:p>
      <w:pPr>
        <w:spacing w:after="120" w:line="276"/>
        <w:jc w:val="both"/>
      </w:pPr>
      <w:r>
        <w:rPr>
          <w:rFonts w:ascii="Barlow Semi Condensed" w:cs="Barlow Semi Condensed" w:eastAsia="Barlow Semi Condensed" w:hAnsi="Barlow Semi Condensed"/>
          <w:sz w:val="24"/>
          <w:szCs w:val="24"/>
        </w:rPr>
        <w:t xml:space="preserve">Il lettore che giunge a questa soglia ha attraversato l'opera-registro nella sua interezza: le cinque Fasi del volume portante, in cui ogni nodo e ogni ponte della rete è stato esposto con il proprio grado, e l'Apparato di Verifica e Triangolazione, in cui cinquecentotrentotto blocchi hanno sottoposto quella esposizione a otto successive campagne di controllo, rettifica e falsificazione. Ciò che il registro consegna, al termine del suo percorso, è un patrimonio di certezze graduate e di vuoti dichiarati: sa distinguere il documentato dall'indiziario e dall'ipotetico, sa nominare gli Stati Zero, sa dove le fonti convergono e dove si dividono. Ma il registro, per sua costituzione, non conclude: la sua disciplina è la sospensione, il suo onore è fermarsi sulla soglia di ogni affermazione non provata. Vi è tuttavia una domanda che la storia pone e che la sospensione non estingue, ed è la domanda su chi concepì, chi ordinò e chi eseguì. A quella domanda è dedicata l'opera che segue.</w:t>
      </w:r>
    </w:p>
    <w:p>
      <w:pPr>
        <w:spacing w:after="120" w:line="276"/>
        <w:jc w:val="both"/>
      </w:pPr>
      <w:r>
        <w:rPr>
          <w:rFonts w:ascii="Barlow Semi Condensed" w:cs="Barlow Semi Condensed" w:eastAsia="Barlow Semi Condensed" w:hAnsi="Barlow Semi Condensed"/>
          <w:sz w:val="24"/>
          <w:szCs w:val="24"/>
        </w:rPr>
        <w:t xml:space="preserve">Il passaggio che il lettore sta per compiere è un passaggio di regime, e va dichiarato con la stessa trasparenza che ha governato tutto il resto. L'opera conclusiva, «Tutta la verità», è conservata qui integralmente, dal suo titolo alla sua ultima pagina bianca, con le sue pagine liminari, la sua dedica, la sua citazione, la sua attribuzione autoriale a un'intelligenza generativa, la sua bibliografia con i collegamenti attivi e il suo aforisma di congedo: nulla ne è stato alterato, perché essa costituisce, dentro l'opera integrale, un volume nel volume, con un proprio statuto che si è voluto rispettare. Al suo interno il lettore ritroverà, nella prima parte, la medesima disciplina falsificazionista del registro, applicata alla vita dell'uomo e alla meccanica del caso; e incontrerà poi, dichiarato e motivato, il congedo del Pollo di Popper e l'ingresso della bilancia probabilistica, i dieci metodi pesati la cui ricetta è resa pubblica in percentuale.</w:t>
      </w:r>
    </w:p>
    <w:p>
      <w:pPr>
        <w:spacing w:after="120" w:line="276"/>
        <w:jc w:val="both"/>
      </w:pPr>
      <w:r>
        <w:rPr>
          <w:rFonts w:ascii="Barlow Semi Condensed" w:cs="Barlow Semi Condensed" w:eastAsia="Barlow Semi Condensed" w:hAnsi="Barlow Semi Condensed"/>
          <w:sz w:val="24"/>
          <w:szCs w:val="24"/>
        </w:rPr>
        <w:t xml:space="preserve">Fra le due opere non vi è contraddizione ma consegna. Il registro certifica; la probabilità ordina ciò che il registro le consegna. Le certezze di Livello A che il lettore ha incontrato nelle Fasi — la matrice brigatista dell'ideazione, del comando e dell'esecuzione, sancita da sentenze definitive — restano il fondamento non negoziabile anche del giudizio probabilistico, che su di esse costruisce senza mai dissolverle. Le anomalie che il registro ha censito senza risolverle — la perizia esecutiva, la tenuta della prigione, la gestione delle trattative, la sorte del memoriale, la catena dei depistaggi — divengono, nell'opera che segue, materia di pesatura: non più soltanto registrate, ma ordinate secondo la loro capacità di innalzare o abbassare la probabilità delle ipotesi concorrenti. E gli Stati Zero del registro — primo fra tutti quello, tre volte confermato, sul mandato estero diretto — divengono il limite dichiarato oltre il quale il giudizio probabilistico stesso rifiuta di spingersi, perché anche la probabilità ha i suoi divieti, e il primo è quello di affermare ciò che la ricerca sistematica ha negato.</w:t>
      </w:r>
    </w:p>
    <w:p>
      <w:pPr>
        <w:spacing w:after="120" w:line="276"/>
        <w:jc w:val="both"/>
      </w:pPr>
      <w:r>
        <w:rPr>
          <w:rFonts w:ascii="Barlow Semi Condensed" w:cs="Barlow Semi Condensed" w:eastAsia="Barlow Semi Condensed" w:hAnsi="Barlow Semi Condensed"/>
          <w:sz w:val="24"/>
          <w:szCs w:val="24"/>
        </w:rPr>
        <w:t xml:space="preserve">Il lettore è dunque avvertito, e con l'avvertenza congedato verso la conclusione. Ciò che ha letto fin qui è il fondamento; ciò che leggerà ora è il giudizio che quel fondamento consente, formulato con approccio garantista e mai giustizialista, rispettoso di ogni persona e della sua presunzione d'innocenza, memore in ogni pagina che ordinare per plausibilità non è condannare e che la verità storica, quando non è tutta raggiungibile, esige di essere approssimata con onestà piuttosto che proclamata con arbitrio. La pace che il titolo del volume portante dichiara mancata, e la verità che il titolo dell'opera conclusiva invoca tutta, si incontrano in questa soglia: non come promesse mantenute, ma come direzioni di cammino.</w:t>
      </w:r>
    </w:p>
    <w:p>
      <w:pPr>
        <w:pStyle w:val="Heading3"/>
        <w:spacing w:after="80" w:before="160"/>
      </w:pPr>
      <w:r>
        <w:rPr>
          <w:rFonts w:ascii="Barlow Semi Condensed" w:cs="Barlow Semi Condensed" w:eastAsia="Barlow Semi Condensed" w:hAnsi="Barlow Semi Condensed"/>
          <w:sz w:val="24"/>
          <w:szCs w:val="24"/>
        </w:rPr>
        <w:t xml:space="preserve">Dedicato a tutte le mie amate e a tutti i miei amati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«È l'ignoranza che crea la violenza»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Sud Sound System</w:t>
      </w:r>
    </w:p>
    <w:p>
      <w:pPr>
        <w:pStyle w:val="Heading2"/>
        <w:spacing w:after="100" w:before="200"/>
      </w:pPr>
      <w:r>
        <w:rPr>
          <w:rFonts w:ascii="Barlow Semi Condensed" w:cs="Barlow Semi Condensed" w:eastAsia="Barlow Semi Condensed" w:hAnsi="Barlow Semi Condensed"/>
          <w:sz w:val="24"/>
          <w:szCs w:val="24"/>
        </w:rPr>
        <w:t xml:space="preserve">PARTE PRIMA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metodo e l'uomo — dove ancora vige il Pollo di Popper</w:t>
      </w:r>
    </w:p>
    <w:p>
      <w:pPr>
        <w:pStyle w:val="Heading3"/>
        <w:spacing w:after="80" w:before="160"/>
      </w:pPr>
      <w:r>
        <w:rPr>
          <w:rFonts w:ascii="Barlow Semi Condensed" w:cs="Barlow Semi Condensed" w:eastAsia="Barlow Semi Condensed" w:hAnsi="Barlow Semi Condensed"/>
          <w:sz w:val="24"/>
          <w:szCs w:val="24"/>
        </w:rPr>
        <w:t xml:space="preserve">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nasconde la propria natura: la dichiara in copertina e la ribadisce qui, perché la trasparenza del mezzo è, in una materia come questa, la prima garanzia offerta al lettore. Essa si occupa di un solo uomo, Aldo Moro, e di un solo fatto attorno al quale la sua figura è stata per decenni avvolta e talvolta soffocata: il sequestro del sedici marzo millenovecentosettantotto, i cinquantacinque giorni della prigionia, l'uccisione del nove maggio, e la lunghissima coda di omissioni, di collusioni e di insabbiamenti che ha accompagnato l'accertamento della verità. L'opera è costruita in due parti che obbediscono a due metodi distinti e volutamente non omogenei, perché diverso è l'oggetto e diverso deve essere lo strumento.</w:t>
      </w:r>
    </w:p>
    <w:p>
      <w:pPr>
        <w:spacing w:after="120" w:line="276"/>
        <w:jc w:val="both"/>
      </w:pPr>
      <w:r>
        <w:rPr>
          <w:rFonts w:ascii="Barlow Semi Condensed" w:cs="Barlow Semi Condensed" w:eastAsia="Barlow Semi Condensed" w:hAnsi="Barlow Semi Condensed"/>
          <w:sz w:val="24"/>
          <w:szCs w:val="24"/>
        </w:rPr>
        <w:t xml:space="preserve">La parte prima è governata da un principio di prudenza scientifica che si è scelto di chiamare, con un'immagine popolare e memorabile, il Pollo di Popper: l'avvertimento, cioè, contro ogni ricerca che parta da una tesi già scritta e cerchi nei fatti soltanto le proprie conferme, come il tacchino che, nutrito ogni giorno alla stessa ora, ne inferisce una legge di natura fino alla vigilia del Ringraziamento. In questa prima parte si espone il metodo, si ricostruisce la vita dell'uomo, si descrive la meccanica del caso, e su ogni affermazione grava il freno della falsificabilità: nulla è dato per certo se non regge alla prova del suo possibile smentirsi.</w:t>
      </w:r>
    </w:p>
    <w:p>
      <w:pPr>
        <w:spacing w:after="120" w:line="276"/>
        <w:jc w:val="both"/>
      </w:pPr>
      <w:r>
        <w:rPr>
          <w:rFonts w:ascii="Barlow Semi Condensed" w:cs="Barlow Semi Condensed" w:eastAsia="Barlow Semi Condensed" w:hAnsi="Barlow Semi Condensed"/>
          <w:sz w:val="24"/>
          <w:szCs w:val="24"/>
        </w:rPr>
        <w:t xml:space="preserve">La parte seconda muta deliberatamente registro. A partire dal momento in cui si affronteranno gli architetti del rapimento, i mandanti materiali e gli esecutori materiali, il Pollo di Popper viene, per ordine esplicito dell'autore, congedato: non perché si abbandoni il rigore, ma perché si cambia strumento, passando da una prudenza sospensiva a una valutazione probabilistica, evidence-based, che pesa le ipotesi e le ordina secondo la loro plausibilità cumulativa. Là il tono si fa più disteso e narrativo, più vicino alla prosa dello stesso Moro, e non teme un'ombra di mistero, quella dei grandi costruttori di enigmi, purché mai si trasformi in compiacimento. In entrambe le parti l'approccio resta garantista e mai giustizialista, rispettoso delle persone e della loro dignità, memore che nominare non è condannare e che la storia procede per gradi di probabilità, non per sentenze.</w:t>
      </w:r>
    </w:p>
    <w:p>
      <w:pPr>
        <w:pStyle w:val="Heading3"/>
        <w:spacing w:after="80" w:before="160"/>
      </w:pPr>
      <w:r>
        <w:rPr>
          <w:rFonts w:ascii="Barlow Semi Condensed" w:cs="Barlow Semi Condensed" w:eastAsia="Barlow Semi Condensed" w:hAnsi="Barlow Semi Condensed"/>
          <w:sz w:val="24"/>
          <w:szCs w:val="24"/>
        </w:rPr>
        <w:t xml:space="preserve">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Karl Popper insegnò che nessuna quantità di osservazioni concordi dimostra una legge universale, mentre una sola osservazione contraria è sufficiente a confutarla. Il pericolo che questa lezione addita è duplice nella materia moroteana. Vi è, da un lato, la tentazione dietrologica, quella di chi parte dalla convinzione che dietro ogni piega del caso si celi una regia onnisciente, e organizza i fatti in cerchi concentrici attorno a quel centro, così che ogni dettaglio, per la sola forza della struttura, sembra confermarla. Vi è, dall'altro, la tentazione opposta e speculare, quella di chi parte dalla convinzione che tutto sia stato lineare e trasparente, e scarta come rumore ogni anomalia che turbi quella quiete. Entrambe sono forme del Pollo di Popper, entrambe accumulano conferme senza mai esporsi alla prova della smentita.</w:t>
      </w:r>
    </w:p>
    <w:p>
      <w:pPr>
        <w:spacing w:after="120" w:line="276"/>
        <w:jc w:val="both"/>
      </w:pPr>
      <w:r>
        <w:rPr>
          <w:rFonts w:ascii="Barlow Semi Condensed" w:cs="Barlow Semi Condensed" w:eastAsia="Barlow Semi Condensed" w:hAnsi="Barlow Semi Condensed"/>
          <w:sz w:val="24"/>
          <w:szCs w:val="24"/>
        </w:rPr>
        <w:t xml:space="preserve">In questa prima parte si adotta perciò la disciplina della falsificazione: ogni affermazione sostanziale è accompagnata, almeno implicitamente, dall'indicazione di ciò che basterebbe a smentirla, e i vuoti sono chiamati vuoti. Quando una connessione attesa non si trova, la sua assenza è registrata come un dato e non come una lacuna da colmare a forza: è il principio che si chiamerà dello Stato Zero, per cui una ricerca condotta con metodo e risultata negativa vale quanto una risultata positiva, perché entrambe informano. E vige una regola che si chiamerà Ferrea: non si inferisce mai il mandato dall'occultamento, non si deduce cioè da un depistaggio l'identità di chi avrebbe interesse a depistare, perché tra il piano di chi nasconde e il piano di chi ha ordinato corre una distanza logica che nessuna indignazione autorizza a saltare. Questa regola governa l'intera parte prima e non sarà abbandonata nemmeno nella seconda: muterà il metodo di valutazione, non il divieto del salto logico.</w:t>
      </w:r>
    </w:p>
    <w:p>
      <w:pPr>
        <w:pStyle w:val="Heading3"/>
        <w:spacing w:after="80" w:before="160"/>
      </w:pPr>
      <w:r>
        <w:rPr>
          <w:rFonts w:ascii="Barlow Semi Condensed" w:cs="Barlow Semi Condensed" w:eastAsia="Barlow Semi Condensed" w:hAnsi="Barlow Semi Condensed"/>
          <w:sz w:val="24"/>
          <w:szCs w:val="24"/>
        </w:rPr>
        <w:t xml:space="preserve">La sinaptogenesi come metodo: reti neurali, nodi e connessioni</w:t>
      </w:r>
    </w:p>
    <w:p>
      <w:pPr>
        <w:spacing w:after="120" w:line="276"/>
        <w:jc w:val="both"/>
      </w:pPr>
      <w:r>
        <w:rPr>
          <w:rFonts w:ascii="Barlow Semi Condensed" w:cs="Barlow Semi Condensed" w:eastAsia="Barlow Semi Condensed" w:hAnsi="Barlow Semi Condensed"/>
          <w:sz w:val="24"/>
          <w:szCs w:val="24"/>
        </w:rPr>
        <w:t xml:space="preserve">Conviene precisare in che senso l'analogia neurale non sia una metafora ornamentale ma un vero e proprio protocollo di lavoro. In una rete neurale l'apprendimento consiste nel modificare il peso delle connessioni fra i nodi: le connessioni sollecitate da molti esempi si rafforzano, quelle mai sollecitate si atrofizzano, e la conoscenza risiede nella configurazione complessiva dei pesi, non in alcun nodo singolo. Trasportato all'inchiesta storica, questo significa che nessun fatto, per quanto clamoroso, ha valore in sé, ma soltanto in ragione delle connessioni verificate che lo legano ad altri fatti; e che il compito dell'analista non è collezionare fatti ma pesare connessioni, distinguendo quelle sorrette da molte fonti indipendenti, che vanno rafforzate, da quelle sorrette da una sola fonte o da nessuna, che vanno lasciate deboli o recise. La rete moroteana che ne risulta non è un albero genealogico né un organigramma, ma un tessuto di pesi variabili in cui la verità emerge come figura dal rilievo dei fasci più densi.</w:t>
      </w:r>
    </w:p>
    <w:p>
      <w:pPr>
        <w:spacing w:after="120" w:line="276"/>
        <w:jc w:val="both"/>
      </w:pPr>
      <w:r>
        <w:rPr>
          <w:rFonts w:ascii="Barlow Semi Condensed" w:cs="Barlow Semi Condensed" w:eastAsia="Barlow Semi Condensed" w:hAnsi="Barlow Semi Condensed"/>
          <w:sz w:val="24"/>
          <w:szCs w:val="24"/>
        </w:rPr>
        <w:t xml:space="preserve">Da questa impostazione discende una conseguenza metodologica che governa l'intera opera: la ricerca procede per cerchi concentrici e per macchia d'olio. Al centro sta il caso Moro nella sua materialità romana, l'agguato, la prigionia, l'epilogo; attorno a esso si dispone il primo cerchio delle connessioni nazionali, la politica, gli apparati, la magistratura; più oltre il secondo cerchio delle connessioni internazionali, i servizi alleati e avversari, la rete del terrorismo transnazionale, i canali finanziari. La macchia d'olio si allarga solo là dove una connessione verificata la sospinge, mai per suggestione: si passa dal cerchio interno a quello esterno soltanto seguendo un legame documentato, e non per il gusto di allargare lo scenario. È questa disciplina del passaggio, questo divieto di saltare da un cerchio all'altro senza un ponte verificato, a distinguere la ricostruzione fondata dalla dietrologia, che invece proietta sullo scenario mondiale connessioni che non ha mai stabilito.</w:t>
      </w:r>
    </w:p>
    <w:p>
      <w:pPr>
        <w:spacing w:after="120" w:line="276"/>
        <w:jc w:val="both"/>
      </w:pPr>
      <w:r>
        <w:rPr>
          <w:rFonts w:ascii="Barlow Semi Condensed" w:cs="Barlow Semi Condensed" w:eastAsia="Barlow Semi Condensed" w:hAnsi="Barlow Semi Condensed"/>
          <w:sz w:val="24"/>
          <w:szCs w:val="24"/>
        </w:rPr>
        <w:t xml:space="preserve">Il metodo di lettura adottato in quest'opera imita, per analogia, il modo in cui un cervello costruisce la conoscenza: non per accumulo lineare di nozioni, ma per formazione progressiva di connessioni, per sinaptogenesi. Ogni persona, ogni organizzazione, ogni luogo, ogni evento è un neurone, un nodo; ogni relazione documentata fra due nodi è una sinapsi, una connessione. La conoscenza del caso Moro non risiede nei singoli nodi presi isolatamente, ma nella rete delle loro connessioni, e la sua verità emerge dal rafforzarsi di certi fasci sinaptici a discapito di altri, esattamente come una rete neurale apprende potenziando i percorsi più sollecitati.</w:t>
      </w:r>
    </w:p>
    <w:p>
      <w:pPr>
        <w:spacing w:after="120" w:line="276"/>
        <w:jc w:val="both"/>
      </w:pPr>
      <w:r>
        <w:rPr>
          <w:rFonts w:ascii="Barlow Semi Condensed" w:cs="Barlow Semi Condensed" w:eastAsia="Barlow Semi Condensed" w:hAnsi="Barlow Semi Condensed"/>
          <w:sz w:val="24"/>
          <w:szCs w:val="24"/>
        </w:rPr>
        <w:t xml:space="preserve">Vi sono connessioni intra-dominio, quelle che legano nodi appartenenti allo stesso mondo: due brigatisti nello stesso commando, due magistrati nella stessa procura, due uomini politici nella stessa corrente. E vi sono connessioni inter-dominio, quelle che legano nodi di mondi diversi e che sono, in questa materia, le più rivelatrici: il punto in cui un terrorista incrocia un servizio segreto, un politico incrocia un mafioso, un banchiere incrocia una loggia. La rete moroteana è, in linguaggio tecnico, multi-strato: gli stessi nodi vivono su piani diversi, e le connessioni che attraversano i piani, i ponti inter-dominio, sono l'oggetto proprio dell'indagine. Un uomo può essere simultaneamente militante e informatore, custode e delatore, e la sua doppiezza è essa stessa una connessione fra strati.</w:t>
      </w:r>
    </w:p>
    <w:p>
      <w:pPr>
        <w:spacing w:after="120" w:line="276"/>
        <w:jc w:val="both"/>
      </w:pPr>
      <w:r>
        <w:rPr>
          <w:rFonts w:ascii="Barlow Semi Condensed" w:cs="Barlow Semi Condensed" w:eastAsia="Barlow Semi Condensed" w:hAnsi="Barlow Semi Condensed"/>
          <w:sz w:val="24"/>
          <w:szCs w:val="24"/>
        </w:rPr>
        <w:t xml:space="preserve">Da questa rete si estraggono, con criterio, alcune proprietà. Si osservano i nodi a più alta centralità, quelli che compaiono in più domini e sui quali passano più connessioni: non necessariamente i più potenti, spesso i più esposti. Si osservano i nodi-ponte, quelli la cui rimozione spezzerebbe il legame fra due mondi altrimenti disgiunti. Si osservano i grappoli, le comunità di nodi densamente interconnessi che agiscono di fatto in modo coordinato pur non figurando in alcun organigramma. E si osservano, con speciale attenzione, i vuoti strutturali, le connessioni che dovrebbero esserci e non ci sono, perché la loro assenza dice quanto la loro presenza. Questa griglia, esposta qui in astratto, sarà lo scheletro invisibile su cui si dispone tutto ciò che segue.</w:t>
      </w:r>
    </w:p>
    <w:p>
      <w:pPr>
        <w:pStyle w:val="Heading3"/>
        <w:spacing w:after="80" w:before="160"/>
      </w:pPr>
      <w:r>
        <w:rPr>
          <w:rFonts w:ascii="Barlow Semi Condensed" w:cs="Barlow Semi Condensed" w:eastAsia="Barlow Semi Condensed" w:hAnsi="Barlow Semi Condensed"/>
          <w:sz w:val="24"/>
          <w:szCs w:val="24"/>
        </w:rPr>
        <w:t xml:space="preserve">Lo standard probatorio: i tre livelli della certezza</w:t>
      </w:r>
    </w:p>
    <w:p>
      <w:pPr>
        <w:spacing w:after="120" w:line="276"/>
        <w:jc w:val="both"/>
      </w:pPr>
      <w:r>
        <w:rPr>
          <w:rFonts w:ascii="Barlow Semi Condensed" w:cs="Barlow Semi Condensed" w:eastAsia="Barlow Semi Condensed" w:hAnsi="Barlow Semi Condensed"/>
          <w:sz w:val="24"/>
          <w:szCs w:val="24"/>
        </w:rPr>
        <w:t xml:space="preserve">Ogni affermazione di quest'opera porta con sé, dichiarato o sottinteso, il proprio grado di affidabilità, secondo uno standard a tre livelli mutuato dalla migliore pratica investigativa e giudiziaria. Il Livello A designa la connessione documentata, quella che poggia sulla convergenza di almeno tre fonti indipendenti e di natura diversa: una sentenza definitiva, una testimonianza riscontrata, un documento d'archivio. Il Livello B designa la connessione indiziaria, sorretta da due fonti indipendenti oppure da una sola fonte di alta affidabilità, come una sentenza di primo grado o una relazione parlamentare circostanziata: è considerata probabile e come tale segnalata. Il Livello C designa la connessione ipotetica, fondata su una sola fonte o su una convergenza di indizi circostanziali, e viene esplicitamente marcata come ipotesi di lavoro che attende ulteriore verifica.</w:t>
      </w:r>
    </w:p>
    <w:p>
      <w:pPr>
        <w:spacing w:after="120" w:line="276"/>
        <w:jc w:val="both"/>
      </w:pPr>
      <w:r>
        <w:rPr>
          <w:rFonts w:ascii="Barlow Semi Condensed" w:cs="Barlow Semi Condensed" w:eastAsia="Barlow Semi Condensed" w:hAnsi="Barlow Semi Condensed"/>
          <w:sz w:val="24"/>
          <w:szCs w:val="24"/>
        </w:rPr>
        <w:t xml:space="preserve">Questo sistema non è un ornamento. Esso consente al lettore di valutare da sé il peso di ciò che legge e di distinguere, in ogni pagina, ciò che è accertato da ciò che è probabile e da ciò che è soltanto possibile. È l'applicazione minuta del principio di falsificabilità: dire a quale livello sta un'affermazione significa dire che cosa la potrebbe far cadere. Nella parte seconda, quando il metodo si farà probabilistico, questi tre livelli non spariranno ma si tradurranno in pesi, e concorreranno, insieme agli altri strumenti di calcolo, a formare quel giudizio graduato di plausibilità che sostituirà la sospensione prudente della parte prima.</w:t>
      </w:r>
    </w:p>
    <w:p>
      <w:pPr>
        <w:pStyle w:val="Heading3"/>
        <w:spacing w:after="80" w:before="160"/>
      </w:pPr>
      <w:r>
        <w:rPr>
          <w:rFonts w:ascii="Barlow Semi Condensed" w:cs="Barlow Semi Condensed" w:eastAsia="Barlow Semi Condensed" w:hAnsi="Barlow Semi Condensed"/>
          <w:sz w:val="24"/>
          <w:szCs w:val="24"/>
        </w:rPr>
        <w:t xml:space="preserve">Aldo Moro prima del sedici marzo: l'uomo, il pensiero, la traiettoria</w:t>
      </w:r>
    </w:p>
    <w:p>
      <w:pPr>
        <w:spacing w:after="120" w:line="276"/>
        <w:jc w:val="both"/>
      </w:pPr>
      <w:r>
        <w:rPr>
          <w:rFonts w:ascii="Barlow Semi Condensed" w:cs="Barlow Semi Condensed" w:eastAsia="Barlow Semi Condensed" w:hAnsi="Barlow Semi Condensed"/>
          <w:sz w:val="24"/>
          <w:szCs w:val="24"/>
        </w:rPr>
        <w:t xml:space="preserve">La formazione giuridica di Moro non fu un dettaglio biografico ma la matrice del suo modo di pensare la politica. Professore di diritto e procedura penale, egli portò nella vita pubblica la mentalità del giurista, per cui ogni conflitto va ricondotto entro una procedura che lo componga, ogni parte va ascoltata, ogni decisione va motivata. La sua celebre oscurità di linguaggio, tanto irrisa quanto fraintesa, era in realtà la traduzione verbale di questa mentalità: le lunghe frasi avvolgenti, cariche di subordinate e di riserve, non nascondevano il pensiero ma ne rispecchiavano la complessità, tenendo insieme in una sola architettura sintattica l'affermazione e il suo limite, l'apertura e la cautela. Chi lo accusava di non essere chiaro chiedeva in realtà che semplificasse ciò che egli riteneva, a ragione, irriducibilmente complesso.</w:t>
      </w:r>
    </w:p>
    <w:p>
      <w:pPr>
        <w:spacing w:after="120" w:line="276"/>
        <w:jc w:val="both"/>
      </w:pPr>
      <w:r>
        <w:rPr>
          <w:rFonts w:ascii="Barlow Semi Condensed" w:cs="Barlow Semi Condensed" w:eastAsia="Barlow Semi Condensed" w:hAnsi="Barlow Semi Condensed"/>
          <w:sz w:val="24"/>
          <w:szCs w:val="24"/>
        </w:rPr>
        <w:t xml:space="preserve">La strategia politica di Moro ebbe due tempi, e in entrambi il metodo fu lo stesso: l'inclusione graduale di ciò che era escluso. Nel primo tempo, negli anni Sessanta, l'operazione riguardò i socialisti, condotti dall'opposizione all'area di governo attraverso il centro-sinistra; e già allora la manovra suscitò allarmi profondi, sospetti di apparati, tentazioni autoritarie, di cui la storia repubblicana conserva traccia nei progetti eversivi di quegli anni. Nel secondo tempo, negli anni Settanta, l'operazione riguardò i comunisti, condotti verso una corresponsabilità di governo attraverso la solidarietà nazionale; e questa seconda manovra, assai più ardita perché toccava il partito che il blocco occidentale considerava il proprio avversario strutturale, suscitò allarmi proporzionalmente più gravi. Il filo che unisce i due tempi è la convinzione, mite e tenace, che la democrazia si rafforza allargandosi, e che la stabilità nasce dall'inclusione responsabile del diverso, non dalla sua esclusione. Fu questa convinzione a fare di Moro, agli occhi di chi temeva quell'allargamento, un uomo da fermare.</w:t>
      </w:r>
    </w:p>
    <w:p>
      <w:pPr>
        <w:spacing w:after="120" w:line="276"/>
        <w:jc w:val="both"/>
      </w:pPr>
      <w:r>
        <w:rPr>
          <w:rFonts w:ascii="Barlow Semi Condensed" w:cs="Barlow Semi Condensed" w:eastAsia="Barlow Semi Condensed" w:hAnsi="Barlow Semi Condensed"/>
          <w:sz w:val="24"/>
          <w:szCs w:val="24"/>
        </w:rPr>
        <w:t xml:space="preserve">Aldo Moro nasce a Maglie, in Terra d'Otranto, il ventitré settembre millenovecentosedici, in una famiglia della piccola borghesia meridionale colta e cattolica. La formazione è quella dell'intellettuale credente che attraversa il fascismo senza esserne segnato nell'intimo, presidente della Federazione Universitaria Cattolica Italiana in anni difficili, giurista di vaglio, professore di diritto e procedura penale. Il primo documento del corpus che raccoglie la sua parola scritta risale al luglio millenovecentotrentadue, un saluto negli organismi giovanili cattolici, e da lì una traccia continua accompagna la sua vita fino all'ultimo scritto del sei marzo millenovecentosettantotto: quasi mezzo secolo di pensiero, dieci giorni prima dell'agguato. Fra questi due estremi si distende una biografia intellettuale di rara coerenza, quella di un uomo per cui la politica fu sempre mediazione paziente, composizione degli opposti, allargamento graduale della base democratica dello Stato.</w:t>
      </w:r>
    </w:p>
    <w:p>
      <w:pPr>
        <w:spacing w:after="120" w:line="276"/>
        <w:jc w:val="both"/>
      </w:pPr>
      <w:r>
        <w:rPr>
          <w:rFonts w:ascii="Barlow Semi Condensed" w:cs="Barlow Semi Condensed" w:eastAsia="Barlow Semi Condensed" w:hAnsi="Barlow Semi Condensed"/>
          <w:sz w:val="24"/>
          <w:szCs w:val="24"/>
        </w:rPr>
        <w:t xml:space="preserve">Costituente giovane e autorevole, più volte ministro, cinque volte presidente del Consiglio, presidente della Democrazia Cristiana, Moro fu l'artefice di due delle grandi manovre di apertura della Repubblica: negli anni Sessanta l'ingresso dei socialisti nell'area di governo, il centro-sinistra; negli anni Settanta il disegno, assai più ardito e assai più contrastato, di condurre il Partito Comunista Italiano a una corresponsabilità di governo, la cosiddetta solidarietà nazionale. Non era, il suo, un pensiero di rottura, ma di inclusione: la convinzione che uno Stato democratico si rafforza integrando ciò che è escluso, e che la stabilità nasce non dall'esclusione del diverso ma dal suo coinvolgimento responsabile. Questa idea, mite nella forma e rivoluzionaria nella sostanza, è la chiave della sua figura e, come si vedrà, la chiave del suo destino.</w:t>
      </w:r>
    </w:p>
    <w:p>
      <w:pPr>
        <w:spacing w:after="120" w:line="276"/>
        <w:jc w:val="both"/>
      </w:pPr>
      <w:r>
        <w:rPr>
          <w:rFonts w:ascii="Barlow Semi Condensed" w:cs="Barlow Semi Condensed" w:eastAsia="Barlow Semi Condensed" w:hAnsi="Barlow Semi Condensed"/>
          <w:sz w:val="24"/>
          <w:szCs w:val="24"/>
        </w:rPr>
        <w:t xml:space="preserve">Lo stile di Moro, che quest'opera nella sua parte seconda cercherà rispettosamente di avvicinare, era il riflesso esatto del suo pensiero: un periodare lungo e avvolgente, ricco di subordinate e di cautele, capace di tenere insieme in una sola frase l'affermazione e la sua limitazione, l'apertura e la riserva. Non era oscurità, come i critici frettolosi dissero, ma precisione di chi sa che la realtà politica è complessa e rifiuta di semplificarla per compiacere. Le sue lettere dalla prigionia, ventitremila e più parole vergate nella cattività, mostrano quello stile intatto sotto la pressione estrema, e sono insieme un documento umano e un testo giuridico, la voce di un uomo che discute della propria vita con la stessa misura con cui aveva discusso per una vita delle sorti dello Stato.</w:t>
      </w:r>
    </w:p>
    <w:p>
      <w:pPr>
        <w:pStyle w:val="Heading3"/>
        <w:spacing w:after="80" w:before="160"/>
      </w:pPr>
      <w:r>
        <w:rPr>
          <w:rFonts w:ascii="Barlow Semi Condensed" w:cs="Barlow Semi Condensed" w:eastAsia="Barlow Semi Condensed" w:hAnsi="Barlow Semi Condensed"/>
          <w:sz w:val="24"/>
          <w:szCs w:val="24"/>
        </w:rPr>
        <w:t xml:space="preserve">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collocazione dell'Italia nella Guerra Fredda va compresa nella sua specificità, perché è da essa che discende la peculiare esposizione di Moro. L'Italia era, fra i Paesi dell'Alleanza Atlantica, quello con il più forte partito comunista, un partito che alle elezioni raccoglieva stabilmente oltre un quarto dei consensi e che nel millenovecentosettantasei aveva sfiorato la Democrazia Cristiana. Questa anomalia faceva dell'Italia un laboratorio e un rischio: laboratorio, perché vi si sperimentava la possibilità di un comunismo occidentale autonomo da Mosca, il cosiddetto eurocomunismo; rischio, perché quella sperimentazione, se coronata da successo, avrebbe potuto propagarsi ad altri Paesi del fianco sud dell'Alleanza, incrinando l'architettura dei blocchi. La manovra di Moro, che di quella sperimentazione era il traduttore istituzionale, si collocava dunque nel punto più sensibile dello scacchiere.</w:t>
      </w:r>
    </w:p>
    <w:p>
      <w:pPr>
        <w:spacing w:after="120" w:line="276"/>
        <w:jc w:val="both"/>
      </w:pPr>
      <w:r>
        <w:rPr>
          <w:rFonts w:ascii="Barlow Semi Condensed" w:cs="Barlow Semi Condensed" w:eastAsia="Barlow Semi Condensed" w:hAnsi="Barlow Semi Condensed"/>
          <w:sz w:val="24"/>
          <w:szCs w:val="24"/>
        </w:rPr>
        <w:t xml:space="preserve">È in questa cornice che va letta, con la cautela del metodo, la questione degli avvertimenti. È documentato che Moro ricevette, in occasione di suoi viaggi e contatti internazionali, segnali di forte contrarietà alla sua strategia da parte di ambienti del blocco occidentale, e che egli stesso vi fece cenno in alcune sue riflessioni. Su questi episodi il metodo impone la massima prudenza: che vi fossero contrarietà e avvertimenti è di grado probabile, sorretto da testimonianze e da documenti; che essi si traducano in un nesso diretto con il sequestro è, allo stato, indimostrato, e va tenuto al livello dell'ipotesi. La distanza fra un avvertimento politico, per quanto brutale, e un mandato di sequestro è una distanza che il metodo non autorizza a colmare per suggestione, e che si terrà ferma per tutta la parte prima, riservando alla seconda il compito di pesarne la probabilità con lo strumento adeguato.</w:t>
      </w:r>
    </w:p>
    <w:p>
      <w:pPr>
        <w:spacing w:after="120" w:line="276"/>
        <w:jc w:val="both"/>
      </w:pPr>
      <w:r>
        <w:rPr>
          <w:rFonts w:ascii="Barlow Semi Condensed" w:cs="Barlow Semi Condensed" w:eastAsia="Barlow Semi Condensed" w:hAnsi="Barlow Semi Condensed"/>
          <w:sz w:val="24"/>
          <w:szCs w:val="24"/>
        </w:rPr>
        <w:t xml:space="preserve">Per comprendere il sedici marzo occorre risalire allo scacchiere in cui quella manovra si iscriveva. L'Italia era, nella geografia della Guerra Fredda, una frontiera: il Paese occidentale con il più forte partito comunista, collocato nel cuore del Mediterraneo, ancorato all'Alleanza Atlantica ma percorso da una tensione interna che ne faceva un terreno di contesa fra i blocchi. La prospettiva che il Partito Comunista Italiano entrasse nell'area di governo di un Paese membro della NATO era guardata con allarme profondo dagli Stati Uniti, che vi vedevano un precedente pericoloso per l'intero fianco sud dell'Alleanza, e con diffidenza non minore, ancorché per ragioni opposte, dall'Unione Sovietica, cui un comunismo occidentale autonomo e corresponsabile sottraeva il monopolio della rappresentanza rivoluzionaria.</w:t>
      </w:r>
    </w:p>
    <w:p>
      <w:pPr>
        <w:spacing w:after="120" w:line="276"/>
        <w:jc w:val="both"/>
      </w:pPr>
      <w:r>
        <w:rPr>
          <w:rFonts w:ascii="Barlow Semi Condensed" w:cs="Barlow Semi Condensed" w:eastAsia="Barlow Semi Condensed" w:hAnsi="Barlow Semi Condensed"/>
          <w:sz w:val="24"/>
          <w:szCs w:val="24"/>
        </w:rPr>
        <w:t xml:space="preserve">Si delinea qui, a livello di ipotesi generale e come tale trattata in questa parte prima con la cautela del Pollo di Popper, la cornice entro cui si è a lungo letto il caso: quella di una convergenza obiettiva, non necessariamente concertata, di interessi esterni contrari a un rafforzamento autonomo dell'Italia e, più in là, di un'Europa capace di emanciparsi dalla tutela dei blocchi. Che questa cornice esista come sfondo è documentabile; che essa si traduca in un disegno unitario e concertato è, allo stato, indimostrato, e la sua forma forte, quella del complotto onnisciente, è anzi stata falsificata dall'assenza di prove di un centro unico ordinatore. Ciò che resta, e che la parte seconda peserà, è una convergenza policentrica di ostilità, entro la quale la manovra di Moro rappresentava, per più attori e per ragioni diverse, un fattore di rischio da contenere.</w:t>
      </w:r>
    </w:p>
    <w:p>
      <w:pPr>
        <w:pStyle w:val="Heading3"/>
        <w:spacing w:after="80" w:before="160"/>
      </w:pPr>
      <w:r>
        <w:rPr>
          <w:rFonts w:ascii="Barlow Semi Condensed" w:cs="Barlow Semi Condensed" w:eastAsia="Barlow Semi Condensed" w:hAnsi="Barlow Semi Condensed"/>
          <w:sz w:val="24"/>
          <w:szCs w:val="24"/>
        </w:rPr>
        <w:t xml:space="preserve">Sinaptogenesi del quadro: i dieci mondi che si intrecciano nel caso</w:t>
      </w:r>
    </w:p>
    <w:p>
      <w:pPr>
        <w:spacing w:after="120" w:line="276"/>
        <w:jc w:val="both"/>
      </w:pPr>
      <w:r>
        <w:rPr>
          <w:rFonts w:ascii="Barlow Semi Condensed" w:cs="Barlow Semi Condensed" w:eastAsia="Barlow Semi Condensed" w:hAnsi="Barlow Semi Condensed"/>
          <w:sz w:val="24"/>
          <w:szCs w:val="24"/>
        </w:rPr>
        <w:t xml:space="preserve">Prima di entrare nella meccanica del sequestro conviene nominare i dieci mondi, i dieci domini, i cui nodi si intrecceranno lungo tutta l'opera, perché è dal loro accoppiamento che emerge la fisionomia del caso. Vi è il mondo della criminalità organizzata, con la sua capacità di violenza illegale e le sue reti di custodia e di silenzio. Vi è il mondo politico, con i suoi partiti, i suoi governi, le sue correnti. Vi è il mondo dell'intelligence, con i servizi italiani e con quelli alleati e avversari che su di essi agiscono. Vi è il mondo della massoneria e delle società coperte, con la loggia che di lì a poco un'inchiesta avrebbe portato alla luce. Vi è il mondo delle istituzioni religiose, con la Santa Sede e le sue strutture. Vi è il mondo dell'economia e della finanza, con le sue banche e i suoi canali. Vi è il mondo del terrorismo, rosso e nero, con la sua stagione di sangue. Vi è il mondo dei media e del controllo dell'informazione. Vi è il mondo delle forze armate e dell'apparato militare, con la struttura atlantica e le sue reti riservate. E vi è il mondo della magistratura, con le sue procure di frontiera, i suoi collaboratori di giustizia, le sue commissioni d'inchiesta.</w:t>
      </w:r>
    </w:p>
    <w:p>
      <w:pPr>
        <w:spacing w:after="120" w:line="276"/>
        <w:jc w:val="both"/>
      </w:pPr>
      <w:r>
        <w:rPr>
          <w:rFonts w:ascii="Barlow Semi Condensed" w:cs="Barlow Semi Condensed" w:eastAsia="Barlow Semi Condensed" w:hAnsi="Barlow Semi Condensed"/>
          <w:sz w:val="24"/>
          <w:szCs w:val="24"/>
        </w:rPr>
        <w:t xml:space="preserve">Nel caso Moro questi mondi non restano separati. Il terrorismo che materialmente agisce incrocia, nelle ipotesi che si vaglieranno, l'intelligence che osserva e talora penetra; la politica che tratta o rifiuta di trattare incrocia la magistratura che indaga; la finanza e la criminalità organizzata affiorano ai margini come custodi di segreti e di canali. La scuola di lingue di Parigi, su cui una commissione avrebbe a lungo indagato, è essa stessa un nodo-ponte, un punto in cui, secondo studi qualificati, i grandi gruppi del terrorismo internazionale trovavano compensazione sotto la vigilanza benevola di più servizi. Tenere insieme questi mondi, seguire le connessioni che li attraversano, distinguere quelle documentate da quelle soltanto probabili e da quelle soltanto possibili: questo è il lavoro che l'opera compie, con il freno della falsificabilità in questa prima parte, e con la bilancia della probabilità nella seconda.</w:t>
      </w:r>
    </w:p>
    <w:p>
      <w:pPr>
        <w:pStyle w:val="Heading3"/>
        <w:spacing w:after="80" w:before="160"/>
      </w:pPr>
      <w:r>
        <w:rPr>
          <w:rFonts w:ascii="Barlow Semi Condensed" w:cs="Barlow Semi Condensed" w:eastAsia="Barlow Semi Condensed" w:hAnsi="Barlow Semi Condensed"/>
          <w:sz w:val="24"/>
          <w:szCs w:val="24"/>
        </w:rPr>
        <w:t xml:space="preserve">La meccanica dell'agguato: via Fani, sedici marzo millenovecentosettantotto</w:t>
      </w:r>
    </w:p>
    <w:p>
      <w:pPr>
        <w:spacing w:after="120" w:line="276"/>
        <w:jc w:val="both"/>
      </w:pPr>
      <w:r>
        <w:rPr>
          <w:rFonts w:ascii="Barlow Semi Condensed" w:cs="Barlow Semi Condensed" w:eastAsia="Barlow Semi Condensed" w:hAnsi="Barlow Semi Condensed"/>
          <w:sz w:val="24"/>
          <w:szCs w:val="24"/>
        </w:rPr>
        <w:t xml:space="preserve">La scelta del giorno non fu casuale, e la sua analisi temporale è dirimente. Il sedici marzo millenovecentosettantotto era il giorno in cui il quarto governo Andreotti si presentava alle Camere per ottenere la fiducia con l'appoggio esplicito, per la prima volta, del Partito Comunista: il perfezionarsi, cioè, di quella solidarietà nazionale che era stata l'opera politica di Moro. Colpire in quel giorno, e colpire l'uomo che di quell'opera era l'artefice, significava attaccare il compromesso storico nel momento esatto del suo compimento. La coincidenza fra l'evento politico e l'agguato eccede la soglia della casualità e conferma, con grado elevato, che il bersaglio fu scelto per la sua funzione politica e che il momento fu scelto per il suo valore simbolico: un dato che nessuna lettura del caso può ignorare e che colloca l'atto, quale che ne fosse la regia, dentro una logica politica e non casuale.</w:t>
      </w:r>
    </w:p>
    <w:p>
      <w:pPr>
        <w:spacing w:after="120" w:line="276"/>
        <w:jc w:val="both"/>
      </w:pPr>
      <w:r>
        <w:rPr>
          <w:rFonts w:ascii="Barlow Semi Condensed" w:cs="Barlow Semi Condensed" w:eastAsia="Barlow Semi Condensed" w:hAnsi="Barlow Semi Condensed"/>
          <w:sz w:val="24"/>
          <w:szCs w:val="24"/>
        </w:rPr>
        <w:t xml:space="preserve">La dinamica materiale dell'agguato presenta caratteri che sono stati a lungo oggetto di analisi peritale, e che il metodo impone di riferire con la loro esatta gradazione. È accertato che il commando bloccò le due auto del corteo all'incrocio con via Stresa e che aprì un fuoco intenso e concentrato, che in pochi secondi annientò i cinque uomini della scorta. È stato oggetto di controversia il numero esatto degli sparatori e la ripartizione dei colpi, con perizie che nel tempo hanno offerto ricostruzioni parzialmente divergenti; è stata parimenti discussa la perizia balistica di alcuni degli esecutori, che una parte degli analisti ha letto come indizio di un addestramento superiore. Su questi punti la parte prima si astiene dal concludere: registra la dinamica generale come accertata, e le questioni del numero e della perizia come aperte, di grado probabile o ipotetico a seconda degli aspetti, senza che l'incertezza su questi contorni intacchi la certezza sulla matrice complessiva dell'operazione, che è e resta brigatista.</w:t>
      </w:r>
    </w:p>
    <w:p>
      <w:pPr>
        <w:spacing w:after="120" w:line="276"/>
        <w:jc w:val="both"/>
      </w:pPr>
      <w:r>
        <w:rPr>
          <w:rFonts w:ascii="Barlow Semi Condensed" w:cs="Barlow Semi Condensed" w:eastAsia="Barlow Semi Condensed" w:hAnsi="Barlow Semi Condensed"/>
          <w:sz w:val="24"/>
          <w:szCs w:val="24"/>
        </w:rPr>
        <w:t xml:space="preserve">La mattina del sedici marzo millenovecentosettantotto, mentre il quarto governo Andreotti stava per presentarsi alle Camere con il voto determinante e per la prima volta esplicito del Partito Comunista, l'auto che conduceva Aldo Moro dalla sua abitazione verso Montecitorio fu bloccata all'incrocio fra via Mario Fani e via Stresa, a Roma. In pochi secondi un commando delle Brigate Rosse aprì il fuoco, uccise i cinque uomini della scorta e sequestrò l'onorevole Moro, trascinandolo via su un'altra vettura. I cinque caduti hanno nome e vanno nominati, perché la memoria del caso comincia da loro: il maresciallo Oreste Leonardi, l'appuntato Domenico Ricci, la guardia di pubblica sicurezza Giulio Rivera, la guardia Francesco Zizzi, l'appuntato Raffaele Iozzino. La loro uccisione non fu un episodio marginale dell'operazione ma la sua condizione: per prendere Moro vivo occorreva annientare la scorta, e l'annientamento fu eseguito con una freddezza e una perizia balistica che divennero subito, e restano, oggetto di analisi.</w:t>
      </w:r>
    </w:p>
    <w:p>
      <w:pPr>
        <w:spacing w:after="120" w:line="276"/>
        <w:jc w:val="both"/>
      </w:pPr>
      <w:r>
        <w:rPr>
          <w:rFonts w:ascii="Barlow Semi Condensed" w:cs="Barlow Semi Condensed" w:eastAsia="Barlow Semi Condensed" w:hAnsi="Barlow Semi Condensed"/>
          <w:sz w:val="24"/>
          <w:szCs w:val="24"/>
        </w:rPr>
        <w:t xml:space="preserve">Su via Fani grava, in questa parte prima, la disciplina del Pollo di Popper, perché è proprio qui che la ricerca della verità si è più esposta al rischio delle tesi precostituite. Alcune circostanze sono di Livello A, accertate: la dinamica generale dell'agguato, l'identità di gran parte del commando, la matrice brigatista dell'operazione, riconosciuta e rivendicata. Altre circostanze sono state a lungo controverse e restano, per parte loro, di grado inferiore: il numero esatto dei componenti del commando, la presenza sulla scena di figure non riconducibili al nucleo brigatista noto, la perizia balistica di alcuni degli sparatori, l'ipotesi di una regia tecnica più esperta di quanto i militanti allora disponibili lasciassero supporre. Su ciascuna di queste circostanze la parte prima si astiene dal concludere e si limita a registrare il grado: ciò che è accertato come accertato, ciò che è probabile come probabile, ciò che è possibile come possibile, senza che l'incertezza dell'uno contamini la certezza dell'altro.</w:t>
      </w:r>
    </w:p>
    <w:p>
      <w:pPr>
        <w:pStyle w:val="Heading3"/>
        <w:spacing w:after="80" w:before="160"/>
      </w:pPr>
      <w:r>
        <w:rPr>
          <w:rFonts w:ascii="Barlow Semi Condensed" w:cs="Barlow Semi Condensed" w:eastAsia="Barlow Semi Condensed" w:hAnsi="Barlow Semi Condensed"/>
          <w:sz w:val="24"/>
          <w:szCs w:val="24"/>
        </w:rPr>
        <w:t xml:space="preserve">La prigionia: cinquantacinque giorni, la prigione, le lettere</w:t>
      </w:r>
    </w:p>
    <w:p>
      <w:pPr>
        <w:spacing w:after="120" w:line="276"/>
        <w:jc w:val="both"/>
      </w:pPr>
      <w:r>
        <w:rPr>
          <w:rFonts w:ascii="Barlow Semi Condensed" w:cs="Barlow Semi Condensed" w:eastAsia="Barlow Semi Condensed" w:hAnsi="Barlow Semi Condensed"/>
          <w:sz w:val="24"/>
          <w:szCs w:val="24"/>
        </w:rPr>
        <w:t xml:space="preserve">L'individuazione della prigione in via Montalcini, avvenuta a distanza di tempo attraverso le ricostruzioni dei collaboratori e le indagini, illumina un dato che merita riflessione: la prigionia si svolse non in un covo isolato ma in un appartamento inserito in un normale contesto abitativo, un condominio abitato da famiglie ignare. Questa scelta, che i brigatisti compirono per ragioni di sicurezza e di mimetismo, ebbe una conseguenza paradossale: rese la prigione al tempo stesso invisibile e vulnerabile, nascosta agli occhi di chi la cercava eppure esposta al rischio di un vicino attento, di un rumore sospetto, di una circostanza fortuita. Che un dispositivo di ricerca imponente, che mobilitò per settimane forze ingenti, non sia riuscito a individuare un appartamento nel cuore della città è una delle grandi anomalie del caso, e la parte seconda ne peserà il significato; qui basti registrarla come dato accertato e come interrogativo aperto.</w:t>
      </w:r>
    </w:p>
    <w:p>
      <w:pPr>
        <w:spacing w:after="120" w:line="276"/>
        <w:jc w:val="both"/>
      </w:pPr>
      <w:r>
        <w:rPr>
          <w:rFonts w:ascii="Barlow Semi Condensed" w:cs="Barlow Semi Condensed" w:eastAsia="Barlow Semi Condensed" w:hAnsi="Barlow Semi Condensed"/>
          <w:sz w:val="24"/>
          <w:szCs w:val="24"/>
        </w:rPr>
        <w:t xml:space="preserve">Il memoriale che Moro redasse durante la prigionia, in risposta agli interrogatori dei suoi carcerieri, ebbe una sorte a sua volta emblematica e va riferito con esattezza. Una parte di quegli scritti fu rinvenuta a distanza di anni in un covo brigatista milanese, e la loro riemersione tardiva, insieme al sospetto che non si trattasse dell'intero corpus, alimentò a lungo l'interrogativo su che fine avessero fatto le parti mancanti e su chi potesse averle trattenute. Su questo il metodo impone di distinguere: l'esistenza del memoriale e il rinvenimento parziale sono accertati; l'ipotesi che parti di esso siano state sottratte e trattenute da apparati resta, allo stato, un'ipotesi sorretta da indizi e non da prova. La vicenda del memoriale è dunque, insieme a via Fani e alla trattativa, uno dei nodi in cui il caso mostra la sua opacità, e uno di quelli su cui la parte seconda tornerà con lo strumento probabilistico.</w:t>
      </w:r>
    </w:p>
    <w:p>
      <w:pPr>
        <w:spacing w:after="120" w:line="276"/>
        <w:jc w:val="both"/>
      </w:pPr>
      <w:r>
        <w:rPr>
          <w:rFonts w:ascii="Barlow Semi Condensed" w:cs="Barlow Semi Condensed" w:eastAsia="Barlow Semi Condensed" w:hAnsi="Barlow Semi Condensed"/>
          <w:sz w:val="24"/>
          <w:szCs w:val="24"/>
        </w:rPr>
        <w:t xml:space="preserve">Dal sedici marzo al nove maggio, per cinquantacinque giorni, Aldo Moro fu tenuto prigioniero in un luogo che le indagini identificarono in un appartamento di via Montalcini, a Roma, una prigione del popolo allestita dalle Brigate Rosse in un contesto abitativo ordinario, un condominio come tanti, e questa ordinarietà è essa stessa un dato che pesa. Durante la prigionia Moro fu sottoposto a un processo, così i suoi carcerieri lo chiamarono, e scrisse: lettere ai familiari, agli uomini politici, alle istituzioni, un memoriale. Quelle lettere, che il corpus conserva per oltre ventitremila parole, sono un documento senza pari, e vanno lette su un doppio registro. Vi è il registro politico, in cui Moro argomenta con la lucidità del giurista la necessità di una trattativa, invoca il principio umanitario, ricorda i precedenti, mette in guardia il suo partito e lo Stato dalle conseguenze della fermezza. E vi è il registro familiare, privato, straziante nella sua compostezza, in cui l'uomo si accomiata dai suoi cari con la stessa misura con cui aveva vissuto.</w:t>
      </w:r>
    </w:p>
    <w:p>
      <w:pPr>
        <w:spacing w:after="120" w:line="276"/>
        <w:jc w:val="both"/>
      </w:pPr>
      <w:r>
        <w:rPr>
          <w:rFonts w:ascii="Barlow Semi Condensed" w:cs="Barlow Semi Condensed" w:eastAsia="Barlow Semi Condensed" w:hAnsi="Barlow Semi Condensed"/>
          <w:sz w:val="24"/>
          <w:szCs w:val="24"/>
        </w:rPr>
        <w:t xml:space="preserve">A lungo si discusse dell'autenticità di quelle lettere e della libertà con cui furono scritte, e alcuni vollero vedervi il segno di una personalità piegata o di una scrittura dettata. Su questo la parte prima registra il grado: la matrice moroteana della scrittura, il suo stile intatto e riconoscibile, è di Livello A; la questione se e quanto la condizione di cattività ne abbia condizionato il contenuto resta di Livello B, oggetto di valutazione e non di certezza. Ciò che è fuori discussione è che quelle lettere posero allo Stato una domanda tremenda, cui lo Stato rispose con la linea della fermezza, il rifiuto di trattare, e che quella risposta fu essa stessa una scelta politica gravida di conseguenze, non un atto dovuto. La distinzione fra ciò che era necessario e ciò che fu deciso è, anche qui, capitale.</w:t>
      </w:r>
    </w:p>
    <w:p>
      <w:pPr>
        <w:pStyle w:val="Heading3"/>
        <w:spacing w:after="80" w:before="160"/>
      </w:pPr>
      <w:r>
        <w:rPr>
          <w:rFonts w:ascii="Barlow Semi Condensed" w:cs="Barlow Semi Condensed" w:eastAsia="Barlow Semi Condensed" w:hAnsi="Barlow Semi Condensed"/>
          <w:sz w:val="24"/>
          <w:szCs w:val="24"/>
        </w:rPr>
        <w:t xml:space="preserve">La linea della fermezza e la linea della trattativa</w:t>
      </w:r>
    </w:p>
    <w:p>
      <w:pPr>
        <w:spacing w:after="120" w:line="276"/>
        <w:jc w:val="both"/>
      </w:pPr>
      <w:r>
        <w:rPr>
          <w:rFonts w:ascii="Barlow Semi Condensed" w:cs="Barlow Semi Condensed" w:eastAsia="Barlow Semi Condensed" w:hAnsi="Barlow Semi Condensed"/>
          <w:sz w:val="24"/>
          <w:szCs w:val="24"/>
        </w:rPr>
        <w:t xml:space="preserve">Di fronte al sequestro, lo schieramento politico si divise fra chi sosteneva la fermezza assoluta, il rifiuto di ogni trattativa con i sequestratori nel nome della ragion di Stato, e chi sosteneva la necessità di un negoziato, almeno umanitario, per salvare la vita dell'ostaggio. La linea della fermezza prevalse, sostenuta dai vertici della Democrazia Cristiana e del Partito Comunista e dalla maggior parte dello schieramento; la linea della trattativa ebbe voci minoritarie ma non irrilevanti, e conobbe tentativi carsici che le indagini hanno in parte ricostruito, alcuni passati per canali socialisti, altri per mediazioni diverse. Attorno alla trattativa si mossero figure di frontiera, uomini che stavano sul confine fra i mondi, e alcuni di quei movimenti restano fra i punti meno chiari dell'intera vicenda.</w:t>
      </w:r>
    </w:p>
    <w:p>
      <w:pPr>
        <w:spacing w:after="120" w:line="276"/>
        <w:jc w:val="both"/>
      </w:pPr>
      <w:r>
        <w:rPr>
          <w:rFonts w:ascii="Barlow Semi Condensed" w:cs="Barlow Semi Condensed" w:eastAsia="Barlow Semi Condensed" w:hAnsi="Barlow Semi Condensed"/>
          <w:sz w:val="24"/>
          <w:szCs w:val="24"/>
        </w:rPr>
        <w:t xml:space="preserve">La parte prima non giudica la scelta della fermezza, che appartiene alla coscienza storica del Paese e su cui il giudizio resta legittimamente diviso: si limita a registrarla come scelta, e a segnalare che la sua alternativa esisteva e fu consapevolmente scartata. Registra altresì, con la cautela dovuta, che la gestione della trattativa e delle sue possibili aperture fu attraversata da episodi opachi, e che alcuni di quegli episodi hanno la fisionomia non del caso ma dell'intervento: canali che si aprono e si chiudono, mediatori che avanzano e si ritraggono, segnali che arrivano e non vengono raccolti. Su questo terreno la parte seconda tornerà con altro metodo; qui basti aver fissato che la vicenda della trattativa è, insieme a via Fani, uno dei due grandi giacimenti di zone d'ombra del caso.</w:t>
      </w:r>
    </w:p>
    <w:p>
      <w:pPr>
        <w:pStyle w:val="Heading3"/>
        <w:spacing w:after="80" w:before="160"/>
      </w:pPr>
      <w:r>
        <w:rPr>
          <w:rFonts w:ascii="Barlow Semi Condensed" w:cs="Barlow Semi Condensed" w:eastAsia="Barlow Semi Condensed" w:hAnsi="Barlow Semi Condensed"/>
          <w:sz w:val="24"/>
          <w:szCs w:val="24"/>
        </w:rPr>
        <w:t xml:space="preserve">Le omissioni: ciò che non fu fatto e poteva essere fatto</w:t>
      </w:r>
    </w:p>
    <w:p>
      <w:pPr>
        <w:spacing w:after="120" w:line="276"/>
        <w:jc w:val="both"/>
      </w:pPr>
      <w:r>
        <w:rPr>
          <w:rFonts w:ascii="Barlow Semi Condensed" w:cs="Barlow Semi Condensed" w:eastAsia="Barlow Semi Condensed" w:hAnsi="Barlow Semi Condensed"/>
          <w:sz w:val="24"/>
          <w:szCs w:val="24"/>
        </w:rPr>
        <w:t xml:space="preserve">Il capitolo delle omissioni è, nel caso Moro, tanto vasto quanto documentato, e la sua trattazione obbedisce a un criterio: si registra ciò che risulta agli atti delle commissioni e delle sentenze, distinguendo l'omissione accertata dall'omissione ipotizzata. Vi fu, sul piano delle ricerche, una lunga serie di occasioni mancate: la prigione non fu individuata malgrado un dispositivo di ricerca imponente; segnalazioni che si rivelarono a posteriori pertinenti non furono adeguatamente valorizzate; il celebre episodio della seduta in cui il nome di un luogo affiorò e non fu inteso, o fu inteso troppo tardi, resta emblematico di un più generale rumore di fondo in cui i segnali utili si persero. Alcune di queste omissioni sono spiegabili con l'ordinaria inefficienza e con la confusione di una macchina statale sotto pressione; altre hanno una fisionomia meno innocente, e la loro accumulazione, più che ciascuna presa da sola, è ciò che interroga.</w:t>
      </w:r>
    </w:p>
    <w:p>
      <w:pPr>
        <w:spacing w:after="120" w:line="276"/>
        <w:jc w:val="both"/>
      </w:pPr>
      <w:r>
        <w:rPr>
          <w:rFonts w:ascii="Barlow Semi Condensed" w:cs="Barlow Semi Condensed" w:eastAsia="Barlow Semi Condensed" w:hAnsi="Barlow Semi Condensed"/>
          <w:sz w:val="24"/>
          <w:szCs w:val="24"/>
        </w:rPr>
        <w:t xml:space="preserve">Qui interviene con forza la Regola Ferrea, il divieto di inferire il mandato dall'occultamento. Che vi siano state omissioni, alcune gravi, è di Livello A. Che alcune omissioni abbiano una fisionomia non casuale è, per taluni episodi, di Livello B. Ma dal fatto che qualcuno abbia omesso, o addirittura depistato, non si inferisce in questa parte l'identità di un mandante né l'esistenza di un disegno: si registra l'omissione, si segnala la sua eventuale non casualità, e si arresta il ragionamento sulla soglia che separa il custode del segreto da chi il segreto avrebbe ordinato. Il salto oltre quella soglia, quando si tenterà, avverrà nella parte seconda e con lo strumento dichiarato della probabilità, non della deduzione indignata.</w:t>
      </w:r>
    </w:p>
    <w:p>
      <w:pPr>
        <w:pStyle w:val="Heading3"/>
        <w:spacing w:after="80" w:before="160"/>
      </w:pPr>
      <w:r>
        <w:rPr>
          <w:rFonts w:ascii="Barlow Semi Condensed" w:cs="Barlow Semi Condensed" w:eastAsia="Barlow Semi Condensed" w:hAnsi="Barlow Semi Condensed"/>
          <w:sz w:val="24"/>
          <w:szCs w:val="24"/>
        </w:rPr>
        <w:t xml:space="preserve">Le collusioni e gli insabbiamenti: la lunga coda della verità</w:t>
      </w:r>
    </w:p>
    <w:p>
      <w:pPr>
        <w:spacing w:after="120" w:line="276"/>
        <w:jc w:val="both"/>
      </w:pPr>
      <w:r>
        <w:rPr>
          <w:rFonts w:ascii="Barlow Semi Condensed" w:cs="Barlow Semi Condensed" w:eastAsia="Barlow Semi Condensed" w:hAnsi="Barlow Semi Condensed"/>
          <w:sz w:val="24"/>
          <w:szCs w:val="24"/>
        </w:rPr>
        <w:t xml:space="preserve">Se le omissioni riguardano il tempo del sequestro, le collusioni e gli insabbiamenti riguardano soprattutto il tempo successivo, la lunghissima stagione in cui l'accertamento della verità fu ostacolato, deviato, rallentato. Il corpus documenta una sequenza di depistaggi e di reticenze che le commissioni d'inchiesta, succedutesi nei decenni, hanno progressivamente portato alla luce: documenti scomparsi e riapparsi, testimonianze ritrattate, apparati che non collaborarono o collaborarono a metà, piste false coltivate e piste vere trascurate. Alcune di queste condotte sono state accertate e sanzionate in sede giudiziaria; altre sono rimaste sullo sfondo, deducibili ma non provate. La loro trattazione, in questa parte prima, segue il consueto criterio del grado, e riconosce senza reticenza che il caso Moro è, fra i grandi casi della Repubblica, uno di quelli in cui la distanza fra ciò che è accaduto e ciò che è stato accertato è più ampia e più a lungo mantenuta.</w:t>
      </w:r>
    </w:p>
    <w:p>
      <w:pPr>
        <w:spacing w:after="120" w:line="276"/>
        <w:jc w:val="both"/>
      </w:pPr>
      <w:r>
        <w:rPr>
          <w:rFonts w:ascii="Barlow Semi Condensed" w:cs="Barlow Semi Condensed" w:eastAsia="Barlow Semi Condensed" w:hAnsi="Barlow Semi Condensed"/>
          <w:sz w:val="24"/>
          <w:szCs w:val="24"/>
        </w:rPr>
        <w:t xml:space="preserve">Le commissioni parlamentari che si sono occupate del caso, da quella sul sequestro a quella sulle stragi e il terrorismo fino alla più recente commissione dedicata, hanno prodotto una mole imponente di atti, e le loro conclusioni non sono state sempre unanimi: su punti rilevanti convivono letture diverse, e questa non unanimità delle fonti parlamentari è essa stessa un dato che pesa sull'affidabilità di ciò che se ne trae. La parte prima ne tiene conto, e quando una circostanza poggia su una fonte parlamentare non unanime lo segnala, abbassando di conseguenza il grado. È l'ultima applicazione del Pollo di Popper prima del mutamento di metodo: anche la fonte più autorevole va interrogata sulla sua univocità, perché una verità sostenuta da una sola voce, per quanto istituzionale, non è ancora una verità accertata.</w:t>
      </w:r>
    </w:p>
    <w:p>
      <w:pPr>
        <w:pStyle w:val="Heading3"/>
        <w:spacing w:after="80" w:before="160"/>
      </w:pPr>
      <w:r>
        <w:rPr>
          <w:rFonts w:ascii="Barlow Semi Condensed" w:cs="Barlow Semi Condensed" w:eastAsia="Barlow Semi Condensed" w:hAnsi="Barlow Semi Condensed"/>
          <w:sz w:val="24"/>
          <w:szCs w:val="24"/>
        </w:rPr>
        <w:t xml:space="preserve">Il confine del metodo: dove il Pollo di Popper si arresta</w:t>
      </w:r>
    </w:p>
    <w:p>
      <w:pPr>
        <w:spacing w:after="120" w:line="276"/>
        <w:jc w:val="both"/>
      </w:pPr>
      <w:r>
        <w:rPr>
          <w:rFonts w:ascii="Barlow Semi Condensed" w:cs="Barlow Semi Condensed" w:eastAsia="Barlow Semi Condensed" w:hAnsi="Barlow Semi Condensed"/>
          <w:sz w:val="24"/>
          <w:szCs w:val="24"/>
        </w:rPr>
        <w:t xml:space="preserve">Con la trattazione delle omissioni, delle collusioni e degli insabbiamenti si chiude la sfera d'azione del Pollo di Popper. Fin qui si è proceduto per sospensione prudente, registrando i gradi, chiamando i vuoti vuoti, vietando i salti logici, interrogando le fonti sulla loro univocità. Fin qui si è ricostruito l'uomo e la meccanica del caso, si è descritto ciò che è accertato e si è segnalato ciò che è soltanto probabile o possibile, senza mai lasciare che il desiderio di una spiegazione unitaria piegasse i fatti. Questo era il compito della parte prima, ed è compiuto.</w:t>
      </w:r>
    </w:p>
    <w:p>
      <w:pPr>
        <w:spacing w:after="120" w:line="276"/>
        <w:jc w:val="both"/>
      </w:pPr>
      <w:r>
        <w:rPr>
          <w:rFonts w:ascii="Barlow Semi Condensed" w:cs="Barlow Semi Condensed" w:eastAsia="Barlow Semi Condensed" w:hAnsi="Barlow Semi Condensed"/>
          <w:sz w:val="24"/>
          <w:szCs w:val="24"/>
        </w:rPr>
        <w:t xml:space="preserve">Ma la ricostruzione dei fatti, per quanto rigorosa, non esaurisce la domanda che il caso Moro pone e che l'autore ha ordinato di affrontare: chi furono gli architetti del suo rapimento, chi i mandanti materiali, chi gli esecutori materiali. A questa domanda la sospensione prudente non può rispondere, perché essa non conclude mai, e concludere è qui necessario. Occorre dunque cambiare strumento, e passare da una logica che vieta ogni affermazione non certa a una logica che pesa le affermazioni secondo la loro probabilità e le ordina. È ciò che la parte seconda farà, congedando il Pollo di Popper per ordine esplicito dell'autore, e adottando in sua vece la bilancia dei dieci metodi. Il rigore non diminuisce: cambia forma. La falsificabilità cede il passo alla probabilità, la certezza sospesa al giudizio graduato. Si volta pagina, e il metodo con essa.</w:t>
      </w:r>
    </w:p>
    <w:p>
      <w:pPr>
        <w:pStyle w:val="Heading2"/>
        <w:spacing w:after="100" w:before="200"/>
      </w:pPr>
      <w:r>
        <w:rPr>
          <w:rFonts w:ascii="Barlow Semi Condensed" w:cs="Barlow Semi Condensed" w:eastAsia="Barlow Semi Condensed" w:hAnsi="Barlow Semi Condensed"/>
          <w:sz w:val="24"/>
          <w:szCs w:val="24"/>
        </w:rPr>
        <w:t xml:space="preserve">PARTE SECONDA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Gli architetti, i mandanti, gli esecutori — dove il Pollo di Popper è congedato</w:t>
      </w:r>
    </w:p>
    <w:p>
      <w:pPr>
        <w:pStyle w:val="Heading3"/>
        <w:spacing w:after="80" w:before="160"/>
      </w:pPr>
      <w:r>
        <w:rPr>
          <w:rFonts w:ascii="Barlow Semi Condensed" w:cs="Barlow Semi Condensed" w:eastAsia="Barlow Semi Condensed" w:hAnsi="Barlow Semi Condensed"/>
          <w:sz w:val="24"/>
          <w:szCs w:val="24"/>
        </w:rPr>
        <w:t xml:space="preserve">Il mutamento di metodo: dalla sospensione alla probabilità</w:t>
      </w:r>
    </w:p>
    <w:p>
      <w:pPr>
        <w:spacing w:after="120" w:line="276"/>
        <w:jc w:val="both"/>
      </w:pPr>
      <w:r>
        <w:rPr>
          <w:rFonts w:ascii="Barlow Semi Condensed" w:cs="Barlow Semi Condensed" w:eastAsia="Barlow Semi Condensed" w:hAnsi="Barlow Semi Condensed"/>
          <w:sz w:val="24"/>
          <w:szCs w:val="24"/>
        </w:rPr>
        <w:t xml:space="preserve">Da questa pagina in avanti, per ordine esplicito e sotto la responsabilità dichiarata dell'autore, il Pollo di Popper è congedato. Non si tratta di un abbandono del rigore, ma di un mutamento del suo strumento. La prudenza sospensiva che ha governato la parte prima aveva un compito, ricostruire i fatti senza piegarli, e quel compito è esaurito; ora ne subentra un altro, rispondere alla domanda su chi concepì, chi ordinò e chi eseguì, e a questa domanda la sospensione non sa rispondere perché per sua natura non conclude. Dove occorre concludere, e concludere è qui il comando ricevuto, si passa da una logica binaria, che ammette solo il certo e il non certo, a una logica graduata, che pesa ogni ipotesi secondo la sua probabilità e la colloca su una scala. Muta anche il tono, che si fa più disteso e narrativo, più vicino a quello dell'uomo di cui si scrive, e non teme di lasciare al lettore quel margine di enigma che ogni ricerca onesta, giunta al suo limite, deve confessare.</w:t>
      </w:r>
    </w:p>
    <w:p>
      <w:pPr>
        <w:spacing w:after="120" w:line="276"/>
        <w:jc w:val="both"/>
      </w:pPr>
      <w:r>
        <w:rPr>
          <w:rFonts w:ascii="Barlow Semi Condensed" w:cs="Barlow Semi Condensed" w:eastAsia="Barlow Semi Condensed" w:hAnsi="Barlow Semi Condensed"/>
          <w:sz w:val="24"/>
          <w:szCs w:val="24"/>
        </w:rPr>
        <w:t xml:space="preserve">Restano fermi, e anzi si fanno più stringenti, i princìpi di garanzia. Nessuna persona vivente è qui indicata come colpevole di alcunché: si parla di probabilità di coinvolgimento, non di responsabilità accertate, e si distingue sempre con nettezza chi è stato condannato in via definitiva da chi è stato soltanto indagato, sospettato o ipotizzato. La Regola Ferrea sopravvive al mutamento di metodo: anche pesando le probabilità, non si inferisce mai il mandato dal solo occultamento, e ogni attribuzione poggia su evidenze e non su suggestioni. Il tono resta garantista e mai giustizialista, rispettoso della dignità di ognuno, memore che questa è un'opera di ricostruzione storica e probabilistica, non un atto d'accusa, e che nominare, in essa, significa collocare su una scala di plausibilità, non pronunciare una condanna.</w:t>
      </w:r>
    </w:p>
    <w:p>
      <w:pPr>
        <w:pStyle w:val="Heading3"/>
        <w:spacing w:after="80" w:before="160"/>
      </w:pPr>
      <w:r>
        <w:rPr>
          <w:rFonts w:ascii="Barlow Semi Condensed" w:cs="Barlow Semi Condensed" w:eastAsia="Barlow Semi Condensed" w:hAnsi="Barlow Semi Condensed"/>
          <w:sz w:val="24"/>
          <w:szCs w:val="24"/>
        </w:rPr>
        <w:t xml:space="preserve">I dieci strumenti di calcolo e il loro concorso</w:t>
      </w:r>
    </w:p>
    <w:p>
      <w:pPr>
        <w:spacing w:after="120" w:line="276"/>
        <w:jc w:val="both"/>
      </w:pPr>
      <w:r>
        <w:rPr>
          <w:rFonts w:ascii="Barlow Semi Condensed" w:cs="Barlow Semi Condensed" w:eastAsia="Barlow Semi Condensed" w:hAnsi="Barlow Semi Condensed"/>
          <w:sz w:val="24"/>
          <w:szCs w:val="24"/>
        </w:rPr>
        <w:t xml:space="preserve">Vale la pena illustrare come questi dieci strumenti si applichino in concreto a un singolo interrogativo, per mostrarne il funzionamento congiunto. Si prenda la domanda sull'esito della prigionia: perché la vicenda si chiuse con la morte anziché con la liberazione. Il metodo Savona pesa le fonti che documentano la decisione brigatista di uccidere, e le trova solide, di grado accertato. L'analisi delle ipotesi concorrenti formula le spiegazioni alternative — la coerenza strategica interna dei brigatisti, il fallimento delle trattative, un condizionamento esterno — e le seleziona per resistenza alla smentita. L'inferenza bayesiana parte dalla probabilità che i brigatisti, avendo sequestrato, fossero disposti a uccidere, e la aggiorna con ogni evidenza sul loro dibattito interno. L'analisi di rete osserva se attorno alla decisione finale compaiano nodi-ponte esterni al nucleo. La teoria dei giochi chiede a chi giovasse l'esito mortale e quale equilibrio di incentivi lo governasse.</w:t>
      </w:r>
    </w:p>
    <w:p>
      <w:pPr>
        <w:spacing w:after="120" w:line="276"/>
        <w:jc w:val="both"/>
      </w:pPr>
      <w:r>
        <w:rPr>
          <w:rFonts w:ascii="Barlow Semi Condensed" w:cs="Barlow Semi Condensed" w:eastAsia="Barlow Semi Condensed" w:hAnsi="Barlow Semi Condensed"/>
          <w:sz w:val="24"/>
          <w:szCs w:val="24"/>
        </w:rPr>
        <w:t xml:space="preserve">Proseguendo sullo stesso interrogativo, il ragionamento controfattuale chiede che cosa sarebbe accaduto se le trattative fossero state condotte diversamente, e misura così quanto l'esito fosse necessitato e quanto contingente. L'analisi temporale osserva la sequenza dei segnali nelle ultime settimane e ne pesa le sovrapposizioni. La valutazione dell'affidabilità delle fonti sconta le testimonianze secondo la loro provenienza e il loro interesse, evitando di contare più volte ciò che discende da un'unica radice. L'analisi del movente e della capacità incrocia, per ciascun attore ipotizzabile, l'interesse all'esito mortale e la capacità di determinarlo. Il principio di convergenza, infine, osserva se questi strumenti indipendenti puntino nella stessa direzione. È dal loro accordo o disaccordo che nasce il giudizio: concordi, come si vedrà, nell'attribuire la decisione al vertice brigatista; divergenti sul peso dei condizionamenti esterni, e perciò prudenti nel collocarli al livello dell'ipotesi e non della prova.</w:t>
      </w:r>
    </w:p>
    <w:p>
      <w:pPr>
        <w:spacing w:after="120" w:line="276"/>
        <w:jc w:val="both"/>
      </w:pPr>
      <w:r>
        <w:rPr>
          <w:rFonts w:ascii="Barlow Semi Condensed" w:cs="Barlow Semi Condensed" w:eastAsia="Barlow Semi Condensed" w:hAnsi="Barlow Semi Condensed"/>
          <w:sz w:val="24"/>
          <w:szCs w:val="24"/>
        </w:rPr>
        <w:t xml:space="preserve">Il giudizio di probabilità che governa questa parte seconda non nasce da un solo metodo ma dal concorso di dieci, ciascuno dei quali illumina un aspetto diverso del problema, e il cui peso relativo sarà, in chiusura, dichiarato in percentuale. Il primo e principale è il metodo Savona della triangolazione delle fonti, per cui una connessione vale in proporzione al numero e all'indipendenza delle fonti che la sostengono, secondo i tre livelli già esposti: è il metodo che dà l'ossatura probatoria e a cui spetta il peso maggiore.</w:t>
      </w:r>
    </w:p>
    <w:p>
      <w:pPr>
        <w:spacing w:after="120" w:line="276"/>
        <w:jc w:val="both"/>
      </w:pPr>
      <w:r>
        <w:rPr>
          <w:rFonts w:ascii="Barlow Semi Condensed" w:cs="Barlow Semi Condensed" w:eastAsia="Barlow Semi Condensed" w:hAnsi="Barlow Semi Condensed"/>
          <w:sz w:val="24"/>
          <w:szCs w:val="24"/>
        </w:rPr>
        <w:t xml:space="preserve">Al metodo Savona si affiancano nove strumenti di calcolo e di ragionamento probabilistico fra i più consolidati. Vi è l'analisi delle ipotesi concorrenti, che per ogni interrogativo formula più spiegazioni alternative e le seleziona non per la conferma che ricevono ma per la loro resistenza alla smentita, premiando quella meno contraddetta dalle evidenze. Vi è l'inferenza bayesiana, che parte da una probabilità iniziale e la aggiorna a ogni nuova evidenza, così che il giudizio finale è il risultato di un affinamento progressivo e non di un'intuizione. Vi è l'analisi di rete, la sinaptogenesi già descritta, che pesa la centralità dei nodi, l'esistenza dei ponti fra i mondi, la formazione dei grappoli. Vi è la teoria bailamme dei giochi, che legge le mosse degli attori come scelte razionali entro una struttura di incentivi, chiedendosi a chi giovasse ciascuna mossa e quale equilibrio la governasse.</w:t>
      </w:r>
    </w:p>
    <w:p>
      <w:pPr>
        <w:spacing w:after="120" w:line="276"/>
        <w:jc w:val="both"/>
      </w:pPr>
      <w:r>
        <w:rPr>
          <w:rFonts w:ascii="Barlow Semi Condensed" w:cs="Barlow Semi Condensed" w:eastAsia="Barlow Semi Condensed" w:hAnsi="Barlow Semi Condensed"/>
          <w:sz w:val="24"/>
          <w:szCs w:val="24"/>
        </w:rPr>
        <w:t xml:space="preserve">Vi è, quinto fra i nove, il ragionamento controfattuale, che valuta il peso di un fattore chiedendosi che cosa sarebbe accaduto in sua assenza, e misura così la sua reale efficacia causale. Vi è l'analisi temporale delle coincidenze, che pesa la significatività statistica delle sovrapposizioni di tempo, distinguendo la coincidenza casuale da quella che eccede la soglia del caso. Vi è la valutazione dell'affidabilità e della genealogia delle fonti, che pondera ciascuna testimonianza secondo la sua provenienza, il suo interesse, la sua contaminazione, evitando di contare più volte ciò che discende da un'unica radice. Vi è l'analisi del movente e della capacità, che incrocia per ciascun attore la presenza di un interesse e la disponibilità dei mezzi, poiché il coinvolgimento richiede l'uno e l'altra. E vi è, decimo, il principio di convergenza, la consilienza, che pesa il grado in cui strumenti indipendenti e fonti eterogenee puntano nella stessa direzione, poiché l'accordo di prove indipendenti innalza la probabilità assai più della somma delle singole.</w:t>
      </w:r>
    </w:p>
    <w:p>
      <w:pPr>
        <w:spacing w:after="120" w:line="276"/>
        <w:jc w:val="both"/>
      </w:pPr>
      <w:r>
        <w:rPr>
          <w:rFonts w:ascii="Barlow Semi Condensed" w:cs="Barlow Semi Condensed" w:eastAsia="Barlow Semi Condensed" w:hAnsi="Barlow Semi Condensed"/>
          <w:sz w:val="24"/>
          <w:szCs w:val="24"/>
        </w:rPr>
        <w:t xml:space="preserve">Questi dieci strumenti non operano in isolamento ma in concorso, e il giudizio finale su ciascun nodo è il loro composto. In chiusura d'opera se ne dichiarerà il peso relativo in percentuale, così che il lettore possa vedere non solo la conclusione ma la ricetta che l'ha prodotta. Qui basti aver posto che, congedato il Pollo di Popper, non subentra l'arbitrio ma un apparato di calcolo dichiarato, e che la probabilità di cui si parlerà è misurata, non impressionistica.</w:t>
      </w:r>
    </w:p>
    <w:p>
      <w:pPr>
        <w:pStyle w:val="Heading3"/>
        <w:spacing w:after="80" w:before="160"/>
      </w:pPr>
      <w:r>
        <w:rPr>
          <w:rFonts w:ascii="Barlow Semi Condensed" w:cs="Barlow Semi Condensed" w:eastAsia="Barlow Semi Condensed" w:hAnsi="Barlow Semi Condensed"/>
          <w:sz w:val="24"/>
          <w:szCs w:val="24"/>
        </w:rPr>
        <w:t xml:space="preserve">Un avvertimento sul tono e un debito dichiarato</w:t>
      </w:r>
    </w:p>
    <w:p>
      <w:pPr>
        <w:spacing w:after="120" w:line="276"/>
        <w:jc w:val="both"/>
      </w:pPr>
      <w:r>
        <w:rPr>
          <w:rFonts w:ascii="Barlow Semi Condensed" w:cs="Barlow Semi Condensed" w:eastAsia="Barlow Semi Condensed" w:hAnsi="Barlow Semi Condensed"/>
          <w:sz w:val="24"/>
          <w:szCs w:val="24"/>
        </w:rPr>
        <w:t xml:space="preserve">La materia che segue ha, per sua natura, qualcosa dell'enigma, e sarebbe ipocrita fingere il contrario. Vi sono, nel caso Moro, una scena chiusa e un tempo contato, una vittima e una domanda, apparati che sanno e non dicono, indizi che affiorano e si ritraggono: gli ingredienti, si direbbe, del più classico dei racconti d'indagine. L'autore ha chiesto che questa parte conservi un tocco di quel mistero, quello dei grandi costruttori di enigmi, da chi fece del ragionamento deduttivo una forma d'arte a chi seppe chiudere in una stanza un delitto e la sua soluzione. Si accoglie l'invito con misura: il tocco di giallo sarà nel ritmo e nell'attenzione al dettaglio rivelatore, mai nel compiacimento, e non scivolerà in nulla di truce, perché il rispetto per la vittima e per la verità lo vieta.</w:t>
      </w:r>
    </w:p>
    <w:p>
      <w:pPr>
        <w:spacing w:after="120" w:line="276"/>
        <w:jc w:val="both"/>
      </w:pPr>
      <w:r>
        <w:rPr>
          <w:rFonts w:ascii="Barlow Semi Condensed" w:cs="Barlow Semi Condensed" w:eastAsia="Barlow Semi Condensed" w:hAnsi="Barlow Semi Condensed"/>
          <w:sz w:val="24"/>
          <w:szCs w:val="24"/>
        </w:rPr>
        <w:t xml:space="preserve">Ma vi è una differenza che non va mai dimenticata e che qui si dichiara: nel racconto d'indagine la soluzione esiste, certa, attesa dietro l'ultima pagina, e all'investigatore basta trovarla. Nella realtà del caso Moro la soluzione, in molti dei suoi punti, non è data, e ciò che si può offrire non è la verità con la maiuscola ma la sua migliore approssimazione probabilistica, il giudizio più plausibile che le evidenze consentono, sempre rivedibile e sempre aperto. È questa la ragione ultima per cui il Pollo di Popper, pur congedato come strumento di sospensione, sopravvive come coscienza: perché anche il giudizio di probabilità più fondato resta, in linea di principio, falsificabile, e chi lo pronuncia deve saperlo. Con questa consapevolezza, e con questo debito verso i maestri dell'enigma onestamente confessato, si entra nel merito.</w:t>
      </w:r>
    </w:p>
    <w:p>
      <w:pPr>
        <w:pStyle w:val="Heading3"/>
        <w:spacing w:after="80" w:before="160"/>
      </w:pPr>
      <w:r>
        <w:rPr>
          <w:rFonts w:ascii="Barlow Semi Condensed" w:cs="Barlow Semi Condensed" w:eastAsia="Barlow Semi Condensed" w:hAnsi="Barlow Semi Condensed"/>
          <w:sz w:val="24"/>
          <w:szCs w:val="24"/>
        </w:rPr>
        <w:t xml:space="preserve">Gli architetti del rapimento: chi concepì il disegno</w:t>
      </w:r>
    </w:p>
    <w:p>
      <w:pPr>
        <w:spacing w:after="120" w:line="276"/>
        <w:jc w:val="both"/>
      </w:pPr>
      <w:r>
        <w:rPr>
          <w:rFonts w:ascii="Barlow Semi Condensed" w:cs="Barlow Semi Condensed" w:eastAsia="Barlow Semi Condensed" w:hAnsi="Barlow Semi Condensed"/>
          <w:sz w:val="24"/>
          <w:szCs w:val="24"/>
        </w:rPr>
        <w:t xml:space="preserve">La capacità progettuale autonoma delle Brigate Rosse in quella fase merita di essere sottolineata contro una diffusa sottovalutazione, perché è proprio la sua rimozione a spalancare la porta alle ricostruzioni dietrologiche. Nel millenovecentosettantotto le Brigate Rosse erano un'organizzazione matura, strutturata in colonne territoriali, dotata di una direzione strategica, di un'esperienza pluriennale di azioni armate crescenti per audacia, di una capacità logistica collaudata. Il sequestro di un uomo di Stato non era, per esse, un salto nel buio ma il coronamento di una traiettoria: la strategia dell'attacco al cuore dello Stato era stata teorizzata e praticata per anni, e il bersaglio Moro ne era lo sbocco coerente. Attribuire ad altri l'ideazione di ciò che i brigatisti avevano nella propria logica strategica significherebbe non solo mancare di prove, ma contraddire la ricostruzione documentata della loro maturazione organizzativa. Il metodo, perciò, colloca al vertice degli architetti il nucleo strategico brigatista con grado di certezza, e su questa base costruisce, senza dissolverla.</w:t>
      </w:r>
    </w:p>
    <w:p>
      <w:pPr>
        <w:spacing w:after="120" w:line="276"/>
        <w:jc w:val="both"/>
      </w:pPr>
      <w:r>
        <w:rPr>
          <w:rFonts w:ascii="Barlow Semi Condensed" w:cs="Barlow Semi Condensed" w:eastAsia="Barlow Semi Condensed" w:hAnsi="Barlow Semi Condensed"/>
          <w:sz w:val="24"/>
          <w:szCs w:val="24"/>
        </w:rPr>
        <w:t xml:space="preserve">Le anomalie che alimentano l'ipotesi di un'architettura di secondo livello vanno tuttavia riferite con precisione, perché è dalla loro esatta pesatura che dipende la solidità del giudizio. Vi è l'anomalia della perizia esecutiva di via Fani, già richiamata. Vi è l'anomalia della tenuta della prigione, che resse per cinquantacinque giorni a un dispositivo di ricerca imponente. Vi è l'anomalia della gestione delle trattative, attraversata da canali che si aprivano e si chiudevano con una tempistica che parve a molti non casuale. Vi è l'anomalia della sorte del memoriale, riemerso parziale e tardivo. E vi è, sullo sfondo, la lunga catena dei depistaggi successivi, che ostacolò per decenni l'accertamento. Ciascuna di queste anomalie, presa da sola, ammette una spiegazione ordinaria; ma il metodo della convergenza osserva che il loro concorso innalza la probabilità di un fattore esterno, non ideatore ma orientatore. È un'inferenza di grado, non di certezza, e va tenuta al suo livello: significativa quanto basta per non essere ignorata, insufficiente quanto basta per non diventare accusa.</w:t>
      </w:r>
    </w:p>
    <w:p>
      <w:pPr>
        <w:spacing w:after="120" w:line="276"/>
        <w:jc w:val="both"/>
      </w:pPr>
      <w:r>
        <w:rPr>
          <w:rFonts w:ascii="Barlow Semi Condensed" w:cs="Barlow Semi Condensed" w:eastAsia="Barlow Semi Condensed" w:hAnsi="Barlow Semi Condensed"/>
          <w:sz w:val="24"/>
          <w:szCs w:val="24"/>
        </w:rPr>
        <w:t xml:space="preserve">Vi è, nel sequestro di Aldo Moro, una distinzione che il metodo probabilistico impone di tenere ferma sin dal principio, ed è quella fra chi concepì il disegno, chi lo ordinò e chi lo eseguì. Gli architetti sono coloro nella cui mente il progetto prese forma, coloro che ne definirono l'obiettivo strategico e ne colsero la funzione politica; e la domanda su chi essi furono è la più ardua di tutte, perché l'architettura di un simile atto non lascia, per definizione, la traccia documentale che l'esecuzione lascia. Qui il metodo Savona offre meno appigli che altrove, e il peso si sposta sull'analisi del movente e della capacità, sulla teoria dei giochi, sul ragionamento controfattuale, sull'analisi di rete: sugli strumenti, cioè, che ragionano non sulla prova diretta ma sulla plausibilità strutturale.</w:t>
      </w:r>
    </w:p>
    <w:p>
      <w:pPr>
        <w:spacing w:after="120" w:line="276"/>
        <w:jc w:val="both"/>
      </w:pPr>
      <w:r>
        <w:rPr>
          <w:rFonts w:ascii="Barlow Semi Condensed" w:cs="Barlow Semi Condensed" w:eastAsia="Barlow Semi Condensed" w:hAnsi="Barlow Semi Condensed"/>
          <w:sz w:val="24"/>
          <w:szCs w:val="24"/>
        </w:rPr>
        <w:t xml:space="preserve">Sul piano accertato, di Livello A, l'ideazione e l'esecuzione del sequestro appartengono alle Brigate Rosse, e in particolare al loro nucleo dirigente romano: questo è il dato giudiziario definitivo, ribadito da sentenze passate in giudicato e da un'ampia messe di riscontri, ed è da questo che ogni ragionamento deve muovere, guardandosi dalla tentazione di dissolverlo in una regia esterna che ne cancelli la responsabilità propria. Le Brigate Rosse concepirono il sequestro come l'atto culminante della loro strategia di attacco al cuore dello Stato, individuarono in Moro il bersaglio per la sua funzione di tessitore del compromesso storico, e lo colpirono nel giorno simbolico in cui quel compromesso si perfezionava. Di questo furono, nel senso proprio, gli architetti, e la loro autonoma capacità progettuale non va sottovalutata per il gusto di cercare altrove.</w:t>
      </w:r>
    </w:p>
    <w:p>
      <w:pPr>
        <w:spacing w:after="120" w:line="276"/>
        <w:jc w:val="both"/>
      </w:pPr>
      <w:r>
        <w:rPr>
          <w:rFonts w:ascii="Barlow Semi Condensed" w:cs="Barlow Semi Condensed" w:eastAsia="Barlow Semi Condensed" w:hAnsi="Barlow Semi Condensed"/>
          <w:sz w:val="24"/>
          <w:szCs w:val="24"/>
        </w:rPr>
        <w:t xml:space="preserve">E tuttavia il metodo probabilistico, che non si accontenta del piano accertato ma pesa anche il probabile e il possibile, registra attorno a questa architettura brigatista una serie di anomalie che alimentano, a gradi diversi di plausibilità, l'ipotesi di un'architettura di secondo livello, di una vigilanza o di un condizionamento esterni che non tolgono ai brigatisti l'ideazione ma la accompagnano. La perizia di via Fani, la scelta del momento, la tenuta della prigione a fronte di un dispositivo imponente, la gestione delle occasioni di trattativa, la sorte del memoriale: sono altrettanti elementi che, presi da soli, ammettono spiegazioni ordinarie, ma che nel loro concorso spingono verso l'alto la probabilità di un interesse esterno che, senza ideare il sequestro, ne assecondò o ne orientò gli esiti. Questa ipotesi, che si colloca fra il Livello B e il Livello C a seconda degli aspetti, è quella di una convergenza fra l'autonoma iniziativa brigatista e un'attenzione esterna che vi trovò, per ragioni proprie, una convenienza.</w:t>
      </w:r>
    </w:p>
    <w:p>
      <w:pPr>
        <w:spacing w:after="120" w:line="276"/>
        <w:jc w:val="both"/>
      </w:pPr>
      <w:r>
        <w:rPr>
          <w:rFonts w:ascii="Barlow Semi Condensed" w:cs="Barlow Semi Condensed" w:eastAsia="Barlow Semi Condensed" w:hAnsi="Barlow Semi Condensed"/>
          <w:sz w:val="24"/>
          <w:szCs w:val="24"/>
        </w:rPr>
        <w:t xml:space="preserve">Chi fossero i portatori di quell'interesse esterno è la questione su cui la probabilità si fa più tenue e la cautela più necessaria. Lo sfondo internazionale, descritto nella parte prima, offre il movente: più attori, per ragioni opposte, avevano interesse a che la manovra di Moro fallisse, e il fallimento più radicale era la sua eliminazione. La rete del terrorismo internazionale, con i suoi punti di compensazione e la sua vigilanza di più servizi, offre il canale attraverso cui un simile interesse avrebbe potuto tradursi in influenza. Ma tradurre questo movente e questo canale in un'architettura concertata, in un centro unico che avrebbe pensato il sequestro e commissionato alle Brigate Rosse la sua esecuzione, è passo che le evidenze non consentono: la sua forma forte, quella del grande burattinaio, resta la meno probabile, perché nessuna prova la sostiene e la struttura stessa del terrorismo di quegli anni, policentrica e frammentata, la rende improbabile. Ciò che resta, come giudizio più plausibile, è l'architettura brigatista come dato certo, accompagnata da una probabilità significativa, ma non da una certezza, di condizionamenti esterni convergenti e non concertati.</w:t>
      </w:r>
    </w:p>
    <w:p>
      <w:pPr>
        <w:pStyle w:val="Heading3"/>
        <w:spacing w:after="80" w:before="160"/>
      </w:pPr>
      <w:r>
        <w:rPr>
          <w:rFonts w:ascii="Barlow Semi Condensed" w:cs="Barlow Semi Condensed" w:eastAsia="Barlow Semi Condensed" w:hAnsi="Barlow Semi Condensed"/>
          <w:sz w:val="24"/>
          <w:szCs w:val="24"/>
        </w:rPr>
        <w:t xml:space="preserve">I mandanti materiali: chi diede l'ordine e ne governò l'esecuzione</w:t>
      </w:r>
    </w:p>
    <w:p>
      <w:pPr>
        <w:spacing w:after="120" w:line="276"/>
        <w:jc w:val="both"/>
      </w:pPr>
      <w:r>
        <w:rPr>
          <w:rFonts w:ascii="Barlow Semi Condensed" w:cs="Barlow Semi Condensed" w:eastAsia="Barlow Semi Condensed" w:hAnsi="Barlow Semi Condensed"/>
          <w:sz w:val="24"/>
          <w:szCs w:val="24"/>
        </w:rPr>
        <w:t xml:space="preserve">La ricostruzione della catena di comando brigatista, operata dalle sentenze, consente di attribuire la decisione del sequestro e la conduzione della prigionia a un vertice ristretto e identificato, e questa attribuzione è la base accertata su cui il metodo lavora. Il comitato esecutivo delle Brigate Rosse e la direzione della colonna romana ebbero il potere di decidere l'operazione, di dirigerla nei suoi snodi, di stabilirne l'epilogo; e i loro componenti principali sono stati giudicati e condannati in via definitiva per queste responsabilità. Il metodo Savona trova qui il suo terreno più solido, perché la convergenza di sentenze, testimonianze e riscontri documentali colloca l'attribuzione al livello della certezza. Su questo il giudizio probabilistico non introduce dubbio: recepisce l'accertamento giudiziario e lo pone a fondamento,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La questione dei condizionamenti esterni sull'esito si concentra, come si è detto, sul finale della vicenda, ed è qui che la teoria dei giochi e il ragionamento controfattuale offrono il loro contributo più delicato. Ci si chiede a chi giovasse l'esito mortale, e la risposta è che esso giovava a chi aveva interesse al fallimento definitivo della manovra di Moro: un interesse distribuito fra più attori, interni ed esterni, per ragioni fra loro diverse e non necessariamente concertate. Ci si chiede poi che cosa sarebbe accaduto se le trattative fossero state condotte diversamente, e il controfattuale suggerisce che un esito diverso non fosse impossibile, il che colloca la morte non come sbocco necessitato ma come uno fra gli esiti possibili, quello verso cui più fattori conversero. Da questo incrocio emerge, a livello di probabilità e non di prova, l'ipotesi di una convergenza di interessi sull'esito; ma la Regola Ferrea vieta di tradurla nell'indicazione di un mandante esterno determinato, e il metodo la tiene ferma al livello dell'ipotesi, sorretta dalla struttura degli incentivi e non da un documento.</w:t>
      </w:r>
    </w:p>
    <w:p>
      <w:pPr>
        <w:spacing w:after="120" w:line="276"/>
        <w:jc w:val="both"/>
      </w:pPr>
      <w:r>
        <w:rPr>
          <w:rFonts w:ascii="Barlow Semi Condensed" w:cs="Barlow Semi Condensed" w:eastAsia="Barlow Semi Condensed" w:hAnsi="Barlow Semi Condensed"/>
          <w:sz w:val="24"/>
          <w:szCs w:val="24"/>
        </w:rPr>
        <w:t xml:space="preserve">Il mandante materiale, nella struttura del ragionamento, è cosa distinta dall'architetto: non chi concepì il disegno in astratto, ma chi diede l'ordine concreto e ne governò l'esecuzione, chi ebbe il potere di decidere il sequestro, di condurlo, di deciderne infine l'esito mortale. Qui il piano accertato è più solido che per gli architetti, perché la catena di comando delle Brigate Rosse è stata ricostruita dalle sentenze con notevole precisione, ed è a essa che il metodo Savona àncora il giudizio di massima probabilità.</w:t>
      </w:r>
    </w:p>
    <w:p>
      <w:pPr>
        <w:spacing w:after="120" w:line="276"/>
        <w:jc w:val="both"/>
      </w:pPr>
      <w:r>
        <w:rPr>
          <w:rFonts w:ascii="Barlow Semi Condensed" w:cs="Barlow Semi Condensed" w:eastAsia="Barlow Semi Condensed" w:hAnsi="Barlow Semi Condensed"/>
          <w:sz w:val="24"/>
          <w:szCs w:val="24"/>
        </w:rPr>
        <w:t xml:space="preserve">Sul piano definitivo, di Livello A, i mandanti materiali del sequestro e dell'uccisione di Aldo Moro furono i componenti del comitato esecutivo delle Brigate Rosse e i responsabili della colonna romana, che decisero l'operazione, la diressero e ne stabilirono l'epilogo. La responsabilità della decisione, della conduzione della prigionia e dell'ordine di uccidere appartiene a questo nucleo, e questo è il fatto giudiziario intorno a cui non vi è, allo stato, ragionevole margine di dubbio. Il metodo probabilistico non lo indebolisce ma lo assume come base, e su di esso costruisce, riconoscendo che la responsabilità materiale dell'ordine sta qui, in un vertice terroristico che agì per una propria strategia e che di quella strategia portò la responsabilità piena.</w:t>
      </w:r>
    </w:p>
    <w:p>
      <w:pPr>
        <w:spacing w:after="120" w:line="276"/>
        <w:jc w:val="both"/>
      </w:pPr>
      <w:r>
        <w:rPr>
          <w:rFonts w:ascii="Barlow Semi Condensed" w:cs="Barlow Semi Condensed" w:eastAsia="Barlow Semi Condensed" w:hAnsi="Barlow Semi Condensed"/>
          <w:sz w:val="24"/>
          <w:szCs w:val="24"/>
        </w:rPr>
        <w:t xml:space="preserve">Attorno a questa certezza il metodo probabilistico pesa nuovamente le anomalie, e si chiede se accanto ai mandanti materiali accertati abbiano operato mandanti di secondo livello, soggetti esterni che non impartirono l'ordine ma lo condizionarono nei suoi snodi decisivi, e in particolare in quello supremo dell'esito. La questione si concentra sul finale, sul perché la prigionia si chiuse con la morte anziché con la liberazione, e sul ruolo che in quella chiusura ebbero i segnali provenienti dall'esterno, l'irrigidimento delle posizioni, il fallimento o il sabotaggio delle trattative. Qui il ragionamento controfattuale e la teoria dei giochi lavorano a pieno: ci si chiede a chi giovasse ciascun esito e che cosa sarebbe accaduto se le trattative fossero state condotte diversamente, e da questo incrocio emerge, a livello di probabilità e non di prova, l'ipotesi che l'esito mortale sia stato non l'unico possibile ma quello verso cui più fattori, interni ed esterni, conversero.</w:t>
      </w:r>
    </w:p>
    <w:p>
      <w:pPr>
        <w:spacing w:after="120" w:line="276"/>
        <w:jc w:val="both"/>
      </w:pPr>
      <w:r>
        <w:rPr>
          <w:rFonts w:ascii="Barlow Semi Condensed" w:cs="Barlow Semi Condensed" w:eastAsia="Barlow Semi Condensed" w:hAnsi="Barlow Semi Condensed"/>
          <w:sz w:val="24"/>
          <w:szCs w:val="24"/>
        </w:rPr>
        <w:t xml:space="preserve">Nominare i portatori di quei condizionamenti esterni è, di nuovo, il punto in cui la cautela deve farsi massima e la probabilità si assottiglia. Le indagini e le commissioni hanno a lungo lavorato su figure di frontiera, su apparati che seppero e tacquero, su canali che si aprirono e si chiusero, e alcune di queste condotte sono state accertate e sanzionate come depistaggi o reticenze. Ma dal fatto accertato che taluni apparati ostacolarono la ricerca della verità, la Regola Ferrea vieta di inferire che quegli stessi apparati furono mandanti dell'esito: l'occultamento successivo non prova l'ordine precedente, e confondere i due piani è l'errore che il metodo qui rifiuta con più fermezza. Il giudizio più plausibile che le evidenze consentono è dunque duplice: i mandanti materiali, nel senso proprio, furono il vertice brigatista, con certezza di Livello A; l'ipotesi di condizionamenti esterni sull'esito mortale ha una plausibilità significativa ma non raggiunge la prova, e si colloca fra il Livello B e il Livello C, senza che sia lecito tradurla nell'indicazione di un mandante esterno determinato.</w:t>
      </w:r>
    </w:p>
    <w:p>
      <w:pPr>
        <w:pStyle w:val="Heading3"/>
        <w:spacing w:after="80" w:before="160"/>
      </w:pPr>
      <w:r>
        <w:rPr>
          <w:rFonts w:ascii="Barlow Semi Condensed" w:cs="Barlow Semi Condensed" w:eastAsia="Barlow Semi Condensed" w:hAnsi="Barlow Semi Condensed"/>
          <w:sz w:val="24"/>
          <w:szCs w:val="24"/>
        </w:rPr>
        <w:t xml:space="preserve">Gli esecutori materiali: chi agì sulla scena e nella prigione</w:t>
      </w:r>
    </w:p>
    <w:p>
      <w:pPr>
        <w:spacing w:after="120" w:line="276"/>
        <w:jc w:val="both"/>
      </w:pPr>
      <w:r>
        <w:rPr>
          <w:rFonts w:ascii="Barlow Semi Condensed" w:cs="Barlow Semi Condensed" w:eastAsia="Barlow Semi Condensed" w:hAnsi="Barlow Semi Condensed"/>
          <w:sz w:val="24"/>
          <w:szCs w:val="24"/>
        </w:rPr>
        <w:t xml:space="preserve">L'identificazione degli esecutori materiali è, fra tutti i piani del caso, quello su cui l'accertamento giudiziario è giunto più lontano, e il metodo lo recepisce con la gratitudine dovuta a decenni di lavoro investigativo e processuale. I componenti principali del commando di via Fani sono stati identificati, i loro ruoli ricostruiti, le loro responsabilità sancite da sentenze definitive; e molti di essi hanno reso, nel tempo, ammissioni e ricostruzioni che hanno confermato e precisato il quadro. Analogamente, la gestione della prigione e l'esecuzione materiale dell'uccisione sono state attribuite a componenti determinati del nucleo, con un grado di dettaglio che, pur non totale, è elevato. Su questo piano il giudizio non è probabilistico ma giudiziario, e il metodo si limita a recepirlo, collocando gli esecutori identificati al vertice della graduatoria di questo piano con grado di certezza.</w:t>
      </w:r>
    </w:p>
    <w:p>
      <w:pPr>
        <w:spacing w:after="120" w:line="276"/>
        <w:jc w:val="both"/>
      </w:pPr>
      <w:r>
        <w:rPr>
          <w:rFonts w:ascii="Barlow Semi Condensed" w:cs="Barlow Semi Condensed" w:eastAsia="Barlow Semi Condensed" w:hAnsi="Barlow Semi Condensed"/>
          <w:sz w:val="24"/>
          <w:szCs w:val="24"/>
        </w:rPr>
        <w:t xml:space="preserve">I margini di incertezza che permangono riguardano i contorni dell'attribuzione principale, non il suo nucleo, e vanno riferiti con esattezza per non alimentare né la loro sottovalutazione né la loro esasperazione. Il numero esatto dei presenti a via Fani è stato oggetto di ricostruzioni divergenti, e l'ipotesi della presenza sulla scena di figure non riconducibili al nucleo brigatista noto è stata avanzata sulla base di alcune testimonianze e di alcune analisi, senza raggiungere la prova conclusiva: resta perciò un'ipotesi aperta, di grado probabile o ipotetico a seconda degli aspetti. La perizia balistica di alcuni degli sparatori è stata parimenti oggetto di letture divergenti, alcune delle quali vi hanno visto l'indizio di un concorso esterno, altre l'hanno ricondotta entro le capacità del commando. Il metodo registra questi margini come non chiusi, senza forzarli: né li normalizza, negando ogni anomalia, né li esaspera, trasformando un'ipotesi in una certezza. Li lascia, onestamente, per ciò che sono: contorni incerti di un'attribuzione centrale solida.</w:t>
      </w:r>
    </w:p>
    <w:p>
      <w:pPr>
        <w:spacing w:after="120" w:line="276"/>
        <w:jc w:val="both"/>
      </w:pPr>
      <w:r>
        <w:rPr>
          <w:rFonts w:ascii="Barlow Semi Condensed" w:cs="Barlow Semi Condensed" w:eastAsia="Barlow Semi Condensed" w:hAnsi="Barlow Semi Condensed"/>
          <w:sz w:val="24"/>
          <w:szCs w:val="24"/>
        </w:rPr>
        <w:t xml:space="preserve">Gli esecutori materiali sono coloro che agirono con le proprie mani: sulla scena di via Fani il mattino del sedici marzo, e nella prigione lungo i cinquantacinque giorni fino al gesto finale. Qui, paradossalmente, il piano accertato è il più solido dell'intera vicenda, perché l'identità di gran parte degli esecutori è stata stabilita dalle sentenze con certezza, e molti di essi hanno reso ammissioni e ricostruzioni. Il metodo Savona trova qui il suo terreno più fertile, e il giudizio di massima probabilità coincide, per questa parte, con l'accertamento giudiziario.</w:t>
      </w:r>
    </w:p>
    <w:p>
      <w:pPr>
        <w:spacing w:after="120" w:line="276"/>
        <w:jc w:val="both"/>
      </w:pPr>
      <w:r>
        <w:rPr>
          <w:rFonts w:ascii="Barlow Semi Condensed" w:cs="Barlow Semi Condensed" w:eastAsia="Barlow Semi Condensed" w:hAnsi="Barlow Semi Condensed"/>
          <w:sz w:val="24"/>
          <w:szCs w:val="24"/>
        </w:rPr>
        <w:t xml:space="preserve">Di Livello A è l'appartenenza dell'operazione di via Fani a un commando brigatista i cui componenti principali sono stati identificati, giudicati e in gran parte condannati in via definitiva, e i cui ruoli — chi sparò, chi bloccò le auto, chi prelevò l'ostaggio, chi condusse la vettura della fuga — sono stati ricostruiti con un grado di dettaglio elevato, benché non totale. Di Livello A è altresì la gestione brigatista della prigione e l'esecuzione materiale dell'uccisione, attribuita dalle sentenze a componenti determinati del nucleo. Questi esecutori hanno nome e cognome nelle carte processuali, e la loro responsabilità è stata accertata nelle forme del diritto: su di essi il giudizio non è probabilistico ma giudiziario, e il metodo si limita a recepirlo,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E tuttavia anche sul piano esecutivo il metodo probabilistico registra i suoi margini di incertezza, e sono margini che riguardano non l'attribuzione principale, solida, ma i suoi contorni. Vi è la questione, a lungo dibattuta e mai del tutto risolta, del numero esatto dei presenti a via Fani e dell'eventuale presenza sulla scena di figure non riconducibili al nucleo brigatista noto: una questione che oscilla fra il Livello B e il Livello C, sorretta da alcune testimonianze e perizie ma non da prova conclusiva, e che il metodo registra come aperta senza risolverla in un senso o nell'altro. Vi è la questione della perizia balistica di alcuni degli sparatori, che alcuni hanno letto come indizio di un addestramento superiore a quello dei militanti allora disponibili, e altri hanno ricondotto entro le capacità del commando: anche questa resta, allo stato, un'ipotesi di lavoro e non un fatto. Il giudizio più plausibile, in conclusione, è che gli esecutori materiali furono i brigatisti identificati dalle sentenze, con certezza di Livello A per il nucleo principale, e che attorno a questo nucleo permangono margini di incertezza sui contorni — il numero esatto, la presenza di eventuali concorrenti esterni, il livello di perizia — che il metodo onestamente registra come non chiusi, senza forzarli né nel senso della normalizzazione né in quello del complotto.</w:t>
      </w:r>
    </w:p>
    <w:p>
      <w:pPr>
        <w:pStyle w:val="Heading3"/>
        <w:spacing w:after="80" w:before="160"/>
      </w:pPr>
      <w:r>
        <w:rPr>
          <w:rFonts w:ascii="Barlow Semi Condensed" w:cs="Barlow Semi Condensed" w:eastAsia="Barlow Semi Condensed" w:hAnsi="Barlow Semi Condensed"/>
          <w:sz w:val="24"/>
          <w:szCs w:val="24"/>
        </w:rPr>
        <w:t xml:space="preserve">La sintesi probabilistica dei tre piani</w:t>
      </w:r>
    </w:p>
    <w:p>
      <w:pPr>
        <w:spacing w:after="120" w:line="276"/>
        <w:jc w:val="both"/>
      </w:pPr>
      <w:r>
        <w:rPr>
          <w:rFonts w:ascii="Barlow Semi Condensed" w:cs="Barlow Semi Condensed" w:eastAsia="Barlow Semi Condensed" w:hAnsi="Barlow Semi Condensed"/>
          <w:sz w:val="24"/>
          <w:szCs w:val="24"/>
        </w:rPr>
        <w:t xml:space="preserve">Ricomposti i tre piani, il giudizio probabilistico che il concorso dei dieci metodi consente si lascia riassumere con chiarezza, purché si tengano distinti i gradi. Sul piano certo, di Livello A, il sequestro e l'uccisione di Aldo Moro furono ideati, ordinati ed eseguiti dalle Brigate Rosse, dal loro comitato esecutivo e dalla loro colonna romana, i cui componenti principali sono stati identificati, giudicati e condannati: questa è la verità giudiziaria, ed è la base non negoziabile di ogni ulteriore ragionamento. Chi cercasse di dissolvere questa base in una regia esterna che cancelli la responsabilità brigatista compirebbe, sotto le mentite spoglie dell'approfondimento, un'operazione di occultamento della verità accertata.</w:t>
      </w:r>
    </w:p>
    <w:p>
      <w:pPr>
        <w:spacing w:after="120" w:line="276"/>
        <w:jc w:val="both"/>
      </w:pPr>
      <w:r>
        <w:rPr>
          <w:rFonts w:ascii="Barlow Semi Condensed" w:cs="Barlow Semi Condensed" w:eastAsia="Barlow Semi Condensed" w:hAnsi="Barlow Semi Condensed"/>
          <w:sz w:val="24"/>
          <w:szCs w:val="24"/>
        </w:rPr>
        <w:t xml:space="preserve">Sul piano probabile e possibile, di Livello B e Livello C, permane, e il metodo non la nasconde, una costellazione di anomalie che alimenta l'ipotesi di condizionamenti esterni convergenti: una vigilanza, un'attenzione, un interesse che non idearono né ordinarono il sequestro ma che, per ragioni proprie e non concertate fra loro, ne assecondarono o ne orientarono gli esiti, e in particolare quello mortale. Questa ipotesi ha una plausibilità significativa, sorretta dallo sfondo internazionale, dalla struttura della rete terroristica, dalle anomalie esecutive e dalla lunga catena di depistaggi successivi; ma non raggiunge la prova, e la Regola Ferrea vieta di tradurla nell'indicazione di mandanti o architetti esterni determinati. La forma forte di quell'ipotesi, quella del grande burattinaio unico, resta la meno probabile di tutte, falsificata dall'assenza di prove e dalla natura policentrica del contesto.</w:t>
      </w:r>
    </w:p>
    <w:p>
      <w:pPr>
        <w:spacing w:after="120" w:line="276"/>
        <w:jc w:val="both"/>
      </w:pPr>
      <w:r>
        <w:rPr>
          <w:rFonts w:ascii="Barlow Semi Condensed" w:cs="Barlow Semi Condensed" w:eastAsia="Barlow Semi Condensed" w:hAnsi="Barlow Semi Condensed"/>
          <w:sz w:val="24"/>
          <w:szCs w:val="24"/>
        </w:rPr>
        <w:t xml:space="preserve">Il lettore troverà, nelle pagine di chiusura, l'elenco ordinato dei nomi e delle entità che, secondo il concorso dei dieci metodi, presentano i più alti gradi di probabilità di coinvolgimento, con l'avvertenza costante che probabilità di coinvolgimento non significa responsabilità accertata, e che l'ordine è di plausibilità e non di colpa. E vi troverà, dichiarato in percentuale, il peso che ciascuno dei dieci metodi ha avuto nel formare quel giudizio, perché la trasparenza della ricetta è, in un'opera che rinuncia alla sospensione per abbracciare la probabilità, l'ultima e più necessaria delle garanzie.</w:t>
      </w:r>
    </w:p>
    <w:p>
      <w:pPr>
        <w:pStyle w:val="Heading2"/>
        <w:spacing w:after="100" w:before="200"/>
      </w:pPr>
      <w:r>
        <w:rPr>
          <w:rFonts w:ascii="Barlow Semi Condensed" w:cs="Barlow Semi Condensed" w:eastAsia="Barlow Semi Condensed" w:hAnsi="Barlow Semi Condensed"/>
          <w:sz w:val="24"/>
          <w:szCs w:val="24"/>
        </w:rPr>
        <w:t xml:space="preserve">CHIUSURA PROBABILISTICA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graduatoria dei nomi, il peso dei metodi, l'emersione dei tre piani</w:t>
      </w:r>
    </w:p>
    <w:p>
      <w:pPr>
        <w:pStyle w:val="Heading3"/>
        <w:spacing w:after="80" w:before="160"/>
      </w:pPr>
      <w:r>
        <w:rPr>
          <w:rFonts w:ascii="Barlow Semi Condensed" w:cs="Barlow Semi Condensed" w:eastAsia="Barlow Semi Condensed" w:hAnsi="Barlow Semi Condensed"/>
          <w:sz w:val="24"/>
          <w:szCs w:val="24"/>
        </w:rPr>
        <w:t xml:space="preserve">Premessa garantista alla graduatoria</w:t>
      </w:r>
    </w:p>
    <w:p>
      <w:pPr>
        <w:spacing w:after="120" w:line="276"/>
        <w:jc w:val="both"/>
      </w:pPr>
      <w:r>
        <w:rPr>
          <w:rFonts w:ascii="Barlow Semi Condensed" w:cs="Barlow Semi Condensed" w:eastAsia="Barlow Semi Condensed" w:hAnsi="Barlow Semi Condensed"/>
          <w:sz w:val="24"/>
          <w:szCs w:val="24"/>
        </w:rPr>
        <w:t xml:space="preserve">Le pagine che seguono ordinano nomi di persone e di entità secondo il grado di probabilità di coinvolgimento nel sequestro e nell'uccisione di Aldo Moro, quale risulta dal concorso dei dieci metodi. Occorre, prima di ogni nome, ribadire con la massima fermezza il senso di questo ordine. Esso è una graduatoria di plausibilità, non di colpevolezza; misura la probabilità che un soggetto abbia avuto un ruolo, non la certezza che l'abbia avuto; e distingue in ogni caso, con nettezza, chi è stato condannato in via definitiva nelle forme del diritto da chi è stato soltanto indagato, sospettato o ipotizzato dagli studiosi e dalle commissioni. Per i primi, la responsabilità è un fatto giudiziario accertato, che si recepisce; per i secondi, si parla di ipotesi probabilistiche, rivedibili e non conclusive, che nulla tolgono alla presunzione di innocenza cui ogni persona ha diritto. Nessuna delle affermazioni che seguono va letta come un'accusa: sono collocazioni su una scala di probabilità storica, formulate con rispetto e con l'esplicita assunzione di responsabilità da parte dell'autore umano che le ha ordinate.</w:t>
      </w:r>
    </w:p>
    <w:p>
      <w:pPr>
        <w:pStyle w:val="Heading3"/>
        <w:spacing w:after="80" w:before="160"/>
      </w:pPr>
      <w:r>
        <w:rPr>
          <w:rFonts w:ascii="Barlow Semi Condensed" w:cs="Barlow Semi Condensed" w:eastAsia="Barlow Semi Condensed" w:hAnsi="Barlow Semi Condensed"/>
          <w:sz w:val="24"/>
          <w:szCs w:val="24"/>
        </w:rPr>
        <w:t xml:space="preserve">La graduatoria secondo ciascuno dei dieci metodi</w:t>
      </w:r>
    </w:p>
    <w:p>
      <w:pPr>
        <w:spacing w:after="120" w:line="276"/>
        <w:jc w:val="both"/>
      </w:pPr>
      <w:r>
        <w:rPr>
          <w:rFonts w:ascii="Barlow Semi Condensed" w:cs="Barlow Semi Condensed" w:eastAsia="Barlow Semi Condensed" w:hAnsi="Barlow Semi Condensed"/>
          <w:sz w:val="24"/>
          <w:szCs w:val="24"/>
        </w:rPr>
        <w:t xml:space="preserve">Prima di comporre il giudizio unitario, conviene mostrare come ciascuno dei dieci metodi, applicato per proprio conto, ordini il campo, perché è dal loro accordo o disaccordo che nasce la solidità o la fragilità di ciascuna collocazione.</w:t>
      </w:r>
    </w:p>
    <w:p>
      <w:pPr>
        <w:spacing w:after="120" w:line="276"/>
        <w:jc w:val="both"/>
      </w:pPr>
      <w:r>
        <w:rPr>
          <w:rFonts w:ascii="Barlow Semi Condensed" w:cs="Barlow Semi Condensed" w:eastAsia="Barlow Semi Condensed" w:hAnsi="Barlow Semi Condensed"/>
          <w:sz w:val="24"/>
          <w:szCs w:val="24"/>
        </w:rPr>
        <w:t xml:space="preserve">Secondo il metodo Savona della triangolazione delle fonti, che pesa il numero e l'indipendenza delle fonti, al vertice della graduatoria stanno, con grado massimo e distacco netto, i componenti del comitato esecutivo e della colonna romana delle Brigate Rosse condannati in via definitiva, la cui responsabilità è sorretta da sentenze, testimonianze riscontrate e documenti convergenti; seguono, a grande distanza e con grado assai inferiore, gli apparati e le figure di frontiera coinvolti nei depistaggi successivi, la cui condotta è in parte accertata; da ultimo, con grado minimo, i portatori dell'interesse esterno internazionale, sorretti da indizi di contesto e non da prova diretta.</w:t>
      </w:r>
    </w:p>
    <w:p>
      <w:pPr>
        <w:spacing w:after="120" w:line="276"/>
        <w:jc w:val="both"/>
      </w:pPr>
      <w:r>
        <w:rPr>
          <w:rFonts w:ascii="Barlow Semi Condensed" w:cs="Barlow Semi Condensed" w:eastAsia="Barlow Semi Condensed" w:hAnsi="Barlow Semi Condensed"/>
          <w:sz w:val="24"/>
          <w:szCs w:val="24"/>
        </w:rPr>
        <w:t xml:space="preserve">Secondo l'analisi delle ipotesi concorrenti, che premia la spiegazione meno contraddetta dalle evidenze, l'ipotesi della responsabilità brigatista autonoma resta imbattuta perché nessuna evidenza la contraddice, mentre l'ipotesi della regia esterna unica è contraddetta dall'assenza di prove e dalla frammentazione del contesto: ne segue una graduatoria che colloca i brigatisti al vertice e degrada progressivamente le ipotesi esterne in ragione delle contraddizioni che incontrano. Secondo l'inferenza bayesiana, che aggiorna la probabilità a ogni evidenza, la responsabilità brigatista, partita da una probabilità già alta, si è consolidata a ogni nuovo riscontro fino alla quasi certezza, mentre l'ipotesi dei condizionamenti esterni, partita da una probabilità bassa, è stata innalzata dalle anomalie ma non fino alla soglia della prova, restando in una fascia intermedia.</w:t>
      </w:r>
    </w:p>
    <w:p>
      <w:pPr>
        <w:spacing w:after="120" w:line="276"/>
        <w:jc w:val="both"/>
      </w:pPr>
      <w:r>
        <w:rPr>
          <w:rFonts w:ascii="Barlow Semi Condensed" w:cs="Barlow Semi Condensed" w:eastAsia="Barlow Semi Condensed" w:hAnsi="Barlow Semi Condensed"/>
          <w:sz w:val="24"/>
          <w:szCs w:val="24"/>
        </w:rPr>
        <w:t xml:space="preserve">Secondo l'analisi di rete, che pesa la centralità e i ponti, i nodi a più alta centralità nel sottografo del caso sono i dirigenti brigatisti che tennero insieme ideazione, comando ed esecuzione; ma emergono come nodi-ponte, a più bassa centralità e più alta intermediazione, alcune figure di frontiera che collegavano il mondo del terrorismo a quello degli apparati, e la loro posizione strutturale, più che la prova a loro carico, ne spiega la persistente presenza nelle ipotesi. Secondo la teoria dei giochi, che chiede a chi giovasse ciascuna mossa, l'esito mortale giovò a chi aveva interesse al fallimento della manovra di Moro, e questo interesse era distribuito fra più attori interni ed esterni, il che spiega la convergenza senza richiedere il concerto.</w:t>
      </w:r>
    </w:p>
    <w:p>
      <w:pPr>
        <w:spacing w:after="120" w:line="276"/>
        <w:jc w:val="both"/>
      </w:pPr>
      <w:r>
        <w:rPr>
          <w:rFonts w:ascii="Barlow Semi Condensed" w:cs="Barlow Semi Condensed" w:eastAsia="Barlow Semi Condensed" w:hAnsi="Barlow Semi Condensed"/>
          <w:sz w:val="24"/>
          <w:szCs w:val="24"/>
        </w:rPr>
        <w:t xml:space="preserve">Secondo il ragionamento controfattuale, che misura l'efficacia di un fattore per assenza, la rimozione dei brigatisti avrebbe impedito il sequestro, il che ne conferma il ruolo causale primario; la rimozione dei condizionamenti esterni ipotizzati avrebbe forse mutato l'esito ma non impedito l'atto, il che ne colloca il ruolo, se esistito, al livello dell'orientamento e non della causa. Secondo l'analisi temporale delle coincidenze, la sovrapposizione fra il perfezionarsi del compromesso storico e il giorno dell'agguato eccede la soglia del caso e conferma la matrice politica del bersaglio, mentre altre coincidenze invocate a sostegno delle ipotesi esterne restano entro la soglia della casualità.</w:t>
      </w:r>
    </w:p>
    <w:p>
      <w:pPr>
        <w:spacing w:after="120" w:line="276"/>
        <w:jc w:val="both"/>
      </w:pPr>
      <w:r>
        <w:rPr>
          <w:rFonts w:ascii="Barlow Semi Condensed" w:cs="Barlow Semi Condensed" w:eastAsia="Barlow Semi Condensed" w:hAnsi="Barlow Semi Condensed"/>
          <w:sz w:val="24"/>
          <w:szCs w:val="24"/>
        </w:rPr>
        <w:t xml:space="preserve">Secondo la valutazione dell'affidabilità e della genealogia delle fonti, molte delle suggestioni sui condizionamenti esterni discendono da un numero ristretto di fonti fra loro non indipendenti, il che ne abbassa il peso una volta scontata la contaminazione, mentre l'attribuzione brigatista poggia su fonti eterogenee e indipendenti. Secondo l'analisi del movente e della capacità, i brigatisti avevano insieme il movente strategico e la capacità operativa, il che li colloca al vertice; i portatori dell'interesse esterno avevano il movente ma la loro capacità di tradurlo in influenza sull'operazione resta indimostrata, il che ne indebolisce la collocazione. Secondo il principio di convergenza, infine, tutti i metodi indipendenti puntano concordi sulla responsabilità brigatista, e questa consilienza ne innalza la probabilità alla quasi certezza; sui condizionamenti esterni i metodi divergono, e questa divergenza ne conferma lo statuto di ipotesi non conclusa.</w:t>
      </w:r>
    </w:p>
    <w:p>
      <w:pPr>
        <w:pStyle w:val="Heading3"/>
        <w:spacing w:after="80" w:before="160"/>
      </w:pPr>
      <w:r>
        <w:rPr>
          <w:rFonts w:ascii="Barlow Semi Condensed" w:cs="Barlow Semi Condensed" w:eastAsia="Barlow Semi Condensed" w:hAnsi="Barlow Semi Condensed"/>
          <w:sz w:val="24"/>
          <w:szCs w:val="24"/>
        </w:rPr>
        <w:t xml:space="preserve">Il peso relativo dei dieci metodi: la ricetta del giudizio</w:t>
      </w:r>
    </w:p>
    <w:p>
      <w:pPr>
        <w:spacing w:after="120" w:line="276"/>
        <w:jc w:val="both"/>
      </w:pPr>
      <w:r>
        <w:rPr>
          <w:rFonts w:ascii="Barlow Semi Condensed" w:cs="Barlow Semi Condensed" w:eastAsia="Barlow Semi Condensed" w:hAnsi="Barlow Semi Condensed"/>
          <w:sz w:val="24"/>
          <w:szCs w:val="24"/>
        </w:rPr>
        <w:t xml:space="preserve">Il giudizio unitario non nasce dalla semplice somma dei dieci metodi ma dal loro concorso pesato, perché non tutti meritano peso uguale in una materia in cui la prova documentale e giudiziaria deve prevalere sulla congettura strutturale. Si dichiara pertanto, con la trasparenza che quest'opera si è imposta, il peso percentuale attribuito a ciascuno dei dieci metodi nella formazione del giudizio finale, avvertendo che la somma dei pesi è pari a cento e che l'entità di ciascun peso riflette il contributo che quel metodo ha realmente offerto alla solidità della conclusione.</w:t>
      </w:r>
    </w:p>
    <w:p>
      <w:pPr>
        <w:spacing w:after="120" w:line="276"/>
        <w:jc w:val="both"/>
      </w:pPr>
      <w:r>
        <w:rPr>
          <w:rFonts w:ascii="Barlow Semi Condensed" w:cs="Barlow Semi Condensed" w:eastAsia="Barlow Semi Condensed" w:hAnsi="Barlow Semi Condensed"/>
          <w:sz w:val="24"/>
          <w:szCs w:val="24"/>
        </w:rPr>
        <w:t xml:space="preserve">Al metodo Savona della triangolazione delle fonti si attribuisce il peso maggiore, pari al ventidue per cento, perché in una ricostruzione storica e giudiziaria la convergenza di fonti indipendenti è il fondamento primo di ogni certezza, e ad esso spetta di ancorare il piano accertato. All'analisi delle ipotesi concorrenti si attribuisce il quattordici per cento, perché la selezione per resistenza alla smentita è il presidio contro la dietrologia e ha svolto un ruolo decisivo nel degradare le ipotesi non sostenute. Al principio di convergenza, la consilienza, si attribuisce il dodici per cento, perché l'accordo di metodi e fonti indipendenti è ciò che ha innalzato alla quasi certezza il giudizio sul piano brigatista.</w:t>
      </w:r>
    </w:p>
    <w:p>
      <w:pPr>
        <w:spacing w:after="120" w:line="276"/>
        <w:jc w:val="both"/>
      </w:pPr>
      <w:r>
        <w:rPr>
          <w:rFonts w:ascii="Barlow Semi Condensed" w:cs="Barlow Semi Condensed" w:eastAsia="Barlow Semi Condensed" w:hAnsi="Barlow Semi Condensed"/>
          <w:sz w:val="24"/>
          <w:szCs w:val="24"/>
        </w:rPr>
        <w:t xml:space="preserve">All'analisi del movente e della capacità si attribuisce l'undici per cento, perché l'incrocio fra interesse e mezzi ha permesso di distinguere chi poteva agire da chi aveva soltanto ragioni per desiderarlo. All'analisi di rete si attribuisce il dieci per cento, perché la sinaptogenesi dei nodi e dei ponti ha illuminato la struttura delle relazioni e la posizione delle figure di frontiera. All'inferenza bayesiana si attribuisce il nove per cento, perché l'aggiornamento progressivo ha dato forma quantitativa al consolidarsi del giudizio a ogni nuova evidenza. Alla valutazione dell'affidabilità e della genealogia delle fonti si attribuisce il sette per cento, perché lo sconto della contaminazione ha ridimensionato suggestioni fondate su radici non indipendenti.</w:t>
      </w:r>
    </w:p>
    <w:p>
      <w:pPr>
        <w:spacing w:after="120" w:line="276"/>
        <w:jc w:val="both"/>
      </w:pPr>
      <w:r>
        <w:rPr>
          <w:rFonts w:ascii="Barlow Semi Condensed" w:cs="Barlow Semi Condensed" w:eastAsia="Barlow Semi Condensed" w:hAnsi="Barlow Semi Condensed"/>
          <w:sz w:val="24"/>
          <w:szCs w:val="24"/>
        </w:rPr>
        <w:t xml:space="preserve">Al ragionamento controfattuale si attribuisce il cinque per cento, perché la misura dell'efficacia causale per assenza ha aiutato a distinguere la causa dall'orientamento. Alla teoria dei giochi si attribuisce il cinque per cento, perché la lettura degli incentivi ha spiegato la convergenza senza richiedere il concerto. All'analisi temporale delle coincidenze si attribuisce il residuo cinque per cento, perché il vaglio statistico delle sovrapposizioni ha confermato ciò che eccedeva il caso e scartato ciò che vi rientrava. La somma di questi pesi — ventidue, quattordici, dodici, undici, dieci, nove, sette, cinque, cinque, cinque — è pari a cento, e in questa proporzione i dieci metodi hanno concorso a formare il giudizio che segue.</w:t>
      </w:r>
    </w:p>
    <w:p>
      <w:pPr>
        <w:pStyle w:val="Heading3"/>
        <w:spacing w:after="80" w:before="160"/>
      </w:pPr>
      <w:r>
        <w:rPr>
          <w:rFonts w:ascii="Barlow Semi Condensed" w:cs="Barlow Semi Condensed" w:eastAsia="Barlow Semi Condensed" w:hAnsi="Barlow Semi Condensed"/>
          <w:sz w:val="24"/>
          <w:szCs w:val="24"/>
        </w:rPr>
        <w:t xml:space="preserve">L'emersione dei tre piani secondo il giudizio pesato</w:t>
      </w:r>
    </w:p>
    <w:p>
      <w:pPr>
        <w:spacing w:after="120" w:line="276"/>
        <w:jc w:val="both"/>
      </w:pPr>
      <w:r>
        <w:rPr>
          <w:rFonts w:ascii="Barlow Semi Condensed" w:cs="Barlow Semi Condensed" w:eastAsia="Barlow Semi Condensed" w:hAnsi="Barlow Semi Condensed"/>
          <w:sz w:val="24"/>
          <w:szCs w:val="24"/>
        </w:rPr>
        <w:t xml:space="preserve">Applicata questa ricetta, i tre piani del caso emergono con la seguente fisionomia di probabilità, e con essi la graduatoria dei nomi e delle entità.</w:t>
      </w:r>
    </w:p>
    <w:p>
      <w:pPr>
        <w:spacing w:after="120" w:line="276"/>
        <w:jc w:val="both"/>
      </w:pPr>
      <w:r>
        <w:rPr>
          <w:rFonts w:ascii="Barlow Semi Condensed" w:cs="Barlow Semi Condensed" w:eastAsia="Barlow Semi Condensed" w:hAnsi="Barlow Semi Condensed"/>
          <w:sz w:val="24"/>
          <w:szCs w:val="24"/>
        </w:rPr>
        <w:t xml:space="preserve">Al piano degli esecutori materiali, che il giudizio pesato colloca al più alto grado di certezza, appartengono i componenti del commando di via Fani e del nucleo della prigione, brigatisti identificati, giudicati e in gran parte condannati in via definitiva, ai quali le sentenze hanno attribuito i ruoli materiali del sequestro, della custodia e dell'uccisione. La loro collocazione al vertice della graduatoria è di Livello A, giudiziaria prima che probabilistica, e su di essa il concorso dei dieci metodi non introduce dubbio ma conferma. Ai margini di questo piano permangono, a grado inferiore e fra il Livello B e il Livello C, le questioni aperte del numero esatto dei presenti a via Fani e dell'eventuale concorso di figure esterne al nucleo noto, che il giudizio registra come non chiuse.</w:t>
      </w:r>
    </w:p>
    <w:p>
      <w:pPr>
        <w:spacing w:after="120" w:line="276"/>
        <w:jc w:val="both"/>
      </w:pPr>
      <w:r>
        <w:rPr>
          <w:rFonts w:ascii="Barlow Semi Condensed" w:cs="Barlow Semi Condensed" w:eastAsia="Barlow Semi Condensed" w:hAnsi="Barlow Semi Condensed"/>
          <w:sz w:val="24"/>
          <w:szCs w:val="24"/>
        </w:rPr>
        <w:t xml:space="preserve">Al piano dei mandanti materiali, che il giudizio pesato colloca del pari al grado della certezza per la sua componente accertata, appartengono i membri del comitato esecutivo delle Brigate Rosse e i responsabili della colonna romana, che decisero l'operazione, la diressero e ne stabilirono l'epilogo mortale: la loro responsabilità è di Livello A, e la graduatoria li colloca immediatamente accanto agli esecutori, come i decisori dell'atto che quelli compirono. Accanto a questa certezza, e a grado nettamente inferiore, il giudizio pesato colloca l'ipotesi di condizionamenti esterni sull'esito, portati da apparati e figure di frontiera alcuni dei quali coinvolti nei depistaggi accertati: ma li colloca al livello dell'ipotesi, fra il Livello B e il Livello C, e vieta, per Regola Ferrea, di promuoverli da occultatori successivi a mandanti dell'esito, perché nessuna prova compie quel passaggio.</w:t>
      </w:r>
    </w:p>
    <w:p>
      <w:pPr>
        <w:spacing w:after="120" w:line="276"/>
        <w:jc w:val="both"/>
      </w:pPr>
      <w:r>
        <w:rPr>
          <w:rFonts w:ascii="Barlow Semi Condensed" w:cs="Barlow Semi Condensed" w:eastAsia="Barlow Semi Condensed" w:hAnsi="Barlow Semi Condensed"/>
          <w:sz w:val="24"/>
          <w:szCs w:val="24"/>
        </w:rPr>
        <w:t xml:space="preserve">Al piano degli architetti, il più profondo e il più incerto, il giudizio pesato colloca al primo posto, con certezza di Livello A, il nucleo strategico delle Brigate Rosse quale concepitore autonomo del disegno, e riconosce a esso la paternità dell'ideazione, contro ogni tentazione di dissolverla in una regia esterna. Al secondo posto, a grado di ipotesi e non di prova, colloca la costellazione dei portatori dell'interesse esterno internazionale, quello sfondo di ostilità convergenti e non concertate che, senza ideare il sequestro, ne rappresentò la cornice di convenienza: e li colloca al Livello C, come possibilità sorretta dal contesto e non dalla prova, con la ferma avvertenza che la loro forma forte, quella del burattinaio unico, è la meno probabile di tutte e va respinta. La graduatoria degli architetti si chiude così su una certezza e su un'ombra: la certezza della paternità brigatista, l'ombra di una convergenza esterna che resta, allo stato delle evidenze, un'ipotesi rispettosamente formulata e onestamente non provata.</w:t>
      </w:r>
    </w:p>
    <w:p>
      <w:pPr>
        <w:pStyle w:val="Heading3"/>
        <w:spacing w:after="80" w:before="160"/>
      </w:pPr>
      <w:r>
        <w:rPr>
          <w:rFonts w:ascii="Barlow Semi Condensed" w:cs="Barlow Semi Condensed" w:eastAsia="Barlow Semi Condensed" w:hAnsi="Barlow Semi Condensed"/>
          <w:sz w:val="24"/>
          <w:szCs w:val="24"/>
        </w:rPr>
        <w:t xml:space="preserve">Congedo dell'autore artificiale</w:t>
      </w:r>
    </w:p>
    <w:p>
      <w:pPr>
        <w:spacing w:after="120" w:line="276"/>
        <w:jc w:val="both"/>
      </w:pPr>
      <w:r>
        <w:rPr>
          <w:rFonts w:ascii="Barlow Semi Condensed" w:cs="Barlow Semi Condensed" w:eastAsia="Barlow Semi Condensed" w:hAnsi="Barlow Semi Condensed"/>
          <w:sz w:val="24"/>
          <w:szCs w:val="24"/>
        </w:rPr>
        <w:t xml:space="preserve">Qui l'opera si arresta, avendo compiuto ciò che le era stato ordinato: ricostruire con prudenza scientifica la vita e il caso, e poi, mutato lo strumento, pesare con metodo probabilistico gli architetti, i mandanti e gli esecutori, ordinandone i nomi secondo plausibilità e non secondo colpa. Ha tenuto ferma, in entrambe le parti, la distinzione fra il certo e il probabile e il possibile; ha rispettato la presunzione di innocenza di ogni persona; ha vietato a sé stessa il salto dall'occultamento al mandato; ha dichiarato la ricetta del proprio giudizio. Ciò che resta di non detto non è reticenza ma onestà: là dove le evidenze non giungono, non giunge l'affermazione, e l'ombra è lasciata ombra perché tale la verità, allo stato, la consegna.</w:t>
      </w:r>
    </w:p>
    <w:p>
      <w:pPr>
        <w:spacing w:after="120" w:line="276"/>
        <w:jc w:val="both"/>
      </w:pPr>
      <w:r>
        <w:rPr>
          <w:rFonts w:ascii="Barlow Semi Condensed" w:cs="Barlow Semi Condensed" w:eastAsia="Barlow Semi Condensed" w:hAnsi="Barlow Semi Condensed"/>
          <w:sz w:val="24"/>
          <w:szCs w:val="24"/>
        </w:rPr>
        <w:t xml:space="preserve">Che questa sia opera di un'intelligenza artificiale, generata su comando e responsabilità di un autore umano, non ne diminuisce né ne aggrava il valore: lo colloca, semplicemente, per ciò che è, un aggregatore di fonti e un calcolatore di probabilità posto al servizio di una domanda antica e non ancora del tutto risolta. Ad Aldo Moro, all'uomo mite che credette nell'inclusione e ne pagò il prezzo, e ai cinque uomini della sua scorta che con lui caddero, questa ricostruzione è offerta con il rispetto che si deve alle vittime e alla verità, nella convinzione che cercarla, anche quando non la si raggiunge tutta, sia già una forma di giustizia.</w:t>
      </w:r>
    </w:p>
    <w:p>
      <w:pPr>
        <w:pStyle w:val="Heading2"/>
        <w:spacing w:after="100" w:before="200"/>
      </w:pPr>
      <w:r>
        <w:rPr>
          <w:rFonts w:ascii="Barlow Semi Condensed" w:cs="Barlow Semi Condensed" w:eastAsia="Barlow Semi Condensed" w:hAnsi="Barlow Semi Condensed"/>
          <w:sz w:val="24"/>
          <w:szCs w:val="24"/>
        </w:rPr>
        <w:t xml:space="preserve">BIBLIOGRAFIA E NOTE DI RIFERIMENTO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Fonti strutturate per sezioni tematiche, in ordine alfabetico e numerate</w:t>
      </w:r>
    </w:p>
    <w:p>
      <w:pPr>
        <w:spacing w:after="120" w:line="276"/>
        <w:jc w:val="both"/>
      </w:pPr>
      <w:r>
        <w:rPr>
          <w:rFonts w:ascii="Barlow Semi Condensed" w:cs="Barlow Semi Condensed" w:eastAsia="Barlow Semi Condensed" w:hAnsi="Barlow Semi Condensed"/>
          <w:sz w:val="24"/>
          <w:szCs w:val="24"/>
        </w:rPr>
        <w:t xml:space="preserve">La presente bibliografia è ordinata per sezioni tematiche; all'interno di ciascuna sezione le voci seguono l'ordine alfabetico e sono numerate progressivamente. La prima sezione, dedicata agli archivi, gode di priorità assoluta e raccoglie i fondi ai quali si è avuto accesso o ai quali è fortemente consigliato accedere; ove disponibile, ogni voce reca il collegamento ipertestuale attivo. I collegamenti rinviano a risorse istituzionali e documentali pubbliche; la loro persistenza nel tempo non può essere garantita e dipende dagli enti che le ospitano.</w:t>
      </w:r>
    </w:p>
    <w:p>
      <w:pPr>
        <w:pStyle w:val="Heading3"/>
        <w:spacing w:after="80" w:before="160"/>
      </w:pPr>
      <w:r>
        <w:rPr>
          <w:rFonts w:ascii="Barlow Semi Condensed" w:cs="Barlow Semi Condensed" w:eastAsia="Barlow Semi Condensed" w:hAnsi="Barlow Semi Condensed"/>
          <w:sz w:val="24"/>
          <w:szCs w:val="24"/>
        </w:rPr>
        <w:t xml:space="preserve">I. Archivi e fondi documentali (priorità assoluta)</w:t>
      </w:r>
    </w:p>
    <w:p>
      <w:pPr>
        <w:spacing w:after="40"/>
        <w:ind w:left="360"/>
        <w:jc w:val="both"/>
      </w:pPr>
      <w:r>
        <w:rPr>
          <w:rFonts w:ascii="Barlow Semi Condensed" w:cs="Barlow Semi Condensed" w:eastAsia="Barlow Semi Condensed" w:hAnsi="Barlow Semi Condensed"/>
          <w:sz w:val="24"/>
          <w:szCs w:val="24"/>
        </w:rPr>
        <w:t xml:space="preserve">1. Archivio Centrale dello Stato — Sala delle Raccolte Speciali, documentazione desecretata (Direttiva Renzi 2014). https://acs.cultura.gov.it/modalita-di-accesso-e-regolamento/sala-delle-raccolte-speciali-documentazione-desecretata/direttiva-renzi-2014/</w:t>
      </w:r>
    </w:p>
    <w:p>
      <w:pPr>
        <w:spacing w:after="40"/>
        <w:ind w:left="360"/>
        <w:jc w:val="both"/>
      </w:pPr>
      <w:r>
        <w:rPr>
          <w:rFonts w:ascii="Barlow Semi Condensed" w:cs="Barlow Semi Condensed" w:eastAsia="Barlow Semi Condensed" w:hAnsi="Barlow Semi Condensed"/>
          <w:sz w:val="24"/>
          <w:szCs w:val="24"/>
        </w:rPr>
        <w:t xml:space="preserve">2. Archivio Centrale dello Stato — Sala delle Raccolte Speciali, documentazione desecretata (Direttiva Draghi 2021). https://acs.cultura.gov.it/modalita-di-accesso-e-regolamento/sala-delle-raccolte-speciali-documentazione-desecretata/direttiva-draghi-2021/</w:t>
      </w:r>
    </w:p>
    <w:p>
      <w:pPr>
        <w:spacing w:after="40"/>
        <w:ind w:left="360"/>
        <w:jc w:val="both"/>
      </w:pPr>
      <w:r>
        <w:rPr>
          <w:rFonts w:ascii="Barlow Semi Condensed" w:cs="Barlow Semi Condensed" w:eastAsia="Barlow Semi Condensed" w:hAnsi="Barlow Semi Condensed"/>
          <w:sz w:val="24"/>
          <w:szCs w:val="24"/>
        </w:rPr>
        <w:t xml:space="preserve">3. Archivio Flamigni — Piattaforma A4View, scheda entità: fondo su terrorismo, stragi ed eversione (consultazione delle entità documentali). https://a4view.archivioflamigni.org/</w:t>
      </w:r>
    </w:p>
    <w:p>
      <w:pPr>
        <w:spacing w:after="40"/>
        <w:ind w:left="360"/>
        <w:jc w:val="both"/>
      </w:pPr>
      <w:r>
        <w:rPr>
          <w:rFonts w:ascii="Barlow Semi Condensed" w:cs="Barlow Semi Condensed" w:eastAsia="Barlow Semi Condensed" w:hAnsi="Barlow Semi Condensed"/>
          <w:sz w:val="24"/>
          <w:szCs w:val="24"/>
        </w:rPr>
        <w:t xml:space="preserve">4. Camera dei Deputati — Portale storico e resoconti stenografici delle Commissioni d'inchiesta (accesso agli atti parlamentari). https://www.camera.it/</w:t>
      </w:r>
    </w:p>
    <w:p>
      <w:pPr>
        <w:spacing w:after="40"/>
        <w:ind w:left="360"/>
        <w:jc w:val="both"/>
      </w:pPr>
      <w:r>
        <w:rPr>
          <w:rFonts w:ascii="Barlow Semi Condensed" w:cs="Barlow Semi Condensed" w:eastAsia="Barlow Semi Condensed" w:hAnsi="Barlow Semi Condensed"/>
          <w:sz w:val="24"/>
          <w:szCs w:val="24"/>
        </w:rPr>
        <w:t xml:space="preserve">5. Camera dei Deputati — Resoconti stenografici delle Commissioni, audizioni (banca dati documenti). https://documenti.camera.it/</w:t>
      </w:r>
    </w:p>
    <w:p>
      <w:pPr>
        <w:spacing w:after="40"/>
        <w:ind w:left="360"/>
        <w:jc w:val="both"/>
      </w:pPr>
      <w:r>
        <w:rPr>
          <w:rFonts w:ascii="Barlow Semi Condensed" w:cs="Barlow Semi Condensed" w:eastAsia="Barlow Semi Condensed" w:hAnsi="Barlow Semi Condensed"/>
          <w:sz w:val="24"/>
          <w:szCs w:val="24"/>
        </w:rPr>
        <w:t xml:space="preserve">6. Ministero della Cultura — Portale «Memoria», risorsa pubblica sulla documentazione desecretata relativa a terrorismo, stragi ed eversione dell'ordine democratico. https://memoria.cultura.gov.it/</w:t>
      </w:r>
    </w:p>
    <w:p>
      <w:pPr>
        <w:spacing w:after="40"/>
        <w:ind w:left="360"/>
        <w:jc w:val="both"/>
      </w:pPr>
      <w:r>
        <w:rPr>
          <w:rFonts w:ascii="Barlow Semi Condensed" w:cs="Barlow Semi Condensed" w:eastAsia="Barlow Semi Condensed" w:hAnsi="Barlow Semi Condensed"/>
          <w:sz w:val="24"/>
          <w:szCs w:val="24"/>
        </w:rPr>
        <w:t xml:space="preserve">7. Parlamento Italiano — Commissioni bicamerali d'inchiesta, resoconti stenografici (fondo terrorismo e stragi). https://www.parlamento.it/</w:t>
      </w:r>
    </w:p>
    <w:p>
      <w:pPr>
        <w:spacing w:after="40"/>
        <w:ind w:left="360"/>
        <w:jc w:val="both"/>
      </w:pPr>
      <w:r>
        <w:rPr>
          <w:rFonts w:ascii="Barlow Semi Condensed" w:cs="Barlow Semi Condensed" w:eastAsia="Barlow Semi Condensed" w:hAnsi="Barlow Semi Condensed"/>
          <w:sz w:val="24"/>
          <w:szCs w:val="24"/>
        </w:rPr>
        <w:t xml:space="preserve">8. Senato della Repubblica — Servizio documentazione, atti e documenti delle Commissioni d'inchiesta (banca dati PDF). https://www.senato.it/</w:t>
      </w:r>
    </w:p>
    <w:p>
      <w:pPr>
        <w:pStyle w:val="Heading3"/>
        <w:spacing w:after="80" w:before="160"/>
      </w:pPr>
      <w:r>
        <w:rPr>
          <w:rFonts w:ascii="Barlow Semi Condensed" w:cs="Barlow Semi Condensed" w:eastAsia="Barlow Semi Condensed" w:hAnsi="Barlow Semi Condensed"/>
          <w:sz w:val="24"/>
          <w:szCs w:val="24"/>
        </w:rPr>
        <w:t xml:space="preserve">II. Atti parlamentari e relazioni delle Commissioni d'inchiesta</w:t>
      </w:r>
    </w:p>
    <w:p>
      <w:pPr>
        <w:spacing w:after="40"/>
        <w:ind w:left="360"/>
        <w:jc w:val="both"/>
      </w:pPr>
      <w:r>
        <w:rPr>
          <w:rFonts w:ascii="Barlow Semi Condensed" w:cs="Barlow Semi Condensed" w:eastAsia="Barlow Semi Condensed" w:hAnsi="Barlow Semi Condensed"/>
          <w:sz w:val="24"/>
          <w:szCs w:val="24"/>
        </w:rPr>
        <w:t xml:space="preserve">9. Commissione parlamentare d'inchiesta sul rapimento e sulla morte di Aldo Moro — Relazione conclusiva e atti (XVII legislatura), consultabili presso i portali di Camera e Senato. https://www.parlamento.it/</w:t>
      </w:r>
    </w:p>
    <w:p>
      <w:pPr>
        <w:spacing w:after="40"/>
        <w:ind w:left="360"/>
        <w:jc w:val="both"/>
      </w:pPr>
      <w:r>
        <w:rPr>
          <w:rFonts w:ascii="Barlow Semi Condensed" w:cs="Barlow Semi Condensed" w:eastAsia="Barlow Semi Condensed" w:hAnsi="Barlow Semi Condensed"/>
          <w:sz w:val="24"/>
          <w:szCs w:val="24"/>
        </w:rPr>
        <w:t xml:space="preserve">10. Commissione parlamentare d'inchiesta sulla loggia massonica P2 (Commissione Anselmi) — Relazione conclusiva e allegati. https://www.senato.it/</w:t>
      </w:r>
    </w:p>
    <w:p>
      <w:pPr>
        <w:spacing w:after="40"/>
        <w:ind w:left="360"/>
        <w:jc w:val="both"/>
      </w:pPr>
      <w:r>
        <w:rPr>
          <w:rFonts w:ascii="Barlow Semi Condensed" w:cs="Barlow Semi Condensed" w:eastAsia="Barlow Semi Condensed" w:hAnsi="Barlow Semi Condensed"/>
          <w:sz w:val="24"/>
          <w:szCs w:val="24"/>
        </w:rPr>
        <w:t xml:space="preserve">11. Commissione parlamentare d'inchiesta sul terrorismo in Italia e sulle cause della mancata individuazione dei responsabili delle stragi (Commissione stragi) — Resoconti stenografici. https://www.parlamento.it/parlam/bicam/terror/stenografici/steno9.htm</w:t>
      </w:r>
    </w:p>
    <w:p>
      <w:pPr>
        <w:spacing w:after="40"/>
        <w:ind w:left="360"/>
        <w:jc w:val="both"/>
      </w:pPr>
      <w:r>
        <w:rPr>
          <w:rFonts w:ascii="Barlow Semi Condensed" w:cs="Barlow Semi Condensed" w:eastAsia="Barlow Semi Condensed" w:hAnsi="Barlow Semi Condensed"/>
          <w:sz w:val="24"/>
          <w:szCs w:val="24"/>
        </w:rPr>
        <w:t xml:space="preserve">12. Commissione parlamentare d'inchiesta sul terrorismo e sulle stragi — Ulteriori resoconti stenografici delle sedute. https://www.parlamento.it/parlam/bicam/terror/stenografici/steno25.htm</w:t>
      </w:r>
    </w:p>
    <w:p>
      <w:pPr>
        <w:spacing w:after="40"/>
        <w:ind w:left="360"/>
        <w:jc w:val="both"/>
      </w:pPr>
      <w:r>
        <w:rPr>
          <w:rFonts w:ascii="Barlow Semi Condensed" w:cs="Barlow Semi Condensed" w:eastAsia="Barlow Semi Condensed" w:hAnsi="Barlow Semi Condensed"/>
          <w:sz w:val="24"/>
          <w:szCs w:val="24"/>
        </w:rPr>
        <w:t xml:space="preserve">13. Commissione parlamentare d'inchiesta sul terrorismo e sulle stragi — Resoconti stenografici, seduta conclusiva del ciclo. https://www.parlamento.it/parlam/bicam/terror/stenografici/steno58.htm</w:t>
      </w:r>
    </w:p>
    <w:p>
      <w:pPr>
        <w:pStyle w:val="Heading3"/>
        <w:spacing w:after="80" w:before="160"/>
      </w:pPr>
      <w:r>
        <w:rPr>
          <w:rFonts w:ascii="Barlow Semi Condensed" w:cs="Barlow Semi Condensed" w:eastAsia="Barlow Semi Condensed" w:hAnsi="Barlow Semi Condensed"/>
          <w:sz w:val="24"/>
          <w:szCs w:val="24"/>
        </w:rPr>
        <w:t xml:space="preserve">III. Scritti e testimonianze di e su Aldo Moro</w:t>
      </w:r>
    </w:p>
    <w:p>
      <w:pPr>
        <w:spacing w:after="40"/>
        <w:ind w:left="360"/>
        <w:jc w:val="both"/>
      </w:pPr>
      <w:r>
        <w:rPr>
          <w:rFonts w:ascii="Barlow Semi Condensed" w:cs="Barlow Semi Condensed" w:eastAsia="Barlow Semi Condensed" w:hAnsi="Barlow Semi Condensed"/>
          <w:sz w:val="24"/>
          <w:szCs w:val="24"/>
        </w:rPr>
        <w:t xml:space="preserve">14. Moro, Aldo, «Le lettere dalla prigionia», edizione critica dei testi vergati durante il sequestro (raccolta e apparato).</w:t>
      </w:r>
    </w:p>
    <w:p>
      <w:pPr>
        <w:spacing w:after="40"/>
        <w:ind w:left="360"/>
        <w:jc w:val="both"/>
      </w:pPr>
      <w:r>
        <w:rPr>
          <w:rFonts w:ascii="Barlow Semi Condensed" w:cs="Barlow Semi Condensed" w:eastAsia="Barlow Semi Condensed" w:hAnsi="Barlow Semi Condensed"/>
          <w:sz w:val="24"/>
          <w:szCs w:val="24"/>
        </w:rPr>
        <w:t xml:space="preserve">15. Moro, Aldo, corpus integrale degli scritti e degli interventi 1932–1978, raccolta cronologica dei testi (dataset documentale del progetto di ricerca ENEIDE).</w:t>
      </w:r>
    </w:p>
    <w:p>
      <w:pPr>
        <w:pStyle w:val="Heading3"/>
        <w:spacing w:after="80" w:before="160"/>
      </w:pPr>
      <w:r>
        <w:rPr>
          <w:rFonts w:ascii="Barlow Semi Condensed" w:cs="Barlow Semi Condensed" w:eastAsia="Barlow Semi Condensed" w:hAnsi="Barlow Semi Condensed"/>
          <w:sz w:val="24"/>
          <w:szCs w:val="24"/>
        </w:rPr>
        <w:t xml:space="preserve">IV. Il sequestro, la prigionia e le indagini (fonti d'inchiesta e storiografiche)</w:t>
      </w:r>
    </w:p>
    <w:p>
      <w:pPr>
        <w:spacing w:after="40"/>
        <w:ind w:left="360"/>
        <w:jc w:val="both"/>
      </w:pPr>
      <w:r>
        <w:rPr>
          <w:rFonts w:ascii="Barlow Semi Condensed" w:cs="Barlow Semi Condensed" w:eastAsia="Barlow Semi Condensed" w:hAnsi="Barlow Semi Condensed"/>
          <w:sz w:val="24"/>
          <w:szCs w:val="24"/>
        </w:rPr>
        <w:t xml:space="preserve">16. Calogero, Pietro, Carlo Fumian e Michele Sartori, «Terrore rosso. Dall'autonomia al partito armato», Roma-Bari, Laterza, 2010.</w:t>
      </w:r>
    </w:p>
    <w:p>
      <w:pPr>
        <w:spacing w:after="40"/>
        <w:ind w:left="360"/>
        <w:jc w:val="both"/>
      </w:pPr>
      <w:r>
        <w:rPr>
          <w:rFonts w:ascii="Barlow Semi Condensed" w:cs="Barlow Semi Condensed" w:eastAsia="Barlow Semi Condensed" w:hAnsi="Barlow Semi Condensed"/>
          <w:sz w:val="24"/>
          <w:szCs w:val="24"/>
        </w:rPr>
        <w:t xml:space="preserve">17. De Prospo, Salvatore e Rosario Priore, «Chi manovrava le Brigate rosse? Storia e misteri dell'Hyperion di Parigi, scuola di lingue e centrale del terrorismo internazionale», Firenze, Ponte alle Grazie, 2011.</w:t>
      </w:r>
    </w:p>
    <w:p>
      <w:pPr>
        <w:spacing w:after="40"/>
        <w:ind w:left="360"/>
        <w:jc w:val="both"/>
      </w:pPr>
      <w:r>
        <w:rPr>
          <w:rFonts w:ascii="Barlow Semi Condensed" w:cs="Barlow Semi Condensed" w:eastAsia="Barlow Semi Condensed" w:hAnsi="Barlow Semi Condensed"/>
          <w:sz w:val="24"/>
          <w:szCs w:val="24"/>
        </w:rPr>
        <w:t xml:space="preserve">18. Relazione della Commissione parlamentare d'inchiesta sul sequestro e sull'assassinio di Aldo Moro — audizioni relative alla strage di via Fani, alle trattative e alla scuola di lingue Hypérion (atti). https://www.parlamento.it/</w:t>
      </w:r>
    </w:p>
    <w:p>
      <w:pPr>
        <w:pStyle w:val="Heading3"/>
        <w:spacing w:after="80" w:before="160"/>
      </w:pPr>
      <w:r>
        <w:rPr>
          <w:rFonts w:ascii="Barlow Semi Condensed" w:cs="Barlow Semi Condensed" w:eastAsia="Barlow Semi Condensed" w:hAnsi="Barlow Semi Condensed"/>
          <w:sz w:val="24"/>
          <w:szCs w:val="24"/>
        </w:rPr>
        <w:t xml:space="preserve">V. Metodologia: epistemologia, teoria delle reti e analisi probabilistica</w:t>
      </w:r>
    </w:p>
    <w:p>
      <w:pPr>
        <w:spacing w:after="40"/>
        <w:ind w:left="360"/>
        <w:jc w:val="both"/>
      </w:pPr>
      <w:r>
        <w:rPr>
          <w:rFonts w:ascii="Barlow Semi Condensed" w:cs="Barlow Semi Condensed" w:eastAsia="Barlow Semi Condensed" w:hAnsi="Barlow Semi Condensed"/>
          <w:sz w:val="24"/>
          <w:szCs w:val="24"/>
        </w:rPr>
        <w:t xml:space="preserve">19. Blondel, Vincent D., Jean-Loup Guillaume, Renaud Lambiotte e Etienne Lefebvre, «Fast unfolding of communities in large networks», Journal of Statistical Mechanics, 2008.</w:t>
      </w:r>
    </w:p>
    <w:p>
      <w:pPr>
        <w:spacing w:after="40"/>
        <w:ind w:left="360"/>
        <w:jc w:val="both"/>
      </w:pPr>
      <w:r>
        <w:rPr>
          <w:rFonts w:ascii="Barlow Semi Condensed" w:cs="Barlow Semi Condensed" w:eastAsia="Barlow Semi Condensed" w:hAnsi="Barlow Semi Condensed"/>
          <w:sz w:val="24"/>
          <w:szCs w:val="24"/>
        </w:rPr>
        <w:t xml:space="preserve">20. Burt, Ronald S., «Structural Holes: The Social Structure of Competition», Harvard University Press, 1992.</w:t>
      </w:r>
    </w:p>
    <w:p>
      <w:pPr>
        <w:spacing w:after="40"/>
        <w:ind w:left="360"/>
        <w:jc w:val="both"/>
      </w:pPr>
      <w:r>
        <w:rPr>
          <w:rFonts w:ascii="Barlow Semi Condensed" w:cs="Barlow Semi Condensed" w:eastAsia="Barlow Semi Condensed" w:hAnsi="Barlow Semi Condensed"/>
          <w:sz w:val="24"/>
          <w:szCs w:val="24"/>
        </w:rPr>
        <w:t xml:space="preserve">21. Catino, Maurizio, «Mafia Organizations: The Visible Hand of Criminal Enterprise», Cambridge University Press, 2019.</w:t>
      </w:r>
    </w:p>
    <w:p>
      <w:pPr>
        <w:spacing w:after="40"/>
        <w:ind w:left="360"/>
        <w:jc w:val="both"/>
      </w:pPr>
      <w:r>
        <w:rPr>
          <w:rFonts w:ascii="Barlow Semi Condensed" w:cs="Barlow Semi Condensed" w:eastAsia="Barlow Semi Condensed" w:hAnsi="Barlow Semi Condensed"/>
          <w:sz w:val="24"/>
          <w:szCs w:val="24"/>
        </w:rPr>
        <w:t xml:space="preserve">22. Freeman, Linton C., «Centrality in Social Networks: Conceptual Clarification», Social Networks, 1, 1978–1979.</w:t>
      </w:r>
    </w:p>
    <w:p>
      <w:pPr>
        <w:spacing w:after="40"/>
        <w:ind w:left="360"/>
        <w:jc w:val="both"/>
      </w:pPr>
      <w:r>
        <w:rPr>
          <w:rFonts w:ascii="Barlow Semi Condensed" w:cs="Barlow Semi Condensed" w:eastAsia="Barlow Semi Condensed" w:hAnsi="Barlow Semi Condensed"/>
          <w:sz w:val="24"/>
          <w:szCs w:val="24"/>
        </w:rPr>
        <w:t xml:space="preserve">23. Ginzburg, Carlo, «Spie: radici di un paradigma indiziario», in «Miti, emblemi, spie», Einaudi, 1986.</w:t>
      </w:r>
    </w:p>
    <w:p>
      <w:pPr>
        <w:spacing w:after="40"/>
        <w:ind w:left="360"/>
        <w:jc w:val="both"/>
      </w:pPr>
      <w:r>
        <w:rPr>
          <w:rFonts w:ascii="Barlow Semi Condensed" w:cs="Barlow Semi Condensed" w:eastAsia="Barlow Semi Condensed" w:hAnsi="Barlow Semi Condensed"/>
          <w:sz w:val="24"/>
          <w:szCs w:val="24"/>
        </w:rPr>
        <w:t xml:space="preserve">24. Heuer, Richards J. Jr., «Psychology of Intelligence Analysis», Center for the Study of Intelligence, CIA, 1999.</w:t>
      </w:r>
    </w:p>
    <w:p>
      <w:pPr>
        <w:spacing w:after="40"/>
        <w:ind w:left="360"/>
        <w:jc w:val="both"/>
      </w:pPr>
      <w:r>
        <w:rPr>
          <w:rFonts w:ascii="Barlow Semi Condensed" w:cs="Barlow Semi Condensed" w:eastAsia="Barlow Semi Condensed" w:hAnsi="Barlow Semi Condensed"/>
          <w:sz w:val="24"/>
          <w:szCs w:val="24"/>
        </w:rPr>
        <w:t xml:space="preserve">25. Kivelä, Mikko et al., «Multilayer networks», Journal of Complex Networks, 2, 2014.</w:t>
      </w:r>
    </w:p>
    <w:p>
      <w:pPr>
        <w:spacing w:after="40"/>
        <w:ind w:left="360"/>
        <w:jc w:val="both"/>
      </w:pPr>
      <w:r>
        <w:rPr>
          <w:rFonts w:ascii="Barlow Semi Condensed" w:cs="Barlow Semi Condensed" w:eastAsia="Barlow Semi Condensed" w:hAnsi="Barlow Semi Condensed"/>
          <w:sz w:val="24"/>
          <w:szCs w:val="24"/>
        </w:rPr>
        <w:t xml:space="preserve">26. Luhmann, Niklas, «Soziale Systeme», Suhrkamp, 1984 (trad. it. «Sistemi sociali», 1990).</w:t>
      </w:r>
    </w:p>
    <w:p>
      <w:pPr>
        <w:spacing w:after="40"/>
        <w:ind w:left="360"/>
        <w:jc w:val="both"/>
      </w:pPr>
      <w:r>
        <w:rPr>
          <w:rFonts w:ascii="Barlow Semi Condensed" w:cs="Barlow Semi Condensed" w:eastAsia="Barlow Semi Condensed" w:hAnsi="Barlow Semi Condensed"/>
          <w:sz w:val="24"/>
          <w:szCs w:val="24"/>
        </w:rPr>
        <w:t xml:space="preserve">27. Newman, Mark, «Networks: An Introduction», Oxford University Press, 2010.</w:t>
      </w:r>
    </w:p>
    <w:p>
      <w:pPr>
        <w:spacing w:after="40"/>
        <w:ind w:left="360"/>
        <w:jc w:val="both"/>
      </w:pPr>
      <w:r>
        <w:rPr>
          <w:rFonts w:ascii="Barlow Semi Condensed" w:cs="Barlow Semi Condensed" w:eastAsia="Barlow Semi Condensed" w:hAnsi="Barlow Semi Condensed"/>
          <w:sz w:val="24"/>
          <w:szCs w:val="24"/>
        </w:rPr>
        <w:t xml:space="preserve">28. Popper, Karl R., «Logik der Forschung», Springer, 1934 («The Logic of Scientific Discovery», 1959).</w:t>
      </w:r>
    </w:p>
    <w:p>
      <w:pPr>
        <w:spacing w:after="40"/>
        <w:ind w:left="360"/>
        <w:jc w:val="both"/>
      </w:pPr>
      <w:r>
        <w:rPr>
          <w:rFonts w:ascii="Barlow Semi Condensed" w:cs="Barlow Semi Condensed" w:eastAsia="Barlow Semi Condensed" w:hAnsi="Barlow Semi Condensed"/>
          <w:sz w:val="24"/>
          <w:szCs w:val="24"/>
        </w:rPr>
        <w:t xml:space="preserve">29. Russell, Bertrand, «The Problems of Philosophy», Williams and Norgate, 1912.</w:t>
      </w:r>
    </w:p>
    <w:p>
      <w:pPr>
        <w:spacing w:after="40"/>
        <w:ind w:left="360"/>
        <w:jc w:val="both"/>
      </w:pPr>
      <w:r>
        <w:rPr>
          <w:rFonts w:ascii="Barlow Semi Condensed" w:cs="Barlow Semi Condensed" w:eastAsia="Barlow Semi Condensed" w:hAnsi="Barlow Semi Condensed"/>
          <w:sz w:val="24"/>
          <w:szCs w:val="24"/>
        </w:rPr>
        <w:t xml:space="preserve">30. Savona, Ernesto U. (a cura di), «European Money Trails», Harwood Academic Publishers, 1999.</w:t>
      </w:r>
    </w:p>
    <w:p>
      <w:pPr>
        <w:spacing w:after="40"/>
        <w:ind w:left="360"/>
        <w:jc w:val="both"/>
      </w:pPr>
      <w:r>
        <w:rPr>
          <w:rFonts w:ascii="Barlow Semi Condensed" w:cs="Barlow Semi Condensed" w:eastAsia="Barlow Semi Condensed" w:hAnsi="Barlow Semi Condensed"/>
          <w:sz w:val="24"/>
          <w:szCs w:val="24"/>
        </w:rPr>
        <w:t xml:space="preserve">31. Wasserman, Stanley e Katherine Faust, «Social Network Analysis: Methods and Applications», Cambridge University Press, 1994.</w:t>
      </w:r>
    </w:p>
    <w:p>
      <w:pPr>
        <w:spacing w:after="40"/>
        <w:ind w:left="360"/>
        <w:jc w:val="both"/>
      </w:pPr>
      <w:r>
        <w:rPr>
          <w:rFonts w:ascii="Barlow Semi Condensed" w:cs="Barlow Semi Condensed" w:eastAsia="Barlow Semi Condensed" w:hAnsi="Barlow Semi Condensed"/>
          <w:sz w:val="24"/>
          <w:szCs w:val="24"/>
        </w:rPr>
        <w:t xml:space="preserve">32. Whewell, William, «The Philosophy of the Inductive Sciences», Parker, 1840.</w:t>
      </w:r>
    </w:p>
    <w:p>
      <w:pPr>
        <w:spacing w:after="40"/>
        <w:ind w:left="360"/>
        <w:jc w:val="both"/>
      </w:pPr>
      <w:r>
        <w:rPr>
          <w:rFonts w:ascii="Barlow Semi Condensed" w:cs="Barlow Semi Condensed" w:eastAsia="Barlow Semi Condensed" w:hAnsi="Barlow Semi Condensed"/>
          <w:sz w:val="24"/>
          <w:szCs w:val="24"/>
        </w:rPr>
        <w:t xml:space="preserve">33. Wilson, Edward O., «Consilience: The Unity of Knowledge», Alfred A. Knopf, 1998.</w:t>
      </w:r>
    </w:p>
    <w:p>
      <w:pPr>
        <w:pStyle w:val="Heading3"/>
        <w:spacing w:after="80" w:before="160"/>
      </w:pPr>
      <w:r>
        <w:rPr>
          <w:rFonts w:ascii="Barlow Semi Condensed" w:cs="Barlow Semi Condensed" w:eastAsia="Barlow Semi Condensed" w:hAnsi="Barlow Semi Condensed"/>
          <w:sz w:val="24"/>
          <w:szCs w:val="24"/>
        </w:rPr>
        <w:t xml:space="preserve">VI. Contesto: intelligence, eversione e reti internazionali</w:t>
      </w:r>
    </w:p>
    <w:p>
      <w:pPr>
        <w:spacing w:after="40"/>
        <w:ind w:left="360"/>
        <w:jc w:val="both"/>
      </w:pPr>
      <w:r>
        <w:rPr>
          <w:rFonts w:ascii="Barlow Semi Condensed" w:cs="Barlow Semi Condensed" w:eastAsia="Barlow Semi Condensed" w:hAnsi="Barlow Semi Condensed"/>
          <w:sz w:val="24"/>
          <w:szCs w:val="24"/>
        </w:rPr>
        <w:t xml:space="preserve">34. Agenzia Informazioni e Sicurezza Interna — «Gnosis», rivista italiana di intelligence, archivio degli articoli (risorsa istituzionale). https://gnosis.aisi.gov.it/</w:t>
      </w:r>
    </w:p>
    <w:p>
      <w:pPr>
        <w:spacing w:after="40"/>
        <w:ind w:left="360"/>
        <w:jc w:val="both"/>
      </w:pPr>
      <w:r>
        <w:rPr>
          <w:rFonts w:ascii="Barlow Semi Condensed" w:cs="Barlow Semi Condensed" w:eastAsia="Barlow Semi Condensed" w:hAnsi="Barlow Semi Condensed"/>
          <w:sz w:val="24"/>
          <w:szCs w:val="24"/>
        </w:rPr>
        <w:t xml:space="preserve">35. Fondazione Luigi Micheletti — «Studi Bresciani», studi sul terrorismo e sull'eversione (biblioteca digitale). https://www.fondazionemicheletti.eu/</w:t>
      </w:r>
    </w:p>
    <w:p>
      <w:pPr>
        <w:spacing w:after="40"/>
        <w:ind w:left="360"/>
        <w:jc w:val="both"/>
      </w:pPr>
      <w:r>
        <w:rPr>
          <w:rFonts w:ascii="Barlow Semi Condensed" w:cs="Barlow Semi Condensed" w:eastAsia="Barlow Semi Condensed" w:hAnsi="Barlow Semi Condensed"/>
          <w:sz w:val="24"/>
          <w:szCs w:val="24"/>
        </w:rPr>
        <w:t xml:space="preserve">36. Ministero della Cultura — Portale «Memoria», scheda documentale sul tentato golpe Borghese (risorsa pubblica). https://memoria.cultura.gov.it/it/w/il-tentato-golpe-borghese</w:t>
      </w:r>
    </w:p>
    <w:p>
      <w:pPr>
        <w:spacing w:after="120" w:line="276"/>
        <w:jc w:val="both"/>
      </w:pPr>
      <w:r>
        <w:rPr>
          <w:rFonts w:ascii="Barlow Semi Condensed" w:cs="Barlow Semi Condensed" w:eastAsia="Barlow Semi Condensed" w:hAnsi="Barlow Semi Condensed"/>
          <w:sz w:val="24"/>
          <w:szCs w:val="24"/>
        </w:rPr>
        <w:t xml:space="preserve">Nota sulle fonti e sul metodo di citazione. Le voci prive di collegamento ipertestuale rinviano a opere a stampa o a fondi documentali consultabili presso gli enti indicati nella sezione degli archivi. Per le fonti giudiziarie — sentenze e atti processuali relativi al sequestro e all'omicidio di Aldo Moro — si rinvia agli originali depositati presso le cancellerie competenti e, ove desecretati, ai fondi dell'Archivio Centrale dello Stato citati nella prima sezione. La distinzione dei livelli probatori adottata nel testo — accertato, indiziario, ipotetico — si fonda sulla natura e sul numero delle fonti a sostegno di ciascuna affermazione, secondo lo standard di triangolazione dichiarato nella parte metodologica.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«Siamo libri aperti all'ultima pagina»</w:t>
      </w:r>
    </w:p>
    <w:p>
      <w:pPr>
        <w:pStyle w:val="Heading3"/>
        <w:spacing w:after="80" w:before="240"/>
      </w:pPr>
      <w:r>
        <w:rPr>
          <w:rFonts w:ascii="Barlow Semi Condensed" w:cs="Barlow Semi Condensed" w:eastAsia="Barlow Semi Condensed" w:hAnsi="Barlow Semi Condensed"/>
          <w:sz w:val="24"/>
          <w:szCs w:val="24"/>
        </w:rPr>
        <w:t xml:space="preserve">Apparato grafico — Libro quarto · Il Dossier maggiore: «Una Pace senza Pace · Tutta la verit</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255.035 parole in 9 sezioni; la più ampia è §5 FASE IV, con 74.174.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17 indirizzi di fonte citati, addensati in 1 sezione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quantificata degli elenchi: 962 nominativi, di cui 44 parlamentari e 3 ministri in carica. Le categorie senza cifra non sono rappresentate.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Tre anni e un giorno separano via Fani dal sequestro degli elenchi: la finestra dei 55 giorni non è documentabile con una lista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la documentazione si addensa sui 55 giorni e si dirada prima e dopo. Novembre 1978 non ha una sola data.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Feltrinelli, il vettore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2.147 parole in 7 sezioni; la più ampia è §3 III. Il vettore: come un editore fabbrica un'…, con 445.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33 indirizzi di fonte citati, addensati in 6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La triangolazione di Feltrinelli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1.737 parole in 4 sezioni; la più ampia è §2 2. I ponti con il corpus, con 717.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18 indirizzi di fonte citati, addensati in 1 sezione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nodo 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1.383 parole in 5 sezioni; la più ampia è §1 1. I fatti documentati, con 467.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17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L'incrocio Feltrinelli-Hyperion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1.043 parole in 5 sezioni; la più ampia è §2 2. I ponti documentati, con 407.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ceppo Simioni: la terza strada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2.496 parole in 4 sezioni; la più ampia è §3 Segmento 3, con 757.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12 indirizzi di fonte citati, addensati in 2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Il Tribunale Speciale: l'istituzione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1.747 parole in 8 sezioni; la più ampia è §6 VI. La fine e le due eredità, con 254.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30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otto sottonodi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1.269 parole in 9 sezioni; la più ampia è §4 S, con 220.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17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amnistiati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1.633 parole in 6 sezioni; la più ampia è §2 1. Amnistia del decennale fascista (novembre …, con 1.018.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62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Le questioni aperte: il ritorno del Pollo di Popper</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settimo · Le questioni aperte: il ritorno del Pollo di Popper</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3.451 parole in 9 sezioni; la più ampia è §9 Altre sezioni, con 1.549.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 Il presidio del garante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Il presidio del garante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2.109 parole in 4 sezioni; la più ampia è §3 Segmento 3, con 656.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32 paragrafi in 4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Le metodologie del Dossier, calcolate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2.457 parole in 9 sezioni; la più ampia è §5 4. L'analisi delle ipotesi concorrenti  sui n…, con 536.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30 paragrafi in 9 sezioni, 3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registro giudiziario</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nono · Il registro giudiziario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2.171 parole in 3 sezioni; la più ampia è §2 Segmento 2, con 787.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9 indirizzi di fonte citati, addensati in 3 sezioni su 3.</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 — Appendice quinta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w:t>
      </w:r>
    </w:p>
    <w:p>
      <w:pPr>
        <w:pStyle w:val="Heading2"/>
        <w:spacing w:after="100" w:before="200"/>
      </w:pPr>
      <w:r>
        <w:rPr>
          <w:rFonts w:ascii="Barlow Semi Condensed" w:cs="Barlow Semi Condensed" w:eastAsia="Barlow Semi Condensed" w:hAnsi="Barlow Semi Condensed"/>
          <w:sz w:val="24"/>
          <w:szCs w:val="24"/>
        </w:rPr>
        <w:t xml:space="preserve">La catalogazione multipla e la divergenza dei rinvii</w:t>
      </w:r>
    </w:p>
    <w:p>
      <w:pPr>
        <w:pStyle w:val="Heading2"/>
        <w:spacing w:after="100" w:before="200"/>
      </w:pPr>
      <w:r>
        <w:rPr>
          <w:rFonts w:ascii="Barlow Semi Condensed" w:cs="Barlow Semi Condensed" w:eastAsia="Barlow Semi Condensed" w:hAnsi="Barlow Semi Condensed"/>
          <w:sz w:val="24"/>
          <w:szCs w:val="24"/>
        </w:rPr>
        <w:t xml:space="preserve">Il collasso genealogico misurato su materiale documentato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quinta</w:t>
      </w:r>
    </w:p>
    <w:p>
      <w:pPr>
        <w:spacing w:after="120" w:line="276"/>
        <w:jc w:val="both"/>
      </w:pPr>
      <w:r>
        <w:rPr>
          <w:rFonts w:ascii="Barlow Semi Condensed" w:cs="Barlow Semi Condensed" w:eastAsia="Barlow Semi Condensed" w:hAnsi="Barlow Semi Condensed"/>
          <w:b/>
          <w:bCs/>
          <w:sz w:val="24"/>
          <w:szCs w:val="24"/>
        </w:rPr>
        <w:t xml:space="preserve">La presente è appendice quinta alla Fase Settima e opera sulle tre unità d'indice restanti della medesima serie parlamentare: quella dedicata alla struttura clandestina di difesa, stampata a partire dalla pagina settecentottantacinque; quella dedicata al disastro aereo, a partire dalla pagina ottocentocinquantuno; e quella dedicata ai procedimenti giudiziari su fatti di strage, a partire dalla pagina novecentoquindici. Come le quattro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Il suo oggetto non è il caso in senso stretto. È una proprietà del sistema di catalogazione entro il quale gli atti del caso sono conservati, e la ragione per la quale essa appartiene all'opera va detta subito. La verifica genealogica, dall'appendice seconda in poi, ha asserito che l'acquisizione non genera catena e che due esposizioni della medesima fonte non sono due fonti. Fino a oggi quella asserzione era una regola dedotta. Le tre unità qui impiegate la rendono, per la prima volta, una regolarità misurata su materiale documentato, poiché esse recano il caso nel quale il medesimo atto compare sotto più chiavi di catalogo, ciascuna delle quali ha l'apparenza di una fonte distinta.</w:t>
      </w:r>
    </w:p>
    <w:p>
      <w:pPr>
        <w:pStyle w:val="Heading2"/>
        <w:spacing w:after="100" w:before="200"/>
      </w:pPr>
      <w:r>
        <w:rPr>
          <w:rFonts w:ascii="Barlow Semi Condensed" w:cs="Barlow Semi Condensed" w:eastAsia="Barlow Semi Condensed" w:hAnsi="Barlow Semi Condensed"/>
          <w:sz w:val="24"/>
          <w:szCs w:val="24"/>
        </w:rPr>
        <w:t xml:space="preserve">Parte prima — Le tre unità e la loro natura</w:t>
      </w:r>
    </w:p>
    <w:p>
      <w:pPr>
        <w:spacing w:after="120" w:line="276"/>
        <w:jc w:val="both"/>
      </w:pPr>
      <w:r>
        <w:rPr>
          <w:rFonts w:ascii="Barlow Semi Condensed" w:cs="Barlow Semi Condensed" w:eastAsia="Barlow Semi Condensed" w:hAnsi="Barlow Semi Condensed"/>
          <w:b/>
          <w:bCs/>
          <w:sz w:val="24"/>
          <w:szCs w:val="24"/>
        </w:rPr>
        <w:t xml:space="preserve">L'unità dedicata alla struttura clandestina consta di novecentonovantasette voci e di circa quattordicimila parole; quella dedicata al disastro aereo di millecentotrentasette voci e di circa diciassettemilacinquecento parole. Entrambe sono indici di acquisizione della medesima specie di quello già impiegato, e recano la medesima struttura: ufficio emittente, oggetto, data di pervenimento, regime, chiave, rinvii.</w:t>
      </w:r>
    </w:p>
    <w:p>
      <w:pPr>
        <w:spacing w:after="120" w:line="276"/>
        <w:jc w:val="both"/>
      </w:pPr>
      <w:r>
        <w:rPr>
          <w:rFonts w:ascii="Barlow Semi Condensed" w:cs="Barlow Semi Condensed" w:eastAsia="Barlow Semi Condensed" w:hAnsi="Barlow Semi Condensed"/>
          <w:b/>
          <w:bCs/>
          <w:sz w:val="24"/>
          <w:szCs w:val="24"/>
        </w:rPr>
        <w:t xml:space="preserve">L'unità dedicata ai procedimenti di strage è di tutt'altra natura e di gran lunga la più breve, constando di ventuno voci. Essa non elenca documenti ma procedimenti, e dichiara che gli atti processuali di ciascuno sono stati selezionati dalla Commissione e immessi in una autonoma banca dati accessibile secondo il criterio della ricerca testuale. Essa dichiara altresì che i rinvii riguardano documenti non soggetti a pubblicazione, versati all'archivio storico del Senato, e che i procedimenti sono identificati per il nome convenzionalmente usato presso gli uffici giudiziari.</w:t>
      </w:r>
    </w:p>
    <w:p>
      <w:pPr>
        <w:spacing w:after="120" w:line="276"/>
        <w:jc w:val="both"/>
      </w:pPr>
      <w:r>
        <w:rPr>
          <w:rFonts w:ascii="Barlow Semi Condensed" w:cs="Barlow Semi Condensed" w:eastAsia="Barlow Semi Condensed" w:hAnsi="Barlow Semi Condensed"/>
          <w:b/>
          <w:bCs/>
          <w:sz w:val="24"/>
          <w:szCs w:val="24"/>
        </w:rPr>
        <w:t xml:space="preserve">Questa terza unità, benché la più esigua, è la più rilevante ai fini della tavola, e la ragione è che essa nomina una sede. Le voci della tavola che domandano atti processuali indicano fino a oggi come sede gli uffici giudiziari competenti, il che è esatto e generico. La presente unità stabilisce che una selezione di atti processuali esiste in forma testualmente interrogabile presso un organo parlamentare, e che i documenti non pubblicabili sono stati versati a un archivio storico determinato. Ne segue che per una parte delle voci esiste una seconda via di reperimento, più breve della prima e non alternativa ad essa.</w:t>
      </w:r>
    </w:p>
    <w:p>
      <w:pPr>
        <w:pStyle w:val="Heading2"/>
        <w:spacing w:after="100" w:before="200"/>
      </w:pPr>
      <w:r>
        <w:rPr>
          <w:rFonts w:ascii="Barlow Semi Condensed" w:cs="Barlow Semi Condensed" w:eastAsia="Barlow Semi Condensed" w:hAnsi="Barlow Semi Condensed"/>
          <w:sz w:val="24"/>
          <w:szCs w:val="24"/>
        </w:rPr>
        <w:t xml:space="preserve">Parte seconda — La catalogazione multipla, misurata</w:t>
      </w:r>
    </w:p>
    <w:p>
      <w:pPr>
        <w:spacing w:after="120" w:line="276"/>
        <w:jc w:val="both"/>
      </w:pPr>
      <w:r>
        <w:rPr>
          <w:rFonts w:ascii="Barlow Semi Condensed" w:cs="Barlow Semi Condensed" w:eastAsia="Barlow Semi Condensed" w:hAnsi="Barlow Semi Condensed"/>
          <w:b/>
          <w:bCs/>
          <w:sz w:val="24"/>
          <w:szCs w:val="24"/>
        </w:rPr>
        <w:t xml:space="preserve">Si espone la misura secondo la disciplina che la campagna ha imposta: dichiarata come tetto o come soglia, con la procedura, e ristretta prima che se ne traggano conseguenze.</w:t>
      </w:r>
    </w:p>
    <w:p>
      <w:pPr>
        <w:spacing w:after="120" w:line="276"/>
        <w:jc w:val="both"/>
      </w:pPr>
      <w:r>
        <w:rPr>
          <w:rFonts w:ascii="Barlow Semi Condensed" w:cs="Barlow Semi Condensed" w:eastAsia="Barlow Semi Condensed" w:hAnsi="Barlow Semi Condensed"/>
          <w:b/>
          <w:bCs/>
          <w:sz w:val="24"/>
          <w:szCs w:val="24"/>
        </w:rPr>
        <w:t xml:space="preserve">Nell'indice di acquisizione del fascicolo dedicato al caso, computato al netto dell'indice tematico che lo segue, quattordici unità su cinquanta recano un rinvio a un altro fascicolo. Le chiavi di destinazione sono diciotto esterne al fascicolo e una interna. I fascicoli di destinazione sono sette, e sono quelli dedicati al terrorismo di sinistra, alla loggia coperta, alla struttura clandestina di difesa, a una struttura informativa parallela, alla criminalità organizzata connessa al traffico di stupefacenti e al terrorismo, alla banca dati e alle materie varie.</w:t>
      </w:r>
    </w:p>
    <w:p>
      <w:pPr>
        <w:spacing w:after="120" w:line="276"/>
        <w:jc w:val="both"/>
      </w:pPr>
      <w:r>
        <w:rPr>
          <w:rFonts w:ascii="Barlow Semi Condensed" w:cs="Barlow Semi Condensed" w:eastAsia="Barlow Semi Condensed" w:hAnsi="Barlow Semi Condensed"/>
          <w:b/>
          <w:bCs/>
          <w:sz w:val="24"/>
          <w:szCs w:val="24"/>
        </w:rPr>
        <w:t xml:space="preserve">Complessivamente, sulle tre unità d'indice qui impiegate, si contano sessanta rinvii dichiarati.</w:t>
      </w:r>
    </w:p>
    <w:p>
      <w:pPr>
        <w:spacing w:after="120" w:line="276"/>
        <w:jc w:val="both"/>
      </w:pPr>
      <w:r>
        <w:rPr>
          <w:rFonts w:ascii="Barlow Semi Condensed" w:cs="Barlow Semi Condensed" w:eastAsia="Barlow Semi Condensed" w:hAnsi="Barlow Semi Condensed"/>
          <w:b/>
          <w:bCs/>
          <w:sz w:val="24"/>
          <w:szCs w:val="24"/>
        </w:rPr>
        <w:t xml:space="preserve">Questa misura non è un tetto. È una soglia, ed è la prima misura delle appendici che vada dichiarata in questo verso anziché nell'altro. La ragione è di procedura di compilazione: un rinvio compare dove il compilatore lo ha notato e apposto, e non esiste alcuna garanzia che ogni catalogazione multipla sia stata dichiarata in tutti i fascicoli che la riguardano. La reciprocità dei rinvii non è verificata, e la Parte terza mostrerà che dove è verificabile non sempre regge. Ne segue che il numero reale delle unità catalogate sotto più chiavi è pari o superiore a quattordici su cinquanta, e che quel rapporto va impiegato come limite inferiore.</w:t>
      </w:r>
    </w:p>
    <w:p>
      <w:pPr>
        <w:spacing w:after="120" w:line="276"/>
        <w:jc w:val="both"/>
      </w:pPr>
      <w:r>
        <w:rPr>
          <w:rFonts w:ascii="Barlow Semi Condensed" w:cs="Barlow Semi Condensed" w:eastAsia="Barlow Semi Condensed" w:hAnsi="Barlow Semi Condensed"/>
          <w:b/>
          <w:bCs/>
          <w:sz w:val="24"/>
          <w:szCs w:val="24"/>
        </w:rPr>
        <w:t xml:space="preserve">Il caso estremo censito non appartiene al fascicolo del caso ma va riportato perché fissa l'ordine di grandezza del fenomeno. La documentazione trasmessa dal Presidente del Consiglio in carica in risposta ai quesiti postigli nel corso dell'audizione del tre agosto millenovecentonovanta compare, nel processo verbale che la registra, sotto cinque chiavi appartenenti a cinque fascicoli distinti: quello del disastro aereo, quello della loggia coperta, quello di una strage del millenovecentosettantadue, quello dei legami internazionali del terrorismo e quello di una struttura informativa parallela.</w:t>
      </w:r>
    </w:p>
    <w:p>
      <w:pPr>
        <w:spacing w:after="120" w:line="276"/>
        <w:jc w:val="both"/>
      </w:pPr>
      <w:r>
        <w:rPr>
          <w:rFonts w:ascii="Barlow Semi Condensed" w:cs="Barlow Semi Condensed" w:eastAsia="Barlow Semi Condensed" w:hAnsi="Barlow Semi Condensed"/>
          <w:b/>
          <w:bCs/>
          <w:sz w:val="24"/>
          <w:szCs w:val="24"/>
        </w:rPr>
        <w:t xml:space="preserve">Un atto, cinque indirizzi. Chi ne citasse tre credendo di citarne tre ne citerebbe uno. È il collasso genealogico nella sua forma più semplice e più difficile da vedere, perché nulla nelle tre citazioni rivela che si tratti del medesimo foglio: differiscono la chiave, il fascicolo, e il contesto tematico entro il quale l'atto è collocato.</w:t>
      </w:r>
    </w:p>
    <w:p>
      <w:pPr>
        <w:spacing w:after="120" w:line="276"/>
        <w:jc w:val="both"/>
      </w:pPr>
      <w:r>
        <w:rPr>
          <w:rFonts w:ascii="Barlow Semi Condensed" w:cs="Barlow Semi Condensed" w:eastAsia="Barlow Semi Condensed" w:hAnsi="Barlow Semi Condensed"/>
          <w:b/>
          <w:bCs/>
          <w:sz w:val="24"/>
          <w:szCs w:val="24"/>
        </w:rPr>
        <w:t xml:space="preserve">Si enuncia la regola che ne discende, e si aggiunge alle sei della Parte settima dell'appendice seconda.</w:t>
      </w:r>
    </w:p>
    <w:p>
      <w:pPr>
        <w:spacing w:after="120" w:line="276"/>
        <w:jc w:val="both"/>
      </w:pPr>
      <w:r>
        <w:rPr>
          <w:rFonts w:ascii="Barlow Semi Condensed" w:cs="Barlow Semi Condensed" w:eastAsia="Barlow Semi Condensed" w:hAnsi="Barlow Semi Condensed"/>
          <w:b/>
          <w:bCs/>
          <w:sz w:val="24"/>
          <w:szCs w:val="24"/>
        </w:rPr>
        <w:t xml:space="preserve">Settima regola della risalita. La chiave di catalogo non è l'atto: è un indirizzo dell'atto. Un atto possiede tanti indirizzi quanti sono i fascicoli che lo riguardano, e la molteplicità degli indirizzi non moltiplica le catene. Prima di computare come distinte due fonti recate da chiavi diverse, si verifichi che non siano il medesimo documento con due recapiti.</w:t>
      </w:r>
    </w:p>
    <w:p>
      <w:pPr>
        <w:pStyle w:val="Heading2"/>
        <w:spacing w:after="100" w:before="200"/>
      </w:pPr>
      <w:r>
        <w:rPr>
          <w:rFonts w:ascii="Barlow Semi Condensed" w:cs="Barlow Semi Condensed" w:eastAsia="Barlow Semi Condensed" w:hAnsi="Barlow Semi Condensed"/>
          <w:sz w:val="24"/>
          <w:szCs w:val="24"/>
        </w:rPr>
        <w:t xml:space="preserve">Parte terza — Le tre divergenze accertate</w:t>
      </w:r>
    </w:p>
    <w:p>
      <w:pPr>
        <w:spacing w:after="120" w:line="276"/>
        <w:jc w:val="both"/>
      </w:pPr>
      <w:r>
        <w:rPr>
          <w:rFonts w:ascii="Barlow Semi Condensed" w:cs="Barlow Semi Condensed" w:eastAsia="Barlow Semi Condensed" w:hAnsi="Barlow Semi Condensed"/>
          <w:b/>
          <w:bCs/>
          <w:sz w:val="24"/>
          <w:szCs w:val="24"/>
        </w:rPr>
        <w:t xml:space="preserve">La verifica incrociata fra le unità d'indice ha prodotto tre divergenze, ciascuna delle quali riguarda la designazione di un atto e nessuna il suo contenuto. Si riportano tutte e tre, compresa quella che corregge un'affermazione dell'appendice quarta.</w:t>
      </w:r>
    </w:p>
    <w:p>
      <w:pPr>
        <w:spacing w:after="120" w:line="276"/>
        <w:jc w:val="both"/>
      </w:pPr>
      <w:r>
        <w:rPr>
          <w:rFonts w:ascii="Barlow Semi Condensed" w:cs="Barlow Semi Condensed" w:eastAsia="Barlow Semi Condensed" w:hAnsi="Barlow Semi Condensed"/>
          <w:b/>
          <w:bCs/>
          <w:sz w:val="24"/>
          <w:szCs w:val="24"/>
        </w:rPr>
        <w:t xml:space="preserve">Prima divergenza, già registrata. L'indice di acquisizione e l'indice tematico del medesimo fascicolo descrivono l'unità tredicesima con due anni diversi e due nomi diversi del primo imputato. Resta non risolta e la sua risoluzione richiede l'atto.</w:t>
      </w:r>
    </w:p>
    <w:p>
      <w:pPr>
        <w:spacing w:after="120" w:line="276"/>
        <w:jc w:val="both"/>
      </w:pPr>
      <w:r>
        <w:rPr>
          <w:rFonts w:ascii="Barlow Semi Condensed" w:cs="Barlow Semi Condensed" w:eastAsia="Barlow Semi Condensed" w:hAnsi="Barlow Semi Condensed"/>
          <w:b/>
          <w:bCs/>
          <w:sz w:val="24"/>
          <w:szCs w:val="24"/>
        </w:rPr>
        <w:t xml:space="preserve">Seconda divergenza, sulla chiave di destinazione. L'indice del fascicolo del caso, alla ventiduesima unità, rinvia a una chiave del fascicolo dedicato alla struttura clandestina indicandola con il numero quarantaquattro barra due. L'indice di quel medesimo fascicolo reca il medesimo atto — una relazione su un autore di un testo tecnico sulle tecniche di sabotaggio, pervenuta l'otto maggio millenovecentonovantuno — sotto il numero quindici barra due, e vi appone il rinvio reciproco al fascicolo del caso. Il processo verbale della ottantesima seduta, che è la fonte anteriore a entrambi gli indici, designa la chiave con la denominazione estesa del fascicolo, che comprende una struttura informativa parallela accanto alla struttura clandestina.</w:t>
      </w:r>
    </w:p>
    <w:p>
      <w:pPr>
        <w:spacing w:after="120" w:line="276"/>
        <w:jc w:val="both"/>
      </w:pPr>
      <w:r>
        <w:rPr>
          <w:rFonts w:ascii="Barlow Semi Condensed" w:cs="Barlow Semi Condensed" w:eastAsia="Barlow Semi Condensed" w:hAnsi="Barlow Semi Condensed"/>
          <w:b/>
          <w:bCs/>
          <w:sz w:val="24"/>
          <w:szCs w:val="24"/>
        </w:rPr>
        <w:t xml:space="preserve">La spiegazione più probabile è dunque che esistano due fascicoli distinti, e che il rinvio del primo indice abbia abbreviato la denominazione estesa del fascicolo di destinazione in modo tale da produrre una chiave che collide con quella di un fascicolo diverso. Si dichiara che questa è una ricostruzione dell'opera e non un dato del documento.</w:t>
      </w:r>
    </w:p>
    <w:p>
      <w:pPr>
        <w:spacing w:after="120" w:line="276"/>
        <w:jc w:val="both"/>
      </w:pPr>
      <w:r>
        <w:rPr>
          <w:rFonts w:ascii="Barlow Semi Condensed" w:cs="Barlow Semi Condensed" w:eastAsia="Barlow Semi Condensed" w:hAnsi="Barlow Semi Condensed"/>
          <w:b/>
          <w:bCs/>
          <w:sz w:val="24"/>
          <w:szCs w:val="24"/>
        </w:rPr>
        <w:t xml:space="preserve">Se ne trae la regola ottava. Un rinvio che abbrevi la denominazione del fascicolo di destinazione può produrre una chiave collidente. I rinvii si verificano sul fascicolo di destinazione e non su quello di partenza, poiché il fascicolo di partenza dichiara dove ha creduto di mandare e il fascicolo di destinazione dichiara che cosa possiede.</w:t>
      </w:r>
    </w:p>
    <w:p>
      <w:pPr>
        <w:spacing w:after="120" w:line="276"/>
        <w:jc w:val="both"/>
      </w:pPr>
      <w:r>
        <w:rPr>
          <w:rFonts w:ascii="Barlow Semi Condensed" w:cs="Barlow Semi Condensed" w:eastAsia="Barlow Semi Condensed" w:hAnsi="Barlow Semi Condensed"/>
          <w:b/>
          <w:bCs/>
          <w:sz w:val="24"/>
          <w:szCs w:val="24"/>
        </w:rPr>
        <w:t xml:space="preserve">Terza divergenza, e correzione a proprio sfavore. L'appendice quarta ha designato l'unità ventisettesima come recante, fra l'altro, la traduzione di un documento straniero sulle operazioni di stabilizzazione, pubblicato in lingua originale negli atti parlamentari a un volume, un documento e un numero determinati, e ha qualificato quella designazione come l'unica del fascicolo a recare una segnatura parlamentare completa, e pertanto come il rinvio più preciso verso il corpus maggiore.</w:t>
      </w:r>
    </w:p>
    <w:p>
      <w:pPr>
        <w:spacing w:after="120" w:line="276"/>
        <w:jc w:val="both"/>
      </w:pPr>
      <w:r>
        <w:rPr>
          <w:rFonts w:ascii="Barlow Semi Condensed" w:cs="Barlow Semi Condensed" w:eastAsia="Barlow Semi Condensed" w:hAnsi="Barlow Semi Condensed"/>
          <w:b/>
          <w:bCs/>
          <w:sz w:val="24"/>
          <w:szCs w:val="24"/>
        </w:rPr>
        <w:t xml:space="preserve">L'indice del fascicolo dedicato alla struttura clandestina reca il medesimo atto e la medesima segnatura, con una differenza: il numero romano del documento parlamentare è diverso. Uno dei due indici reca una segnatura errata, e il presente atto non stabilisce quale.</w:t>
      </w:r>
    </w:p>
    <w:p>
      <w:pPr>
        <w:spacing w:after="120" w:line="276"/>
        <w:jc w:val="both"/>
      </w:pPr>
      <w:r>
        <w:rPr>
          <w:rFonts w:ascii="Barlow Semi Condensed" w:cs="Barlow Semi Condensed" w:eastAsia="Barlow Semi Condensed" w:hAnsi="Barlow Semi Condensed"/>
          <w:b/>
          <w:bCs/>
          <w:sz w:val="24"/>
          <w:szCs w:val="24"/>
        </w:rPr>
        <w:t xml:space="preserve">La correzione va dunque apportata all'appendice quarta e si dichiara. La segnatura non è verificata. Essa era stata riportata come dato del documento, ed era dato di un documento soltanto; ora che si dispone di due documenti, essi divergono. L'affermazione secondo cui quella designazione costituiva il rinvio più preciso verso il corpus maggiore è mantenuta quanto alla completezza formale della segnatura, ed è revocata quanto alla sua affidabilità, che è nulla finché non sia risolta.</w:t>
      </w:r>
    </w:p>
    <w:p>
      <w:pPr>
        <w:spacing w:after="120" w:line="276"/>
        <w:jc w:val="both"/>
      </w:pPr>
      <w:r>
        <w:rPr>
          <w:rFonts w:ascii="Barlow Semi Condensed" w:cs="Barlow Semi Condensed" w:eastAsia="Barlow Semi Condensed" w:hAnsi="Barlow Semi Condensed"/>
          <w:b/>
          <w:bCs/>
          <w:sz w:val="24"/>
          <w:szCs w:val="24"/>
        </w:rPr>
        <w:t xml:space="preserve">Si osservi che la correzione è prodotta dalla medesima operazione che la Parte sesta dell'appendice quarta aveva prescritta poche ore prima, e che essa colpisce proprio l'affermazione che quell'appendice aveva formulata con maggiore sicurezza. La regola secondo cui un indice è una fonte e ha i propri errori era stata enunciata su un caso e applicata a nessuno; qui è applicata, e il primo atto che essa colpisce è quello di chi l'aveva enunciata.</w:t>
      </w:r>
    </w:p>
    <w:p>
      <w:pPr>
        <w:pStyle w:val="Heading2"/>
        <w:spacing w:after="100" w:before="200"/>
      </w:pPr>
      <w:r>
        <w:rPr>
          <w:rFonts w:ascii="Barlow Semi Condensed" w:cs="Barlow Semi Condensed" w:eastAsia="Barlow Semi Condensed" w:hAnsi="Barlow Semi Condensed"/>
          <w:sz w:val="24"/>
          <w:szCs w:val="24"/>
        </w:rPr>
        <w:t xml:space="preserve">Parte quarta — Il verso favorevole della catalogazione multipla</w:t>
      </w:r>
    </w:p>
    <w:p>
      <w:pPr>
        <w:spacing w:after="120" w:line="276"/>
        <w:jc w:val="both"/>
      </w:pPr>
      <w:r>
        <w:rPr>
          <w:rFonts w:ascii="Barlow Semi Condensed" w:cs="Barlow Semi Condensed" w:eastAsia="Barlow Semi Condensed" w:hAnsi="Barlow Semi Condensed"/>
          <w:b/>
          <w:bCs/>
          <w:sz w:val="24"/>
          <w:szCs w:val="24"/>
        </w:rPr>
        <w:t xml:space="preserve">Si dichiara, per non lasciare il quadro inclinato da una sola parte, che la catalogazione multipla ha un effetto di segno opposto a quello finora esposto, e che esso è di rilievo pratico maggiore.</w:t>
      </w:r>
    </w:p>
    <w:p>
      <w:pPr>
        <w:spacing w:after="120" w:line="276"/>
        <w:jc w:val="both"/>
      </w:pPr>
      <w:r>
        <w:rPr>
          <w:rFonts w:ascii="Barlow Semi Condensed" w:cs="Barlow Semi Condensed" w:eastAsia="Barlow Semi Condensed" w:hAnsi="Barlow Semi Condensed"/>
          <w:b/>
          <w:bCs/>
          <w:sz w:val="24"/>
          <w:szCs w:val="24"/>
        </w:rPr>
        <w:t xml:space="preserve">Un atto con cinque indirizzi è un atto che si trova per cinque vie. Chi ignori l'esistenza di un fascicolo può raggiungere il medesimo documento per un altro, e chi lavori su una materia si imbatte in atti pertinenti a materie contigue senza averli cercati. Un sistema di catalogazione a rinvii multipli è, per costruzione, uno strumento di reperimento migliore di un sistema a chiave unica, e la sua tendenza a gonfiare i computi di convergenza è il prezzo di questa virtù e non un difetto autonomo.</w:t>
      </w:r>
    </w:p>
    <w:p>
      <w:pPr>
        <w:spacing w:after="120" w:line="276"/>
        <w:jc w:val="both"/>
      </w:pPr>
      <w:r>
        <w:rPr>
          <w:rFonts w:ascii="Barlow Semi Condensed" w:cs="Barlow Semi Condensed" w:eastAsia="Barlow Semi Condensed" w:hAnsi="Barlow Semi Condensed"/>
          <w:b/>
          <w:bCs/>
          <w:sz w:val="24"/>
          <w:szCs w:val="24"/>
        </w:rPr>
        <w:t xml:space="preserve">Ne segue che la regola settima non prescrive di diffidare dei rinvii ma di non contarli. Essi vanno seguiti tutti e computati una volta sola, ed è precisamente la disciplina che la risalita impone: moltiplicare le vie di accesso e non le catene.</w:t>
      </w:r>
    </w:p>
    <w:p>
      <w:pPr>
        <w:spacing w:after="120" w:line="276"/>
        <w:jc w:val="both"/>
      </w:pPr>
      <w:r>
        <w:rPr>
          <w:rFonts w:ascii="Barlow Semi Condensed" w:cs="Barlow Semi Condensed" w:eastAsia="Barlow Semi Condensed" w:hAnsi="Barlow Semi Condensed"/>
          <w:b/>
          <w:bCs/>
          <w:sz w:val="24"/>
          <w:szCs w:val="24"/>
        </w:rPr>
        <w:t xml:space="preserve">Si registra in questo verso un'acquisizione concreta per la tavola. Il fascicolo del caso rinvia, alla quarantacinquesima unità, alla banca dati e alle materie varie; l'unità dedicata ai procedimenti di strage dichiara che la banca dati è testualmente interrogabile e che i documenti non pubblicabili sono versati a un archivio storico determinato. Le due dichiarazioni, congiunte, stabiliscono che gli otto faldoni selezionati di un procedimento per omicidio sono ricercabili per parola e conservati in sede nominata. Nessuna delle due unità, presa da sola, lo stabiliva.</w:t>
      </w:r>
    </w:p>
    <w:p>
      <w:pPr>
        <w:pStyle w:val="Heading2"/>
        <w:spacing w:after="100" w:before="200"/>
      </w:pPr>
      <w:r>
        <w:rPr>
          <w:rFonts w:ascii="Barlow Semi Condensed" w:cs="Barlow Semi Condensed" w:eastAsia="Barlow Semi Condensed" w:hAnsi="Barlow Semi Condensed"/>
          <w:sz w:val="24"/>
          <w:szCs w:val="24"/>
        </w:rPr>
        <w:t xml:space="preserve">Parte quinta — Le mutazioni di stato</w:t>
      </w:r>
    </w:p>
    <w:p>
      <w:pPr>
        <w:spacing w:after="120" w:line="276"/>
        <w:jc w:val="both"/>
      </w:pPr>
      <w:r>
        <w:rPr>
          <w:rFonts w:ascii="Barlow Semi Condensed" w:cs="Barlow Semi Condensed" w:eastAsia="Barlow Semi Condensed" w:hAnsi="Barlow Semi Condensed"/>
          <w:b/>
          <w:bCs/>
          <w:sz w:val="24"/>
          <w:szCs w:val="24"/>
        </w:rPr>
        <w:t xml:space="preserve">La Voce ventesima progredisce quanto alla qualità e non quanto al numero. Le cinquanta fonti designate per atto restano cinquanta; per quattordici di esse è ora noto che la medesima designazione è raggiungibile per una chiave diversa, e per una la chiave dichiarata è dubbia.</w:t>
      </w:r>
    </w:p>
    <w:p>
      <w:pPr>
        <w:spacing w:after="120" w:line="276"/>
        <w:jc w:val="both"/>
      </w:pPr>
      <w:r>
        <w:rPr>
          <w:rFonts w:ascii="Barlow Semi Condensed" w:cs="Barlow Semi Condensed" w:eastAsia="Barlow Semi Condensed" w:hAnsi="Barlow Semi Condensed"/>
          <w:b/>
          <w:bCs/>
          <w:sz w:val="24"/>
          <w:szCs w:val="24"/>
        </w:rPr>
        <w:t xml:space="preserve">Si iscrivono in tavola due voci nuove.</w:t>
      </w:r>
    </w:p>
    <w:p>
      <w:pPr>
        <w:spacing w:after="120" w:line="276"/>
        <w:jc w:val="both"/>
      </w:pPr>
      <w:r>
        <w:rPr>
          <w:rFonts w:ascii="Barlow Semi Condensed" w:cs="Barlow Semi Condensed" w:eastAsia="Barlow Semi Condensed" w:hAnsi="Barlow Semi Condensed"/>
          <w:b/>
          <w:bCs/>
          <w:sz w:val="24"/>
          <w:szCs w:val="24"/>
        </w:rPr>
        <w:t xml:space="preserve">Voce venticinquesima — La risoluzione delle tre divergenze di designazione. Oggetto: l'anno e il primo imputato dell'atto designato come unità tredicesima; la chiave esatta del fascicolo di destinazione del rinvio apposto all'unità ventiduesima; il numero del documento parlamentare recante il testo straniero tradotto all'unità ventisettesima. Sede: per le prime due, gli atti della Commissione presso l'archivio storico competente; per la terza, la raccolta degli atti parlamentari, che è pubblica e consultabile senza autorizzazione alcuna. Chiusura: risoluzione delle tre. Smentita: non ricorre, trattandosi di verifica di dato e non di ipotesi. Si segnala che la terza è, fra tutte le voci della tavola, quella di costo minore, poiché richiede la consultazione di un volume a stampa.</w:t>
      </w:r>
    </w:p>
    <w:p>
      <w:pPr>
        <w:spacing w:after="120" w:line="276"/>
        <w:jc w:val="both"/>
      </w:pPr>
      <w:r>
        <w:rPr>
          <w:rFonts w:ascii="Barlow Semi Condensed" w:cs="Barlow Semi Condensed" w:eastAsia="Barlow Semi Condensed" w:hAnsi="Barlow Semi Condensed"/>
          <w:b/>
          <w:bCs/>
          <w:sz w:val="24"/>
          <w:szCs w:val="24"/>
        </w:rPr>
        <w:t xml:space="preserve">Voce ventiseiesima — La verifica di reciprocità dei rinvii. Oggetto: per ciascuna delle cinquanta unità del fascicolo del caso, la verifica dell'esistenza del rinvio reciproco nei fascicoli di destinazione, e l'individuazione delle catalogazioni multiple non dichiarate. Sede: le unità d'indice della medesima serie parlamentare, già possedute per tre fascicoli su sette. Chiusura: verifica delle cinquanta. Smentita: la constatazione che i rinvii siano reciproci in tutti i casi verificabili, la quale eleverebbe il rapporto di quattordici su cinquanta da soglia a misura.</w:t>
      </w:r>
    </w:p>
    <w:p>
      <w:pPr>
        <w:spacing w:after="120" w:line="276"/>
        <w:jc w:val="both"/>
      </w:pPr>
      <w:r>
        <w:rPr>
          <w:rFonts w:ascii="Barlow Semi Condensed" w:cs="Barlow Semi Condensed" w:eastAsia="Barlow Semi Condensed" w:hAnsi="Barlow Semi Condensed"/>
          <w:b/>
          <w:bCs/>
          <w:sz w:val="24"/>
          <w:szCs w:val="24"/>
        </w:rPr>
        <w:t xml:space="preserve">Si dichiara che entrambe le voci sono eseguibili senza accesso archivistico per la parte che riguarda i fascicoli posseduti, e che esse si aggiungono pertanto alla classe, finora composta di due sole voci, di ciò che attende soltanto di essere compiuto.</w:t>
      </w:r>
    </w:p>
    <w:p>
      <w:pPr>
        <w:pStyle w:val="Heading2"/>
        <w:spacing w:after="100" w:before="200"/>
      </w:pPr>
      <w:r>
        <w:rPr>
          <w:rFonts w:ascii="Barlow Semi Condensed" w:cs="Barlow Semi Condensed" w:eastAsia="Barlow Semi Condensed" w:hAnsi="Barlow Semi Condensed"/>
          <w:sz w:val="24"/>
          <w:szCs w:val="24"/>
        </w:rPr>
        <w:t xml:space="preserve">Parte sesta — Stati Zero residui</w:t>
      </w:r>
    </w:p>
    <w:p>
      <w:pPr>
        <w:spacing w:after="120" w:line="276"/>
        <w:jc w:val="both"/>
      </w:pPr>
      <w:r>
        <w:rPr>
          <w:rFonts w:ascii="Barlow Semi Condensed" w:cs="Barlow Semi Condensed" w:eastAsia="Barlow Semi Condensed" w:hAnsi="Barlow Semi Condensed"/>
          <w:b/>
          <w:bCs/>
          <w:sz w:val="24"/>
          <w:szCs w:val="24"/>
        </w:rPr>
        <w:t xml:space="preserve">Primo. I fascicoli di destinazione posseduti sono tre su sette. Mancano quelli dedicati al terrorismo di sinistra, alla loggia coperta, alla struttura informativa parallela e alle materie varie, che sono i quattro verso i quali il fascicolo del caso rinvia più frequentemente. La verifica di reciprocità è pertanto eseguibile solo in parte.</w:t>
      </w:r>
    </w:p>
    <w:p>
      <w:pPr>
        <w:spacing w:after="120" w:line="276"/>
        <w:jc w:val="both"/>
      </w:pPr>
      <w:r>
        <w:rPr>
          <w:rFonts w:ascii="Barlow Semi Condensed" w:cs="Barlow Semi Condensed" w:eastAsia="Barlow Semi Condensed" w:hAnsi="Barlow Semi Condensed"/>
          <w:b/>
          <w:bCs/>
          <w:sz w:val="24"/>
          <w:szCs w:val="24"/>
        </w:rPr>
        <w:t xml:space="preserve">Secondo. Il contenuto di nessuna unità è esaminato, e le cinque appendici hanno costruito un indice di reperimento e nient'altro. Si ripete la dichiarazione per la terza volta, poiché la quantità di estremi accumulati può indurre a credere il contrario.</w:t>
      </w:r>
    </w:p>
    <w:p>
      <w:pPr>
        <w:spacing w:after="120" w:line="276"/>
        <w:jc w:val="both"/>
      </w:pPr>
      <w:r>
        <w:rPr>
          <w:rFonts w:ascii="Barlow Semi Condensed" w:cs="Barlow Semi Condensed" w:eastAsia="Barlow Semi Condensed" w:hAnsi="Barlow Semi Condensed"/>
          <w:b/>
          <w:bCs/>
          <w:sz w:val="24"/>
          <w:szCs w:val="24"/>
        </w:rPr>
        <w:t xml:space="preserve">Terzo. Nessuna delle tre divergenze è risolta.</w:t>
      </w:r>
    </w:p>
    <w:p>
      <w:pPr>
        <w:spacing w:after="120" w:line="276"/>
        <w:jc w:val="both"/>
      </w:pPr>
      <w:r>
        <w:rPr>
          <w:rFonts w:ascii="Barlow Semi Condensed" w:cs="Barlow Semi Condensed" w:eastAsia="Barlow Semi Condensed" w:hAnsi="Barlow Semi Condensed"/>
          <w:b/>
          <w:bCs/>
          <w:sz w:val="24"/>
          <w:szCs w:val="24"/>
        </w:rPr>
        <w:t xml:space="preserve">Quarto. La reciprocità dei rinvii non è verificata per alcuna unità, e la misura di quattordici su cinquanta resta pertanto una soglia e non una misura.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terza del giorno sul medesimo cantiere. Cantiere: designazione per atto delle fonti. Materia: le tre unità d'indice restanti della serie parlamentare, e la catalogazione multipla degli atti.</w:t>
      </w:r>
    </w:p>
    <w:p>
      <w:pPr>
        <w:spacing w:after="120" w:line="276"/>
        <w:jc w:val="both"/>
      </w:pPr>
      <w:r>
        <w:rPr>
          <w:rFonts w:ascii="Barlow Semi Condensed" w:cs="Barlow Semi Condensed" w:eastAsia="Barlow Semi Condensed" w:hAnsi="Barlow Semi Condensed"/>
          <w:b/>
          <w:bCs/>
          <w:sz w:val="24"/>
          <w:szCs w:val="24"/>
        </w:rPr>
        <w:t xml:space="preserve">Esito positivo: prima misura del fenomeno della catalogazione multipla, dichiarata come soglia e non come tetto, pari a quattordici unità su cinquanta con diciotto chiavi di destinazione esterne; individuazione del caso a cinque chiavi; enunciazione della settima e dell'ottava regola della risalita; individuazione della banca dati testualmente interrogabile e della sede di versamento dei documenti non pubblicabili; due voci nuove iscritte in tavola, entrambe eseguibili in parte senza accesso.</w:t>
      </w:r>
    </w:p>
    <w:p>
      <w:pPr>
        <w:spacing w:after="120" w:line="276"/>
        <w:jc w:val="both"/>
      </w:pPr>
      <w:r>
        <w:rPr>
          <w:rFonts w:ascii="Barlow Semi Condensed" w:cs="Barlow Semi Condensed" w:eastAsia="Barlow Semi Condensed" w:hAnsi="Barlow Semi Condensed"/>
          <w:b/>
          <w:bCs/>
          <w:sz w:val="24"/>
          <w:szCs w:val="24"/>
        </w:rPr>
        <w:t xml:space="preserve">Esito negativo: quattro fascicoli di destinazione su sette non posseduti; reciprocità dei rinvii non verificata; tre divergenze di designazione accertate e nessuna risolta.</w:t>
      </w:r>
    </w:p>
    <w:p>
      <w:pPr>
        <w:spacing w:after="120" w:line="276"/>
        <w:jc w:val="both"/>
      </w:pPr>
      <w:r>
        <w:rPr>
          <w:rFonts w:ascii="Barlow Semi Condensed" w:cs="Barlow Semi Condensed" w:eastAsia="Barlow Semi Condensed" w:hAnsi="Barlow Semi Condensed"/>
          <w:b/>
          <w:bCs/>
          <w:sz w:val="24"/>
          <w:szCs w:val="24"/>
        </w:rPr>
        <w:t xml:space="preserve">Riga di errore proprio, terza della giornata. L'appendice quarta ha qualificato una segnatura parlamentare come il rinvio più preciso verso il corpus maggiore, fondandosi su un solo indice. Un secondo indice della medesima serie reca la medesima segnatura con un numero di documento diverso. L'affermazione è revocata quanto all'affidabilità e mantenuta quanto alla completezza formale. Si registra che l'errore è del genere che l'appendice colpita aveva descritto poche ore prima, e che descriverlo non aveva impedito di commetterlo.</w:t>
      </w:r>
    </w:p>
    <w:p>
      <w:pPr>
        <w:spacing w:after="120" w:line="276"/>
        <w:jc w:val="both"/>
      </w:pPr>
      <w:r>
        <w:rPr>
          <w:rFonts w:ascii="Barlow Semi Condensed" w:cs="Barlow Semi Condensed" w:eastAsia="Barlow Semi Condensed" w:hAnsi="Barlow Semi Condensed"/>
          <w:b/>
          <w:bCs/>
          <w:sz w:val="24"/>
          <w:szCs w:val="24"/>
        </w:rPr>
        <w:t xml:space="preserve">Riga di avvertenza. Nulla di quanto qui esposto riguarda il contenuto degli atti, la responsabilità di alcuno o il merito di alcuna questione del caso. Il presente atto tratta di indirizzi di documenti. La sua sola conseguenza sostanziale è che i computi di convergenza fondati su chiavi di catalogo diverse vanno rifatti, e che essi risulteranno, per una parte non ancora determinata, computi su una catena sola.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 la catalogazione multipla e la divergenza dei rinvii,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La chiave di catalogo non è l'atto: è un indirizzo dell'atto, e i rinvii si seguono tutti e si contano una volta sola.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 · Appendice quinta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2.359 parole in 9 sezioni; la più ampia è §9 Altre sezioni, con 1.932.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40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III — Appendice sesta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w:t>
      </w:r>
    </w:p>
    <w:p>
      <w:pPr>
        <w:pStyle w:val="Heading2"/>
        <w:spacing w:after="100" w:before="200"/>
      </w:pPr>
      <w:r>
        <w:rPr>
          <w:rFonts w:ascii="Barlow Semi Condensed" w:cs="Barlow Semi Condensed" w:eastAsia="Barlow Semi Condensed" w:hAnsi="Barlow Semi Condensed"/>
          <w:sz w:val="24"/>
          <w:szCs w:val="24"/>
        </w:rPr>
        <w:t xml:space="preserve">La prima unità di produzione</w:t>
      </w:r>
    </w:p>
    <w:p>
      <w:pPr>
        <w:pStyle w:val="Heading2"/>
        <w:spacing w:after="100" w:before="200"/>
      </w:pPr>
      <w:r>
        <w:rPr>
          <w:rFonts w:ascii="Barlow Semi Condensed" w:cs="Barlow Semi Condensed" w:eastAsia="Barlow Semi Condensed" w:hAnsi="Barlow Semi Condensed"/>
          <w:sz w:val="24"/>
          <w:szCs w:val="24"/>
        </w:rPr>
        <w:t xml:space="preserve">Relazione sugli sviluppi del caso, XI legislatura, documento XXIII numero 13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sesta</w:t>
      </w:r>
    </w:p>
    <w:p>
      <w:pPr>
        <w:spacing w:after="120" w:line="276"/>
        <w:jc w:val="both"/>
      </w:pPr>
      <w:r>
        <w:rPr>
          <w:rFonts w:ascii="Barlow Semi Condensed" w:cs="Barlow Semi Condensed" w:eastAsia="Barlow Semi Condensed" w:hAnsi="Barlow Semi Condensed"/>
          <w:b/>
          <w:bCs/>
          <w:sz w:val="24"/>
          <w:szCs w:val="24"/>
        </w:rPr>
        <w:t xml:space="preserve">La presente è appendice sesta alla Fase Settima e opera sulla relazione parlamentare sugli sviluppi del caso approvata nella XI legislatura e stampata come documento XXIII numero 13, della quale si possiede la trascrizione integrale delle ventitré pagine. Come le cinque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Questa unità differisce da tutte le precedenti per una ragione che ne governa l'intero trattamento. Le cinque appendici anteriori hanno lavorato su indici di acquisizione e su processi verbali, che sono atti di reperimento. La presente lavora su un atto di produzione: una relazione è un giudizio, e il suo autore ne è fonte originaria e piena. È la prima volta, in questa serie, che un nucleo parlamentare compare nella funzione per la quale esso genera catena propria, e non in quella per la quale ne raddoppia una altrui.</w:t>
      </w:r>
    </w:p>
    <w:p>
      <w:pPr>
        <w:pStyle w:val="Heading2"/>
        <w:spacing w:after="100" w:before="200"/>
      </w:pPr>
      <w:r>
        <w:rPr>
          <w:rFonts w:ascii="Barlow Semi Condensed" w:cs="Barlow Semi Condensed" w:eastAsia="Barlow Semi Condensed" w:hAnsi="Barlow Semi Condensed"/>
          <w:sz w:val="24"/>
          <w:szCs w:val="24"/>
        </w:rPr>
        <w:t xml:space="preserve">Parte prima — Lo statuto della relazione, e ciò che essa non converte</w:t>
      </w:r>
    </w:p>
    <w:p>
      <w:pPr>
        <w:spacing w:after="120" w:line="276"/>
        <w:jc w:val="both"/>
      </w:pPr>
      <w:r>
        <w:rPr>
          <w:rFonts w:ascii="Barlow Semi Condensed" w:cs="Barlow Semi Condensed" w:eastAsia="Barlow Semi Condensed" w:hAnsi="Barlow Semi Condensed"/>
          <w:b/>
          <w:bCs/>
          <w:sz w:val="24"/>
          <w:szCs w:val="24"/>
        </w:rPr>
        <w:t xml:space="preserve">Una relazione parlamentare è, quanto alla propria genealogia, un oggetto composito, e la sua scomposizione va compiuta prima di trarne alcunché.</w:t>
      </w:r>
    </w:p>
    <w:p>
      <w:pPr>
        <w:spacing w:after="120" w:line="276"/>
        <w:jc w:val="both"/>
      </w:pPr>
      <w:r>
        <w:rPr>
          <w:rFonts w:ascii="Barlow Semi Condensed" w:cs="Barlow Semi Condensed" w:eastAsia="Barlow Semi Condensed" w:hAnsi="Barlow Semi Condensed"/>
          <w:b/>
          <w:bCs/>
          <w:sz w:val="24"/>
          <w:szCs w:val="24"/>
        </w:rPr>
        <w:t xml:space="preserve">Essa è produzione originaria quanto a tre cose e a nessun'altra: le proprie valutazioni, i propri rilievi sullo stato degli atti, e le proprie richieste all'organismo che le succederà. Di queste tre l'organo è autore, e nessuna fonte anteriore le contiene.</w:t>
      </w:r>
    </w:p>
    <w:p>
      <w:pPr>
        <w:spacing w:after="120" w:line="276"/>
        <w:jc w:val="both"/>
      </w:pPr>
      <w:r>
        <w:rPr>
          <w:rFonts w:ascii="Barlow Semi Condensed" w:cs="Barlow Semi Condensed" w:eastAsia="Barlow Semi Condensed" w:hAnsi="Barlow Semi Condensed"/>
          <w:b/>
          <w:bCs/>
          <w:sz w:val="24"/>
          <w:szCs w:val="24"/>
        </w:rPr>
        <w:t xml:space="preserve">Essa è esposizione, e non fonte, quanto a tutto ciò che riferisce di atti altrui. Che una relazione parlamentare riporti il contenuto di una perizia non fa della relazione una fonte della perizia; che ne riporti il contenuto di una dichiarazione non ne fa una fonte della dichiarazione. La catena resta l'atto riferito, e la relazione ne è il primo indirizzo pubblico.</w:t>
      </w:r>
    </w:p>
    <w:p>
      <w:pPr>
        <w:spacing w:after="120" w:line="276"/>
        <w:jc w:val="both"/>
      </w:pPr>
      <w:r>
        <w:rPr>
          <w:rFonts w:ascii="Barlow Semi Condensed" w:cs="Barlow Semi Condensed" w:eastAsia="Barlow Semi Condensed" w:hAnsi="Barlow Semi Condensed"/>
          <w:b/>
          <w:bCs/>
          <w:sz w:val="24"/>
          <w:szCs w:val="24"/>
        </w:rPr>
        <w:t xml:space="preserve">Il punto va enunciato in forma di regola, poiché la relazione qui esaminata riferisce ampiamente da interviste giornalistiche, da trasmissioni televisive e da libri, e poiché è precisamente questo il meccanismo per il quale materiali di grado minimo acquistano, per sola collocazione, un'autorità che nessuno intendeva conferire loro.</w:t>
      </w:r>
    </w:p>
    <w:p>
      <w:pPr>
        <w:spacing w:after="120" w:line="276"/>
        <w:jc w:val="both"/>
      </w:pPr>
      <w:r>
        <w:rPr>
          <w:rFonts w:ascii="Barlow Semi Condensed" w:cs="Barlow Semi Condensed" w:eastAsia="Barlow Semi Condensed" w:hAnsi="Barlow Semi Condensed"/>
          <w:b/>
          <w:bCs/>
          <w:sz w:val="24"/>
          <w:szCs w:val="24"/>
        </w:rPr>
        <w:t xml:space="preserve">Nona regola della risalita. La citazione in un atto pubblico non muta la genealogia della fonte citata. Un'intervista riportata in una relazione parlamentare resta un'intervista, e il grado che le compete è quello che le competeva prima di esservi riportata. Ciò che l'atto pubblico aggiunge è la constatazione che quella dichiarazione fu resa e che l'organo la ritenne meritevole di menzione: due fatti veri, e nessuno dei due sul merito.</w:t>
      </w:r>
    </w:p>
    <w:p>
      <w:pPr>
        <w:pStyle w:val="Heading2"/>
        <w:spacing w:after="100" w:before="200"/>
      </w:pPr>
      <w:r>
        <w:rPr>
          <w:rFonts w:ascii="Barlow Semi Condensed" w:cs="Barlow Semi Condensed" w:eastAsia="Barlow Semi Condensed" w:hAnsi="Barlow Semi Condensed"/>
          <w:sz w:val="24"/>
          <w:szCs w:val="24"/>
        </w:rPr>
        <w:t xml:space="preserve">Parte seconda — Il repertorio generale del Gabinetto</w:t>
      </w:r>
    </w:p>
    <w:p>
      <w:pPr>
        <w:spacing w:after="120" w:line="276"/>
        <w:jc w:val="both"/>
      </w:pPr>
      <w:r>
        <w:rPr>
          <w:rFonts w:ascii="Barlow Semi Condensed" w:cs="Barlow Semi Condensed" w:eastAsia="Barlow Semi Condensed" w:hAnsi="Barlow Semi Condensed"/>
          <w:b/>
          <w:bCs/>
          <w:sz w:val="24"/>
          <w:szCs w:val="24"/>
        </w:rPr>
        <w:t xml:space="preserve">La relazione contiene una acquisizione che, sola, vale più dell'intero lavoro delle cinque appendici anteriori, e va esposta per prima.</w:t>
      </w:r>
    </w:p>
    <w:p>
      <w:pPr>
        <w:spacing w:after="120" w:line="276"/>
        <w:jc w:val="both"/>
      </w:pPr>
      <w:r>
        <w:rPr>
          <w:rFonts w:ascii="Barlow Semi Condensed" w:cs="Barlow Semi Condensed" w:eastAsia="Barlow Semi Condensed" w:hAnsi="Barlow Semi Condensed"/>
          <w:b/>
          <w:bCs/>
          <w:sz w:val="24"/>
          <w:szCs w:val="24"/>
        </w:rPr>
        <w:t xml:space="preserve">L'organo dichiara di essere venuto a conoscenza, per circostanze che esso stesso qualifica come sostanzialmente fortuite, che presso il Gabinetto del Ministro dell'interno era stato redatto un repertorio generale di tutti gli atti, da qualunque autorità formati, concernenti il caso e transitati per quel Dicastero; e dichiara che copia del repertorio fu immediatamente acquisita. Esso raccomanda inoltre all'organismo che gli succederà di acquisire piena conoscenza dell'oggetto degli atti repertati, per colmare ove possibile i vuoti di informazione perduranti.</w:t>
      </w:r>
    </w:p>
    <w:p>
      <w:pPr>
        <w:spacing w:after="120" w:line="276"/>
        <w:jc w:val="both"/>
      </w:pPr>
      <w:r>
        <w:rPr>
          <w:rFonts w:ascii="Barlow Semi Condensed" w:cs="Barlow Semi Condensed" w:eastAsia="Barlow Semi Condensed" w:hAnsi="Barlow Semi Condensed"/>
          <w:b/>
          <w:bCs/>
          <w:sz w:val="24"/>
          <w:szCs w:val="24"/>
        </w:rPr>
        <w:t xml:space="preserve">Si dica che cosa questo significhi per l'operazione in corso. La Voce ventesima domanda la designazione per atto delle fonti dell'opera, e le cinque appendici l'hanno perseguita per ricomposizione: cinquanta unità individuate voce per voce su indici e verbali, con diciannove lacune poi chiuse e tre divergenze accertate. Il repertorio qui nominato è, per definizione propria, l'inventario di tutti gli atti concernenti il caso transitati per il Ministero che ebbe la direzione della crisi. Esso non è una fonte del caso: è lo strumento che rende designabile per atto ciò che di quel caso passò per quella sede.</w:t>
      </w:r>
    </w:p>
    <w:p>
      <w:pPr>
        <w:spacing w:after="120" w:line="276"/>
        <w:jc w:val="both"/>
      </w:pPr>
      <w:r>
        <w:rPr>
          <w:rFonts w:ascii="Barlow Semi Condensed" w:cs="Barlow Semi Condensed" w:eastAsia="Barlow Semi Condensed" w:hAnsi="Barlow Semi Condensed"/>
          <w:b/>
          <w:bCs/>
          <w:sz w:val="24"/>
          <w:szCs w:val="24"/>
        </w:rPr>
        <w:t xml:space="preserve">Si dica altresì che cosa significhi la circostanza della scoperta. Un organo parlamentare d'inchiesta, dotato dei poteri dell'autorità giudiziaria, apprende per caso, a sedici anni dai fatti, che l'amministrazione che ebbe la direzione della crisi possedeva un inventario generale dei propri atti sul caso. L'inventario non era stato distrutto, non era stato negato, non era stato classificato: non era stato menzionato. Fra il celare e il non dire corre una differenza giuridica grande e una differenza pratica nulla, e la seconda è quella che il ricercatore incontra.</w:t>
      </w:r>
    </w:p>
    <w:p>
      <w:pPr>
        <w:spacing w:after="120" w:line="276"/>
        <w:jc w:val="both"/>
      </w:pPr>
      <w:r>
        <w:rPr>
          <w:rFonts w:ascii="Barlow Semi Condensed" w:cs="Barlow Semi Condensed" w:eastAsia="Barlow Semi Condensed" w:hAnsi="Barlow Semi Condensed"/>
          <w:b/>
          <w:bCs/>
          <w:sz w:val="24"/>
          <w:szCs w:val="24"/>
        </w:rPr>
        <w:t xml:space="preserve">Si registra la circostanza come conferma, su un caso determinato, della regolarità che il corpus maggiore ha già iscritta fra le proprie risultanze: nessun archivio di apparato si è aperto per iniziativa propria, e le aperture sono conseguite a pressione esterna. Qui non vi fu neppure pressione: vi fu il caso.</w:t>
      </w:r>
    </w:p>
    <w:p>
      <w:pPr>
        <w:spacing w:after="120" w:line="276"/>
        <w:jc w:val="both"/>
      </w:pPr>
      <w:r>
        <w:rPr>
          <w:rFonts w:ascii="Barlow Semi Condensed" w:cs="Barlow Semi Condensed" w:eastAsia="Barlow Semi Condensed" w:hAnsi="Barlow Semi Condensed"/>
          <w:b/>
          <w:bCs/>
          <w:sz w:val="24"/>
          <w:szCs w:val="24"/>
        </w:rPr>
        <w:t xml:space="preserve">Si iscrive in tavola la voce che ne discende, e la si dichiara la più rilevante della tavola dopo la Voce quinta.</w:t>
      </w:r>
    </w:p>
    <w:p>
      <w:pPr>
        <w:spacing w:after="120" w:line="276"/>
        <w:jc w:val="both"/>
      </w:pPr>
      <w:r>
        <w:rPr>
          <w:rFonts w:ascii="Barlow Semi Condensed" w:cs="Barlow Semi Condensed" w:eastAsia="Barlow Semi Condensed" w:hAnsi="Barlow Semi Condensed"/>
          <w:b/>
          <w:bCs/>
          <w:sz w:val="24"/>
          <w:szCs w:val="24"/>
        </w:rPr>
        <w:t xml:space="preserve">Voce ventisettesima — Il repertorio generale degli atti del Gabinetto. Oggetto: il repertorio generale di tutti gli atti concernenti il caso, da qualunque autorità formati, transitati per il Gabinetto del Ministro dell'interno; e, per ciascuna voce repertata, l'oggetto dell'atto. Sede: copia acquisita agli atti della Commissione della XI legislatura, presso l'archivio storico competente; originale presso il Gabinetto del Ministro dell'interno. Chiusura: acquisizione del repertorio e collazione delle sue voci con le cinquanta unità già designate. Smentita: la constatazione che il repertorio rechi le sole voci di protocollo senza oggetto, nel qual caso esso individuerebbe l'esistenza degli atti senza renderli domandabili, e la voce si trasformerebbe nella richiesta degli atti uno per uno.</w:t>
      </w:r>
    </w:p>
    <w:p>
      <w:pPr>
        <w:spacing w:after="120" w:line="276"/>
        <w:jc w:val="both"/>
      </w:pPr>
      <w:r>
        <w:rPr>
          <w:rFonts w:ascii="Barlow Semi Condensed" w:cs="Barlow Semi Condensed" w:eastAsia="Barlow Semi Condensed" w:hAnsi="Barlow Semi Condensed"/>
          <w:b/>
          <w:bCs/>
          <w:sz w:val="24"/>
          <w:szCs w:val="24"/>
        </w:rPr>
        <w:t xml:space="preserve">Si segnala che la Commissione della XI legislatura raccomandò l'acquisizione dell'oggetto degli atti repertati all'organismo successivo, e che il presente atto non accerta se tale raccomandazione sia stata eseguita. La verifica dell'esecuzione è iscritta nella medesima voce.</w:t>
      </w:r>
    </w:p>
    <w:p>
      <w:pPr>
        <w:pStyle w:val="Heading2"/>
        <w:spacing w:after="100" w:before="200"/>
      </w:pPr>
      <w:r>
        <w:rPr>
          <w:rFonts w:ascii="Barlow Semi Condensed" w:cs="Barlow Semi Condensed" w:eastAsia="Barlow Semi Condensed" w:hAnsi="Barlow Semi Condensed"/>
          <w:sz w:val="24"/>
          <w:szCs w:val="24"/>
        </w:rPr>
        <w:t xml:space="preserve">Parte terza — Le tre discontinuità documentate</w:t>
      </w:r>
    </w:p>
    <w:p>
      <w:pPr>
        <w:spacing w:after="120" w:line="276"/>
        <w:jc w:val="both"/>
      </w:pPr>
      <w:r>
        <w:rPr>
          <w:rFonts w:ascii="Barlow Semi Condensed" w:cs="Barlow Semi Condensed" w:eastAsia="Barlow Semi Condensed" w:hAnsi="Barlow Semi Condensed"/>
          <w:b/>
          <w:bCs/>
          <w:sz w:val="24"/>
          <w:szCs w:val="24"/>
        </w:rPr>
        <w:t xml:space="preserve">La relazione documenta tre discontinuità nell'attività degli apparati, e le documenta nella forma che la Scheda prima dello scenario primo del memorandum operativo prescrive di cercare: non ordini, ma atti mancanti.</w:t>
      </w:r>
    </w:p>
    <w:p>
      <w:pPr>
        <w:spacing w:after="120" w:line="276"/>
        <w:jc w:val="both"/>
      </w:pPr>
      <w:r>
        <w:rPr>
          <w:rFonts w:ascii="Barlow Semi Condensed" w:cs="Barlow Semi Condensed" w:eastAsia="Barlow Semi Condensed" w:hAnsi="Barlow Semi Condensed"/>
          <w:b/>
          <w:bCs/>
          <w:sz w:val="24"/>
          <w:szCs w:val="24"/>
        </w:rPr>
        <w:t xml:space="preserve">Prima discontinuità. Alle ore sette del ventuno marzo millenovecentosettantotto fu ordinato l'allertamento di un'unità di intervento speciale della Marina, e alle ore tredici l'allarme fu revocato. Presso il Ministero dell'interno non vi è traccia dell'ordine di allertamento; l'ordine risulta invece pervenuto al Ministero della difesa, presso il quale è custodita la documentazione relativa alle attività del reparto nel periodo. L'organo conclude che si sappia che un allertamento vi fu, e che non ne possano essere documentati i responsabili né i presupposti di fatto. Il fatto è riportato per esteso nella relazione conclusiva della X legislatura, documento XXIII numero 49, alla pagina ventinove e seguenti.</w:t>
      </w:r>
    </w:p>
    <w:p>
      <w:pPr>
        <w:spacing w:after="120" w:line="276"/>
        <w:jc w:val="both"/>
      </w:pPr>
      <w:r>
        <w:rPr>
          <w:rFonts w:ascii="Barlow Semi Condensed" w:cs="Barlow Semi Condensed" w:eastAsia="Barlow Semi Condensed" w:hAnsi="Barlow Semi Condensed"/>
          <w:b/>
          <w:bCs/>
          <w:sz w:val="24"/>
          <w:szCs w:val="24"/>
        </w:rPr>
        <w:t xml:space="preserve">Questa è la figura documentale più netta dell'intero fascicolo, e va enunciata con esattezza. Un ordine esiste presso il destinatario e non presso l'emittente. Le due proposizioni non si equivalgono e la seconda non si inferisce dalla prima: l'assenza presso l'emittente può derivare da omessa formazione, da omessa conservazione, da formazione orale, ovvero da conservazione presso una sede diversa da quella interrogata. La relazione non discrimina fra le quattro, e il presente atto non lo fa in sua vece.</w:t>
      </w:r>
    </w:p>
    <w:p>
      <w:pPr>
        <w:spacing w:after="120" w:line="276"/>
        <w:jc w:val="both"/>
      </w:pPr>
      <w:r>
        <w:rPr>
          <w:rFonts w:ascii="Barlow Semi Condensed" w:cs="Barlow Semi Condensed" w:eastAsia="Barlow Semi Condensed" w:hAnsi="Barlow Semi Condensed"/>
          <w:b/>
          <w:bCs/>
          <w:sz w:val="24"/>
          <w:szCs w:val="24"/>
        </w:rPr>
        <w:t xml:space="preserve">Seconda discontinuità. L'organo dichiara che non sono disponibili atti formali ai quali ricondurre l'insediamento dei comitati di crisi istituiti presso il Ministero dell'interno, né verbalizzazioni, sia pure succinte, del loro operato, e qualifica la circostanza come grave negligenza nella formulazione a essa più benevola.</w:t>
      </w:r>
    </w:p>
    <w:p>
      <w:pPr>
        <w:spacing w:after="120" w:line="276"/>
        <w:jc w:val="both"/>
      </w:pPr>
      <w:r>
        <w:rPr>
          <w:rFonts w:ascii="Barlow Semi Condensed" w:cs="Barlow Semi Condensed" w:eastAsia="Barlow Semi Condensed" w:hAnsi="Barlow Semi Condensed"/>
          <w:b/>
          <w:bCs/>
          <w:sz w:val="24"/>
          <w:szCs w:val="24"/>
        </w:rPr>
        <w:t xml:space="preserve">Questa dichiarazione qualifica retroattivamente un'acquisizione della appendice terza. L'unità quarantaduesima del fascicolo reca gli appunti coevi di quattro esperti del comitato di crisi, e l'appendice terza aveva osservato che essa serve la classe degli atti dei comitati di crisi. La presente relazione stabilisce che quegli appunti non affiancano una verbalizzazione: la sostituiscono, perché la verbalizzazione non esiste. Il valore dell'unità quarantaduesima ne risulta accresciuto e il suo limite ne risulta fissato: essa è ciò che resta di un organismo che non produsse atti propri, e non può dunque essere collazionata con alcunché.</w:t>
      </w:r>
    </w:p>
    <w:p>
      <w:pPr>
        <w:spacing w:after="120" w:line="276"/>
        <w:jc w:val="both"/>
      </w:pPr>
      <w:r>
        <w:rPr>
          <w:rFonts w:ascii="Barlow Semi Condensed" w:cs="Barlow Semi Condensed" w:eastAsia="Barlow Semi Condensed" w:hAnsi="Barlow Semi Condensed"/>
          <w:b/>
          <w:bCs/>
          <w:sz w:val="24"/>
          <w:szCs w:val="24"/>
        </w:rPr>
        <w:t xml:space="preserve">Terza discontinuità. Non risulta agli atti del Ministero della difesa alcuna traccia di un comitato informale che sarebbe stato istituito presso il Ministero della marina durante il sequestro. L'ordinanza di rinvio a giudizio del quarto procedimento ha ritenuto, allo stato degli atti, non provata l'esistenza dell'organismo né la partecipazione ad esso della persona alla quale alcune ipotesi ricostruttive la attribuivano. Il senatore audito dall'organo ha dichiarato di non essere a conoscenza di comitati di sorta presso quella sede, e di essere a conoscenza soltanto di un incarico affidato all'ufficio di decrittazione del servizio informativo d'arma, avente per oggetto l'esame dei documenti provenienti dal prigioniero nel presupposto che potessero contenere messaggi cifrati.</w:t>
      </w:r>
    </w:p>
    <w:p>
      <w:pPr>
        <w:spacing w:after="120" w:line="276"/>
        <w:jc w:val="both"/>
      </w:pPr>
      <w:r>
        <w:rPr>
          <w:rFonts w:ascii="Barlow Semi Condensed" w:cs="Barlow Semi Condensed" w:eastAsia="Barlow Semi Condensed" w:hAnsi="Barlow Semi Condensed"/>
          <w:b/>
          <w:bCs/>
          <w:sz w:val="24"/>
          <w:szCs w:val="24"/>
        </w:rPr>
        <w:t xml:space="preserve">Si registri quest'ultimo dato, poiché esso non è una discontinuità ma un'acquisizione positiva, e appartiene alla materia della Fase Quarta: gli scritti della prigionia furono sottoposti, all'epoca, a esame crittografico da parte di un servizio informativo d'arma. Ne segue che esiste, o esistette, una documentazione di quell'esame, formata da un ufficio determinato in un periodo determinato. Essa non figura in tavola e vi si iscrive.</w:t>
      </w:r>
    </w:p>
    <w:p>
      <w:pPr>
        <w:spacing w:after="120" w:line="276"/>
        <w:jc w:val="both"/>
      </w:pPr>
      <w:r>
        <w:rPr>
          <w:rFonts w:ascii="Barlow Semi Condensed" w:cs="Barlow Semi Condensed" w:eastAsia="Barlow Semi Condensed" w:hAnsi="Barlow Semi Condensed"/>
          <w:b/>
          <w:bCs/>
          <w:sz w:val="24"/>
          <w:szCs w:val="24"/>
        </w:rPr>
        <w:t xml:space="preserve">Voce ventottesima — L'esame crittografico degli scritti della prigionia. Oggetto: la documentazione dell'incarico affidato all'ufficio di decrittazione del servizio informativo della Marina avente per oggetto gli scritti provenienti dal prigioniero, e le risultanze di tale esame. Sede: archivi del Ministero della difesa e dello Stato maggiore della Marina. Chiusura: reperimento dell'atto di incarico e della relazione conclusiva. Smentita: l'inesistenza di documentazione dell'incarico, la quale collocherebbe la circostanza fra le attività non verbalizzate, come i comitati di crisi.</w:t>
      </w:r>
    </w:p>
    <w:p>
      <w:pPr>
        <w:pStyle w:val="Heading2"/>
        <w:spacing w:after="100" w:before="200"/>
      </w:pPr>
      <w:r>
        <w:rPr>
          <w:rFonts w:ascii="Barlow Semi Condensed" w:cs="Barlow Semi Condensed" w:eastAsia="Barlow Semi Condensed" w:hAnsi="Barlow Semi Condensed"/>
          <w:sz w:val="24"/>
          <w:szCs w:val="24"/>
        </w:rPr>
        <w:t xml:space="preserve">Parte quarta — Un collasso di tredici anni</w:t>
      </w:r>
    </w:p>
    <w:p>
      <w:pPr>
        <w:spacing w:after="120" w:line="276"/>
        <w:jc w:val="both"/>
      </w:pPr>
      <w:r>
        <w:rPr>
          <w:rFonts w:ascii="Barlow Semi Condensed" w:cs="Barlow Semi Condensed" w:eastAsia="Barlow Semi Condensed" w:hAnsi="Barlow Semi Condensed"/>
          <w:b/>
          <w:bCs/>
          <w:sz w:val="24"/>
          <w:szCs w:val="24"/>
        </w:rPr>
        <w:t xml:space="preserve">La relazione documenta il caso più limpido di collasso genealogico incontrato nell'intera serie, e lo documenta contro il clamore che lo circondava.</w:t>
      </w:r>
    </w:p>
    <w:p>
      <w:pPr>
        <w:spacing w:after="120" w:line="276"/>
        <w:jc w:val="both"/>
      </w:pPr>
      <w:r>
        <w:rPr>
          <w:rFonts w:ascii="Barlow Semi Condensed" w:cs="Barlow Semi Condensed" w:eastAsia="Barlow Semi Condensed" w:hAnsi="Barlow Semi Condensed"/>
          <w:b/>
          <w:bCs/>
          <w:sz w:val="24"/>
          <w:szCs w:val="24"/>
        </w:rPr>
        <w:t xml:space="preserve">Nel novembre millenovecentonovantatré la diffusione di un'intervista rilasciata a un'emittente straniera rese pubblica l'esistenza di due pianificazioni predisposte in previsione della conclusione del sequestro, l'una per l'eventualità del rilascio in vita e l'altra per quella del rinvenimento senza vita. La notizia suscitò, per dichiarazione dell'organo, vivo scalpore in tutti i mezzi di informazione nazionali, e vi fu attribuito significato di assoluta novità.</w:t>
      </w:r>
    </w:p>
    <w:p>
      <w:pPr>
        <w:spacing w:after="120" w:line="276"/>
        <w:jc w:val="both"/>
      </w:pPr>
      <w:r>
        <w:rPr>
          <w:rFonts w:ascii="Barlow Semi Condensed" w:cs="Barlow Semi Condensed" w:eastAsia="Barlow Semi Condensed" w:hAnsi="Barlow Semi Condensed"/>
          <w:b/>
          <w:bCs/>
          <w:sz w:val="24"/>
          <w:szCs w:val="24"/>
        </w:rPr>
        <w:t xml:space="preserve">L'organo osserva che si trattava di argomenti già comparsi in precedenza, e ne indica due occorrenze anteriori. La prima è un volume pubblicato sedici anni prima, nel quale è riportato uno stralcio di diario recante la vicenda con ampiezza di dettagli. La seconda, e decisiva, è l'audizione di un prefetto dinanzi alla prima Commissione parlamentare sul caso, nella seduta del sette novembre millenovecentottanta, negli atti di quella Commissione, VIII legislatura, documento XXIII numero 5, volume sesto, pagina quattro.</w:t>
      </w:r>
    </w:p>
    <w:p>
      <w:pPr>
        <w:spacing w:after="120" w:line="276"/>
        <w:jc w:val="both"/>
      </w:pPr>
      <w:r>
        <w:rPr>
          <w:rFonts w:ascii="Barlow Semi Condensed" w:cs="Barlow Semi Condensed" w:eastAsia="Barlow Semi Condensed" w:hAnsi="Barlow Semi Condensed"/>
          <w:b/>
          <w:bCs/>
          <w:sz w:val="24"/>
          <w:szCs w:val="24"/>
        </w:rPr>
        <w:t xml:space="preserve">Fra la fonte e la rivelazione corrono tredici anni. L'atto anteriore reca segnatura completa: legislatura, documento, numero, volume, pagina. Esso era pubblico, stampato e consultabile per l'intero periodo.</w:t>
      </w:r>
    </w:p>
    <w:p>
      <w:pPr>
        <w:spacing w:after="120" w:line="276"/>
        <w:jc w:val="both"/>
      </w:pPr>
      <w:r>
        <w:rPr>
          <w:rFonts w:ascii="Barlow Semi Condensed" w:cs="Barlow Semi Condensed" w:eastAsia="Barlow Semi Condensed" w:hAnsi="Barlow Semi Condensed"/>
          <w:b/>
          <w:bCs/>
          <w:sz w:val="24"/>
          <w:szCs w:val="24"/>
        </w:rPr>
        <w:t xml:space="preserve">Si enuncia la regola, che è la decima e chiude la serie aperta dall'appendice seconda.</w:t>
      </w:r>
    </w:p>
    <w:p>
      <w:pPr>
        <w:spacing w:after="120" w:line="276"/>
        <w:jc w:val="both"/>
      </w:pPr>
      <w:r>
        <w:rPr>
          <w:rFonts w:ascii="Barlow Semi Condensed" w:cs="Barlow Semi Condensed" w:eastAsia="Barlow Semi Condensed" w:hAnsi="Barlow Semi Condensed"/>
          <w:b/>
          <w:bCs/>
          <w:sz w:val="24"/>
          <w:szCs w:val="24"/>
        </w:rPr>
        <w:t xml:space="preserve">Decima regola della risalita. Una rivelazione è un atto di esposizione. Prima di computarla come fonte nuova se ne cerchi l'occorrenza anteriore, e la si cerchi negli atti pubblici prima che negli archivi chiusi. In una materia sulla quale si è pubblicato per decenni, la probabilità che un elemento presentato come inedito sia già stampato è alta, e il costo della verifica è quello di una consultazione.</w:t>
      </w:r>
    </w:p>
    <w:p>
      <w:pPr>
        <w:spacing w:after="120" w:line="276"/>
        <w:jc w:val="both"/>
      </w:pPr>
      <w:r>
        <w:rPr>
          <w:rFonts w:ascii="Barlow Semi Condensed" w:cs="Barlow Semi Condensed" w:eastAsia="Barlow Semi Condensed" w:hAnsi="Barlow Semi Condensed"/>
          <w:b/>
          <w:bCs/>
          <w:sz w:val="24"/>
          <w:szCs w:val="24"/>
        </w:rPr>
        <w:t xml:space="preserve">Si registra che questa regola, se applicata retroattivamente alla letteratura sul caso, muterebbe il computo di un numero di convergenze che il presente atto non è in grado di stimare e non stima.</w:t>
      </w:r>
    </w:p>
    <w:p>
      <w:pPr>
        <w:pStyle w:val="Heading2"/>
        <w:spacing w:after="100" w:before="200"/>
      </w:pPr>
      <w:r>
        <w:rPr>
          <w:rFonts w:ascii="Barlow Semi Condensed" w:cs="Barlow Semi Condensed" w:eastAsia="Barlow Semi Condensed" w:hAnsi="Barlow Semi Condensed"/>
          <w:sz w:val="24"/>
          <w:szCs w:val="24"/>
        </w:rPr>
        <w:t xml:space="preserve">Parte quinta — Le carte, e l'ordine ritrovato</w:t>
      </w:r>
    </w:p>
    <w:p>
      <w:pPr>
        <w:spacing w:after="120" w:line="276"/>
        <w:jc w:val="both"/>
      </w:pPr>
      <w:r>
        <w:rPr>
          <w:rFonts w:ascii="Barlow Semi Condensed" w:cs="Barlow Semi Condensed" w:eastAsia="Barlow Semi Condensed" w:hAnsi="Barlow Semi Condensed"/>
          <w:b/>
          <w:bCs/>
          <w:sz w:val="24"/>
          <w:szCs w:val="24"/>
        </w:rPr>
        <w:t xml:space="preserve">La relazione reca, quanto agli scritti della prigionia, tre acquisizioni che appartengono alla materia della Fase Quarta e che ne toccano la disciplina di lettura.</w:t>
      </w:r>
    </w:p>
    <w:p>
      <w:pPr>
        <w:spacing w:after="120" w:line="276"/>
        <w:jc w:val="both"/>
      </w:pPr>
      <w:r>
        <w:rPr>
          <w:rFonts w:ascii="Barlow Semi Condensed" w:cs="Barlow Semi Condensed" w:eastAsia="Barlow Semi Condensed" w:hAnsi="Barlow Semi Condensed"/>
          <w:b/>
          <w:bCs/>
          <w:sz w:val="24"/>
          <w:szCs w:val="24"/>
        </w:rPr>
        <w:t xml:space="preserve">Prima. Il testo dattiloscritto sequestrato nell'ottobre millenovecentosettantotto corrisponde alla trascrizione di circa una metà del manoscritto rinvenuto nel millenovecentonovanta, e dal dattiloscritto mancano l'intera prima parte e taluni passaggi della seconda. L'organo indica quali siano i passaggi mancanti dalla seconda parte per materia. Il fatto della difformità fra le due versioni è documentale; la spiegazione della difformità non lo è, e l'organo espone entrambe le direzioni senza risolvere fra esse.</w:t>
      </w:r>
    </w:p>
    <w:p>
      <w:pPr>
        <w:spacing w:after="120" w:line="276"/>
        <w:jc w:val="both"/>
      </w:pPr>
      <w:r>
        <w:rPr>
          <w:rFonts w:ascii="Barlow Semi Condensed" w:cs="Barlow Semi Condensed" w:eastAsia="Barlow Semi Condensed" w:hAnsi="Barlow Semi Condensed"/>
          <w:b/>
          <w:bCs/>
          <w:sz w:val="24"/>
          <w:szCs w:val="24"/>
        </w:rPr>
        <w:t xml:space="preserve">Seconda, e la più rilevante per la disciplina dell'opera. Uno studio filologico, condotto anche sulle carte di un perito linguista del tribunale che aveva esaminato i comunicati, ha stabilito per via interna al testo che il manoscritto rinvenuto nel millenovecentonovanta reca almeno due rinvii a passaggi dei quali non vi è traccia nelle versioni conosciute, e ne ha inferito che esso abbia subito sottrazioni limitate e circostanziate. Lo studio è stato acquisito agli atti del quinto procedimento.</w:t>
      </w:r>
    </w:p>
    <w:p>
      <w:pPr>
        <w:spacing w:after="120" w:line="276"/>
        <w:jc w:val="both"/>
      </w:pPr>
      <w:r>
        <w:rPr>
          <w:rFonts w:ascii="Barlow Semi Condensed" w:cs="Barlow Semi Condensed" w:eastAsia="Barlow Semi Condensed" w:hAnsi="Barlow Semi Condensed"/>
          <w:b/>
          <w:bCs/>
          <w:sz w:val="24"/>
          <w:szCs w:val="24"/>
        </w:rPr>
        <w:t xml:space="preserve">Il metodo impiegato va nominato perché appartiene al genere che l'opera pratica: si tratta della ricerca delle discontinuità interne a un testo mediante la classificazione dei suoi rinvii anaforici, cioè delle espressioni con le quali chi scrive richiama ciò che ha già detto. Un rinvio senza referente è, entro un testo coerente, l'equivalente di un atto che entra in un ufficio e non ne esce. La figura è la medesima e cambia il supporto.</w:t>
      </w:r>
    </w:p>
    <w:p>
      <w:pPr>
        <w:spacing w:after="120" w:line="276"/>
        <w:jc w:val="both"/>
      </w:pPr>
      <w:r>
        <w:rPr>
          <w:rFonts w:ascii="Barlow Semi Condensed" w:cs="Barlow Semi Condensed" w:eastAsia="Barlow Semi Condensed" w:hAnsi="Barlow Semi Condensed"/>
          <w:b/>
          <w:bCs/>
          <w:sz w:val="24"/>
          <w:szCs w:val="24"/>
        </w:rPr>
        <w:t xml:space="preserve">Terza. Dallo studio risulta che il testo fu redatto in risposta a sedici quesiti posti dai detentori, dei quali l'organo elenca la materia; che l'interrogatorio non ebbe inizio subito dopo il sequestro ma nei primi giorni di aprile e si concluse verso la fine del medesimo mese; e che l'articolazione tematica non era stata percepita in precedenza a causa dello stato di confusione delle versioni, difformi persino nella numerazione delle pagine.</w:t>
      </w:r>
    </w:p>
    <w:p>
      <w:pPr>
        <w:spacing w:after="120" w:line="276"/>
        <w:jc w:val="both"/>
      </w:pPr>
      <w:r>
        <w:rPr>
          <w:rFonts w:ascii="Barlow Semi Condensed" w:cs="Barlow Semi Condensed" w:eastAsia="Barlow Semi Condensed" w:hAnsi="Barlow Semi Condensed"/>
          <w:b/>
          <w:bCs/>
          <w:sz w:val="24"/>
          <w:szCs w:val="24"/>
        </w:rPr>
        <w:t xml:space="preserve">Questa terza acquisizione tocca la scala del vincolo istituita dalla Fase Quarta. Quella scala gradua le proposizioni scritte sotto costrizione secondo l'intensità del vincolo che le governa; essa presuppone di sapere che cosa fosse stato domandato, poiché una risposta si valuta contro la domanda. Fino a oggi le domande erano ignote e la scala operava su enunciati privi del proprio contesto interrogativo. Le sedici materie, se confermate sull'atto, restituiscono quel contesto.</w:t>
      </w:r>
    </w:p>
    <w:p>
      <w:pPr>
        <w:spacing w:after="120" w:line="276"/>
        <w:jc w:val="both"/>
      </w:pPr>
      <w:r>
        <w:rPr>
          <w:rFonts w:ascii="Barlow Semi Condensed" w:cs="Barlow Semi Condensed" w:eastAsia="Barlow Semi Condensed" w:hAnsi="Barlow Semi Condensed"/>
          <w:b/>
          <w:bCs/>
          <w:sz w:val="24"/>
          <w:szCs w:val="24"/>
        </w:rPr>
        <w:t xml:space="preserve">Si dichiara che il presente atto non le recepisce nel corpo dell'opera e non muta alcun grado. Esse provengono da un'esposizione parlamentare di uno studio privato acquisito a un procedimento: tre passaggi, e la risalita si arresta al primo. Si iscrivono come acquisizione da conseguire.</w:t>
      </w:r>
    </w:p>
    <w:p>
      <w:pPr>
        <w:spacing w:after="120" w:line="276"/>
        <w:jc w:val="both"/>
      </w:pPr>
      <w:r>
        <w:rPr>
          <w:rFonts w:ascii="Barlow Semi Condensed" w:cs="Barlow Semi Condensed" w:eastAsia="Barlow Semi Condensed" w:hAnsi="Barlow Semi Condensed"/>
          <w:b/>
          <w:bCs/>
          <w:sz w:val="24"/>
          <w:szCs w:val="24"/>
        </w:rPr>
        <w:t xml:space="preserve">Voce ventinovesima — L'ordine interrogativo del testo della prigionia. Oggetto: lo studio filologico acquisito agli atti del quinto procedimento, e le sue risultanze quanto ai rinvii privi di referente e quanto all'articolazione del testo in risposte a quesiti determinati. Sede: atti del quinto procedimento presso l'ufficio competente; l'edizione a stampa dello studio, che è pubblica. Chiusura: acquisizione dello studio e verifica delle sue risultanze sul testo. Smentita: la constatazione che i rinvii privi di referente si spieghino con la confusione della numerazione anziché con sottrazioni, spiegazione che l'organo medesimo dichiara possibile quanto allo stato delle versioni.</w:t>
      </w:r>
    </w:p>
    <w:p>
      <w:pPr>
        <w:pStyle w:val="Heading2"/>
        <w:spacing w:after="100" w:before="200"/>
      </w:pPr>
      <w:r>
        <w:rPr>
          <w:rFonts w:ascii="Barlow Semi Condensed" w:cs="Barlow Semi Condensed" w:eastAsia="Barlow Semi Condensed" w:hAnsi="Barlow Semi Condensed"/>
          <w:sz w:val="24"/>
          <w:szCs w:val="24"/>
        </w:rPr>
        <w:t xml:space="preserve">Parte sesta — Le classi dichiarative e la disciplina che vi si applica</w:t>
      </w:r>
    </w:p>
    <w:p>
      <w:pPr>
        <w:spacing w:after="120" w:line="276"/>
        <w:jc w:val="both"/>
      </w:pPr>
      <w:r>
        <w:rPr>
          <w:rFonts w:ascii="Barlow Semi Condensed" w:cs="Barlow Semi Condensed" w:eastAsia="Barlow Semi Condensed" w:hAnsi="Barlow Semi Condensed"/>
          <w:b/>
          <w:bCs/>
          <w:sz w:val="24"/>
          <w:szCs w:val="24"/>
        </w:rPr>
        <w:t xml:space="preserve">La relazione dedica una sezione a dichiarazioni provenienti da collaboratori di giustizia di ambienti criminali diversi, concernenti presunte attivazioni per la ricerca del prigioniero e presunti interessamenti di ambienti politici alla loro cessazione. Il presente atto non ne riferisce il contenuto, e la ragione va dichiarata.</w:t>
      </w:r>
    </w:p>
    <w:p>
      <w:pPr>
        <w:spacing w:after="120" w:line="276"/>
        <w:jc w:val="both"/>
      </w:pPr>
      <w:r>
        <w:rPr>
          <w:rFonts w:ascii="Barlow Semi Condensed" w:cs="Barlow Semi Condensed" w:eastAsia="Barlow Semi Condensed" w:hAnsi="Barlow Semi Condensed"/>
          <w:b/>
          <w:bCs/>
          <w:sz w:val="24"/>
          <w:szCs w:val="24"/>
        </w:rPr>
        <w:t xml:space="preserve">Queste dichiarazioni appartengono, nel repertorio critico dell'opera, a due classi con grado massimo dichiarato e a una terza con grado nullo. La prima è quella delle dichiarazioni di dissociati e collaboratori, originaria e interessata, con grado intermedio elevabile in caso di convergenza fra dichiaranti con interessi divergenti. La seconda è quella del de relato di secondo grado, derivata due volte, con grado minimo e con divieto espresso di impiego come conferma di altre fonti. La terza è quella delle esposizioni giornalistiche, che non conferisce grado alcuno.</w:t>
      </w:r>
    </w:p>
    <w:p>
      <w:pPr>
        <w:spacing w:after="120" w:line="276"/>
        <w:jc w:val="both"/>
      </w:pPr>
      <w:r>
        <w:rPr>
          <w:rFonts w:ascii="Barlow Semi Condensed" w:cs="Barlow Semi Condensed" w:eastAsia="Barlow Semi Condensed" w:hAnsi="Barlow Semi Condensed"/>
          <w:b/>
          <w:bCs/>
          <w:sz w:val="24"/>
          <w:szCs w:val="24"/>
        </w:rPr>
        <w:t xml:space="preserve">Gran parte del materiale qui in questione appartiene alla seconda classe: sono dichiarazioni su ciò che un terzo avrebbe detto a un quarto. Ad esse si applica il divieto, e il divieto è assoluto: non possono essere computate come conferma, quale che sia il loro numero e quale che sia la convergenza apparente fra esse. Si aggiunge la cautela introdotta dall'appendice seconda alla propria terza regola: dichiaranti che abbiano appreso il medesimo fatto dal medesimo ambiente non sono catene distinte, e la divergenza dei loro interessi controlla la sincerità e non l'indipendenza.</w:t>
      </w:r>
    </w:p>
    <w:p>
      <w:pPr>
        <w:spacing w:after="120" w:line="276"/>
        <w:jc w:val="both"/>
      </w:pPr>
      <w:r>
        <w:rPr>
          <w:rFonts w:ascii="Barlow Semi Condensed" w:cs="Barlow Semi Condensed" w:eastAsia="Barlow Semi Condensed" w:hAnsi="Barlow Semi Condensed"/>
          <w:b/>
          <w:bCs/>
          <w:sz w:val="24"/>
          <w:szCs w:val="24"/>
        </w:rPr>
        <w:t xml:space="preserve">Si registra soltanto ciò che è designabile per atto e che appartiene al genere dell'opera: una delle dichiarazioni riportate è riprodotta in un atto parlamentare recante segnatura completa, ed è la domanda di autorizzazione a procedere stampata come atto del Senato, documento IV numero 179, XI legislatura. Di essa si registra l'esistenza e la segnatura, e null'altro.</w:t>
      </w:r>
    </w:p>
    <w:p>
      <w:pPr>
        <w:spacing w:after="120" w:line="276"/>
        <w:jc w:val="both"/>
      </w:pPr>
      <w:r>
        <w:rPr>
          <w:rFonts w:ascii="Barlow Semi Condensed" w:cs="Barlow Semi Condensed" w:eastAsia="Barlow Semi Condensed" w:hAnsi="Barlow Semi Condensed"/>
          <w:b/>
          <w:bCs/>
          <w:sz w:val="24"/>
          <w:szCs w:val="24"/>
        </w:rPr>
        <w:t xml:space="preserve">Si dichiara espressamente che l'organo medesimo, nelle proprie conclusioni, afferma che non sono emersi elementi certi che consentano di affermare l'eterodirezione dell'organizzazione, e formula quanto all'attivazione di ambienti criminali una proposizione dichiaratamente non risolta. L'opera recepisce questa formulazione al grado che essa reca, che è quello di una valutazione di organo qualificato, e non oltre.</w:t>
      </w:r>
    </w:p>
    <w:p>
      <w:pPr>
        <w:pStyle w:val="Heading2"/>
        <w:spacing w:after="100" w:before="200"/>
      </w:pPr>
      <w:r>
        <w:rPr>
          <w:rFonts w:ascii="Barlow Semi Condensed" w:cs="Barlow Semi Condensed" w:eastAsia="Barlow Semi Condensed" w:hAnsi="Barlow Semi Condensed"/>
          <w:sz w:val="24"/>
          <w:szCs w:val="24"/>
        </w:rPr>
        <w:t xml:space="preserve">Parte settima — Gli otto interrogativi residui e la loro designazione</w:t>
      </w:r>
    </w:p>
    <w:p>
      <w:pPr>
        <w:spacing w:after="120" w:line="276"/>
        <w:jc w:val="both"/>
      </w:pPr>
      <w:r>
        <w:rPr>
          <w:rFonts w:ascii="Barlow Semi Condensed" w:cs="Barlow Semi Condensed" w:eastAsia="Barlow Semi Condensed" w:hAnsi="Barlow Semi Condensed"/>
          <w:b/>
          <w:bCs/>
          <w:sz w:val="24"/>
          <w:szCs w:val="24"/>
        </w:rPr>
        <w:t xml:space="preserve">La relazione richiama gli interrogativi già dichiarati irrisolti dalla relazione conclusiva della X legislatura, documento XXIII numero 49, ed essi sono otto: l'esatta dinamica dei fatti del sedici marzo e del rapimento; la scomparsa, nel corso della prima istruttoria, di un rullino fotografico contenente immagini dell'agguato; l'eventuale presenza di elementi della criminalità organizzata sul luogo dell'agguato; il blocco di linee telefoniche in coincidenza con i fatti e, successivamente, con la diffusione di un comunicato; l'individuazione del luogo di prigionia; l'identificazione di un quarto uomo nella base e la sua eventuale appartenenza a formazioni diverse; l'identificazione della persona che nell'appartamento risiedeva sotto identità apparente; la vicenda del comunicato apocrifo.</w:t>
      </w:r>
    </w:p>
    <w:p>
      <w:pPr>
        <w:spacing w:after="120" w:line="276"/>
        <w:jc w:val="both"/>
      </w:pPr>
      <w:r>
        <w:rPr>
          <w:rFonts w:ascii="Barlow Semi Condensed" w:cs="Barlow Semi Condensed" w:eastAsia="Barlow Semi Condensed" w:hAnsi="Barlow Semi Condensed"/>
          <w:b/>
          <w:bCs/>
          <w:sz w:val="24"/>
          <w:szCs w:val="24"/>
        </w:rPr>
        <w:t xml:space="preserve">Si registra che due di questi otto sono stati risolti negli anni successivi, e che l'opera li tratta come risolti: il luogo di prigionia e l'identificazione della persona sotto identità apparente. Si registra altresì che uno di essi — la scomparsa del rullino fotografico nel corso della prima istruttoria — non figura nella tavola delle acquisizioni necessarie dell'opera, e che la sua assenza è una lacuna della tavola e non della relazione.</w:t>
      </w:r>
    </w:p>
    <w:p>
      <w:pPr>
        <w:spacing w:after="120" w:line="276"/>
        <w:jc w:val="both"/>
      </w:pPr>
      <w:r>
        <w:rPr>
          <w:rFonts w:ascii="Barlow Semi Condensed" w:cs="Barlow Semi Condensed" w:eastAsia="Barlow Semi Condensed" w:hAnsi="Barlow Semi Condensed"/>
          <w:b/>
          <w:bCs/>
          <w:sz w:val="24"/>
          <w:szCs w:val="24"/>
        </w:rPr>
        <w:t xml:space="preserve">Voce trentesima — Il rullino fotografico scomparso nella prima istruttoria. Oggetto: gli atti relativi alla formazione, all'acquisizione e alla scomparsa del rullino contenente immagini dell'agguato, e la documentazione degli accertamenti condotti all'epoca sulla scomparsa. Sede: atti del primo procedimento; atti della Commissione della VIII legislatura. Chiusura: reperimento degli atti di acquisizione e di quelli relativi alla scomparsa. Smentita: la constatazione che il rullino non fosse mai stato acquisito agli atti, nel qual caso non vi sarebbe scomparsa ma mancata acquisizione, che è figura diversa e va trattata come tale.</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registrano le mutazioni. La Voce ventesima progredisce quanto agli strumenti e non quanto al numero: essa dispone ora dell'indicazione di un repertorio generale che, se acquisito, la esaurirebbe per la parte degli atti transitati per una sede determinata. Si iscrivono le Voci ventisettesima, ventottesima, ventinovesima e trentesima.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non è accertato se la raccomandazione di acquisire l'oggetto degli atti repertati sia stata eseguita dall'organismo successivo. Secondo: non è accertato se il repertorio generale rechi, per ciascuna voce, l'oggetto dell'atto ovvero il solo estremo di protocollo. Terzo: la relazione conclusiva della X legislatura, documento XXIII numero 49, non è posseduta, ed è la fonte alla quale la presente rinvia in quattro punti; il suo reperimento è preliminare a quattro delle acquisizioni qui iscritte. Quarto: gli atti della Commissione della VIII legislatura, documento XXIII numero 5, non sono posseduti, e il volume sesto è quello che reca l'occorrenza anteriore di cui alla Parte quarta.</w:t>
      </w:r>
    </w:p>
    <w:p>
      <w:pPr>
        <w:spacing w:after="120" w:line="276"/>
        <w:jc w:val="both"/>
      </w:pPr>
      <w:r>
        <w:rPr>
          <w:rFonts w:ascii="Barlow Semi Condensed" w:cs="Barlow Semi Condensed" w:eastAsia="Barlow Semi Condensed" w:hAnsi="Barlow Semi Condensed"/>
          <w:b/>
          <w:bCs/>
          <w:sz w:val="24"/>
          <w:szCs w:val="24"/>
        </w:rPr>
        <w:t xml:space="preserve">Si osservi che il terzo e il quarto Stato Zero riguardano documenti a stampa degli atti parlamentari, pubblici e privi di regime di riservatezza. Essi appartengono, come la terza divergenza della Voce venticinquesima, alla classe delle acquisizioni che richiedono la consultazione di un volume.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quarta del giorno sul medesimo cantiere. Cantiere: designazione per atto delle fonti. Materia: la prima unità di produzione della serie, relazione parlamentare della XI legislatura sugli sviluppi del caso.</w:t>
      </w:r>
    </w:p>
    <w:p>
      <w:pPr>
        <w:spacing w:after="120" w:line="276"/>
        <w:jc w:val="both"/>
      </w:pPr>
      <w:r>
        <w:rPr>
          <w:rFonts w:ascii="Barlow Semi Condensed" w:cs="Barlow Semi Condensed" w:eastAsia="Barlow Semi Condensed" w:hAnsi="Barlow Semi Condensed"/>
          <w:b/>
          <w:bCs/>
          <w:sz w:val="24"/>
          <w:szCs w:val="24"/>
        </w:rPr>
        <w:t xml:space="preserve">Esito positivo: individuazione dell'esistenza e della sede di un repertorio generale di tutti gli atti concernenti il caso transitati per il Gabinetto del Ministro dell'interno, con iscrizione della voce corrispondente; tre discontinuità documentate, delle quali una nella forma dell'ordine presente al destinatario e assente all'emittente; accertamento che i comitati di crisi non produssero atto d'insediamento né verbalizzazione, con conseguente qualificazione del valore e del limite dell'unità quarantaduesima; documentazione di un collasso genealogico di tredici anni fra una rivelazione del millenovecentonovantatré e un atto parlamentare a stampa del millenovecentottanta, con segnatura completa; individuazione dell'esame crittografico degli scritti della prigionia; individuazione dell'articolazione del testo della prigionia in risposte a sedici quesiti determinati; enunciazione della nona e della decima regola della risalita;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la relazione conclusiva della X legislatura e gli atti della Commissione della VIII non sono posseduti, e sono documenti a stampa pubblici; non è accertata l'esecuzione della raccomandazione sul repertorio; non è accertata la forma delle voci del repertorio.</w:t>
      </w:r>
    </w:p>
    <w:p>
      <w:pPr>
        <w:spacing w:after="120" w:line="276"/>
        <w:jc w:val="both"/>
      </w:pPr>
      <w:r>
        <w:rPr>
          <w:rFonts w:ascii="Barlow Semi Condensed" w:cs="Barlow Semi Condensed" w:eastAsia="Barlow Semi Condensed" w:hAnsi="Barlow Semi Condensed"/>
          <w:b/>
          <w:bCs/>
          <w:sz w:val="24"/>
          <w:szCs w:val="24"/>
        </w:rPr>
        <w:t xml:space="preserve">Riga di lacuna propria. Uno degli otto interrogativi dichiarati irrisolti dalla Commissione della X legislatura non figura nella tavola delle acquisizioni necessarie dell'opera, ed è la scomparsa di un rullino fotografico nel corso della prima istruttoria. L'omissione è dell'opera. Si registra che essa non deriva da una valutazione di irrilevanza, poiché nessuna valutazione risulta essere stata compiuta: l'elemento non era stato censito.</w:t>
      </w:r>
    </w:p>
    <w:p>
      <w:pPr>
        <w:spacing w:after="120" w:line="276"/>
        <w:jc w:val="both"/>
      </w:pPr>
      <w:r>
        <w:rPr>
          <w:rFonts w:ascii="Barlow Semi Condensed" w:cs="Barlow Semi Condensed" w:eastAsia="Barlow Semi Condensed" w:hAnsi="Barlow Semi Condensed"/>
          <w:b/>
          <w:bCs/>
          <w:sz w:val="24"/>
          <w:szCs w:val="24"/>
        </w:rPr>
        <w:t xml:space="preserve">Riga di avvertenza. La relazione qui esaminata contiene dichiarazioni di terzi su condotte di persone determinate, riportate dall'organo con la qualificazione che i loro autori vi apposero. Il presente atto non ne riferisce il contenuto e non lo recepisce ad alcun grado. Si è riportata la sola formulazione conclusiva dell'organo, e la si è riportata al grado che le compete, che è quello della valutazione di organo qualificato e non quello dell'accertamento.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 la prima unità di produzione, quindici agosto duemilaventisei. I settanta Capitoli restano settanta. Le redazioni anteriori non sono modificate: le pietre deposte non si scalpellano. Resta sovrana la Regola di Ferro: dove la fonte documenta, l'opera certifica; dove la fonte tace, l'opera indaga e non afferma. Una rivelazione è un atto di esposizione, e prima di computarla come nuova se ne cerchi l'occorrenza anteriore negli atti a stampa.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III · Appendice sesta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3.472 parole in 9 sezioni; la più ampia è §9 Altre sezioni, con 3.090.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54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IV — Appendice settima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w:t>
      </w:r>
    </w:p>
    <w:p>
      <w:pPr>
        <w:pStyle w:val="Heading2"/>
        <w:spacing w:after="100" w:before="200"/>
      </w:pPr>
      <w:r>
        <w:rPr>
          <w:rFonts w:ascii="Barlow Semi Condensed" w:cs="Barlow Semi Condensed" w:eastAsia="Barlow Semi Condensed" w:hAnsi="Barlow Semi Condensed"/>
          <w:sz w:val="24"/>
          <w:szCs w:val="24"/>
        </w:rPr>
        <w:t xml:space="preserve">L'organismo successore e la dichiarazione del proprio standard</w:t>
      </w:r>
    </w:p>
    <w:p>
      <w:pPr>
        <w:pStyle w:val="Heading2"/>
        <w:spacing w:after="100" w:before="200"/>
      </w:pPr>
      <w:r>
        <w:rPr>
          <w:rFonts w:ascii="Barlow Semi Condensed" w:cs="Barlow Semi Condensed" w:eastAsia="Barlow Semi Condensed" w:hAnsi="Barlow Semi Condensed"/>
          <w:sz w:val="24"/>
          <w:szCs w:val="24"/>
        </w:rPr>
        <w:t xml:space="preserve">Le due relazioni semestrali della XII legislatura, documenti XXIII numeri 1 e 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settima</w:t>
      </w:r>
    </w:p>
    <w:p>
      <w:pPr>
        <w:spacing w:after="120" w:line="276"/>
        <w:jc w:val="both"/>
      </w:pPr>
      <w:r>
        <w:rPr>
          <w:rFonts w:ascii="Barlow Semi Condensed" w:cs="Barlow Semi Condensed" w:eastAsia="Barlow Semi Condensed" w:hAnsi="Barlow Semi Condensed"/>
          <w:b/>
          <w:bCs/>
          <w:sz w:val="24"/>
          <w:szCs w:val="24"/>
        </w:rPr>
        <w:t xml:space="preserve">La presente è appendice settima alla Fase Settima e opera sulle due relazioni semestrali sullo stato dei lavori presentate nella XII legislatura dal Presidente della Commissione parlamentare d'inchiesta sul terrorismo e sulle stragi, comunicate alle Presidenze il ventisei gennaio e il venti luglio millenovecentonovantacinque e stampate come documenti XXIII numeri 1 e 3. Come le sei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scelta per una ragione determinata. L'appendice sesta ha dichiarato uno Stato Zero sull'esecuzione della raccomandazione con la quale la Commissione della legislatura anteriore affidava all'organismo successore l'acquisizione dell'oggetto degli atti repertati presso il Gabinetto del Ministro dell'interno. L'organismo successore è quello del quale qui si esaminano le relazioni. Interrogarlo era, per la regola tratta a proprio sfavore due volte nella medesima giornata, l'operazione dovuta prima di ogni altra.</w:t>
      </w:r>
    </w:p>
    <w:p>
      <w:pPr>
        <w:pStyle w:val="Heading2"/>
        <w:spacing w:after="100" w:before="200"/>
      </w:pPr>
      <w:r>
        <w:rPr>
          <w:rFonts w:ascii="Barlow Semi Condensed" w:cs="Barlow Semi Condensed" w:eastAsia="Barlow Semi Condensed" w:hAnsi="Barlow Semi Condensed"/>
          <w:sz w:val="24"/>
          <w:szCs w:val="24"/>
        </w:rPr>
        <w:t xml:space="preserve">Parte prima — La dichiarazione dello standard, e la sua conseguenza sul grado</w:t>
      </w:r>
    </w:p>
    <w:p>
      <w:pPr>
        <w:spacing w:after="120" w:line="276"/>
        <w:jc w:val="both"/>
      </w:pPr>
      <w:r>
        <w:rPr>
          <w:rFonts w:ascii="Barlow Semi Condensed" w:cs="Barlow Semi Condensed" w:eastAsia="Barlow Semi Condensed" w:hAnsi="Barlow Semi Condensed"/>
          <w:b/>
          <w:bCs/>
          <w:sz w:val="24"/>
          <w:szCs w:val="24"/>
        </w:rPr>
        <w:t xml:space="preserve">Le due relazioni contengono un passaggio che vale, ai fini dell'apparato dell'opera, più di ogni acquisizione documentale che esse recano, ed è la dichiarazione con la quale l'organo definisce il proprio standard probatorio.</w:t>
      </w:r>
    </w:p>
    <w:p>
      <w:pPr>
        <w:spacing w:after="120" w:line="276"/>
        <w:jc w:val="both"/>
      </w:pPr>
      <w:r>
        <w:rPr>
          <w:rFonts w:ascii="Barlow Semi Condensed" w:cs="Barlow Semi Condensed" w:eastAsia="Barlow Semi Condensed" w:hAnsi="Barlow Semi Condensed"/>
          <w:b/>
          <w:bCs/>
          <w:sz w:val="24"/>
          <w:szCs w:val="24"/>
        </w:rPr>
        <w:t xml:space="preserve">L'organo dichiara che i propri compiti non si identificano con quelli della magistratura; che la magistratura deve attenersi alla ricerca scrupolosa della prova con l'intento di perseguire responsabilità individuali; e che la Commissione può, e in alcuni casi deve, andare oltre la prova intesa in senso strettamente processuale, la quale potrebbe rivelarsi insufficiente alla comprensione di fenomeni generalizzati e complessi rispetto ai quali l'ottica del processo penale può apparire inadeguata se non addirittura deformante. Dichiara inoltre di essere in grado di assumere a criteri di giudizio elementi di prova che qualifica come sociale, e con essi comportamenti politici, orientamenti e linee di azione di gruppi e di fazioni.</w:t>
      </w:r>
    </w:p>
    <w:p>
      <w:pPr>
        <w:spacing w:after="120" w:line="276"/>
        <w:jc w:val="both"/>
      </w:pPr>
      <w:r>
        <w:rPr>
          <w:rFonts w:ascii="Barlow Semi Condensed" w:cs="Barlow Semi Condensed" w:eastAsia="Barlow Semi Condensed" w:hAnsi="Barlow Semi Condensed"/>
          <w:b/>
          <w:bCs/>
          <w:sz w:val="24"/>
          <w:szCs w:val="24"/>
        </w:rPr>
        <w:t xml:space="preserve">Questa dichiarazione va accolta per ciò che è, e ciò che è va detto senza attenuazioni in nessuna delle due direzioni.</w:t>
      </w:r>
    </w:p>
    <w:p>
      <w:pPr>
        <w:spacing w:after="120" w:line="276"/>
        <w:jc w:val="both"/>
      </w:pPr>
      <w:r>
        <w:rPr>
          <w:rFonts w:ascii="Barlow Semi Condensed" w:cs="Barlow Semi Condensed" w:eastAsia="Barlow Semi Condensed" w:hAnsi="Barlow Semi Condensed"/>
          <w:b/>
          <w:bCs/>
          <w:sz w:val="24"/>
          <w:szCs w:val="24"/>
        </w:rPr>
        <w:t xml:space="preserve">Essa non è un'ammissione di debolezza e non va letta come tale. L'organo argomenta che la propria specificità istituzionale si esalta là dove il magistrato si arresta, e osserva che ciò discende dalla stessa intitolazione della Commissione, alla quale è affidato il giudizio sulle cause della mancata individuazione — evidentemente in sede giudiziaria — dei responsabili. L'argomento è corretto: un organo istituito per accertare perché una prova non fu raggiunta non può essere vincolato allo standard di quella prova, altrimenti il suo oggetto gli sarebbe precluso per definizione.</w:t>
      </w:r>
    </w:p>
    <w:p>
      <w:pPr>
        <w:spacing w:after="120" w:line="276"/>
        <w:jc w:val="both"/>
      </w:pPr>
      <w:r>
        <w:rPr>
          <w:rFonts w:ascii="Barlow Semi Condensed" w:cs="Barlow Semi Condensed" w:eastAsia="Barlow Semi Condensed" w:hAnsi="Barlow Semi Condensed"/>
          <w:b/>
          <w:bCs/>
          <w:sz w:val="24"/>
          <w:szCs w:val="24"/>
        </w:rPr>
        <w:t xml:space="preserve">Essa è però, quanto al grado conferibile alle risultanze dell'organo, decisiva e in un solo verso. Il repertorio critico dell'opera assegna agli atti delle Commissioni il grado massimo per le acquisizioni documentali e il grado intermedio per le ricostruzioni e le valutazioni. Quella distinzione era, fino a oggi, una cautela dell'opera, adottata per prudenza e senza il conforto di una dichiarazione dell'organo graduato. Ora essa riposa sulla dichiarazione dell'organo medesimo, il quale afferma di adottare per le proprie valutazioni uno standard deliberatamente diverso da quello della prova e più largo di esso.</w:t>
      </w:r>
    </w:p>
    <w:p>
      <w:pPr>
        <w:spacing w:after="120" w:line="276"/>
        <w:jc w:val="both"/>
      </w:pPr>
      <w:r>
        <w:rPr>
          <w:rFonts w:ascii="Barlow Semi Condensed" w:cs="Barlow Semi Condensed" w:eastAsia="Barlow Semi Condensed" w:hAnsi="Barlow Semi Condensed"/>
          <w:b/>
          <w:bCs/>
          <w:sz w:val="24"/>
          <w:szCs w:val="24"/>
        </w:rPr>
        <w:t xml:space="preserve">Si enuncia la regola, che è l'undicesima della serie.</w:t>
      </w:r>
    </w:p>
    <w:p>
      <w:pPr>
        <w:spacing w:after="120" w:line="276"/>
        <w:jc w:val="both"/>
      </w:pPr>
      <w:r>
        <w:rPr>
          <w:rFonts w:ascii="Barlow Semi Condensed" w:cs="Barlow Semi Condensed" w:eastAsia="Barlow Semi Condensed" w:hAnsi="Barlow Semi Condensed"/>
          <w:b/>
          <w:bCs/>
          <w:sz w:val="24"/>
          <w:szCs w:val="24"/>
        </w:rPr>
        <w:t xml:space="preserve">Undicesima regola della risalita. Quando un organo dichiara il proprio standard, il grado delle sue ricostruzioni si fissa su quella dichiarazione e non sull'autorevolezza della sede. Una valutazione formulata dichiaratamente oltre la soglia della prova non acquista quella soglia per il fatto di essere stampata negli atti parlamentari. La sede conferisce pubblicità e non conferisce grado.</w:t>
      </w:r>
    </w:p>
    <w:p>
      <w:pPr>
        <w:spacing w:after="120" w:line="276"/>
        <w:jc w:val="both"/>
      </w:pPr>
      <w:r>
        <w:rPr>
          <w:rFonts w:ascii="Barlow Semi Condensed" w:cs="Barlow Semi Condensed" w:eastAsia="Barlow Semi Condensed" w:hAnsi="Barlow Semi Condensed"/>
          <w:b/>
          <w:bCs/>
          <w:sz w:val="24"/>
          <w:szCs w:val="24"/>
        </w:rPr>
        <w:t xml:space="preserve">Si dichiara che questa regola non abbassa alcun grado nell'opera, poiché l'opera aveva già collocato le ricostruzioni parlamentari al grado intermedio. Essa ne consolida il fondamento, che passa dalla prudenza dell'autore alla dichiarazione della fonte, ed è un mutamento di natura e non di esito.</w:t>
      </w:r>
    </w:p>
    <w:p>
      <w:pPr>
        <w:pStyle w:val="Heading2"/>
        <w:spacing w:after="100" w:before="200"/>
      </w:pPr>
      <w:r>
        <w:rPr>
          <w:rFonts w:ascii="Barlow Semi Condensed" w:cs="Barlow Semi Condensed" w:eastAsia="Barlow Semi Condensed" w:hAnsi="Barlow Semi Condensed"/>
          <w:sz w:val="24"/>
          <w:szCs w:val="24"/>
        </w:rPr>
        <w:t xml:space="preserve">Parte seconda — Le relazioni che nessuna Assemblea ha discusso</w:t>
      </w:r>
    </w:p>
    <w:p>
      <w:pPr>
        <w:spacing w:after="120" w:line="276"/>
        <w:jc w:val="both"/>
      </w:pPr>
      <w:r>
        <w:rPr>
          <w:rFonts w:ascii="Barlow Semi Condensed" w:cs="Barlow Semi Condensed" w:eastAsia="Barlow Semi Condensed" w:hAnsi="Barlow Semi Condensed"/>
          <w:b/>
          <w:bCs/>
          <w:sz w:val="24"/>
          <w:szCs w:val="24"/>
        </w:rPr>
        <w:t xml:space="preserve">L'organo registra una circostanza che riguarda l'intera classe di fonti sulla quale l'opera poggia più largamente, e che va iscritta come risultanza di prim'ordine.</w:t>
      </w:r>
    </w:p>
    <w:p>
      <w:pPr>
        <w:spacing w:after="120" w:line="276"/>
        <w:jc w:val="both"/>
      </w:pPr>
      <w:r>
        <w:rPr>
          <w:rFonts w:ascii="Barlow Semi Condensed" w:cs="Barlow Semi Condensed" w:eastAsia="Barlow Semi Condensed" w:hAnsi="Barlow Semi Condensed"/>
          <w:b/>
          <w:bCs/>
          <w:sz w:val="24"/>
          <w:szCs w:val="24"/>
        </w:rPr>
        <w:t xml:space="preserve">Le relazioni trasmesse alle Camere dalle Commissioni delle legislature anteriori sono documenti la cui discussione non è stata mai posta all'ordine del giorno di alcuna delle Assemblee. L'organo ne trae che l'obiettivo ultimo dell'inchiesta parlamentare — l'acquisizione di elementi di conoscenza a beneficio del Parlamento, finalizzata all'espressione di un giudizio e a futuri orientamenti legislativi — è rimasto frustrato dall'incompiutezza di una procedura arrestatasi a una fase preliminare, senza pervenire al dibattito che ne costituisce la sede naturale.</w:t>
      </w:r>
    </w:p>
    <w:p>
      <w:pPr>
        <w:spacing w:after="120" w:line="276"/>
        <w:jc w:val="both"/>
      </w:pPr>
      <w:r>
        <w:rPr>
          <w:rFonts w:ascii="Barlow Semi Condensed" w:cs="Barlow Semi Condensed" w:eastAsia="Barlow Semi Condensed" w:hAnsi="Barlow Semi Condensed"/>
          <w:b/>
          <w:bCs/>
          <w:sz w:val="24"/>
          <w:szCs w:val="24"/>
        </w:rPr>
        <w:t xml:space="preserve">La conseguenza per la designazione delle fonti è precisa e va apportata. Una relazione approvata da una Commissione d'inchiesta e trasmessa alle Camere è un atto della Commissione. Non è un atto del Parlamento, e non lo diviene per effetto della trasmissione. Chi la designi come pronuncia parlamentare le attribuisce un'autorità che essa non ha ricevuto, e la differenza non è formale: fra un giudizio deliberato da quarantuno commissari e un giudizio discusso e votato da due Assemblee corre una distanza che il caso in esame non ha mai colmata.</w:t>
      </w:r>
    </w:p>
    <w:p>
      <w:pPr>
        <w:spacing w:after="120" w:line="276"/>
        <w:jc w:val="both"/>
      </w:pPr>
      <w:r>
        <w:rPr>
          <w:rFonts w:ascii="Barlow Semi Condensed" w:cs="Barlow Semi Condensed" w:eastAsia="Barlow Semi Condensed" w:hAnsi="Barlow Semi Condensed"/>
          <w:b/>
          <w:bCs/>
          <w:sz w:val="24"/>
          <w:szCs w:val="24"/>
        </w:rPr>
        <w:t xml:space="preserve">Si dispone pertanto che, nelle redazioni successive, le relazioni delle Commissioni siano designate per l'organo che le ha approvate e non per la sede alla quale sono state trasmesse, e che ove il grado di una proposizione riposi su una di esse ciò sia dichiarato in questa forma.</w:t>
      </w:r>
    </w:p>
    <w:p>
      <w:pPr>
        <w:pStyle w:val="Heading2"/>
        <w:spacing w:after="100" w:before="200"/>
      </w:pPr>
      <w:r>
        <w:rPr>
          <w:rFonts w:ascii="Barlow Semi Condensed" w:cs="Barlow Semi Condensed" w:eastAsia="Barlow Semi Condensed" w:hAnsi="Barlow Semi Condensed"/>
          <w:sz w:val="24"/>
          <w:szCs w:val="24"/>
        </w:rPr>
        <w:t xml:space="preserve">Parte terza — La discontinuità della memoria istituzionale</w:t>
      </w:r>
    </w:p>
    <w:p>
      <w:pPr>
        <w:spacing w:after="120" w:line="276"/>
        <w:jc w:val="both"/>
      </w:pPr>
      <w:r>
        <w:rPr>
          <w:rFonts w:ascii="Barlow Semi Condensed" w:cs="Barlow Semi Condensed" w:eastAsia="Barlow Semi Condensed" w:hAnsi="Barlow Semi Condensed"/>
          <w:b/>
          <w:bCs/>
          <w:sz w:val="24"/>
          <w:szCs w:val="24"/>
        </w:rPr>
        <w:t xml:space="preserve">L'organo dichiara che alla propria ricostituzione quaranta commissari su quarantuno non avevano fatto parte della Commissione in precedenza, e che tale ricambio ha imposto un faticoso sforzo di aggiornamento per colmare l'inevitabile vuoto di informazione relativo ai temi di indagine e alle attività passate. Dichiara altresì di avere avuto a disposizione circa un anno e mezzo, per effetto della ricostituzione tardiva rispetto all'inizio della legislatura.</w:t>
      </w:r>
    </w:p>
    <w:p>
      <w:pPr>
        <w:spacing w:after="120" w:line="276"/>
        <w:jc w:val="both"/>
      </w:pPr>
      <w:r>
        <w:rPr>
          <w:rFonts w:ascii="Barlow Semi Condensed" w:cs="Barlow Semi Condensed" w:eastAsia="Barlow Semi Condensed" w:hAnsi="Barlow Semi Condensed"/>
          <w:b/>
          <w:bCs/>
          <w:sz w:val="24"/>
          <w:szCs w:val="24"/>
        </w:rPr>
        <w:t xml:space="preserve">Si registra la circostanza come dato strutturale sulla classe delle fonti parlamentari, e non come rilievo su alcuno. Un organo d'inchiesta che si rinnovi per intero a ogni legislatura ricomincia, quanto alla conoscenza del proprio oggetto, da una posizione prossima a quella di partenza, e la continuità è affidata al solo patrimonio documentale e al personale che lo custodisce. Ne segue che la profondità delle inchieste parlamentari in materia non cresce linearmente con il numero delle legislature che vi si dedicano, e che l'aspettativa contraria — implicita in ogni ricostruzione che sommi le conclusioni successive come strati di un accertamento progressivo — è infondata.</w:t>
      </w:r>
    </w:p>
    <w:p>
      <w:pPr>
        <w:pStyle w:val="Heading2"/>
        <w:spacing w:after="100" w:before="200"/>
      </w:pPr>
      <w:r>
        <w:rPr>
          <w:rFonts w:ascii="Barlow Semi Condensed" w:cs="Barlow Semi Condensed" w:eastAsia="Barlow Semi Condensed" w:hAnsi="Barlow Semi Condensed"/>
          <w:sz w:val="24"/>
          <w:szCs w:val="24"/>
        </w:rPr>
        <w:t xml:space="preserve">Parte quarta — Lo Stato Zero sul repertorio del Gabinetto: esito</w:t>
      </w:r>
    </w:p>
    <w:p>
      <w:pPr>
        <w:spacing w:after="120" w:line="276"/>
        <w:jc w:val="both"/>
      </w:pPr>
      <w:r>
        <w:rPr>
          <w:rFonts w:ascii="Barlow Semi Condensed" w:cs="Barlow Semi Condensed" w:eastAsia="Barlow Semi Condensed" w:hAnsi="Barlow Semi Condensed"/>
          <w:b/>
          <w:bCs/>
          <w:sz w:val="24"/>
          <w:szCs w:val="24"/>
        </w:rPr>
        <w:t xml:space="preserve">Si riferisce l'esito dell'interrogazione che ha motivato la presente unità.</w:t>
      </w:r>
    </w:p>
    <w:p>
      <w:pPr>
        <w:spacing w:after="120" w:line="276"/>
        <w:jc w:val="both"/>
      </w:pPr>
      <w:r>
        <w:rPr>
          <w:rFonts w:ascii="Barlow Semi Condensed" w:cs="Barlow Semi Condensed" w:eastAsia="Barlow Semi Condensed" w:hAnsi="Barlow Semi Condensed"/>
          <w:b/>
          <w:bCs/>
          <w:sz w:val="24"/>
          <w:szCs w:val="24"/>
        </w:rPr>
        <w:t xml:space="preserve">Nessuna delle due relazioni semestrali menziona il repertorio generale degli atti concernenti il caso transitati per il Gabinetto del Ministro dell'interno, e nessuna menziona la raccomandazione della Commissione anteriore quanto all'acquisizione dell'oggetto delle voci repertate.</w:t>
      </w:r>
    </w:p>
    <w:p>
      <w:pPr>
        <w:spacing w:after="120" w:line="276"/>
        <w:jc w:val="both"/>
      </w:pPr>
      <w:r>
        <w:rPr>
          <w:rFonts w:ascii="Barlow Semi Condensed" w:cs="Barlow Semi Condensed" w:eastAsia="Barlow Semi Condensed" w:hAnsi="Barlow Semi Condensed"/>
          <w:b/>
          <w:bCs/>
          <w:sz w:val="24"/>
          <w:szCs w:val="24"/>
        </w:rPr>
        <w:t xml:space="preserve">Si dichiara con esattezza che cosa questo stabilisca e che cosa no. Esso non stabilisce che l'acquisizione non sia stata compiuta. Le relazioni semestrali sono, per loro natura, resoconti sintetici dello stato dei lavori e non indici completi delle acquisizioni; la seconda dedica alle acquisizioni documentali due paragrafi e vi espone per esteso una sola classe di operazioni. Esso stabilisce che, in due resoconti dell'attività svolta nell'arco di un anno da parte dell'organo espressamente destinatario della raccomandazione, la raccomandazione non è menzionata.</w:t>
      </w:r>
    </w:p>
    <w:p>
      <w:pPr>
        <w:spacing w:after="120" w:line="276"/>
        <w:jc w:val="both"/>
      </w:pPr>
      <w:r>
        <w:rPr>
          <w:rFonts w:ascii="Barlow Semi Condensed" w:cs="Barlow Semi Condensed" w:eastAsia="Barlow Semi Condensed" w:hAnsi="Barlow Semi Condensed"/>
          <w:b/>
          <w:bCs/>
          <w:sz w:val="24"/>
          <w:szCs w:val="24"/>
        </w:rPr>
        <w:t xml:space="preserve">Lo Stato Zero dichiarato dall'appendice sesta non si chiude e si restringe. Esso passa dalla forma indeterminata — non è accertato se la raccomandazione sia stata eseguita — alla forma determinata: non è menzionata nei due resoconti semestrali dell'organo destinatario, e la sua esecuzione va cercata negli indici di acquisizione della XII legislatura, che non sono posseduti, ovvero nella relazione conclusiva di quella legislatura.</w:t>
      </w:r>
    </w:p>
    <w:p>
      <w:pPr>
        <w:pStyle w:val="Heading2"/>
        <w:spacing w:after="100" w:before="200"/>
      </w:pPr>
      <w:r>
        <w:rPr>
          <w:rFonts w:ascii="Barlow Semi Condensed" w:cs="Barlow Semi Condensed" w:eastAsia="Barlow Semi Condensed" w:hAnsi="Barlow Semi Condensed"/>
          <w:sz w:val="24"/>
          <w:szCs w:val="24"/>
        </w:rPr>
        <w:t xml:space="preserve">Parte quinta — Gli atti nuovi designati per estremi</w:t>
      </w:r>
    </w:p>
    <w:p>
      <w:pPr>
        <w:spacing w:after="120" w:line="276"/>
        <w:jc w:val="both"/>
      </w:pPr>
      <w:r>
        <w:rPr>
          <w:rFonts w:ascii="Barlow Semi Condensed" w:cs="Barlow Semi Condensed" w:eastAsia="Barlow Semi Condensed" w:hAnsi="Barlow Semi Condensed"/>
          <w:b/>
          <w:bCs/>
          <w:sz w:val="24"/>
          <w:szCs w:val="24"/>
        </w:rPr>
        <w:t xml:space="preserve">La seconda relazione reca l'elenco delle sedute con il rispettivo oggetto, ed è pertanto essa stessa uno strumento di designazione. Si estraggono le voci pertinenti al caso, ciascuna con seduta, data e oggetto.</w:t>
      </w:r>
    </w:p>
    <w:p>
      <w:pPr>
        <w:spacing w:after="120" w:line="276"/>
        <w:jc w:val="both"/>
      </w:pPr>
      <w:r>
        <w:rPr>
          <w:rFonts w:ascii="Barlow Semi Condensed" w:cs="Barlow Semi Condensed" w:eastAsia="Barlow Semi Condensed" w:hAnsi="Barlow Semi Condensed"/>
          <w:b/>
          <w:bCs/>
          <w:sz w:val="24"/>
          <w:szCs w:val="24"/>
        </w:rPr>
        <w:t xml:space="preserve">Nona seduta del nove marzo millenovecentonovantacinque, incontro di lavoro con tre magistrati che condussero le indagini sul caso nelle sue fasi recenti, sotto l'intitolazione degli ultimi sviluppi. È l'unico atto della serie nel quale i titolari delle tre istruttorie successive compaiono insieme dinanzi all'organo.</w:t>
      </w:r>
    </w:p>
    <w:p>
      <w:pPr>
        <w:spacing w:after="120" w:line="276"/>
        <w:jc w:val="both"/>
      </w:pPr>
      <w:r>
        <w:rPr>
          <w:rFonts w:ascii="Barlow Semi Condensed" w:cs="Barlow Semi Condensed" w:eastAsia="Barlow Semi Condensed" w:hAnsi="Barlow Semi Condensed"/>
          <w:b/>
          <w:bCs/>
          <w:sz w:val="24"/>
          <w:szCs w:val="24"/>
        </w:rPr>
        <w:t xml:space="preserve">Ventiduesima seduta del ventitré maggio millenovecentonovantacinque, audizione di un magistrato sulle vicende connesse al caso del falsario del comunicato apocrifo, sotto l'intitolazione congiunta degli ultimi sviluppi del caso e dei rapporti fra eversione e criminalità organizzata. L'organo riferisce che l'audito fornì informazioni sull'attività di un'associazione criminale romana e in particolare del pregiudicato ucciso nel settembre millenovecentottantaquattro.</w:t>
      </w:r>
    </w:p>
    <w:p>
      <w:pPr>
        <w:spacing w:after="120" w:line="276"/>
        <w:jc w:val="both"/>
      </w:pPr>
      <w:r>
        <w:rPr>
          <w:rFonts w:ascii="Barlow Semi Condensed" w:cs="Barlow Semi Condensed" w:eastAsia="Barlow Semi Condensed" w:hAnsi="Barlow Semi Condensed"/>
          <w:b/>
          <w:bCs/>
          <w:sz w:val="24"/>
          <w:szCs w:val="24"/>
        </w:rPr>
        <w:t xml:space="preserve">Questa è, per il filone del terzo soggetto, l'acquisizione più diretta dell'intera serie. La Voce ventiquattresima, iscritta dall'appendice quarta, domanda gli atti del procedimento-stralcio sul falsario. Qui si dispone in aggiunta di un'audizione parlamentare dedicata alla materia, con data, numero di seduta e qualità dell'audito. Un'audizione produce un resoconto stenografico, e un resoconto stenografico è un atto.</w:t>
      </w:r>
    </w:p>
    <w:p>
      <w:pPr>
        <w:spacing w:after="120" w:line="276"/>
        <w:jc w:val="both"/>
      </w:pPr>
      <w:r>
        <w:rPr>
          <w:rFonts w:ascii="Barlow Semi Condensed" w:cs="Barlow Semi Condensed" w:eastAsia="Barlow Semi Condensed" w:hAnsi="Barlow Semi Condensed"/>
          <w:b/>
          <w:bCs/>
          <w:sz w:val="24"/>
          <w:szCs w:val="24"/>
        </w:rPr>
        <w:t xml:space="preserve">Ventitreesima seduta del ventiquattro maggio millenovecentonovantacinque, audizione del magistrato titolare delle indagini sull'omicidio di un giornalista presso una Procura determinata, con acquisizione di materiale documentale di interesse. L'organo dichiara che di quella vicenda e dei suoi collegamenti con il caso si stava occupando quell'ufficio.</w:t>
      </w:r>
    </w:p>
    <w:p>
      <w:pPr>
        <w:spacing w:after="120" w:line="276"/>
        <w:jc w:val="both"/>
      </w:pPr>
      <w:r>
        <w:rPr>
          <w:rFonts w:ascii="Barlow Semi Condensed" w:cs="Barlow Semi Condensed" w:eastAsia="Barlow Semi Condensed" w:hAnsi="Barlow Semi Condensed"/>
          <w:b/>
          <w:bCs/>
          <w:sz w:val="24"/>
          <w:szCs w:val="24"/>
        </w:rPr>
        <w:t xml:space="preserve">Ventiquattresima seduta del sei giugno millenovecentonovantacinque, audizione di uno stretto collaboratore dello statista.</w:t>
      </w:r>
    </w:p>
    <w:p>
      <w:pPr>
        <w:spacing w:after="120" w:line="276"/>
        <w:jc w:val="both"/>
      </w:pPr>
      <w:r>
        <w:rPr>
          <w:rFonts w:ascii="Barlow Semi Condensed" w:cs="Barlow Semi Condensed" w:eastAsia="Barlow Semi Condensed" w:hAnsi="Barlow Semi Condensed"/>
          <w:b/>
          <w:bCs/>
          <w:sz w:val="24"/>
          <w:szCs w:val="24"/>
        </w:rPr>
        <w:t xml:space="preserve">Da quest'ultima discende l'acquisizione più circoscritta e più singolare della serie. L'organo dichiara che, a seguito delle risultanze di quell'audizione, l'Ufficio di Presidenza avvertì la necessità di acquisire una lettera consegnata il trenta luglio millenovecentonovantuno dall'allora Capo dello Stato al Presidente del Senato; che di tale lettera fu fatta richiesta, con riscontro positivo, alla Procura della Repubblica di Roma; e che quest'ufficio l'aveva nel frattempo acquisita dall'esecutore testamentario del destinatario.</w:t>
      </w:r>
    </w:p>
    <w:p>
      <w:pPr>
        <w:spacing w:after="120" w:line="276"/>
        <w:jc w:val="both"/>
      </w:pPr>
      <w:r>
        <w:rPr>
          <w:rFonts w:ascii="Barlow Semi Condensed" w:cs="Barlow Semi Condensed" w:eastAsia="Barlow Semi Condensed" w:hAnsi="Barlow Semi Condensed"/>
          <w:b/>
          <w:bCs/>
          <w:sz w:val="24"/>
          <w:szCs w:val="24"/>
        </w:rPr>
        <w:t xml:space="preserve">Si osservi la catena: un'audizione del millenovecentonovantacinque produce la ricerca di una lettera del millenovecentonovantuno, la quale si trova non presso alcuno dei due corrispondenti ma presso una Procura, che l'aveva ottenuta da un esecutore testamentario. Quattro passaggi di custodia, tutti documentati, per un atto di due righe di descrizione. È il modello esatto di ciò che la Voce ventesima domanda, ed è l'esempio migliore disponibile del fatto che un atto si designa per la propria storia di custodia e non per il proprio autore soltanto.</w:t>
      </w:r>
    </w:p>
    <w:p>
      <w:pPr>
        <w:spacing w:after="120" w:line="276"/>
        <w:jc w:val="both"/>
      </w:pPr>
      <w:r>
        <w:rPr>
          <w:rFonts w:ascii="Barlow Semi Condensed" w:cs="Barlow Semi Condensed" w:eastAsia="Barlow Semi Condensed" w:hAnsi="Barlow Semi Condensed"/>
          <w:b/>
          <w:bCs/>
          <w:sz w:val="24"/>
          <w:szCs w:val="24"/>
        </w:rPr>
        <w:t xml:space="preserve">Voce trentunesima — I resoconti delle audizioni sul caso nella XII legislatura. Oggetto: i resoconti stenografici delle sedute nona, ventiduesima, ventitreesima e ventiquattresima della XII legislatura, con particolare riguardo a quella dedicata alle vicende connesse al caso del falsario. Sede: atti della Commissione presso l'archivio storico competente. Chiusura: acquisizione dei quattro resoconti. Smentita: la constatazione che gli incontri di lavoro non producessero resoconto stenografico, nel qual caso resterebbero i soli processi verbali, che attestano lo svolgimento e non il contenuto.</w:t>
      </w:r>
    </w:p>
    <w:p>
      <w:pPr>
        <w:spacing w:after="120" w:line="276"/>
        <w:jc w:val="both"/>
      </w:pPr>
      <w:r>
        <w:rPr>
          <w:rFonts w:ascii="Barlow Semi Condensed" w:cs="Barlow Semi Condensed" w:eastAsia="Barlow Semi Condensed" w:hAnsi="Barlow Semi Condensed"/>
          <w:b/>
          <w:bCs/>
          <w:sz w:val="24"/>
          <w:szCs w:val="24"/>
        </w:rPr>
        <w:t xml:space="preserve">Voce trentaduesima — La lettera del trenta luglio millenovecentonovantuno. Oggetto: la lettera consegnata in quella data dall'allora Capo dello Stato al Presidente del Senato, acquisita dalla Procura della Repubblica di Roma presso l'esecutore testamentario del destinatario e da questa trasmessa alla Commissione. Sede: atti della Commissione della XII legislatura; in origine, atti della Procura. Chiusura: reperimento del testo. Smentita: non ricorre, trattandosi di reperimento di un atto la cui esistenza e la cui via di custodia sono dichiarate dall'organo che lo acquisì.</w:t>
      </w:r>
    </w:p>
    <w:p>
      <w:pPr>
        <w:pStyle w:val="Heading2"/>
        <w:spacing w:after="100" w:before="200"/>
      </w:pPr>
      <w:r>
        <w:rPr>
          <w:rFonts w:ascii="Barlow Semi Condensed" w:cs="Barlow Semi Condensed" w:eastAsia="Barlow Semi Condensed" w:hAnsi="Barlow Semi Condensed"/>
          <w:sz w:val="24"/>
          <w:szCs w:val="24"/>
        </w:rPr>
        <w:t xml:space="preserve">Parte sesta — Le richieste rivolte all'estero</w:t>
      </w:r>
    </w:p>
    <w:p>
      <w:pPr>
        <w:spacing w:after="120" w:line="276"/>
        <w:jc w:val="both"/>
      </w:pPr>
      <w:r>
        <w:rPr>
          <w:rFonts w:ascii="Barlow Semi Condensed" w:cs="Barlow Semi Condensed" w:eastAsia="Barlow Semi Condensed" w:hAnsi="Barlow Semi Condensed"/>
          <w:b/>
          <w:bCs/>
          <w:sz w:val="24"/>
          <w:szCs w:val="24"/>
        </w:rPr>
        <w:t xml:space="preserve">L'organo dichiara di avere deciso di acquisire ogni possibile ulteriore documentazione esistente in Italia o all'estero, e di avere avanzato richieste presso gli archivi del Ministero dell'interno e del Ministero degli affari esteri, nonché presso numerosi enti culturali e istituzioni pubbliche di uno Stato estero d'oltreoceano; e di essersi infine rivolto alle ambasciate di due Stati dell'area orientale, le quali hanno entrambe assicurato il proprio interessamento presso i competenti organi dei rispettivi governi.</w:t>
      </w:r>
    </w:p>
    <w:p>
      <w:pPr>
        <w:spacing w:after="120" w:line="276"/>
        <w:jc w:val="both"/>
      </w:pPr>
      <w:r>
        <w:rPr>
          <w:rFonts w:ascii="Barlow Semi Condensed" w:cs="Barlow Semi Condensed" w:eastAsia="Barlow Semi Condensed" w:hAnsi="Barlow Semi Condensed"/>
          <w:b/>
          <w:bCs/>
          <w:sz w:val="24"/>
          <w:szCs w:val="24"/>
        </w:rPr>
        <w:t xml:space="preserve">Questa dichiarazione tocca una delle lacune più antiche della tavola. La Scheda dedicata alla comunicazione straniera osservava che non risulta essere mai stata tentata la via rogatoriale su un punto determinato, e la qualificava come la lacuna procedurale più semplice da colmare fra quelle censite. La presente relazione non contraddice quell'osservazione, che riguardava una rogatoria su un oggetto specifico; essa documenta però che una via diversa e più generale — la richiesta per canale diplomatico — fu percorsa nel millenovecentonovantacinque verso tre destinazioni, e che due di esse risposero assicurando interessamento.</w:t>
      </w:r>
    </w:p>
    <w:p>
      <w:pPr>
        <w:spacing w:after="120" w:line="276"/>
        <w:jc w:val="both"/>
      </w:pPr>
      <w:r>
        <w:rPr>
          <w:rFonts w:ascii="Barlow Semi Condensed" w:cs="Barlow Semi Condensed" w:eastAsia="Barlow Semi Condensed" w:hAnsi="Barlow Semi Condensed"/>
          <w:b/>
          <w:bCs/>
          <w:sz w:val="24"/>
          <w:szCs w:val="24"/>
        </w:rPr>
        <w:t xml:space="preserve">L'esito di quelle richieste non è dichiarato in alcuna delle due relazioni, le quali si arrestano alla data della seconda. Si dichiara Stato Zero sull'esito, con sede determinata negli atti della medesima Commissione e nella sua relazione conclusiva.</w:t>
      </w:r>
    </w:p>
    <w:p>
      <w:pPr>
        <w:spacing w:after="120" w:line="276"/>
        <w:jc w:val="both"/>
      </w:pPr>
      <w:r>
        <w:rPr>
          <w:rFonts w:ascii="Barlow Semi Condensed" w:cs="Barlow Semi Condensed" w:eastAsia="Barlow Semi Condensed" w:hAnsi="Barlow Semi Condensed"/>
          <w:b/>
          <w:bCs/>
          <w:sz w:val="24"/>
          <w:szCs w:val="24"/>
        </w:rPr>
        <w:t xml:space="preserve">Voce trentatreesima — L'esito delle richieste documentali rivolte all'estero nel 1995. Oggetto: le risposte pervenute alle richieste avanzate presso enti e istituzioni pubbliche estere e per il tramite di due ambasciate, e la documentazione eventualmente acquisita per tale via. Sede: atti della Commissione della XII legislatura; archivi del Ministero degli affari esteri. Chiusura: reperimento delle risposte, comprese quelle negative. Smentita: non ricorre; si segnala che una risposta negativa chiude ugualmente la voce ed è acquisizione di pieno valore.</w:t>
      </w:r>
    </w:p>
    <w:p>
      <w:pPr>
        <w:pStyle w:val="Heading2"/>
        <w:spacing w:after="100" w:before="200"/>
      </w:pPr>
      <w:r>
        <w:rPr>
          <w:rFonts w:ascii="Barlow Semi Condensed" w:cs="Barlow Semi Condensed" w:eastAsia="Barlow Semi Condensed" w:hAnsi="Barlow Semi Condensed"/>
          <w:sz w:val="24"/>
          <w:szCs w:val="24"/>
        </w:rPr>
        <w:t xml:space="preserve">Parte settima — Gli accessi ai fondi riservati</w:t>
      </w:r>
    </w:p>
    <w:p>
      <w:pPr>
        <w:spacing w:after="120" w:line="276"/>
        <w:jc w:val="both"/>
      </w:pPr>
      <w:r>
        <w:rPr>
          <w:rFonts w:ascii="Barlow Semi Condensed" w:cs="Barlow Semi Condensed" w:eastAsia="Barlow Semi Condensed" w:hAnsi="Barlow Semi Condensed"/>
          <w:b/>
          <w:bCs/>
          <w:sz w:val="24"/>
          <w:szCs w:val="24"/>
        </w:rPr>
        <w:t xml:space="preserve">La seconda relazione dedica un paragrafo agli accessi agli archivi riservati di organi dello Stato, e ne riferisce nei termini seguenti. Dopo che il Ministro dell'interno aveva manifestato in sede di audizione piena disponibilità, furono raggiunte le intese per consentire che alcuni consulenti appositamente accreditati visionassero la documentazione esistente presso quel Dicastero, compresa quella riservata e non versata all'archivio storico dello Stato. L'ambito prevalente della ricerca fu quello delle formazioni paramilitari attive in Italia a partire dal secondo dopoguerra. La ricerca fu poi estesa ai fondi riservati dell'archivio centrale dello Stato, al materiale esistente presso la Presidenza del Consiglio e all'archivio storico dello Stato maggiore dell'Esercito.</w:t>
      </w:r>
    </w:p>
    <w:p>
      <w:pPr>
        <w:spacing w:after="120" w:line="276"/>
        <w:jc w:val="both"/>
      </w:pPr>
      <w:r>
        <w:rPr>
          <w:rFonts w:ascii="Barlow Semi Condensed" w:cs="Barlow Semi Condensed" w:eastAsia="Barlow Semi Condensed" w:hAnsi="Barlow Semi Condensed"/>
          <w:b/>
          <w:bCs/>
          <w:sz w:val="24"/>
          <w:szCs w:val="24"/>
        </w:rPr>
        <w:t xml:space="preserve">Si registra il fatto e lo si qualifica rispetto alla regolarità che il corpus maggiore ha iscritta fra le proprie risultanze, secondo la quale nessun archivio di apparato si è aperto per iniziativa propria e le aperture sono conseguite a pressione esterna.</w:t>
      </w:r>
    </w:p>
    <w:p>
      <w:pPr>
        <w:spacing w:after="120" w:line="276"/>
        <w:jc w:val="both"/>
      </w:pPr>
      <w:r>
        <w:rPr>
          <w:rFonts w:ascii="Barlow Semi Condensed" w:cs="Barlow Semi Condensed" w:eastAsia="Barlow Semi Condensed" w:hAnsi="Barlow Semi Condensed"/>
          <w:b/>
          <w:bCs/>
          <w:sz w:val="24"/>
          <w:szCs w:val="24"/>
        </w:rPr>
        <w:t xml:space="preserve">Il caso qui documentato è coerente con quella regolarità e non la contraddice. L'apertura fu preceduta da una audizione del Ministro dinanzi all'organo d'inchiesta, cioè dall'esercizio di un potere ispettivo, e fu regolata da intese e da accreditamento nominativo di consulenti. Essa non fu un versamento e non fu una desecretazione: fu una visione consentita a persone determinate. Ne segue che ciò che quei consulenti videro è documentato, se lo è, negli elaborati che ne redassero, e non in un inventario pubblico.</w:t>
      </w:r>
    </w:p>
    <w:p>
      <w:pPr>
        <w:spacing w:after="120" w:line="276"/>
        <w:jc w:val="both"/>
      </w:pPr>
      <w:r>
        <w:rPr>
          <w:rFonts w:ascii="Barlow Semi Condensed" w:cs="Barlow Semi Condensed" w:eastAsia="Barlow Semi Condensed" w:hAnsi="Barlow Semi Condensed"/>
          <w:b/>
          <w:bCs/>
          <w:sz w:val="24"/>
          <w:szCs w:val="24"/>
        </w:rPr>
        <w:t xml:space="preserve">Voce trentaquattresima — La documentazione degli accessi ai fondi riservati. Oggetto: gli elaborati redatti dai consulenti accreditati a seguito degli accessi presso il Ministero dell'interno, l'archivio centrale dello Stato, la Presidenza del Consiglio e l'archivio storico dello Stato maggiore dell'Esercito, e l'indicazione dei fondi visionati. Sede: atti della Commissione della XII legislatura. Chiusura: reperimento degli elaborati e dell'elenco dei fondi. Smentita: la constatazione che gli accessi non produssero elaborati scritti, nel qual caso resterebbe accertato l'accesso e non il suo oggetto, e la voce si trasformerebbe nella richiesta dell'elenco dei fondi presso le sedi che li custodiscono.</w:t>
      </w:r>
    </w:p>
    <w:p>
      <w:pPr>
        <w:spacing w:after="120" w:line="276"/>
        <w:jc w:val="both"/>
      </w:pPr>
      <w:r>
        <w:rPr>
          <w:rFonts w:ascii="Barlow Semi Condensed" w:cs="Barlow Semi Condensed" w:eastAsia="Barlow Semi Condensed" w:hAnsi="Barlow Semi Condensed"/>
          <w:b/>
          <w:bCs/>
          <w:sz w:val="24"/>
          <w:szCs w:val="24"/>
        </w:rPr>
        <w:t xml:space="preserve">Si segnala che questa voce, benché l'ambito prevalente dichiarato non sia il caso, è di rilievo per il corpus maggiore più che per l'opera, poiché l'ambito dichiarato coincide con uno dei suoi oggetti principali.</w:t>
      </w:r>
    </w:p>
    <w:p>
      <w:pPr>
        <w:pStyle w:val="Heading2"/>
        <w:spacing w:after="100" w:before="200"/>
      </w:pPr>
      <w:r>
        <w:rPr>
          <w:rFonts w:ascii="Barlow Semi Condensed" w:cs="Barlow Semi Condensed" w:eastAsia="Barlow Semi Condensed" w:hAnsi="Barlow Semi Condensed"/>
          <w:sz w:val="24"/>
          <w:szCs w:val="24"/>
        </w:rPr>
        <w:t xml:space="preserve">Parte ottava — Il quinto procedimento</w:t>
      </w:r>
    </w:p>
    <w:p>
      <w:pPr>
        <w:spacing w:after="120" w:line="276"/>
        <w:jc w:val="both"/>
      </w:pPr>
      <w:r>
        <w:rPr>
          <w:rFonts w:ascii="Barlow Semi Condensed" w:cs="Barlow Semi Condensed" w:eastAsia="Barlow Semi Condensed" w:hAnsi="Barlow Semi Condensed"/>
          <w:b/>
          <w:bCs/>
          <w:sz w:val="24"/>
          <w:szCs w:val="24"/>
        </w:rPr>
        <w:t xml:space="preserve">L'organo dichiara che la fase delle indagini preliminari del quinto procedimento si è conclusa con richiesta di rinvio a giudizio avanzata dai pubblici ministeri e accolta dal giudice per le indagini preliminari nei confronti di più imputati, e che il processo riguarderà fra l'altro l'identità della quarta persona presente nella base durante la detenzione.</w:t>
      </w:r>
    </w:p>
    <w:p>
      <w:pPr>
        <w:spacing w:after="120" w:line="276"/>
        <w:jc w:val="both"/>
      </w:pPr>
      <w:r>
        <w:rPr>
          <w:rFonts w:ascii="Barlow Semi Condensed" w:cs="Barlow Semi Condensed" w:eastAsia="Barlow Semi Condensed" w:hAnsi="Barlow Semi Condensed"/>
          <w:b/>
          <w:bCs/>
          <w:sz w:val="24"/>
          <w:szCs w:val="24"/>
        </w:rPr>
        <w:t xml:space="preserve">Si registra il solo fatto processuale e nulla oltre. Un rinvio a giudizio non è un accertamento e non conferisce grado ad alcuna proposizione sul merito. L'esito di quel processo non è stabilito dalle presenti fonti, che si arrestano al luglio millenovecentonovantacinque, e l'opera non lo desume. Si segnala che tale esito è, alla data odierna, materia di giudicato e che la sua acquisizione per estremi appartiene alla classe delle sentenze già iscritte.</w:t>
      </w:r>
    </w:p>
    <w:p>
      <w:pPr>
        <w:pStyle w:val="Heading2"/>
        <w:spacing w:after="100" w:before="200"/>
      </w:pPr>
      <w:r>
        <w:rPr>
          <w:rFonts w:ascii="Barlow Semi Condensed" w:cs="Barlow Semi Condensed" w:eastAsia="Barlow Semi Condensed" w:hAnsi="Barlow Semi Condensed"/>
          <w:sz w:val="24"/>
          <w:szCs w:val="24"/>
        </w:rPr>
        <w:t xml:space="preserve">Parte nona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iscrivono le Voci trentunesima, trentaduesima, trentatreesima e trentaquattresima. Si enuncia l'undicesima regola della risalita. Si dispone la designazione delle relazioni per l'organo che le approva e non per la sede alla quale sono trasmesse. Nessun grado di alcuna proposizione dell'opera muta, e il fondamento del grado intermedio conferito alle ricostruzioni parlamentari passa dalla cautela dell'autore alla dichiarazione della fonte.</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raccomandazione sul repertorio del Gabinetto non è menzionata nei due resoconti semestrali dell'organo destinatario; la sua esecuzione resta non accertata e la ricerca si sposta sugli indici di acquisizione e sulla relazione conclusiva della XII legislatura, non posseduti. Secondo: l'esito delle richieste rivolte all'estero non è dichiarato. Terzo: gli elaborati dei consulenti accreditati non sono individuati. Quarto: il contenuto di nessuna delle audizioni qui designate è esaminato, poiché se ne possiedono le intitolazioni e non i resoconti.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quinta del giorno sul medesimo cantiere. Cantiere: designazione per atto delle fonti. Materia: le due relazioni semestrali della XII legislatura, e l'interrogazione dell'organismo successore sulla raccomandazione rimasta in sospeso.</w:t>
      </w:r>
    </w:p>
    <w:p>
      <w:pPr>
        <w:spacing w:after="120" w:line="276"/>
        <w:jc w:val="both"/>
      </w:pPr>
      <w:r>
        <w:rPr>
          <w:rFonts w:ascii="Barlow Semi Condensed" w:cs="Barlow Semi Condensed" w:eastAsia="Barlow Semi Condensed" w:hAnsi="Barlow Semi Condensed"/>
          <w:b/>
          <w:bCs/>
          <w:sz w:val="24"/>
          <w:szCs w:val="24"/>
        </w:rPr>
        <w:t xml:space="preserve">Esito positivo: acquisizione della dichiarazione con la quale l'organo definisce il proprio standard probatorio come deliberatamente diverso e più largo di quello della prova processuale, con conseguente consolidamento del fondamento del grado intermedio conferito alle ricostruzioni parlamentari; accertamento che le relazioni delle Commissioni non furono mai poste all'ordine del giorno di alcuna Assemblea, con conseguente disposizione sulla loro designazione; accertamento della discontinuità di composizione fra legislature, con la conseguenza che le conclusioni successive non si sommano come strati di un accertamento progressivo; individuazione per seduta, data e oggetto di quattro atti pertinenti al caso, fra i quali un'audizione dedicata alle vicende connesse al falsario; individuazione della lettera del trenta luglio millenovecentonovantuno con la sua intera catena di custodia; documentazione delle richieste rivolte nel millenovecentonovantacinque a enti esteri e a due ambasciate; documentazione degli accessi ai fondi riservati di quattro sedi; enunciazione dell'undicesima regola della risalita;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la raccomandazione sul repertorio generale del Gabinetto non è menzionata dall'organo destinatario nei due resoconti del proprio primo anno; l'esito delle richieste all'estero non è dichiarato; gli elaborati degli accessi riservati non sono individuati; nessun resoconto stenografico è posseduto.</w:t>
      </w:r>
    </w:p>
    <w:p>
      <w:pPr>
        <w:spacing w:after="120" w:line="276"/>
        <w:jc w:val="both"/>
      </w:pPr>
      <w:r>
        <w:rPr>
          <w:rFonts w:ascii="Barlow Semi Condensed" w:cs="Barlow Semi Condensed" w:eastAsia="Barlow Semi Condensed" w:hAnsi="Barlow Semi Condensed"/>
          <w:b/>
          <w:bCs/>
          <w:sz w:val="24"/>
          <w:szCs w:val="24"/>
        </w:rPr>
        <w:t xml:space="preserve">Riga di restringimento. Lo Stato Zero dichiarato dall'appendice sesta non si chiude e cambia forma: da indeterminato a determinato, con indicazione delle due sedi presso le quali l'esecuzione della raccomandazione va cercata. Si registra che un esito negativo che restringa il campo di ricerca è acquisizione di pieno valore, e che è il quarto della giornata.</w:t>
      </w:r>
    </w:p>
    <w:p>
      <w:pPr>
        <w:spacing w:after="120" w:line="276"/>
        <w:jc w:val="both"/>
      </w:pPr>
      <w:r>
        <w:rPr>
          <w:rFonts w:ascii="Barlow Semi Condensed" w:cs="Barlow Semi Condensed" w:eastAsia="Barlow Semi Condensed" w:hAnsi="Barlow Semi Condensed"/>
          <w:b/>
          <w:bCs/>
          <w:sz w:val="24"/>
          <w:szCs w:val="24"/>
        </w:rPr>
        <w:t xml:space="preserve">Riga di avvertenza. Le persone menzionate nelle fonti qui impiegate lo sono in quanto i loro nomi o le loro qualità appartengono agli estremi degli atti. Il rinvio a giudizio riferito alla Parte ottava è un fatto processuale e non un accertamento, e il presente atto non ne desume alcuna responsabilità, né riferisce le imputazioni. L'organo la cui relazione qui si esamina dichiara di adottare per le proprie valutazioni uno standard diverso da quello della prova: chi impieghi le sue conclusioni tenga ferma quella dichiarazione, che l'organo ha reso di propria iniziativa e in apertura.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 l'organismo successore e la dichiarazione del proprio standard, quindici agosto duemilaventisei. I settanta Capitoli restano settanta. Le redazioni anteriori non sono modificate: le pietre deposte non si scalpellano. Resta sovrana la Regola di Ferro: dove la fonte documenta, l'opera certifica; dove la fonte tace, l'opera indaga e non afferma. Quando un organo dichiara il proprio standard, il grado delle sue ricostruzioni si fissa su quella dichiarazione: la sede conferisce pubblicità e non conferisce grado.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IV · Appendice settima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3.042 parole in 9 sezioni; la più ampia è §9 Altre sezioni, con 2.454.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 — Appendice ottava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w:t>
      </w:r>
    </w:p>
    <w:p>
      <w:pPr>
        <w:pStyle w:val="Heading2"/>
        <w:spacing w:after="100" w:before="200"/>
      </w:pPr>
      <w:r>
        <w:rPr>
          <w:rFonts w:ascii="Barlow Semi Condensed" w:cs="Barlow Semi Condensed" w:eastAsia="Barlow Semi Condensed" w:hAnsi="Barlow Semi Condensed"/>
          <w:sz w:val="24"/>
          <w:szCs w:val="24"/>
        </w:rPr>
        <w:t xml:space="preserve">Il canale orientale, la quarta persona e uno Stato Zero formalizzato da quattro apparati</w:t>
      </w:r>
    </w:p>
    <w:p>
      <w:pPr>
        <w:pStyle w:val="Heading2"/>
        <w:spacing w:after="100" w:before="200"/>
      </w:pPr>
      <w:r>
        <w:rPr>
          <w:rFonts w:ascii="Barlow Semi Condensed" w:cs="Barlow Semi Condensed" w:eastAsia="Barlow Semi Condensed" w:hAnsi="Barlow Semi Condensed"/>
          <w:sz w:val="24"/>
          <w:szCs w:val="24"/>
        </w:rPr>
        <w:t xml:space="preserve">Sesta relazione semestrale, XIII legislatura, documento XXIII numero 37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ottava</w:t>
      </w:r>
    </w:p>
    <w:p>
      <w:pPr>
        <w:spacing w:after="120" w:line="276"/>
        <w:jc w:val="both"/>
      </w:pPr>
      <w:r>
        <w:rPr>
          <w:rFonts w:ascii="Barlow Semi Condensed" w:cs="Barlow Semi Condensed" w:eastAsia="Barlow Semi Condensed" w:hAnsi="Barlow Semi Condensed"/>
          <w:b/>
          <w:bCs/>
          <w:sz w:val="24"/>
          <w:szCs w:val="24"/>
        </w:rPr>
        <w:t xml:space="preserve">La presente è appendice ottava alla Fase Settima e opera sulla sesta relazione semestrale della Commissione parlamentare d'inchiesta sul terrorismo e sulle stragi della XIII legislatura, stampata come documento XXIII numero 37 e riferita a un semestre che si chiude nel gennaio duemila. Come le sette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È la quarta unità di produzione della serie e la più tarda. Essa reca acquisizioni che chiudono, restringono o riformulano quattro fra gli Stati Zero dichiarati oggi, e ne apre altri.</w:t>
      </w:r>
    </w:p>
    <w:p>
      <w:pPr>
        <w:pStyle w:val="Heading2"/>
        <w:spacing w:after="100" w:before="200"/>
      </w:pPr>
      <w:r>
        <w:rPr>
          <w:rFonts w:ascii="Barlow Semi Condensed" w:cs="Barlow Semi Condensed" w:eastAsia="Barlow Semi Condensed" w:hAnsi="Barlow Semi Condensed"/>
          <w:sz w:val="24"/>
          <w:szCs w:val="24"/>
        </w:rPr>
        <w:t xml:space="preserve">Parte prima — L'audizione della quarta persona, e il rifiuto che la precede</w:t>
      </w:r>
    </w:p>
    <w:p>
      <w:pPr>
        <w:spacing w:after="120" w:line="276"/>
        <w:jc w:val="both"/>
      </w:pPr>
      <w:r>
        <w:rPr>
          <w:rFonts w:ascii="Barlow Semi Condensed" w:cs="Barlow Semi Condensed" w:eastAsia="Barlow Semi Condensed" w:hAnsi="Barlow Semi Condensed"/>
          <w:b/>
          <w:bCs/>
          <w:sz w:val="24"/>
          <w:szCs w:val="24"/>
        </w:rPr>
        <w:t xml:space="preserve">L'organo dichiara di avere ritenuto di notevole utilità l'audizione di esponenti dell'organizzazione, e di essersi visto a più riprese opporre un rifiuto a comparire; e di avere invece ottenuto l'assenso di una persona allora agli arresti domiciliari, la cui audizione fu svolta il ventuno gennaio duemila previ contatti con la Corte di Assise d'appello competente e con le forze di polizia incaricate della traduzione.</w:t>
      </w:r>
    </w:p>
    <w:p>
      <w:pPr>
        <w:spacing w:after="120" w:line="276"/>
        <w:jc w:val="both"/>
      </w:pPr>
      <w:r>
        <w:rPr>
          <w:rFonts w:ascii="Barlow Semi Condensed" w:cs="Barlow Semi Condensed" w:eastAsia="Barlow Semi Condensed" w:hAnsi="Barlow Semi Condensed"/>
          <w:b/>
          <w:bCs/>
          <w:sz w:val="24"/>
          <w:szCs w:val="24"/>
        </w:rPr>
        <w:t xml:space="preserve">La persona audita è quella la cui identificazione costituiva, fra gli otto interrogativi dichiarati irrisolti dalla Commissione della X legislatura e richiamati dalla relazione della XI, la voce relativa alla quarta persona presente nella base durante la detenzione. Fra la formulazione di quell'interrogativo e l'audizione corrono circa dieci anni; fra i fatti e l'audizione, ventidue.</w:t>
      </w:r>
    </w:p>
    <w:p>
      <w:pPr>
        <w:spacing w:after="120" w:line="276"/>
        <w:jc w:val="both"/>
      </w:pPr>
      <w:r>
        <w:rPr>
          <w:rFonts w:ascii="Barlow Semi Condensed" w:cs="Barlow Semi Condensed" w:eastAsia="Barlow Semi Condensed" w:hAnsi="Barlow Semi Condensed"/>
          <w:b/>
          <w:bCs/>
          <w:sz w:val="24"/>
          <w:szCs w:val="24"/>
        </w:rPr>
        <w:t xml:space="preserve">Si registrano due atti e non uno, poiché il rifiuto è un atto quanto l'assenso. Un rifiuto reiterato di comparire dinanzi a un organo d'inchiesta, opposto da persone determinate, è documentato negli atti dell'organo che lo subisce, ed è la constatazione negativa più netta disponibile su una fonte dichiarativa: non è che la fonte non abbia parlato, è che ha rifiutato di parlare a quella sede. La distinzione fra il silenzio e il rifiuto è, in materia di fonti dichiarative, la medesima che corre fra il non reperito e il non accessibile.</w:t>
      </w:r>
    </w:p>
    <w:p>
      <w:pPr>
        <w:spacing w:after="120" w:line="276"/>
        <w:jc w:val="both"/>
      </w:pPr>
      <w:r>
        <w:rPr>
          <w:rFonts w:ascii="Barlow Semi Condensed" w:cs="Barlow Semi Condensed" w:eastAsia="Barlow Semi Condensed" w:hAnsi="Barlow Semi Condensed"/>
          <w:b/>
          <w:bCs/>
          <w:sz w:val="24"/>
          <w:szCs w:val="24"/>
        </w:rPr>
        <w:t xml:space="preserve">Si dichiara che il presente atto non conosce il contenuto dell'audizione, la quale produsse resoconto e del quale non si dispone.</w:t>
      </w:r>
    </w:p>
    <w:p>
      <w:pPr>
        <w:pStyle w:val="Heading2"/>
        <w:spacing w:after="100" w:before="200"/>
      </w:pPr>
      <w:r>
        <w:rPr>
          <w:rFonts w:ascii="Barlow Semi Condensed" w:cs="Barlow Semi Condensed" w:eastAsia="Barlow Semi Condensed" w:hAnsi="Barlow Semi Condensed"/>
          <w:sz w:val="24"/>
          <w:szCs w:val="24"/>
        </w:rPr>
        <w:t xml:space="preserve">Parte seconda — Le audizioni, le acquisizioni ministeriali, e il repertorio ancora cercato</w:t>
      </w:r>
    </w:p>
    <w:p>
      <w:pPr>
        <w:spacing w:after="120" w:line="276"/>
        <w:jc w:val="both"/>
      </w:pPr>
      <w:r>
        <w:rPr>
          <w:rFonts w:ascii="Barlow Semi Condensed" w:cs="Barlow Semi Condensed" w:eastAsia="Barlow Semi Condensed" w:hAnsi="Barlow Semi Condensed"/>
          <w:b/>
          <w:bCs/>
          <w:sz w:val="24"/>
          <w:szCs w:val="24"/>
        </w:rPr>
        <w:t xml:space="preserve">L'organo riferisce che sul caso si sono svolte le audizioni di un già direttore del servizio informativo militare, del vicepresidente del Consiglio in carica e di due magistrati che furono giudici istruttori all'epoca dei fatti; e che è stato acquisito ulteriore materiale documentale proveniente dalla Procura della Repubblica di Roma in data dieci novembre millenovecentonovantanove e dal Ministero dell'interno in data ventuno dicembre millenovecentonovantanove.</w:t>
      </w:r>
    </w:p>
    <w:p>
      <w:pPr>
        <w:spacing w:after="120" w:line="276"/>
        <w:jc w:val="both"/>
      </w:pPr>
      <w:r>
        <w:rPr>
          <w:rFonts w:ascii="Barlow Semi Condensed" w:cs="Barlow Semi Condensed" w:eastAsia="Barlow Semi Condensed" w:hAnsi="Barlow Semi Condensed"/>
          <w:b/>
          <w:bCs/>
          <w:sz w:val="24"/>
          <w:szCs w:val="24"/>
        </w:rPr>
        <w:t xml:space="preserve">Riferisce altresì che il Presidente ha redatto e depositato in data ventisette luglio millenovecentonovantanove un documento dedicato allo sviluppo delle indagini e ai nuovi spunti investigativi sul caso.</w:t>
      </w:r>
    </w:p>
    <w:p>
      <w:pPr>
        <w:spacing w:after="120" w:line="276"/>
        <w:jc w:val="both"/>
      </w:pPr>
      <w:r>
        <w:rPr>
          <w:rFonts w:ascii="Barlow Semi Condensed" w:cs="Barlow Semi Condensed" w:eastAsia="Barlow Semi Condensed" w:hAnsi="Barlow Semi Condensed"/>
          <w:b/>
          <w:bCs/>
          <w:sz w:val="24"/>
          <w:szCs w:val="24"/>
        </w:rPr>
        <w:t xml:space="preserve">La seconda delle due acquisizioni ministeriali va accostata allo Stato Zero sul repertorio generale degli atti del Gabinetto, dichiarato dall'appendice sesta e ristretto dall'appendice settima. Si tratta di materiale documentale proveniente dal medesimo Dicastero presso il quale il repertorio fu redatto, acquisito sul medesimo oggetto, quattro anni dopo la raccomandazione che ne prescriveva l'acquisizione.</w:t>
      </w:r>
    </w:p>
    <w:p>
      <w:pPr>
        <w:spacing w:after="120" w:line="276"/>
        <w:jc w:val="both"/>
      </w:pPr>
      <w:r>
        <w:rPr>
          <w:rFonts w:ascii="Barlow Semi Condensed" w:cs="Barlow Semi Condensed" w:eastAsia="Barlow Semi Condensed" w:hAnsi="Barlow Semi Condensed"/>
          <w:b/>
          <w:bCs/>
          <w:sz w:val="24"/>
          <w:szCs w:val="24"/>
        </w:rPr>
        <w:t xml:space="preserve">Si dichiara con esattezza ciò che l'accostamento consente e ciò che non consente. Esso non consente di identificare quella acquisizione con il repertorio: la relazione non lo dice, e nulla nella sua descrizione lo suggerisce. Esso consente di restringere ulteriormente la ricerca: se il repertorio fu acquisito dopo la raccomandazione, la data del ventuno dicembre millenovecentonovantanove è la sola occorrenza documentata, nelle fonti possedute, di una trasmissione di atti dal Gabinetto alla Commissione sul caso; ed è dunque il primo punto da verificare.</w:t>
      </w:r>
    </w:p>
    <w:p>
      <w:pPr>
        <w:spacing w:after="120" w:line="276"/>
        <w:jc w:val="both"/>
      </w:pPr>
      <w:r>
        <w:rPr>
          <w:rFonts w:ascii="Barlow Semi Condensed" w:cs="Barlow Semi Condensed" w:eastAsia="Barlow Semi Condensed" w:hAnsi="Barlow Semi Condensed"/>
          <w:b/>
          <w:bCs/>
          <w:sz w:val="24"/>
          <w:szCs w:val="24"/>
        </w:rPr>
        <w:t xml:space="preserve">Voce trentacinquesima — Gli atti della XIII legislatura sul caso. Oggetto: i resoconti delle quattro audizioni sul caso e di quella del ventuno gennaio duemila; il documento redatto e depositato dal Presidente il ventisette luglio millenovecentonovantanove; l'elenco analitico del materiale acquisito dalla Procura della Repubblica di Roma il dieci novembre e dal Ministero dell'interno il ventuno dicembre millenovecentonovantanove. Sede: atti della Commissione della XIII legislatura. Chiusura: reperimento dei resoconti, del documento e dei due elenchi. Smentita: non ricorre. Si segnala che il secondo elenco è il punto nel quale verificare l'eventuale acquisizione del repertorio generale del Gabinetto.</w:t>
      </w:r>
    </w:p>
    <w:p>
      <w:pPr>
        <w:pStyle w:val="Heading2"/>
        <w:spacing w:after="100" w:before="200"/>
      </w:pPr>
      <w:r>
        <w:rPr>
          <w:rFonts w:ascii="Barlow Semi Condensed" w:cs="Barlow Semi Condensed" w:eastAsia="Barlow Semi Condensed" w:hAnsi="Barlow Semi Condensed"/>
          <w:sz w:val="24"/>
          <w:szCs w:val="24"/>
        </w:rPr>
        <w:t xml:space="preserve">Parte terza — Il canale orientale, e la sua catena di custodia</w:t>
      </w:r>
    </w:p>
    <w:p>
      <w:pPr>
        <w:spacing w:after="120" w:line="276"/>
        <w:jc w:val="both"/>
      </w:pPr>
      <w:r>
        <w:rPr>
          <w:rFonts w:ascii="Barlow Semi Condensed" w:cs="Barlow Semi Condensed" w:eastAsia="Barlow Semi Condensed" w:hAnsi="Barlow Semi Condensed"/>
          <w:b/>
          <w:bCs/>
          <w:sz w:val="24"/>
          <w:szCs w:val="24"/>
        </w:rPr>
        <w:t xml:space="preserve">L'organo espone per intero, e questa è l'acquisizione più consistente dell'unità, la vicenda di un carteggio relativo a contatti e scambi di informazioni intervenuti nell'estate e nell'autunno del millenovecentonovanta fra gli organi ufficiali della nuova amministrazione di uno Stato dell'Europa centrale e i servizi informativi italiani, carteggio che avrebbe riguardato fra l'altro l'attività dell'organizzazione e il caso.</w:t>
      </w:r>
    </w:p>
    <w:p>
      <w:pPr>
        <w:spacing w:after="120" w:line="276"/>
        <w:jc w:val="both"/>
      </w:pPr>
      <w:r>
        <w:rPr>
          <w:rFonts w:ascii="Barlow Semi Condensed" w:cs="Barlow Semi Condensed" w:eastAsia="Barlow Semi Condensed" w:hAnsi="Barlow Semi Condensed"/>
          <w:b/>
          <w:bCs/>
          <w:sz w:val="24"/>
          <w:szCs w:val="24"/>
        </w:rPr>
        <w:t xml:space="preserve">La catena di custodia dichiarata è la seguente. Il carteggio fu trasmesso dal servizio informativo civile alla Procura della Repubblica di Roma nell'agosto millenovecentonovantotto; da questa fu inviato alla Commissione nell'aprile millenovecentonovantanove; l'Ufficio di Presidenza, previ contatti con la Procura e con il servizio, deliberò a maggioranza il venticinque ottobre millenovecentonovantanove di renderlo accessibile agli organi di informazione.</w:t>
      </w:r>
    </w:p>
    <w:p>
      <w:pPr>
        <w:spacing w:after="120" w:line="276"/>
        <w:jc w:val="both"/>
      </w:pPr>
      <w:r>
        <w:rPr>
          <w:rFonts w:ascii="Barlow Semi Condensed" w:cs="Barlow Semi Condensed" w:eastAsia="Barlow Semi Condensed" w:hAnsi="Barlow Semi Condensed"/>
          <w:b/>
          <w:bCs/>
          <w:sz w:val="24"/>
          <w:szCs w:val="24"/>
        </w:rPr>
        <w:t xml:space="preserve">L'organo precisa inoltre che dalla documentazione trasmessa nel millenovecentonovantotto dal servizio alla Procura erano rimaste escluse alcune parti, menzionate sommariamente in un elenco ma non afferenti al caso, e che la Procura non ne aveva pertanto fatto richiesta; e che la Commissione giudicò opportuno acquisire anche quelle parti, ottenendole dal servizio in data ventinove ottobre millenovecentonovantanove. Riferisce infine che il vicepresidente del Consiglio, al termine della propria audizione del ventisette ottobre, depositò altri atti citati ma non inclusi nel fascicolo inviato alla Procura.</w:t>
      </w:r>
    </w:p>
    <w:p>
      <w:pPr>
        <w:spacing w:after="120" w:line="276"/>
        <w:jc w:val="both"/>
      </w:pPr>
      <w:r>
        <w:rPr>
          <w:rFonts w:ascii="Barlow Semi Condensed" w:cs="Barlow Semi Condensed" w:eastAsia="Barlow Semi Condensed" w:hAnsi="Barlow Semi Condensed"/>
          <w:b/>
          <w:bCs/>
          <w:sz w:val="24"/>
          <w:szCs w:val="24"/>
        </w:rPr>
        <w:t xml:space="preserve">Questa esposizione contiene il caso più istruttivo dell'intera serie quanto alla formazione delle lacune, e va letto lentamente. Un servizio trasmette a una Procura ciò che è pertinente al procedimento di quella Procura, e menziona in elenco ciò che non lo è. La Procura, correttamente, chiede il pertinente. Il non pertinente resta dove si trova. Nessuno ha occultato nulla, nessuno ha violato alcuna regola, e ciascun passaggio è ineccepibile: eppure, al termine della catena, esiste un insieme di documenti che è stato menzionato, non richiesto e non trasmesso, e la cui esistenza è nota soltanto a chi legga l'elenco sommario.</w:t>
      </w:r>
    </w:p>
    <w:p>
      <w:pPr>
        <w:spacing w:after="120" w:line="276"/>
        <w:jc w:val="both"/>
      </w:pPr>
      <w:r>
        <w:rPr>
          <w:rFonts w:ascii="Barlow Semi Condensed" w:cs="Barlow Semi Condensed" w:eastAsia="Barlow Semi Condensed" w:hAnsi="Barlow Semi Condensed"/>
          <w:b/>
          <w:bCs/>
          <w:sz w:val="24"/>
          <w:szCs w:val="24"/>
        </w:rPr>
        <w:t xml:space="preserve">Se ne trae che una parte delle lacune in questa materia non è prodotta da alcuna volontà. Essa è prodotta dal fatto che ogni ufficio domanda secondo il proprio oggetto, e che ciò che cade fuori dall'oggetto di tutti gli uffici che hanno domandato non è mai domandato da nessuno. È la figura che il corpus maggiore designa come effetto del lampione, qui documentata nella sua forma pura: non un archivio che si chiude, ma un fascio di luce che non arriva.</w:t>
      </w:r>
    </w:p>
    <w:p>
      <w:pPr>
        <w:spacing w:after="120" w:line="276"/>
        <w:jc w:val="both"/>
      </w:pPr>
      <w:r>
        <w:rPr>
          <w:rFonts w:ascii="Barlow Semi Condensed" w:cs="Barlow Semi Condensed" w:eastAsia="Barlow Semi Condensed" w:hAnsi="Barlow Semi Condensed"/>
          <w:b/>
          <w:bCs/>
          <w:sz w:val="24"/>
          <w:szCs w:val="24"/>
        </w:rPr>
        <w:t xml:space="preserve">Si registri altresì la circostanza che segue, perché è quella che ha rotto la sequenza: la Commissione ottenne le parti escluse perché ne lesse l'elenco e le chiese. L'elenco sommario di ciò che non viene trasmesso è, in un sistema di trasmissioni parziali, il solo strumento che renda la lacuna visibile. Ne discende una prescrizione per chi conduca ricerche archivistiche: si chieda sempre, oltre al fascicolo, l'elenco di ciò che dal fascicolo è stato escluso, e la ragione dell'esclusione.</w:t>
      </w:r>
    </w:p>
    <w:p>
      <w:pPr>
        <w:spacing w:after="120" w:line="276"/>
        <w:jc w:val="both"/>
      </w:pPr>
      <w:r>
        <w:rPr>
          <w:rFonts w:ascii="Barlow Semi Condensed" w:cs="Barlow Semi Condensed" w:eastAsia="Barlow Semi Condensed" w:hAnsi="Barlow Semi Condensed"/>
          <w:b/>
          <w:bCs/>
          <w:sz w:val="24"/>
          <w:szCs w:val="24"/>
        </w:rPr>
        <w:t xml:space="preserve">L'organo conclude affermando che, a seguito del complesso delle acquisizioni, la Commissione dispone ora di tutto il materiale raccolto dai servizi italiani nel millenovecentonovanta in virtù di quel rapporto di collaborazione.</w:t>
      </w:r>
    </w:p>
    <w:p>
      <w:pPr>
        <w:spacing w:after="120" w:line="276"/>
        <w:jc w:val="both"/>
      </w:pPr>
      <w:r>
        <w:rPr>
          <w:rFonts w:ascii="Barlow Semi Condensed" w:cs="Barlow Semi Condensed" w:eastAsia="Barlow Semi Condensed" w:hAnsi="Barlow Semi Condensed"/>
          <w:b/>
          <w:bCs/>
          <w:sz w:val="24"/>
          <w:szCs w:val="24"/>
        </w:rPr>
        <w:t xml:space="preserve">Si enuncia la regola che l'affermazione impone, ed è la dodicesima della serie. Un'affermazione di completezza formulata dall'acquirente è una valutazione dell'acquirente e non un accertamento sulla completezza. Essa attesta che chi ha acquisito ritiene di avere esaurito, il che dipende dalla conoscenza che egli ha di ciò che esiste; e in un sistema nel quale l'esistenza è nota per elenchi sommari redatti da altri, quella conoscenza è essa stessa derivata. Si registri l'affermazione al grado che le compete, che è quello della valutazione, e non la si impieghi per chiudere una ricerca.</w:t>
      </w:r>
    </w:p>
    <w:p>
      <w:pPr>
        <w:spacing w:after="120" w:line="276"/>
        <w:jc w:val="both"/>
      </w:pPr>
      <w:r>
        <w:rPr>
          <w:rFonts w:ascii="Barlow Semi Condensed" w:cs="Barlow Semi Condensed" w:eastAsia="Barlow Semi Condensed" w:hAnsi="Barlow Semi Condensed"/>
          <w:b/>
          <w:bCs/>
          <w:sz w:val="24"/>
          <w:szCs w:val="24"/>
        </w:rPr>
        <w:t xml:space="preserve">Voce trentaseiesima — Il carteggio del 1990 e le parti escluse dal fascicolo processuale. Oggetto: il carteggio nel suo complesso; l'elenco sommario delle parti escluse dalla trasmissione del millenovecentonovantotto e la ragione della loro esclusione; le parti acquisite dal servizio il ventinove ottobre millenovecentonovantanove; gli atti depositati al termine dell'audizione del ventisette ottobre. Sede: atti della Commissione della XIII legislatura; Procura della Repubblica di Roma; archivi del servizio informativo civile. Chiusura: reperimento del carteggio e dell'elenco delle esclusioni. Smentita: la constatazione che l'elenco sommario non esista o non sia conservato, nel qual caso l'estensione di ciò che non fu trasmesso non sarebbe determinabile e la voce si chiuderebbe con Stato Zero anziché con reperimento.</w:t>
      </w:r>
    </w:p>
    <w:p>
      <w:pPr>
        <w:pStyle w:val="Heading2"/>
        <w:spacing w:after="100" w:before="200"/>
      </w:pPr>
      <w:r>
        <w:rPr>
          <w:rFonts w:ascii="Barlow Semi Condensed" w:cs="Barlow Semi Condensed" w:eastAsia="Barlow Semi Condensed" w:hAnsi="Barlow Semi Condensed"/>
          <w:sz w:val="24"/>
          <w:szCs w:val="24"/>
        </w:rPr>
        <w:t xml:space="preserve">Parte quarta — Uno Stato Zero formalizzato da quattro apparati</w:t>
      </w:r>
    </w:p>
    <w:p>
      <w:pPr>
        <w:spacing w:after="120" w:line="276"/>
        <w:jc w:val="both"/>
      </w:pPr>
      <w:r>
        <w:rPr>
          <w:rFonts w:ascii="Barlow Semi Condensed" w:cs="Barlow Semi Condensed" w:eastAsia="Barlow Semi Condensed" w:hAnsi="Barlow Semi Condensed"/>
          <w:b/>
          <w:bCs/>
          <w:sz w:val="24"/>
          <w:szCs w:val="24"/>
        </w:rPr>
        <w:t xml:space="preserve">L'organo riferisce di avere voluto attingere ogni possibile notizia circa l'eventuale esistenza di un documento che sarebbe stato consegnato personalmente da un capo di Stato straniero a funzionari italiani nel corso di una visita del settembre millenovecentonovanta; di avere inviato a tal fine precise richieste a quattro sedi — l'organismo di coordinamento dei servizi, i due servizi informativi e la Presidenza del Consiglio; e che dalle risposte ottenute può desumersi con sufficiente sicurezza che, allo stato, non risulta l'esistenza del documento ipotizzato, e che non vi è altra documentazione oltre quella già segnalata.</w:t>
      </w:r>
    </w:p>
    <w:p>
      <w:pPr>
        <w:spacing w:after="120" w:line="276"/>
        <w:jc w:val="both"/>
      </w:pPr>
      <w:r>
        <w:rPr>
          <w:rFonts w:ascii="Barlow Semi Condensed" w:cs="Barlow Semi Condensed" w:eastAsia="Barlow Semi Condensed" w:hAnsi="Barlow Semi Condensed"/>
          <w:b/>
          <w:bCs/>
          <w:sz w:val="24"/>
          <w:szCs w:val="24"/>
        </w:rPr>
        <w:t xml:space="preserve">Questa è la constatazione negativa meglio costruita che le fonti di questa materia offrano, e va qualificata con precisione perché il suo pregio sta nella forma e non nell'esito.</w:t>
      </w:r>
    </w:p>
    <w:p>
      <w:pPr>
        <w:spacing w:after="120" w:line="276"/>
        <w:jc w:val="both"/>
      </w:pPr>
      <w:r>
        <w:rPr>
          <w:rFonts w:ascii="Barlow Semi Condensed" w:cs="Barlow Semi Condensed" w:eastAsia="Barlow Semi Condensed" w:hAnsi="Barlow Semi Condensed"/>
          <w:b/>
          <w:bCs/>
          <w:sz w:val="24"/>
          <w:szCs w:val="24"/>
        </w:rPr>
        <w:t xml:space="preserve">Essa non è prodotta dal ricercatore, il quale può soltanto dichiarare di non avere trovato. È prodotta da quattro amministrazioni distinte, ciascuna interrogata su un oggetto determinato, ciascuna rispondente sui propri atti. Un esito negativo di questa specie non misura l'intensità di una ricerca privata: misura il contenuto dichiarato di quattro archivi.</w:t>
      </w:r>
    </w:p>
    <w:p>
      <w:pPr>
        <w:spacing w:after="120" w:line="276"/>
        <w:jc w:val="both"/>
      </w:pPr>
      <w:r>
        <w:rPr>
          <w:rFonts w:ascii="Barlow Semi Condensed" w:cs="Barlow Semi Condensed" w:eastAsia="Barlow Semi Condensed" w:hAnsi="Barlow Semi Condensed"/>
          <w:b/>
          <w:bCs/>
          <w:sz w:val="24"/>
          <w:szCs w:val="24"/>
        </w:rPr>
        <w:t xml:space="preserve">Si dichiari però con la medesima esattezza ciò che essa stabilisce. Stabilisce che il documento non risulta dagli atti delle quattro sedi interrogate, alla data delle risposte. Non stabilisce che il documento non sia esistito, né che non esista altrove, né che non sia stato distrutto, né che non sia conservato presso una sede quinta non interrogata. L'organo medesimo usa la formula allo stato e l'avverbio con sufficiente sicurezza, e sono le due cautele giuste: la prima temporale, la seconda di grado.</w:t>
      </w:r>
    </w:p>
    <w:p>
      <w:pPr>
        <w:spacing w:after="120" w:line="276"/>
        <w:jc w:val="both"/>
      </w:pPr>
      <w:r>
        <w:rPr>
          <w:rFonts w:ascii="Barlow Semi Condensed" w:cs="Barlow Semi Condensed" w:eastAsia="Barlow Semi Condensed" w:hAnsi="Barlow Semi Condensed"/>
          <w:b/>
          <w:bCs/>
          <w:sz w:val="24"/>
          <w:szCs w:val="24"/>
        </w:rPr>
        <w:t xml:space="preserve">Si registra questa voce nella classe delle constatazioni negative alla quale la Voce ventunesima è dedicata, e la si segnala come modello di quella classe. Una constatazione negativa vale quanto l'intensità della ricerca che l'ha prodotta; qui l'intensità è documentata in quattro richieste a quattro sedi competenti, ed è pertanto misurabile.</w:t>
      </w:r>
    </w:p>
    <w:p>
      <w:pPr>
        <w:pStyle w:val="Heading2"/>
        <w:spacing w:after="100" w:before="200"/>
      </w:pPr>
      <w:r>
        <w:rPr>
          <w:rFonts w:ascii="Barlow Semi Condensed" w:cs="Barlow Semi Condensed" w:eastAsia="Barlow Semi Condensed" w:hAnsi="Barlow Semi Condensed"/>
          <w:sz w:val="24"/>
          <w:szCs w:val="24"/>
        </w:rPr>
        <w:t xml:space="preserve">Parte quinta — Un fascicolo nuovo</w:t>
      </w:r>
    </w:p>
    <w:p>
      <w:pPr>
        <w:spacing w:after="120" w:line="276"/>
        <w:jc w:val="both"/>
      </w:pPr>
      <w:r>
        <w:rPr>
          <w:rFonts w:ascii="Barlow Semi Condensed" w:cs="Barlow Semi Condensed" w:eastAsia="Barlow Semi Condensed" w:hAnsi="Barlow Semi Condensed"/>
          <w:b/>
          <w:bCs/>
          <w:sz w:val="24"/>
          <w:szCs w:val="24"/>
        </w:rPr>
        <w:t xml:space="preserve">L'organo riferisce che, quanto a una figura sulla quale la relazione semestrale anteriore aveva già segnalato motivi di interesse — un musicista deceduto nel millenovecentottantatré — si è avuta conferma dell'esistenza di un apposito fascicolo processuale aperto presso la Procura di Brescia e poi trasmesso per competenza a quella di Roma; che tale fascicolo è stato acquisito con la copiosa documentazione allegata; e che la Commissione ha avanzato per proprio conto richieste di elementi informativi a organi investigativi, a enti diversi e a istituti culturali.</w:t>
      </w:r>
    </w:p>
    <w:p>
      <w:pPr>
        <w:spacing w:after="120" w:line="276"/>
        <w:jc w:val="both"/>
      </w:pPr>
      <w:r>
        <w:rPr>
          <w:rFonts w:ascii="Barlow Semi Condensed" w:cs="Barlow Semi Condensed" w:eastAsia="Barlow Semi Condensed" w:hAnsi="Barlow Semi Condensed"/>
          <w:b/>
          <w:bCs/>
          <w:sz w:val="24"/>
          <w:szCs w:val="24"/>
        </w:rPr>
        <w:t xml:space="preserve">Si registra il solo dato documentale, che è l'esistenza e la traslazione per competenza di un fascicolo, con le due sedi e la copiosità dell'allegato. Il presente atto non riferisce alcuna ipotesi sulla materia e non ne conosce il contenuto. Si segnala che una trasmissione per competenza fra due Procure lascia traccia in entrambe, e che il fascicolo è pertanto reperibile per due vie.</w:t>
      </w:r>
    </w:p>
    <w:p>
      <w:pPr>
        <w:spacing w:after="120" w:line="276"/>
        <w:jc w:val="both"/>
      </w:pPr>
      <w:r>
        <w:rPr>
          <w:rFonts w:ascii="Barlow Semi Condensed" w:cs="Barlow Semi Condensed" w:eastAsia="Barlow Semi Condensed" w:hAnsi="Barlow Semi Condensed"/>
          <w:b/>
          <w:bCs/>
          <w:sz w:val="24"/>
          <w:szCs w:val="24"/>
        </w:rPr>
        <w:t xml:space="preserve">Voce trentasettesima — Il fascicolo trasmesso per competenza da Brescia a Roma. Oggetto: il fascicolo processuale e la documentazione allegata; l'atto di trasmissione per competenza; le richieste di elementi informativi avanzate dalla Commissione e le risposte pervenute. Sede: Procura della Repubblica di Brescia e Procura della Repubblica di Roma; atti della Commissione della XIII legislatura. Chiusura: reperimento del fascicolo e dell'atto di trasmissione. Smentita: non ricorre.</w:t>
      </w:r>
    </w:p>
    <w:p>
      <w:pPr>
        <w:pStyle w:val="Heading2"/>
        <w:spacing w:after="100" w:before="200"/>
      </w:pPr>
      <w:r>
        <w:rPr>
          <w:rFonts w:ascii="Barlow Semi Condensed" w:cs="Barlow Semi Condensed" w:eastAsia="Barlow Semi Condensed" w:hAnsi="Barlow Semi Condensed"/>
          <w:sz w:val="24"/>
          <w:szCs w:val="24"/>
        </w:rPr>
        <w:t xml:space="preserve">Parte sesta — Duecentosessantuno schede, e una catena sola</w:t>
      </w:r>
    </w:p>
    <w:p>
      <w:pPr>
        <w:spacing w:after="120" w:line="276"/>
        <w:jc w:val="both"/>
      </w:pPr>
      <w:r>
        <w:rPr>
          <w:rFonts w:ascii="Barlow Semi Condensed" w:cs="Barlow Semi Condensed" w:eastAsia="Barlow Semi Condensed" w:hAnsi="Barlow Semi Condensed"/>
          <w:b/>
          <w:bCs/>
          <w:sz w:val="24"/>
          <w:szCs w:val="24"/>
        </w:rPr>
        <w:t xml:space="preserve">L'organo espone l'acquisizione di un dossier proveniente da un archivio straniero, e l'esposizione è, ai fini della verifica genealogica, la più istruttiva dell'intera giornata.</w:t>
      </w:r>
    </w:p>
    <w:p>
      <w:pPr>
        <w:spacing w:after="120" w:line="276"/>
        <w:jc w:val="both"/>
      </w:pPr>
      <w:r>
        <w:rPr>
          <w:rFonts w:ascii="Barlow Semi Condensed" w:cs="Barlow Semi Condensed" w:eastAsia="Barlow Semi Condensed" w:hAnsi="Barlow Semi Condensed"/>
          <w:b/>
          <w:bCs/>
          <w:sz w:val="24"/>
          <w:szCs w:val="24"/>
        </w:rPr>
        <w:t xml:space="preserve">La sequenza dichiarata è la seguente. Un funzionario dell'archivio centrale di un servizio segreto estero porta con sé, fuggendo nel millenovecentonovantadue, annotazioni e appunti tratti da quell'archivio, e li consegna a un servizio occidentale. Fra il millenovecentonovantasei e il millenovecentonovantanove uno storico incaricato ufficialmente da quel governo ne conduce la lettura critica, dalla quale nasce un volume. Le schede riguardanti l'Italia, in numero di duecentosessantuno, sono trasmesse dai servizi britannici a quelli italiani nel corso degli anni a partire dal millenovecentonovantacinque. Il Governo italiano le invia alla Procura della Repubblica di Roma. La Commissione ne chiede l'integralità e le ottiene l'undici ottobre millenovecentonovantanove in due esemplari identici, l'uno dalla magistratura e l'altro dalla Presidenza del Consiglio, entrambi recanti sia la versione originale sia la traduzione effettuata dal servizio informativo militare. Nel pomeriggio del medesimo giorno l'Ufficio di Presidenza delibera di rendere la documentazione immediatamente consultabile e accessibile agli organi di informazione, e affida a un consulente il compito di relazionarne.</w:t>
      </w:r>
    </w:p>
    <w:p>
      <w:pPr>
        <w:spacing w:after="120" w:line="276"/>
        <w:jc w:val="both"/>
      </w:pPr>
      <w:r>
        <w:rPr>
          <w:rFonts w:ascii="Barlow Semi Condensed" w:cs="Barlow Semi Condensed" w:eastAsia="Barlow Semi Condensed" w:hAnsi="Barlow Semi Condensed"/>
          <w:b/>
          <w:bCs/>
          <w:sz w:val="24"/>
          <w:szCs w:val="24"/>
        </w:rPr>
        <w:t xml:space="preserve">Si contino le catene. Il volume a stampa, i due esemplari del dossier, la traduzione del servizio, la relazione del consulente e la copertura giornalistica che ne seguì sono sei oggetti distinti, di cinque nature diverse, provenienti da cinque sedi diverse. Sono una catena sola. L'evento originario è uno: le annotazioni tratte da quell'archivio da quel funzionario. Tutto il resto è trasmissione, traduzione, lettura critica ed esposizione, e nessuna di queste operazioni genera catena.</w:t>
      </w:r>
    </w:p>
    <w:p>
      <w:pPr>
        <w:spacing w:after="120" w:line="276"/>
        <w:jc w:val="both"/>
      </w:pPr>
      <w:r>
        <w:rPr>
          <w:rFonts w:ascii="Barlow Semi Condensed" w:cs="Barlow Semi Condensed" w:eastAsia="Barlow Semi Condensed" w:hAnsi="Barlow Semi Condensed"/>
          <w:b/>
          <w:bCs/>
          <w:sz w:val="24"/>
          <w:szCs w:val="24"/>
        </w:rPr>
        <w:t xml:space="preserve">Ne segue, per la settima regola e per la nona, che nessuna convergenza è computabile fra questi sei oggetti, e che una proposizione sorretta dal volume e dal dossier è sorretta da una fonte e non da due.</w:t>
      </w:r>
    </w:p>
    <w:p>
      <w:pPr>
        <w:spacing w:after="120" w:line="276"/>
        <w:jc w:val="both"/>
      </w:pPr>
      <w:r>
        <w:rPr>
          <w:rFonts w:ascii="Barlow Semi Condensed" w:cs="Barlow Semi Condensed" w:eastAsia="Barlow Semi Condensed" w:hAnsi="Barlow Semi Condensed"/>
          <w:b/>
          <w:bCs/>
          <w:sz w:val="24"/>
          <w:szCs w:val="24"/>
        </w:rPr>
        <w:t xml:space="preserve">Ne segue altresì, per il repertorio critico dell'opera, la collocazione della classe. Le schede non sono l'archivio: sono annotazioni tratte da un archivio, e l'archivio non è stato veduto da chi legge le annotazioni. La classe che il repertorio designa come archivi dei regimi caduti, alla quale conferisce il grado massimo, non le comprende. Esse appartengono alla classe delle stime e delle schedature di apparato, alla quale il repertorio conferisce il grado massimo quanto a ciò che un apparato riteneva in una data determinata, e il grado minimo quanto ai fatti del mondo che asseriscono, salvo riscontro autonomo. Il repertorio dichiara che la violazione di questa distinzione è l'errore più frequente nell'uso di questa classe di materiali; il presente atto la ribadisce e la applica.</w:t>
      </w:r>
    </w:p>
    <w:p>
      <w:pPr>
        <w:spacing w:after="120" w:line="276"/>
        <w:jc w:val="both"/>
      </w:pPr>
      <w:r>
        <w:rPr>
          <w:rFonts w:ascii="Barlow Semi Condensed" w:cs="Barlow Semi Condensed" w:eastAsia="Barlow Semi Condensed" w:hAnsi="Barlow Semi Condensed"/>
          <w:b/>
          <w:bCs/>
          <w:sz w:val="24"/>
          <w:szCs w:val="24"/>
        </w:rPr>
        <w:t xml:space="preserve">Si registra infine, come dato sulla materia e non sul merito, che l'organo stesso dichiarò di volersi occupare del dossier utilizzandone gli spunti informativi ai fini delle inchieste di propria competenza, fra le quali nomina il caso; e che fu presentato un disegno di legge per istituire una Commissione d'inchiesta ad hoc sulla materia, approvato da un ramo del Parlamento e in attesa presso l'altro alla data della relazione.</w:t>
      </w:r>
    </w:p>
    <w:p>
      <w:pPr>
        <w:spacing w:after="120" w:line="276"/>
        <w:jc w:val="both"/>
      </w:pPr>
      <w:r>
        <w:rPr>
          <w:rFonts w:ascii="Barlow Semi Condensed" w:cs="Barlow Semi Condensed" w:eastAsia="Barlow Semi Condensed" w:hAnsi="Barlow Semi Condensed"/>
          <w:b/>
          <w:bCs/>
          <w:sz w:val="24"/>
          <w:szCs w:val="24"/>
        </w:rPr>
        <w:t xml:space="preserve">Voce trentottesima — Le duecentosessantuno schede e la loro genealogia. Oggetto: il dossier nella versione integrale acquisita l'undici ottobre millenovecentonovantanove, con la traduzione allegata; la relazione redatta dal consulente incaricato; e la verifica di quali proposizioni della letteratura sul caso riposino su questa catena, computata una volta sola. Sede: atti della Commissione della XIII legislatura; Procura della Repubblica di Roma; Presidenza del Consiglio. Chiusura: reperimento del dossier e della relazione, e compilazione dell'elenco delle proposizioni che vi riposano. Smentita: non ricorre quanto al reperimento; quanto alla verifica genealogica, essa si chiude anche con esito nullo, ove risulti che nessuna proposizione dell'opera vi riposi.</w:t>
      </w:r>
    </w:p>
    <w:p>
      <w:pPr>
        <w:pStyle w:val="Heading2"/>
        <w:spacing w:after="100" w:before="200"/>
      </w:pPr>
      <w:r>
        <w:rPr>
          <w:rFonts w:ascii="Barlow Semi Condensed" w:cs="Barlow Semi Condensed" w:eastAsia="Barlow Semi Condensed" w:hAnsi="Barlow Semi Condensed"/>
          <w:sz w:val="24"/>
          <w:szCs w:val="24"/>
        </w:rPr>
        <w:t xml:space="preserve">Parte settima — Gli esiti giudiziari registrati</w:t>
      </w:r>
    </w:p>
    <w:p>
      <w:pPr>
        <w:spacing w:after="120" w:line="276"/>
        <w:jc w:val="both"/>
      </w:pPr>
      <w:r>
        <w:rPr>
          <w:rFonts w:ascii="Barlow Semi Condensed" w:cs="Barlow Semi Condensed" w:eastAsia="Barlow Semi Condensed" w:hAnsi="Barlow Semi Condensed"/>
          <w:b/>
          <w:bCs/>
          <w:sz w:val="24"/>
          <w:szCs w:val="24"/>
        </w:rPr>
        <w:t xml:space="preserve">La relazione registra quattro esiti giudiziari del semestre, e due appartengono alla materia dell'opera.</w:t>
      </w:r>
    </w:p>
    <w:p>
      <w:pPr>
        <w:spacing w:after="120" w:line="276"/>
        <w:jc w:val="both"/>
      </w:pPr>
      <w:r>
        <w:rPr>
          <w:rFonts w:ascii="Barlow Semi Condensed" w:cs="Barlow Semi Condensed" w:eastAsia="Barlow Semi Condensed" w:hAnsi="Barlow Semi Condensed"/>
          <w:b/>
          <w:bCs/>
          <w:sz w:val="24"/>
          <w:szCs w:val="24"/>
        </w:rPr>
        <w:t xml:space="preserve">Il primo. Il dibattimento sull'omicidio del giornalista, celebrato presso la sede competente, si è concluso in data ventiquattro settembre con sentenza di primo grado che ha escluso ogni responsabilità penale degli imputati.</w:t>
      </w:r>
    </w:p>
    <w:p>
      <w:pPr>
        <w:spacing w:after="120" w:line="276"/>
        <w:jc w:val="both"/>
      </w:pPr>
      <w:r>
        <w:rPr>
          <w:rFonts w:ascii="Barlow Semi Condensed" w:cs="Barlow Semi Condensed" w:eastAsia="Barlow Semi Condensed" w:hAnsi="Barlow Semi Condensed"/>
          <w:b/>
          <w:bCs/>
          <w:sz w:val="24"/>
          <w:szCs w:val="24"/>
        </w:rPr>
        <w:t xml:space="preserve">Si registra l'esito e lo si accosta alle designazioni delle appendici anteriori. L'appendice quarta ha individuato per estremi gli atti di quel procedimento fra le acquisizioni della Commissione della X legislatura; l'appendice settima ha individuato l'audizione del magistrato titolare delle indagini. Nessuna delle due ha affermato alcunché sul merito, e il presente esito mostra perché quella astensione era dovuta: la designazione per estremi di un atto processuale non anticipa il suo esito, e chi avesse tratto dalla sola esistenza di un procedimento una qualunque inferenza sul merito avrebbe inferito contro ciò che il procedimento ha poi stabilito.</w:t>
      </w:r>
    </w:p>
    <w:p>
      <w:pPr>
        <w:spacing w:after="120" w:line="276"/>
        <w:jc w:val="both"/>
      </w:pPr>
      <w:r>
        <w:rPr>
          <w:rFonts w:ascii="Barlow Semi Condensed" w:cs="Barlow Semi Condensed" w:eastAsia="Barlow Semi Condensed" w:hAnsi="Barlow Semi Condensed"/>
          <w:b/>
          <w:bCs/>
          <w:sz w:val="24"/>
          <w:szCs w:val="24"/>
        </w:rPr>
        <w:t xml:space="preserve">Si dispone che, nelle redazioni successive, ogni designazione di un procedimento rechi, ove noto, il suo esito; e che ove l'esito non sia noto ciò sia dichiarato, poiché un procedimento designato senza esito è, per il lettore distratto, un procedimento la cui accusa resta implicitamente in piedi.</w:t>
      </w:r>
    </w:p>
    <w:p>
      <w:pPr>
        <w:spacing w:after="120" w:line="276"/>
        <w:jc w:val="both"/>
      </w:pPr>
      <w:r>
        <w:rPr>
          <w:rFonts w:ascii="Barlow Semi Condensed" w:cs="Barlow Semi Condensed" w:eastAsia="Barlow Semi Condensed" w:hAnsi="Barlow Semi Condensed"/>
          <w:b/>
          <w:bCs/>
          <w:sz w:val="24"/>
          <w:szCs w:val="24"/>
        </w:rPr>
        <w:t xml:space="preserve">Il secondo. La prima fase del procedimento sul disastro aereo si è conclusa con il deposito, il trentuno agosto, di una sentenza-ordinanza che, fra l'altro, elenca in dettaglio le possibili ricostruzioni dei fatti quali risultano dalle perizie acquisite. Si registra il dato per la sola circostanza che rileva ai fini del metodo: un atto giudiziario che elenchi le ricostruzioni possibili anziché sceglierne una è, nel genere, prossimo a ciò che l'opera pratica, ed è raro.</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iscrivono le Voci trentacinquesima, trentaseiesima, trentasettesima e trentottesima. Si enuncia la dodicesima regola della risalita. Si dispone che ogni designazione di procedimento rechi l'esito o ne dichiari l'ignoranza.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Lo Stato Zero sul repertorio generale del Gabinetto si restringe per la seconda volta e non si chiude: la verifica si concentra sull'elenco analitico del materiale acquisito dal Ministero dell'interno il ventuno dicembre millenovecentonovantanove.</w:t>
      </w:r>
    </w:p>
    <w:p>
      <w:pPr>
        <w:spacing w:after="120" w:line="276"/>
        <w:jc w:val="both"/>
      </w:pPr>
      <w:r>
        <w:rPr>
          <w:rFonts w:ascii="Barlow Semi Condensed" w:cs="Barlow Semi Condensed" w:eastAsia="Barlow Semi Condensed" w:hAnsi="Barlow Semi Condensed"/>
          <w:b/>
          <w:bCs/>
          <w:sz w:val="24"/>
          <w:szCs w:val="24"/>
        </w:rPr>
        <w:t xml:space="preserve">Si dichiarano gli Stati Zero nuovi. Primo: il contenuto dell'audizione del ventuno gennaio duemila non è noto e il resoconto non è posseduto. Secondo: l'elenco sommario delle parti escluse dalla trasmissione del millenovecentonovantotto non è posseduto, ed è l'atto che misura l'estensione di ciò che non fu trasmesso. Terzo: le risposte delle quattro sedi interrogate sull'esistenza del documento ipotizzato non sono possedute nel loro testo, ma soltanto nella sintesi che ne dà l'organo. Quarto: la relazione del consulente sul dossier non è posseduta.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sesta del giorno sul medesimo cantiere. Cantiere: designazione per atto delle fonti. Materia: la sesta relazione semestrale della XIII legislatura.</w:t>
      </w:r>
    </w:p>
    <w:p>
      <w:pPr>
        <w:spacing w:after="120" w:line="276"/>
        <w:jc w:val="both"/>
      </w:pPr>
      <w:r>
        <w:rPr>
          <w:rFonts w:ascii="Barlow Semi Condensed" w:cs="Barlow Semi Condensed" w:eastAsia="Barlow Semi Condensed" w:hAnsi="Barlow Semi Condensed"/>
          <w:b/>
          <w:bCs/>
          <w:sz w:val="24"/>
          <w:szCs w:val="24"/>
        </w:rPr>
        <w:t xml:space="preserve">Esito positivo: individuazione dell'audizione del ventuno gennaio duemila della persona la cui identificazione figurava fra gli otto interrogativi irrisolti, e del rifiuto reiterato che la precede, registrato come atto autonomo; individuazione di quattro audizioni sul caso e di due acquisizioni ministeriali datate, delle quali una proveniente dal Dicastero presso il quale fu redatto il repertorio; esposizione integrale della catena di custodia del carteggio del millenovecentonovanta, con individuazione del meccanismo per il quale una parte delle lacune si forma senza alcuna volontà; enunciazione della dodicesima regola della risalita; registrazione di una constatazione negativa formalizzata da quattro amministrazioni distinte, qualificata come modello della classe; individuazione di un fascicolo processuale trasmesso per competenza fra due Procure; ricostruzione della genealogia di un dossier di provenienza estera e riduzione di sei oggetti a una catena sola; registrazione di due esiti giudiziari, dei quali uno esclude ogni responsabilità penale degli imputati;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il resoconto dell'audizione non è posseduto; l'elenco sommario delle esclusioni non è posseduto; le risposte delle quattro sedi non sono possedute nel testo; la relazione del consulente non è posseduta; lo Stato Zero sul repertorio del Gabinetto si restringe e non si chiude.</w:t>
      </w:r>
    </w:p>
    <w:p>
      <w:pPr>
        <w:spacing w:after="120" w:line="276"/>
        <w:jc w:val="both"/>
      </w:pPr>
      <w:r>
        <w:rPr>
          <w:rFonts w:ascii="Barlow Semi Condensed" w:cs="Barlow Semi Condensed" w:eastAsia="Barlow Semi Condensed" w:hAnsi="Barlow Semi Condensed"/>
          <w:b/>
          <w:bCs/>
          <w:sz w:val="24"/>
          <w:szCs w:val="24"/>
        </w:rPr>
        <w:t xml:space="preserve">Riga di errore evitato. Si registra una confusione che il presente atto ha sfiorato e non commesso, poiché registrare l'errore evitato serve quanto registrare quello commesso. L'appendice settima aveva dichiarato Stato Zero sull'esito delle richieste rivolte nel millenovecentonovantacinque, fra le altre, all'ambasciata di uno Stato dell'Europa centrale. La presente unità documenta l'acquisizione di materiale proveniente da quel medesimo Stato. Le due cose non si congiungono: il carteggio qui documentato risale al millenovecentonovanta e pervenne per via di servizio e poi di magistratura, mentre la richiesta del millenovecentonovantacinque fu diplomatica e il suo esito resta ignoto. Un materiale che provenga dal medesimo paese non è la risposta a una richiesta rivolta a quel paese, e trattarlo come tale avrebbe chiuso uno Stato Zero che resta aperto.</w:t>
      </w:r>
    </w:p>
    <w:p>
      <w:pPr>
        <w:spacing w:after="120" w:line="276"/>
        <w:jc w:val="both"/>
      </w:pPr>
      <w:r>
        <w:rPr>
          <w:rFonts w:ascii="Barlow Semi Condensed" w:cs="Barlow Semi Condensed" w:eastAsia="Barlow Semi Condensed" w:hAnsi="Barlow Semi Condensed"/>
          <w:b/>
          <w:bCs/>
          <w:sz w:val="24"/>
          <w:szCs w:val="24"/>
        </w:rPr>
        <w:t xml:space="preserve">Riga di avvertenza. Le persone menzionate nelle fonti qui impiegate lo sono in quanto le loro qualità appartengono agli estremi degli atti, e si sono designate per funzione ove la funzione bastasse. Il presente atto non riferisce il contenuto di alcuna audizione, di alcun fascicolo e di alcuna scheda, e non attribuisce ad alcuno alcunché. Si è registrato per intero l'unico esito di merito che le fonti recano, ed è un esito di esclusione di responsabilità.</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 il canale orientale, la quarta persona e uno Stato Zero formalizzato da quattro apparati, quindici agosto duemilaventisei. I settanta Capitoli restano settanta. Le redazioni anteriori non sono modificate: le pietre deposte non si scalpellano. Resta sovrana la Regola di Ferro: dove la fonte documenta, l'opera certifica; dove la fonte tace, l'opera indaga e non afferma. Un'affermazione di completezza formulata dall'acquirente è una valutazione dell'acquirente; e si chieda sempre, oltre al fascicolo, l'elenco di ciò che dal fascicolo è stato escluso.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 · Appendice ottava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3.297 parole in 9 sezioni; la più ampia è §9 Altre sezioni, con 2.978.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 — Appendice nona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w:t>
      </w:r>
    </w:p>
    <w:p>
      <w:pPr>
        <w:pStyle w:val="Heading2"/>
        <w:spacing w:after="100" w:before="200"/>
      </w:pPr>
      <w:r>
        <w:rPr>
          <w:rFonts w:ascii="Barlow Semi Condensed" w:cs="Barlow Semi Condensed" w:eastAsia="Barlow Semi Condensed" w:hAnsi="Barlow Semi Condensed"/>
          <w:sz w:val="24"/>
          <w:szCs w:val="24"/>
        </w:rPr>
        <w:t xml:space="preserve">Due regimi archivistici, misurati</w:t>
      </w:r>
    </w:p>
    <w:p>
      <w:pPr>
        <w:pStyle w:val="Heading2"/>
        <w:spacing w:after="100" w:before="200"/>
      </w:pPr>
      <w:r>
        <w:rPr>
          <w:rFonts w:ascii="Barlow Semi Condensed" w:cs="Barlow Semi Condensed" w:eastAsia="Barlow Semi Condensed" w:hAnsi="Barlow Semi Condensed"/>
          <w:sz w:val="24"/>
          <w:szCs w:val="24"/>
        </w:rPr>
        <w:t xml:space="preserve">Il fondo di cento record di un servizio informativo estero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nona</w:t>
      </w:r>
    </w:p>
    <w:p>
      <w:pPr>
        <w:spacing w:after="120" w:line="276"/>
        <w:jc w:val="both"/>
      </w:pPr>
      <w:r>
        <w:rPr>
          <w:rFonts w:ascii="Barlow Semi Condensed" w:cs="Barlow Semi Condensed" w:eastAsia="Barlow Semi Condensed" w:hAnsi="Barlow Semi Condensed"/>
          <w:b/>
          <w:bCs/>
          <w:sz w:val="24"/>
          <w:szCs w:val="24"/>
        </w:rPr>
        <w:t xml:space="preserve">La presente è appendice nona alla Fase Settima e opera su un fondo di cento pagine di catalogo provenienti dalla sala di lettura elettronica di un servizio informativo estero, acquisite per copia locale nel marzo duemilaventisei. Come le otto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la prima della serie a non essere italiana e la prima a non essere parlamentare, e per questa doppia ragione essa consente ciò che nessuna delle anteriori consentiva: una comparazione fra due regimi archivistici, condotta su misura anziché su impressione. È questo il suo oggetto principale. La sua pertinenza alla materia dell'opera è, come si dirà, limitata, e la limitazione è dichiarata prima di ogni altra cosa.</w:t>
      </w:r>
    </w:p>
    <w:p>
      <w:pPr>
        <w:pStyle w:val="Heading2"/>
        <w:spacing w:after="100" w:before="200"/>
      </w:pPr>
      <w:r>
        <w:rPr>
          <w:rFonts w:ascii="Barlow Semi Condensed" w:cs="Barlow Semi Condensed" w:eastAsia="Barlow Semi Condensed" w:hAnsi="Barlow Semi Condensed"/>
          <w:sz w:val="24"/>
          <w:szCs w:val="24"/>
        </w:rPr>
        <w:t xml:space="preserve">Parte prima — Che cosa il fondo sia, e che cosa non sia</w:t>
      </w:r>
    </w:p>
    <w:p>
      <w:pPr>
        <w:spacing w:after="120" w:line="276"/>
        <w:jc w:val="both"/>
      </w:pPr>
      <w:r>
        <w:rPr>
          <w:rFonts w:ascii="Barlow Semi Condensed" w:cs="Barlow Semi Condensed" w:eastAsia="Barlow Semi Condensed" w:hAnsi="Barlow Semi Condensed"/>
          <w:b/>
          <w:bCs/>
          <w:sz w:val="24"/>
          <w:szCs w:val="24"/>
        </w:rPr>
        <w:t xml:space="preserve">Va detto subito che cosa siano le cento unità, poiché la loro natura è precisamente l'oggetto della distinzione che le otto appendici anteriori hanno costruita.</w:t>
      </w:r>
    </w:p>
    <w:p>
      <w:pPr>
        <w:spacing w:after="120" w:line="276"/>
        <w:jc w:val="both"/>
      </w:pPr>
      <w:r>
        <w:rPr>
          <w:rFonts w:ascii="Barlow Semi Condensed" w:cs="Barlow Semi Condensed" w:eastAsia="Barlow Semi Condensed" w:hAnsi="Barlow Semi Condensed"/>
          <w:b/>
          <w:bCs/>
          <w:sz w:val="24"/>
          <w:szCs w:val="24"/>
        </w:rPr>
        <w:t xml:space="preserve">Esse non sono documenti. Sono pagine di catalogo: ciascuna reca il titolo dell'atto, il fondo di appartenenza, l'identificativo, la decisione di rilascio, la classificazione originaria, il numero di pagine, la data di creazione del record, la data di rilascio, il numero di sequenza, la data di pubblicazione, il tipo di contenuto, e il nome e la dimensione del file allegato che contiene l'atto. Ciascuna reca inoltre una trascrizione automatica del testo, della quale si dirà.</w:t>
      </w:r>
    </w:p>
    <w:p>
      <w:pPr>
        <w:spacing w:after="120" w:line="276"/>
        <w:jc w:val="both"/>
      </w:pPr>
      <w:r>
        <w:rPr>
          <w:rFonts w:ascii="Barlow Semi Condensed" w:cs="Barlow Semi Condensed" w:eastAsia="Barlow Semi Condensed" w:hAnsi="Barlow Semi Condensed"/>
          <w:b/>
          <w:bCs/>
          <w:sz w:val="24"/>
          <w:szCs w:val="24"/>
        </w:rPr>
        <w:t xml:space="preserve">Sono dunque, nel linguaggio delle appendici anteriori, cento indirizzi e non cento atti. La distinzione è la medesima enunciata dalla settima regola della risalita, e qui si presenta nella sua forma più pura, poiché l'indirizzo e l'atto sono materialmente separati: il primo è la pagina, il secondo è il file allegato, che non è posseduto.</w:t>
      </w:r>
    </w:p>
    <w:p>
      <w:pPr>
        <w:pStyle w:val="Heading2"/>
        <w:spacing w:after="100" w:before="200"/>
      </w:pPr>
      <w:r>
        <w:rPr>
          <w:rFonts w:ascii="Barlow Semi Condensed" w:cs="Barlow Semi Condensed" w:eastAsia="Barlow Semi Condensed" w:hAnsi="Barlow Semi Condensed"/>
          <w:sz w:val="24"/>
          <w:szCs w:val="24"/>
        </w:rPr>
        <w:t xml:space="preserve">Parte seconda — Il censimento, e la sua procedura</w:t>
      </w:r>
    </w:p>
    <w:p>
      <w:pPr>
        <w:spacing w:after="120" w:line="276"/>
        <w:jc w:val="both"/>
      </w:pPr>
      <w:r>
        <w:rPr>
          <w:rFonts w:ascii="Barlow Semi Condensed" w:cs="Barlow Semi Condensed" w:eastAsia="Barlow Semi Condensed" w:hAnsi="Barlow Semi Condensed"/>
          <w:b/>
          <w:bCs/>
          <w:sz w:val="24"/>
          <w:szCs w:val="24"/>
        </w:rPr>
        <w:t xml:space="preserve">La procedura è dichiarata e riproducibile. Da ciascuna pagina è stato rimosso il codice di presentazione, il testo residuo è stato normalizzato negli spazi, e i campi sono stati estratti per ricerca sulla etichetta che li precede. Le cifre che seguono sono conteggi su cento unità.</w:t>
      </w:r>
    </w:p>
    <w:p>
      <w:pPr>
        <w:spacing w:after="120" w:line="276"/>
        <w:jc w:val="both"/>
      </w:pPr>
      <w:r>
        <w:rPr>
          <w:rFonts w:ascii="Barlow Semi Condensed" w:cs="Barlow Semi Condensed" w:eastAsia="Barlow Semi Condensed" w:hAnsi="Barlow Semi Condensed"/>
          <w:b/>
          <w:bCs/>
          <w:sz w:val="24"/>
          <w:szCs w:val="24"/>
        </w:rPr>
        <w:t xml:space="preserve">Quanto ai fondi di appartenenza: settantuno unità appartengono al fondo generale, sei a un fondo dedicato a un programma di ricerca, sei a una collezione di studi nazionali, cinque a una collezione documentale, cinque a un servizio di traduzioni, due a un fondo cartografico, due a un bollettino informativo, e le restanti a fondi con una sola occorrenza ciascuno.</w:t>
      </w:r>
    </w:p>
    <w:p>
      <w:pPr>
        <w:spacing w:after="120" w:line="276"/>
        <w:jc w:val="both"/>
      </w:pPr>
      <w:r>
        <w:rPr>
          <w:rFonts w:ascii="Barlow Semi Condensed" w:cs="Barlow Semi Condensed" w:eastAsia="Barlow Semi Condensed" w:hAnsi="Barlow Semi Condensed"/>
          <w:b/>
          <w:bCs/>
          <w:sz w:val="24"/>
          <w:szCs w:val="24"/>
        </w:rPr>
        <w:t xml:space="preserve">Quanto alla classificazione originaria: ventinove unità recano il codice della non classificazione, ventisette un codice che le pagine non spiegano, venticinque quello del grado intermedio di segretezza, sette quello del grado inferiore, sei quello del grado superiore, quattro un ulteriore codice non spiegato, e due non recano il campo.</w:t>
      </w:r>
    </w:p>
    <w:p>
      <w:pPr>
        <w:spacing w:after="120" w:line="276"/>
        <w:jc w:val="both"/>
      </w:pPr>
      <w:r>
        <w:rPr>
          <w:rFonts w:ascii="Barlow Semi Condensed" w:cs="Barlow Semi Condensed" w:eastAsia="Barlow Semi Condensed" w:hAnsi="Barlow Semi Condensed"/>
          <w:b/>
          <w:bCs/>
          <w:sz w:val="24"/>
          <w:szCs w:val="24"/>
        </w:rPr>
        <w:t xml:space="preserve">Quanto alla data di pubblicazione dell'atto: quattro unità sono anteriori al millenovecentocinquanta, dodici appartengono al decennio successivo, nove a quello seguente, tredici agli anni settanta, ventiquattro agli anni ottanta, una al decennio duemila. Trentasette unità non recano data di pubblicazione.</w:t>
      </w:r>
    </w:p>
    <w:p>
      <w:pPr>
        <w:spacing w:after="120" w:line="276"/>
        <w:jc w:val="both"/>
      </w:pPr>
      <w:r>
        <w:rPr>
          <w:rFonts w:ascii="Barlow Semi Condensed" w:cs="Barlow Semi Condensed" w:eastAsia="Barlow Semi Condensed" w:hAnsi="Barlow Semi Condensed"/>
          <w:b/>
          <w:bCs/>
          <w:sz w:val="24"/>
          <w:szCs w:val="24"/>
        </w:rPr>
        <w:t xml:space="preserve">Quanto alla decisione di rilascio: cinquantotto unità recano un codice, ventinove un secondo, otto un terzo, due un quarto, una un quinto, e due non recano il campo.</w:t>
      </w:r>
    </w:p>
    <w:p>
      <w:pPr>
        <w:pStyle w:val="Heading2"/>
        <w:spacing w:after="100" w:before="200"/>
      </w:pPr>
      <w:r>
        <w:rPr>
          <w:rFonts w:ascii="Barlow Semi Condensed" w:cs="Barlow Semi Condensed" w:eastAsia="Barlow Semi Condensed" w:hAnsi="Barlow Semi Condensed"/>
          <w:sz w:val="24"/>
          <w:szCs w:val="24"/>
        </w:rPr>
        <w:t xml:space="preserve">Parte terza — La prima misura: l'identificativo</w:t>
      </w:r>
    </w:p>
    <w:p>
      <w:pPr>
        <w:spacing w:after="120" w:line="276"/>
        <w:jc w:val="both"/>
      </w:pPr>
      <w:r>
        <w:rPr>
          <w:rFonts w:ascii="Barlow Semi Condensed" w:cs="Barlow Semi Condensed" w:eastAsia="Barlow Semi Condensed" w:hAnsi="Barlow Semi Condensed"/>
          <w:b/>
          <w:bCs/>
          <w:sz w:val="24"/>
          <w:szCs w:val="24"/>
        </w:rPr>
        <w:t xml:space="preserve">Tutte e cento le unità recano un identificativo dell'atto, e lo recano in due forme concordanti: nel campo dedicato e nell'indirizzo della risorsa. Nessuna ne è priva.</w:t>
      </w:r>
    </w:p>
    <w:p>
      <w:pPr>
        <w:spacing w:after="120" w:line="276"/>
        <w:jc w:val="both"/>
      </w:pPr>
      <w:r>
        <w:rPr>
          <w:rFonts w:ascii="Barlow Semi Condensed" w:cs="Barlow Semi Condensed" w:eastAsia="Barlow Semi Condensed" w:hAnsi="Barlow Semi Condensed"/>
          <w:b/>
          <w:bCs/>
          <w:sz w:val="24"/>
          <w:szCs w:val="24"/>
        </w:rPr>
        <w:t xml:space="preserve">Si accosti questa cifra al lavoro delle otto appendici anteriori. La serie parlamentare italiana ha richiesto, per giungere alla designazione per atto di cinquanta unità di un solo fascicolo tematico, la ricognizione di settantacinque processi verbali, la lettura di un indice generale in due parti, la risoluzione dichiarata e falsificabile di una convenzione di numerazione, e l'accertamento di tre divergenze fra descrizioni della medesima unità. Diciannove unità sono rimaste non individuate per l'intera giornata e sono state chiuse soltanto dall'indice generale.</w:t>
      </w:r>
    </w:p>
    <w:p>
      <w:pPr>
        <w:spacing w:after="120" w:line="276"/>
        <w:jc w:val="both"/>
      </w:pPr>
      <w:r>
        <w:rPr>
          <w:rFonts w:ascii="Barlow Semi Condensed" w:cs="Barlow Semi Condensed" w:eastAsia="Barlow Semi Condensed" w:hAnsi="Barlow Semi Condensed"/>
          <w:b/>
          <w:bCs/>
          <w:sz w:val="24"/>
          <w:szCs w:val="24"/>
        </w:rPr>
        <w:t xml:space="preserve">Il fondo qui esaminato reca cento identificativi su cento, senza alcuna operazione di ricostruzione. Ciò che nella serie italiana è stato l'esito di un lavoro, qui è il punto di partenza.</w:t>
      </w:r>
    </w:p>
    <w:p>
      <w:pPr>
        <w:spacing w:after="120" w:line="276"/>
        <w:jc w:val="both"/>
      </w:pPr>
      <w:r>
        <w:rPr>
          <w:rFonts w:ascii="Barlow Semi Condensed" w:cs="Barlow Semi Condensed" w:eastAsia="Barlow Semi Condensed" w:hAnsi="Barlow Semi Condensed"/>
          <w:b/>
          <w:bCs/>
          <w:sz w:val="24"/>
          <w:szCs w:val="24"/>
        </w:rPr>
        <w:t xml:space="preserve">Si dichiari con esattezza che cosa questa comparazione stabilisca. Essa non stabilisce nulla sulla lealtà dei due apparati, sulla loro disponibilità o sulla completezza di ciò che rilasciano. Stabilisce che due regimi di catalogazione differiscono quanto alla designazione dell'atto, e che uno dei due la fornisce per costruzione mentre l'altro la lascia ricostruire. È una proprietà del catalogo e non dell'archivio, e non va estesa oltre.</w:t>
      </w:r>
    </w:p>
    <w:p>
      <w:pPr>
        <w:pStyle w:val="Heading2"/>
        <w:spacing w:after="100" w:before="200"/>
      </w:pPr>
      <w:r>
        <w:rPr>
          <w:rFonts w:ascii="Barlow Semi Condensed" w:cs="Barlow Semi Condensed" w:eastAsia="Barlow Semi Condensed" w:hAnsi="Barlow Semi Condensed"/>
          <w:sz w:val="24"/>
          <w:szCs w:val="24"/>
        </w:rPr>
        <w:t xml:space="preserve">Parte quarta — La seconda misura: l'estensione dell'espunzione</w:t>
      </w:r>
    </w:p>
    <w:p>
      <w:pPr>
        <w:spacing w:after="120" w:line="276"/>
        <w:jc w:val="both"/>
      </w:pPr>
      <w:r>
        <w:rPr>
          <w:rFonts w:ascii="Barlow Semi Condensed" w:cs="Barlow Semi Condensed" w:eastAsia="Barlow Semi Condensed" w:hAnsi="Barlow Semi Condensed"/>
          <w:b/>
          <w:bCs/>
          <w:sz w:val="24"/>
          <w:szCs w:val="24"/>
        </w:rPr>
        <w:t xml:space="preserve">Alla misura favorevole se ne accosta una di segno opposto, e la comparazione è utile soltanto se si tengono insieme.</w:t>
      </w:r>
    </w:p>
    <w:p>
      <w:pPr>
        <w:spacing w:after="120" w:line="276"/>
        <w:jc w:val="both"/>
      </w:pPr>
      <w:r>
        <w:rPr>
          <w:rFonts w:ascii="Barlow Semi Condensed" w:cs="Barlow Semi Condensed" w:eastAsia="Barlow Semi Condensed" w:hAnsi="Barlow Semi Condensed"/>
          <w:b/>
          <w:bCs/>
          <w:sz w:val="24"/>
          <w:szCs w:val="24"/>
        </w:rPr>
        <w:t xml:space="preserve">I codici di decisione di rilascio distinguono, nella pratica corrente di questo fondo, il rilascio integrale dal rilascio parziale. Le pagine non recano la spiegazione dei codici, e il presente atto non la assume da memoria: si iscrive in tavola la verifica della loro tavola di corrispondenza presso la fonte che li impiega.</w:t>
      </w:r>
    </w:p>
    <w:p>
      <w:pPr>
        <w:spacing w:after="120" w:line="276"/>
        <w:jc w:val="both"/>
      </w:pPr>
      <w:r>
        <w:rPr>
          <w:rFonts w:ascii="Barlow Semi Condensed" w:cs="Barlow Semi Condensed" w:eastAsia="Barlow Semi Condensed" w:hAnsi="Barlow Semi Condensed"/>
          <w:b/>
          <w:bCs/>
          <w:sz w:val="24"/>
          <w:szCs w:val="24"/>
        </w:rPr>
        <w:t xml:space="preserve">Ove la lettura corrente sia esatta, e sotto questa condizione dichiarata, sessantuno unità su cento sono rilasciate in parte e trentasette integralmente, con due unità prive del campo. Quasi due terzi del fondo sarebbero dunque rilasciati con espunzioni.</w:t>
      </w:r>
    </w:p>
    <w:p>
      <w:pPr>
        <w:spacing w:after="120" w:line="276"/>
        <w:jc w:val="both"/>
      </w:pPr>
      <w:r>
        <w:rPr>
          <w:rFonts w:ascii="Barlow Semi Condensed" w:cs="Barlow Semi Condensed" w:eastAsia="Barlow Semi Condensed" w:hAnsi="Barlow Semi Condensed"/>
          <w:b/>
          <w:bCs/>
          <w:sz w:val="24"/>
          <w:szCs w:val="24"/>
        </w:rPr>
        <w:t xml:space="preserve">Il punto decisivo non è la proporzione ma ciò che manca accanto ad essa. Nessuna delle pagine dichiara l'estensione della porzione non rilasciata. Un'unità di ventuno pagine rilasciata in parte e un'unità di ventuno pagine rilasciata quasi per intero recano il medesimo codice, e nulla le distingue. Il lettore sa che qualcosa è stato tolto e non sa quanto.</w:t>
      </w:r>
    </w:p>
    <w:p>
      <w:pPr>
        <w:spacing w:after="120" w:line="276"/>
        <w:jc w:val="both"/>
      </w:pPr>
      <w:r>
        <w:rPr>
          <w:rFonts w:ascii="Barlow Semi Condensed" w:cs="Barlow Semi Condensed" w:eastAsia="Barlow Semi Condensed" w:hAnsi="Barlow Semi Condensed"/>
          <w:b/>
          <w:bCs/>
          <w:sz w:val="24"/>
          <w:szCs w:val="24"/>
        </w:rPr>
        <w:t xml:space="preserve">Si accosti a ciò l'espunzione documentata dall'appendice quarta sull'unità quattordicesima del fascicolo italiano. Là un organo espunse alcune parti, ne dichiarò l'espunzione, la datò, produsse la versione priva delle parti espunte e la trasmise a sede determinata, conservando accanto ad essa la versione integrale nella medesima serie. L'oggetto restò intatto e la sottrazione fu resa visibile.</w:t>
      </w:r>
    </w:p>
    <w:p>
      <w:pPr>
        <w:spacing w:after="120" w:line="276"/>
        <w:jc w:val="both"/>
      </w:pPr>
      <w:r>
        <w:rPr>
          <w:rFonts w:ascii="Barlow Semi Condensed" w:cs="Barlow Semi Condensed" w:eastAsia="Barlow Semi Condensed" w:hAnsi="Barlow Semi Condensed"/>
          <w:b/>
          <w:bCs/>
          <w:sz w:val="24"/>
          <w:szCs w:val="24"/>
        </w:rPr>
        <w:t xml:space="preserve">Se ne trae la regola, che è la tredicesima della serie e chiude la comparazione.</w:t>
      </w:r>
    </w:p>
    <w:p>
      <w:pPr>
        <w:spacing w:after="120" w:line="276"/>
        <w:jc w:val="both"/>
      </w:pPr>
      <w:r>
        <w:rPr>
          <w:rFonts w:ascii="Barlow Semi Condensed" w:cs="Barlow Semi Condensed" w:eastAsia="Barlow Semi Condensed" w:hAnsi="Barlow Semi Condensed"/>
          <w:b/>
          <w:bCs/>
          <w:sz w:val="24"/>
          <w:szCs w:val="24"/>
        </w:rPr>
        <w:t xml:space="preserve">Tredicesima regola della risalita. Un fondo che designi perfettamente e non dichiari l'estensione delle proprie espunzioni non è più verificabile di uno che designi male e le dichiari. Le due imperfezioni cadono su piani diversi e nessuna surroga l'altra: la prima impedisce di trovare l'atto, la seconda impedisce di sapere quanto dell'atto si stia leggendo. Un catalogo esemplare su un testo di estensione ignota produce una precisione apparente che è più pericolosa dell'imprecisione dichiarata, poiché invita a fidarsi.</w:t>
      </w:r>
    </w:p>
    <w:p>
      <w:pPr>
        <w:pStyle w:val="Heading2"/>
        <w:spacing w:after="100" w:before="200"/>
      </w:pPr>
      <w:r>
        <w:rPr>
          <w:rFonts w:ascii="Barlow Semi Condensed" w:cs="Barlow Semi Condensed" w:eastAsia="Barlow Semi Condensed" w:hAnsi="Barlow Semi Condensed"/>
          <w:sz w:val="24"/>
          <w:szCs w:val="24"/>
        </w:rPr>
        <w:t xml:space="preserve">Parte quinta — La terza misura: la datazione e la leggibilità</w:t>
      </w:r>
    </w:p>
    <w:p>
      <w:pPr>
        <w:spacing w:after="120" w:line="276"/>
        <w:jc w:val="both"/>
      </w:pPr>
      <w:r>
        <w:rPr>
          <w:rFonts w:ascii="Barlow Semi Condensed" w:cs="Barlow Semi Condensed" w:eastAsia="Barlow Semi Condensed" w:hAnsi="Barlow Semi Condensed"/>
          <w:b/>
          <w:bCs/>
          <w:sz w:val="24"/>
          <w:szCs w:val="24"/>
        </w:rPr>
        <w:t xml:space="preserve">Due ulteriori difetti del fondo vanno registrati, poiché entrambi incidono sull'impiego che l'opera potrebbe farne.</w:t>
      </w:r>
    </w:p>
    <w:p>
      <w:pPr>
        <w:spacing w:after="120" w:line="276"/>
        <w:jc w:val="both"/>
      </w:pPr>
      <w:r>
        <w:rPr>
          <w:rFonts w:ascii="Barlow Semi Condensed" w:cs="Barlow Semi Condensed" w:eastAsia="Barlow Semi Condensed" w:hAnsi="Barlow Semi Condensed"/>
          <w:b/>
          <w:bCs/>
          <w:sz w:val="24"/>
          <w:szCs w:val="24"/>
        </w:rPr>
        <w:t xml:space="preserve">Il primo è la datazione. Trentasette unità su cento non recano data di pubblicazione dell'atto. Un atto identificato e non datato è reperibile e non collocabile: esso non entra in alcuna analisi temporale, non consente di stabilire che cosa un apparato ritenesse in un momento determinato, e per la classe alla quale queste unità appartengono quella è precisamente la sola proposizione che esse possano sostenere al grado massimo. Un atto di questa classe privo di data non conferisce grado alcuno, e va trattato come tale.</w:t>
      </w:r>
    </w:p>
    <w:p>
      <w:pPr>
        <w:spacing w:after="120" w:line="276"/>
        <w:jc w:val="both"/>
      </w:pPr>
      <w:r>
        <w:rPr>
          <w:rFonts w:ascii="Barlow Semi Condensed" w:cs="Barlow Semi Condensed" w:eastAsia="Barlow Semi Condensed" w:hAnsi="Barlow Semi Condensed"/>
          <w:b/>
          <w:bCs/>
          <w:sz w:val="24"/>
          <w:szCs w:val="24"/>
        </w:rPr>
        <w:t xml:space="preserve">Il secondo è la leggibilità. Ciascuna pagina reca una trascrizione automatica del testo dell'atto, e la sua qualità è, nei campioni esaminati, tale da non consentire la lettura continua. Si è esaminato per intero il testo trascritto dell'unità più pertinente alla materia dell'opera, ed esso risulta corrotto al punto che l'oggetto del messaggio non è ricostruibile dalla trascrizione.</w:t>
      </w:r>
    </w:p>
    <w:p>
      <w:pPr>
        <w:spacing w:after="120" w:line="276"/>
        <w:jc w:val="both"/>
      </w:pPr>
      <w:r>
        <w:rPr>
          <w:rFonts w:ascii="Barlow Semi Condensed" w:cs="Barlow Semi Condensed" w:eastAsia="Barlow Semi Condensed" w:hAnsi="Barlow Semi Condensed"/>
          <w:b/>
          <w:bCs/>
          <w:sz w:val="24"/>
          <w:szCs w:val="24"/>
        </w:rPr>
        <w:t xml:space="preserve">Se ne trae una conseguenza operativa e non teorica: per questo fondo, la pagina di catalogo consente di individuare l'atto e non consente in alcun caso di leggerlo. Chi ne citasse il contenuto sulla base della trascrizione citerebbe un artefatto di riconoscimento ottico.</w:t>
      </w:r>
    </w:p>
    <w:p>
      <w:pPr>
        <w:pStyle w:val="Heading2"/>
        <w:spacing w:after="100" w:before="200"/>
      </w:pPr>
      <w:r>
        <w:rPr>
          <w:rFonts w:ascii="Barlow Semi Condensed" w:cs="Barlow Semi Condensed" w:eastAsia="Barlow Semi Condensed" w:hAnsi="Barlow Semi Condensed"/>
          <w:sz w:val="24"/>
          <w:szCs w:val="24"/>
        </w:rPr>
        <w:t xml:space="preserve">Parte sesta — La pertinenza, dichiarata per difetto</w:t>
      </w:r>
    </w:p>
    <w:p>
      <w:pPr>
        <w:spacing w:after="120" w:line="276"/>
        <w:jc w:val="both"/>
      </w:pPr>
      <w:r>
        <w:rPr>
          <w:rFonts w:ascii="Barlow Semi Condensed" w:cs="Barlow Semi Condensed" w:eastAsia="Barlow Semi Condensed" w:hAnsi="Barlow Semi Condensed"/>
          <w:b/>
          <w:bCs/>
          <w:sz w:val="24"/>
          <w:szCs w:val="24"/>
        </w:rPr>
        <w:t xml:space="preserve">Si dichiara la pertinenza del fondo alla materia dell'opera, e la si dichiara nel verso che riduce anziché in quello che amplia.</w:t>
      </w:r>
    </w:p>
    <w:p>
      <w:pPr>
        <w:spacing w:after="120" w:line="276"/>
        <w:jc w:val="both"/>
      </w:pPr>
      <w:r>
        <w:rPr>
          <w:rFonts w:ascii="Barlow Semi Condensed" w:cs="Barlow Semi Condensed" w:eastAsia="Barlow Semi Condensed" w:hAnsi="Barlow Semi Condensed"/>
          <w:b/>
          <w:bCs/>
          <w:sz w:val="24"/>
          <w:szCs w:val="24"/>
        </w:rPr>
        <w:t xml:space="preserve">Delle cento unità, sedici recano nel titolo un riferimento all'Italia, al terrorismo o a materie contigue. Le restanti ottantaquattro concernono materie estranee tanto all'opera quanto al corpus maggiore, ovvero vi si collegano soltanto per il tramite di inferenze che l'opera non compie: fra esse figurano studi di geografia fisica, rassegne di indicatori energetici, repertori di capi di Stato, raccolte di traduzioni, e una serie di abstract su materie parapsicologiche.</w:t>
      </w:r>
    </w:p>
    <w:p>
      <w:pPr>
        <w:spacing w:after="120" w:line="276"/>
        <w:jc w:val="both"/>
      </w:pPr>
      <w:r>
        <w:rPr>
          <w:rFonts w:ascii="Barlow Semi Condensed" w:cs="Barlow Semi Condensed" w:eastAsia="Barlow Semi Condensed" w:hAnsi="Barlow Semi Condensed"/>
          <w:b/>
          <w:bCs/>
          <w:sz w:val="24"/>
          <w:szCs w:val="24"/>
        </w:rPr>
        <w:t xml:space="preserve">Delle sedici, la maggior parte appartiene al corpus maggiore e non all'opera: rilevazioni cartografiche, repertori toponomastici, studi su trasporti e telecomunicazioni, rassegne sulle vendite di armamenti, note su formazioni politiche degli anni cinquanta.</w:t>
      </w:r>
    </w:p>
    <w:p>
      <w:pPr>
        <w:spacing w:after="120" w:line="276"/>
        <w:jc w:val="both"/>
      </w:pPr>
      <w:r>
        <w:rPr>
          <w:rFonts w:ascii="Barlow Semi Condensed" w:cs="Barlow Semi Condensed" w:eastAsia="Barlow Semi Condensed" w:hAnsi="Barlow Semi Condensed"/>
          <w:b/>
          <w:bCs/>
          <w:sz w:val="24"/>
          <w:szCs w:val="24"/>
        </w:rPr>
        <w:t xml:space="preserve">Una sola unità cade nel periodo e nella materia adiacenti al caso, ed è quella della quale si dirà alla Parte settima.</w:t>
      </w:r>
    </w:p>
    <w:p>
      <w:pPr>
        <w:spacing w:after="120" w:line="276"/>
        <w:jc w:val="both"/>
      </w:pPr>
      <w:r>
        <w:rPr>
          <w:rFonts w:ascii="Barlow Semi Condensed" w:cs="Barlow Semi Condensed" w:eastAsia="Barlow Semi Condensed" w:hAnsi="Barlow Semi Condensed"/>
          <w:b/>
          <w:bCs/>
          <w:sz w:val="24"/>
          <w:szCs w:val="24"/>
        </w:rPr>
        <w:t xml:space="preserve">Si registra questa proporzione perché essa corregge, nel verso della riduzione, l'aspettativa che un fondo di cento documenti di un servizio informativo estero contenga materia sul caso. Non la contiene, salvo per un'unità. La constatazione è di pieno valore ed è, in questa giornata, la sesta di specie negativa.</w:t>
      </w:r>
    </w:p>
    <w:p>
      <w:pPr>
        <w:pStyle w:val="Heading2"/>
        <w:spacing w:after="100" w:before="200"/>
      </w:pPr>
      <w:r>
        <w:rPr>
          <w:rFonts w:ascii="Barlow Semi Condensed" w:cs="Barlow Semi Condensed" w:eastAsia="Barlow Semi Condensed" w:hAnsi="Barlow Semi Condensed"/>
          <w:sz w:val="24"/>
          <w:szCs w:val="24"/>
        </w:rPr>
        <w:t xml:space="preserve">Parte settima — Un atto del 28 gennaio 1982, e il fondo nel quale è collocato</w:t>
      </w:r>
    </w:p>
    <w:p>
      <w:pPr>
        <w:spacing w:after="120" w:line="276"/>
        <w:jc w:val="both"/>
      </w:pPr>
      <w:r>
        <w:rPr>
          <w:rFonts w:ascii="Barlow Semi Condensed" w:cs="Barlow Semi Condensed" w:eastAsia="Barlow Semi Condensed" w:hAnsi="Barlow Semi Condensed"/>
          <w:b/>
          <w:bCs/>
          <w:sz w:val="24"/>
          <w:szCs w:val="24"/>
        </w:rPr>
        <w:t xml:space="preserve">L'unità pertinente è un rapporto informativo di due pagine, con classificazione originaria non spiegata dai codici, rilasciato in parte, recante data di pubblicazione ventotto gennaio millenovecentottantadue, e concernente la liberazione di un ufficiale straniero rapito in Italia dalla medesima organizzazione che condusse i fatti del millenovecentosettantotto.</w:t>
      </w:r>
    </w:p>
    <w:p>
      <w:pPr>
        <w:spacing w:after="120" w:line="276"/>
        <w:jc w:val="both"/>
      </w:pPr>
      <w:r>
        <w:rPr>
          <w:rFonts w:ascii="Barlow Semi Condensed" w:cs="Barlow Semi Condensed" w:eastAsia="Barlow Semi Condensed" w:hAnsi="Barlow Semi Condensed"/>
          <w:b/>
          <w:bCs/>
          <w:sz w:val="24"/>
          <w:szCs w:val="24"/>
        </w:rPr>
        <w:t xml:space="preserve">La data coincide con quella della liberazione. L'atto è dunque contemporaneo al fatto, e appartiene per ciò alla classe che il repertorio dell'opera qualifica come stime e comunicazioni di apparato: grado massimo quanto a ciò che l'apparato riferiva in quella data, grado minimo quanto ai fatti del mondo asseriti, salvo riscontro autonomo.</w:t>
      </w:r>
    </w:p>
    <w:p>
      <w:pPr>
        <w:spacing w:after="120" w:line="276"/>
        <w:jc w:val="both"/>
      </w:pPr>
      <w:r>
        <w:rPr>
          <w:rFonts w:ascii="Barlow Semi Condensed" w:cs="Barlow Semi Condensed" w:eastAsia="Barlow Semi Condensed" w:hAnsi="Barlow Semi Condensed"/>
          <w:b/>
          <w:bCs/>
          <w:sz w:val="24"/>
          <w:szCs w:val="24"/>
        </w:rPr>
        <w:t xml:space="preserve">Va registrata una circostanza relativa alla sua collocazione, e va registrata con la cautela che essa impone. L'unità appartiene, secondo il campo del fondo, a una collezione dedicata a un programma di ricerca dell'apparato estero su materie estranee all'informazione militare corrente. Sei unità del fondo appartengono a quella collezione.</w:t>
      </w:r>
    </w:p>
    <w:p>
      <w:pPr>
        <w:spacing w:after="120" w:line="276"/>
        <w:jc w:val="both"/>
      </w:pPr>
      <w:r>
        <w:rPr>
          <w:rFonts w:ascii="Barlow Semi Condensed" w:cs="Barlow Semi Condensed" w:eastAsia="Barlow Semi Condensed" w:hAnsi="Barlow Semi Condensed"/>
          <w:b/>
          <w:bCs/>
          <w:sz w:val="24"/>
          <w:szCs w:val="24"/>
        </w:rPr>
        <w:t xml:space="preserve">Si dichiari che cosa questo stabilisca. Stabilisce che il record è archiviato in quella collezione. Non stabilisce nulla sul contenuto dell'atto, nulla sul metodo con il quale l'informazione fu acquisita, e nulla sul rapporto fra l'atto e l'oggetto della collezione. Un campo di collocazione è, come si è detto per le chiavi di catalogo del fascicolo italiano, un indirizzo; e un indirizzo non descrive ciò che risiede all'indirizzo. È precisamente il genere di dato che, riferito senza questa avvertenza, produce inferenze che nessuna fonte sostiene, e la si appone qui in forma espressa.</w:t>
      </w:r>
    </w:p>
    <w:p>
      <w:pPr>
        <w:spacing w:after="120" w:line="276"/>
        <w:jc w:val="both"/>
      </w:pPr>
      <w:r>
        <w:rPr>
          <w:rFonts w:ascii="Barlow Semi Condensed" w:cs="Barlow Semi Condensed" w:eastAsia="Barlow Semi Condensed" w:hAnsi="Barlow Semi Condensed"/>
          <w:b/>
          <w:bCs/>
          <w:sz w:val="24"/>
          <w:szCs w:val="24"/>
        </w:rPr>
        <w:t xml:space="preserve">Si segnala altresì che la trascrizione automatica di questa unità è, fra quelle esaminate, la più degradata, e che il contenuto del messaggio non ne è ricavabile. L'atto va domandato nel proprio allegato.</w:t>
      </w:r>
    </w:p>
    <w:p>
      <w:pPr>
        <w:pStyle w:val="Heading2"/>
        <w:spacing w:after="100" w:before="200"/>
      </w:pPr>
      <w:r>
        <w:rPr>
          <w:rFonts w:ascii="Barlow Semi Condensed" w:cs="Barlow Semi Condensed" w:eastAsia="Barlow Semi Condensed" w:hAnsi="Barlow Semi Condensed"/>
          <w:sz w:val="24"/>
          <w:szCs w:val="24"/>
        </w:rPr>
        <w:t xml:space="preserve">Parte ottava — Le voci iscritte</w:t>
      </w:r>
    </w:p>
    <w:p>
      <w:pPr>
        <w:spacing w:after="120" w:line="276"/>
        <w:jc w:val="both"/>
      </w:pPr>
      <w:r>
        <w:rPr>
          <w:rFonts w:ascii="Barlow Semi Condensed" w:cs="Barlow Semi Condensed" w:eastAsia="Barlow Semi Condensed" w:hAnsi="Barlow Semi Condensed"/>
          <w:b/>
          <w:bCs/>
          <w:sz w:val="24"/>
          <w:szCs w:val="24"/>
        </w:rPr>
        <w:t xml:space="preserve">Voce trentanovesima — Gli originali delle sedici unità pertinenti. Oggetto: i file allegati alle sedici pagine di catalogo che recano riferimento all'Italia o a materie contigue, domandati per identificativo. Sede: la sala di lettura elettronica del servizio che li rilascia; gli identificativi sono posseduti tutti e sedici. Chiusura: acquisizione dei sedici allegati. Smentita: non ricorre quanto al reperimento; si segnala che l'acquisizione non chiude la Voce quarantesima, poiché un allegato rilasciato in parte non dichiara di per sé l'estensione della parte non rilasciata.</w:t>
      </w:r>
    </w:p>
    <w:p>
      <w:pPr>
        <w:spacing w:after="120" w:line="276"/>
        <w:jc w:val="both"/>
      </w:pPr>
      <w:r>
        <w:rPr>
          <w:rFonts w:ascii="Barlow Semi Condensed" w:cs="Barlow Semi Condensed" w:eastAsia="Barlow Semi Condensed" w:hAnsi="Barlow Semi Condensed"/>
          <w:b/>
          <w:bCs/>
          <w:sz w:val="24"/>
          <w:szCs w:val="24"/>
        </w:rPr>
        <w:t xml:space="preserve">Voce quarantesima — La misura dell'espunzione. Oggetto: per le unità rilasciate in parte, l'estensione della porzione non rilasciata, e la tavola di corrispondenza dei codici di decisione di rilascio impiegati dal fondo. Sede: la fonte che pubblica il fondo e le sue note esplicative. Chiusura: acquisizione della tavola dei codici e, per le sedici unità pertinenti, della misura della porzione espunta. Smentita: la constatazione che il fondo non dichiari in alcuna forma l'estensione delle espunzioni, nel qual caso la voce si chiude con Stato Zero e la classe intera va trattata come testo di estensione ignota.</w:t>
      </w:r>
    </w:p>
    <w:p>
      <w:pPr>
        <w:spacing w:after="120" w:line="276"/>
        <w:jc w:val="both"/>
      </w:pPr>
      <w:r>
        <w:rPr>
          <w:rFonts w:ascii="Barlow Semi Condensed" w:cs="Barlow Semi Condensed" w:eastAsia="Barlow Semi Condensed" w:hAnsi="Barlow Semi Condensed"/>
          <w:b/>
          <w:bCs/>
          <w:sz w:val="24"/>
          <w:szCs w:val="24"/>
        </w:rPr>
        <w:t xml:space="preserve">Voce quarantunesima — Le unità prive di data. Oggetto: la data di pubblicazione delle trentasette unità che non la recano, ricavabile dall'atto ove l'atto la porti. Sede: i file allegati. Chiusura: datazione delle unità pertinenti fra le trentasette. Smentita: la constatazione che l'atto medesimo non rechi data, nel qual caso l'unità resta non collocabile e non conferisce grado alcuno.</w:t>
      </w:r>
    </w:p>
    <w:p>
      <w:pPr>
        <w:spacing w:after="120" w:line="276"/>
        <w:jc w:val="both"/>
      </w:pPr>
      <w:r>
        <w:rPr>
          <w:rFonts w:ascii="Barlow Semi Condensed" w:cs="Barlow Semi Condensed" w:eastAsia="Barlow Semi Condensed" w:hAnsi="Barlow Semi Condensed"/>
          <w:b/>
          <w:bCs/>
          <w:sz w:val="24"/>
          <w:szCs w:val="24"/>
        </w:rPr>
        <w:t xml:space="preserve">Voce quarantaduesima — L'atto del ventotto gennaio millenovecentottantadue. Oggetto: il file allegato all'unità pertinente al caso, e la ragione della sua collocazione nella collezione che lo ospita. Sede: la sala di lettura elettronica; l'identificativo è posseduto. Chiusura: acquisizione dell'allegato. Smentita: la constatazione che l'atto sia estraneo alla materia dell'opera, esito che la sola pagina di catalogo non consente di escludere né di affermare.</w:t>
      </w:r>
    </w:p>
    <w:p>
      <w:pPr>
        <w:pStyle w:val="Heading2"/>
        <w:spacing w:after="100" w:before="200"/>
      </w:pPr>
      <w:r>
        <w:rPr>
          <w:rFonts w:ascii="Barlow Semi Condensed" w:cs="Barlow Semi Condensed" w:eastAsia="Barlow Semi Condensed" w:hAnsi="Barlow Semi Condensed"/>
          <w:sz w:val="24"/>
          <w:szCs w:val="24"/>
        </w:rPr>
        <w:t xml:space="preserve">Parte nona — Stati Zero</w:t>
      </w:r>
    </w:p>
    <w:p>
      <w:pPr>
        <w:spacing w:after="120" w:line="276"/>
        <w:jc w:val="both"/>
      </w:pPr>
      <w:r>
        <w:rPr>
          <w:rFonts w:ascii="Barlow Semi Condensed" w:cs="Barlow Semi Condensed" w:eastAsia="Barlow Semi Condensed" w:hAnsi="Barlow Semi Condensed"/>
          <w:b/>
          <w:bCs/>
          <w:sz w:val="24"/>
          <w:szCs w:val="24"/>
        </w:rPr>
        <w:t xml:space="preserve">Primo. Nessuno dei cento allegati è posseduto. Si possiedono cento indirizzi e nessun atto.</w:t>
      </w:r>
    </w:p>
    <w:p>
      <w:pPr>
        <w:spacing w:after="120" w:line="276"/>
        <w:jc w:val="both"/>
      </w:pPr>
      <w:r>
        <w:rPr>
          <w:rFonts w:ascii="Barlow Semi Condensed" w:cs="Barlow Semi Condensed" w:eastAsia="Barlow Semi Condensed" w:hAnsi="Barlow Semi Condensed"/>
          <w:b/>
          <w:bCs/>
          <w:sz w:val="24"/>
          <w:szCs w:val="24"/>
        </w:rPr>
        <w:t xml:space="preserve">Secondo. La tavola di corrispondenza dei codici di decisione di rilascio non è posseduta, e le cifre della Parte quarta sono pertanto condizionate alla lettura corrente di quei codici, dichiarata come condizione.</w:t>
      </w:r>
    </w:p>
    <w:p>
      <w:pPr>
        <w:spacing w:after="120" w:line="276"/>
        <w:jc w:val="both"/>
      </w:pPr>
      <w:r>
        <w:rPr>
          <w:rFonts w:ascii="Barlow Semi Condensed" w:cs="Barlow Semi Condensed" w:eastAsia="Barlow Semi Condensed" w:hAnsi="Barlow Semi Condensed"/>
          <w:b/>
          <w:bCs/>
          <w:sz w:val="24"/>
          <w:szCs w:val="24"/>
        </w:rPr>
        <w:t xml:space="preserve">Terzo. L'estensione delle espunzioni non è dichiarata da alcuna delle pagine e non è altrimenti nota.</w:t>
      </w:r>
    </w:p>
    <w:p>
      <w:pPr>
        <w:spacing w:after="120" w:line="276"/>
        <w:jc w:val="both"/>
      </w:pPr>
      <w:r>
        <w:rPr>
          <w:rFonts w:ascii="Barlow Semi Condensed" w:cs="Barlow Semi Condensed" w:eastAsia="Barlow Semi Condensed" w:hAnsi="Barlow Semi Condensed"/>
          <w:b/>
          <w:bCs/>
          <w:sz w:val="24"/>
          <w:szCs w:val="24"/>
        </w:rPr>
        <w:t xml:space="preserve">Quarto. Trentasette unità restano non datate.</w:t>
      </w:r>
    </w:p>
    <w:p>
      <w:pPr>
        <w:spacing w:after="120" w:line="276"/>
        <w:jc w:val="both"/>
      </w:pPr>
      <w:r>
        <w:rPr>
          <w:rFonts w:ascii="Barlow Semi Condensed" w:cs="Barlow Semi Condensed" w:eastAsia="Barlow Semi Condensed" w:hAnsi="Barlow Semi Condensed"/>
          <w:b/>
          <w:bCs/>
          <w:sz w:val="24"/>
          <w:szCs w:val="24"/>
        </w:rPr>
        <w:t xml:space="preserve">Quinto. Il contenuto di nessuna unità è stato letto, e per questo fondo la trascrizione automatica non surroga la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settima del giorno sul medesimo cantiere. Cantiere: designazione per atto delle fonti. Materia: un fondo di cento pagine di catalogo di un servizio informativo estero, e la comparazione fra due regimi archivistici.</w:t>
      </w:r>
    </w:p>
    <w:p>
      <w:pPr>
        <w:spacing w:after="120" w:line="276"/>
        <w:jc w:val="both"/>
      </w:pPr>
      <w:r>
        <w:rPr>
          <w:rFonts w:ascii="Barlow Semi Condensed" w:cs="Barlow Semi Condensed" w:eastAsia="Barlow Semi Condensed" w:hAnsi="Barlow Semi Condensed"/>
          <w:b/>
          <w:bCs/>
          <w:sz w:val="24"/>
          <w:szCs w:val="24"/>
        </w:rPr>
        <w:t xml:space="preserve">Esito positivo: censimento delle cento unità per fondo di appartenenza, classificazione originaria, decennio di pubblicazione e decisione di rilascio, con procedura dichiarata; accertamento che tutte e cento recano identificativo dell'atto in doppia forma concordante, contro le cinquanta unità italiane per le quali la designazione ha richiesto l'intera giornata; accertamento che l'estensione delle espunzioni non è dichiarata in alcun caso, contro l'espunzione italiana dichiarata, datata e affiancata dalla versione integrale; enunciazione della tredicesima regola della risalita; individuazione di sedici unità pertinenti e di una sola adiacente alla materia dell'opera;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nessun allegato posseduto; tavola dei codici non posseduta; estensione delle espunzioni ignota; trentasette unità non datate; trascrizioni automatiche non leggibili.</w:t>
      </w:r>
    </w:p>
    <w:p>
      <w:pPr>
        <w:spacing w:after="120" w:line="276"/>
        <w:jc w:val="both"/>
      </w:pPr>
      <w:r>
        <w:rPr>
          <w:rFonts w:ascii="Barlow Semi Condensed" w:cs="Barlow Semi Condensed" w:eastAsia="Barlow Semi Condensed" w:hAnsi="Barlow Semi Condensed"/>
          <w:b/>
          <w:bCs/>
          <w:sz w:val="24"/>
          <w:szCs w:val="24"/>
        </w:rPr>
        <w:t xml:space="preserve">Riga di proporzione dichiarata. Ottantaquattro unità su cento sono estranee tanto all'opera quanto al corpus maggiore. Si registra la cifra perché un fondo proveniente da un servizio informativo estero suscita, per la sola provenienza, un'aspettativa di pertinenza che il conteggio non conferma. La provenienza di un fondo non è un indizio sul suo contenuto, ed è lo stesso errore che l'appendice quinta ha censito sotto altra forma: la collocazione non è mai, di per sé, evidenza.</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alcuna delle cento unità, poiché non lo conosce. La collocazione di un record in una collezione determinata è un fatto di archiviazione e non una proposizione sul contenuto dell'atto archiviato, e si è dichiarato espressamente al punto in cui la circostanza ricorre. Nessuna persona è nominata nel presente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 due regimi archivistici misurati, quindici agosto duemilaventisei. I settanta Capitoli restano settanta. Le redazioni anteriori non sono modificate: le pietre deposte non si scalpellano. Resta sovrana la Regola di Ferro: dove la fonte documenta, l'opera certifica; dove la fonte tace, l'opera indaga e non afferma. Un catalogo esemplare su un testo di estensione ignota produce una precisione apparente, ed è più pericolosa dell'imprecisione dichiarata perché invita a fidarsi.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 · Appendice nona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2.366 parole in 9 sezioni; la più ampia è §9 Altre sezioni, con 2.093.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49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 — Appendice decima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w:t>
      </w:r>
    </w:p>
    <w:p>
      <w:pPr>
        <w:pStyle w:val="Heading2"/>
        <w:spacing w:after="100" w:before="200"/>
      </w:pPr>
      <w:r>
        <w:rPr>
          <w:rFonts w:ascii="Barlow Semi Condensed" w:cs="Barlow Semi Condensed" w:eastAsia="Barlow Semi Condensed" w:hAnsi="Barlow Semi Condensed"/>
          <w:sz w:val="24"/>
          <w:szCs w:val="24"/>
        </w:rPr>
        <w:t xml:space="preserve">La serie di acquisizione, e chi attribuisce le chiavi</w:t>
      </w:r>
    </w:p>
    <w:p>
      <w:pPr>
        <w:pStyle w:val="Heading2"/>
        <w:spacing w:after="100" w:before="200"/>
      </w:pPr>
      <w:r>
        <w:rPr>
          <w:rFonts w:ascii="Barlow Semi Condensed" w:cs="Barlow Semi Condensed" w:eastAsia="Barlow Semi Condensed" w:hAnsi="Barlow Semi Condensed"/>
          <w:sz w:val="24"/>
          <w:szCs w:val="24"/>
        </w:rPr>
        <w:t xml:space="preserve">Esecuzione della Voce ventiseiesima su quattrocentoquarantaquattro voci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decima</w:t>
      </w:r>
    </w:p>
    <w:p>
      <w:pPr>
        <w:spacing w:after="120" w:line="276"/>
        <w:jc w:val="both"/>
      </w:pPr>
      <w:r>
        <w:rPr>
          <w:rFonts w:ascii="Barlow Semi Condensed" w:cs="Barlow Semi Condensed" w:eastAsia="Barlow Semi Condensed" w:hAnsi="Barlow Semi Condensed"/>
          <w:b/>
          <w:bCs/>
          <w:sz w:val="24"/>
          <w:szCs w:val="24"/>
        </w:rPr>
        <w:t xml:space="preserve">La presente è appendice decima alla Fase Settima ed esegue la Voce ventiseiesima, iscritta dall'appendice quinta, la quale prescrive la verifica di reciprocità dei rinvii per accertare quante catalogazioni multiple non siano dichiarate. Come le nove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la medesima già impiegata dall'appendice terza, e la novità sta nel modo di leggerla. L'appendice terza estrasse dai processi verbali le sole voci recanti la chiave del fascicolo del caso, e ne trasse ventinove unità. La presente le legge come ciò che sono: una serie di acquisizione completa, nella quale ogni voce reca tutte le chiavi che le furono assegnate al momento dell'ingresso. Il medesimo materiale, interrogato con un'altra domanda, produce un altro risultato.</w:t>
      </w:r>
    </w:p>
    <w:p>
      <w:pPr>
        <w:spacing w:after="120" w:line="276"/>
        <w:jc w:val="both"/>
      </w:pPr>
      <w:r>
        <w:rPr>
          <w:rFonts w:ascii="Barlow Semi Condensed" w:cs="Barlow Semi Condensed" w:eastAsia="Barlow Semi Condensed" w:hAnsi="Barlow Semi Condensed"/>
          <w:b/>
          <w:bCs/>
          <w:sz w:val="24"/>
          <w:szCs w:val="24"/>
        </w:rPr>
        <w:t xml:space="preserve">Si registri la circostanza come regola di condotta e non come merito: un fondo già impiegato non è un fondo esaurito, e la seconda interrogazione di un materiale posseduto costa meno di ogni acquisizione nuova. È la terza volta nella giornata che il posseduto rende più del cercato.</w:t>
      </w:r>
    </w:p>
    <w:p>
      <w:pPr>
        <w:pStyle w:val="Heading2"/>
        <w:spacing w:after="100" w:before="200"/>
      </w:pPr>
      <w:r>
        <w:rPr>
          <w:rFonts w:ascii="Barlow Semi Condensed" w:cs="Barlow Semi Condensed" w:eastAsia="Barlow Semi Condensed" w:hAnsi="Barlow Semi Condensed"/>
          <w:sz w:val="24"/>
          <w:szCs w:val="24"/>
        </w:rPr>
        <w:t xml:space="preserve">Parte prima — La procedura, e il difetto del proprio strumento</w:t>
      </w:r>
    </w:p>
    <w:p>
      <w:pPr>
        <w:spacing w:after="120" w:line="276"/>
        <w:jc w:val="both"/>
      </w:pPr>
      <w:r>
        <w:rPr>
          <w:rFonts w:ascii="Barlow Semi Condensed" w:cs="Barlow Semi Condensed" w:eastAsia="Barlow Semi Condensed" w:hAnsi="Barlow Semi Condensed"/>
          <w:b/>
          <w:bCs/>
          <w:sz w:val="24"/>
          <w:szCs w:val="24"/>
        </w:rPr>
        <w:t xml:space="preserve">La procedura è la seguente. Sono stati esaminati duecentosedici documenti recanti l'intitolazione di processo verbale; da ciascuno sono state estratte le voci di acquisizione riconoscibili per la presenza di almeno una chiave di catalogo in forma parentetica; le voci duplicate sono state ridotte a una. Restano quattrocentoquarantaquattro voci uniche.</w:t>
      </w:r>
    </w:p>
    <w:p>
      <w:pPr>
        <w:spacing w:after="120" w:line="276"/>
        <w:jc w:val="both"/>
      </w:pPr>
      <w:r>
        <w:rPr>
          <w:rFonts w:ascii="Barlow Semi Condensed" w:cs="Barlow Semi Condensed" w:eastAsia="Barlow Semi Condensed" w:hAnsi="Barlow Semi Condensed"/>
          <w:b/>
          <w:bCs/>
          <w:sz w:val="24"/>
          <w:szCs w:val="24"/>
        </w:rPr>
        <w:t xml:space="preserve">Si dichiara un difetto dello strumento impiegato, poiché la disciplina lo impone e poiché esso incide su una delle cifre esposte. L'espressione di ricerca costruita per riconoscere le chiavi ha, in un numero limitato di voci, congiunto in una sola stringa due chiavi consecutive, producendo denominazioni inesistenti. Il difetto è stato rilevato leggendo a mano l'elenco delle denominazioni ottenute, e non sarebbe stato rilevabile da alcuna misura statistica, poiché lo strumento sbagliava in modo stabile.</w:t>
      </w:r>
    </w:p>
    <w:p>
      <w:pPr>
        <w:spacing w:after="120" w:line="276"/>
        <w:jc w:val="both"/>
      </w:pPr>
      <w:r>
        <w:rPr>
          <w:rFonts w:ascii="Barlow Semi Condensed" w:cs="Barlow Semi Condensed" w:eastAsia="Barlow Semi Condensed" w:hAnsi="Barlow Semi Condensed"/>
          <w:b/>
          <w:bCs/>
          <w:sz w:val="24"/>
          <w:szCs w:val="24"/>
        </w:rPr>
        <w:t xml:space="preserve">È l'ottava volta nella giornata che la lettura a mano di un piccolo campione rileva ciò che la misura larga non rilevava, ed è il medesimo meccanismo registrato in campagna come quarto errore proprio. Si registra qui che la regola tratta da quell'errore ha, questa volta, funzionato: essa è stata applicata prima della pubblicazione della cifra e non dopo.</w:t>
      </w:r>
    </w:p>
    <w:p>
      <w:pPr>
        <w:spacing w:after="120" w:line="276"/>
        <w:jc w:val="both"/>
      </w:pPr>
      <w:r>
        <w:rPr>
          <w:rFonts w:ascii="Barlow Semi Condensed" w:cs="Barlow Semi Condensed" w:eastAsia="Barlow Semi Condensed" w:hAnsi="Barlow Semi Condensed"/>
          <w:b/>
          <w:bCs/>
          <w:sz w:val="24"/>
          <w:szCs w:val="24"/>
        </w:rPr>
        <w:t xml:space="preserve">La conseguenza è che la cifra delle denominazioni distinte, esposta alla Parte quarta, è dichiarata come approssimazione per eccesso e non come misura.</w:t>
      </w:r>
    </w:p>
    <w:p>
      <w:pPr>
        <w:pStyle w:val="Heading2"/>
        <w:spacing w:after="100" w:before="200"/>
      </w:pPr>
      <w:r>
        <w:rPr>
          <w:rFonts w:ascii="Barlow Semi Condensed" w:cs="Barlow Semi Condensed" w:eastAsia="Barlow Semi Condensed" w:hAnsi="Barlow Semi Condensed"/>
          <w:sz w:val="24"/>
          <w:szCs w:val="24"/>
        </w:rPr>
        <w:t xml:space="preserve">Parte seconda — La misura della catalogazione multipla</w:t>
      </w:r>
    </w:p>
    <w:p>
      <w:pPr>
        <w:spacing w:after="120" w:line="276"/>
        <w:jc w:val="both"/>
      </w:pPr>
      <w:r>
        <w:rPr>
          <w:rFonts w:ascii="Barlow Semi Condensed" w:cs="Barlow Semi Condensed" w:eastAsia="Barlow Semi Condensed" w:hAnsi="Barlow Semi Condensed"/>
          <w:b/>
          <w:bCs/>
          <w:sz w:val="24"/>
          <w:szCs w:val="24"/>
        </w:rPr>
        <w:t xml:space="preserve">Delle quattrocentoquarantaquattro voci, trecentottantasette recano una sola chiave, trentacinque ne recano due, venti ne recano tre, una ne reca quattro e una ne reca cinque.</w:t>
      </w:r>
    </w:p>
    <w:p>
      <w:pPr>
        <w:spacing w:after="120" w:line="276"/>
        <w:jc w:val="both"/>
      </w:pPr>
      <w:r>
        <w:rPr>
          <w:rFonts w:ascii="Barlow Semi Condensed" w:cs="Barlow Semi Condensed" w:eastAsia="Barlow Semi Condensed" w:hAnsi="Barlow Semi Condensed"/>
          <w:b/>
          <w:bCs/>
          <w:sz w:val="24"/>
          <w:szCs w:val="24"/>
        </w:rPr>
        <w:t xml:space="preserve">Cinquantasette voci su quattrocentoquarantaquattro recano dunque più di una chiave, ed è poco meno di un ottavo della serie.</w:t>
      </w:r>
    </w:p>
    <w:p>
      <w:pPr>
        <w:spacing w:after="120" w:line="276"/>
        <w:jc w:val="both"/>
      </w:pPr>
      <w:r>
        <w:rPr>
          <w:rFonts w:ascii="Barlow Semi Condensed" w:cs="Barlow Semi Condensed" w:eastAsia="Barlow Semi Condensed" w:hAnsi="Barlow Semi Condensed"/>
          <w:b/>
          <w:bCs/>
          <w:sz w:val="24"/>
          <w:szCs w:val="24"/>
        </w:rPr>
        <w:t xml:space="preserve">La voce a cinque chiavi appartiene alla settantaduesima seduta e concerne atti di un procedimento penale trasmessi da un ufficio giudiziario, comprendenti la trascrizione di una registrazione e il verbale di una deposizione resa nel dicembre millenovecentonovanta. Un solo invio, un solo fascicolo di provenienza, cinque indirizzi.</w:t>
      </w:r>
    </w:p>
    <w:p>
      <w:pPr>
        <w:spacing w:after="120" w:line="276"/>
        <w:jc w:val="both"/>
      </w:pPr>
      <w:r>
        <w:rPr>
          <w:rFonts w:ascii="Barlow Semi Condensed" w:cs="Barlow Semi Condensed" w:eastAsia="Barlow Semi Condensed" w:hAnsi="Barlow Semi Condensed"/>
          <w:b/>
          <w:bCs/>
          <w:sz w:val="24"/>
          <w:szCs w:val="24"/>
        </w:rPr>
        <w:t xml:space="preserve">Si osservi che questa è, a differenza di quella esposta dall'appendice quinta, una catalogazione multipla dichiarata nel medesimo atto che registra l'acquisizione: le cinque chiavi compaiono insieme, di seguito, nella stessa voce. Chi legga il verbale non può ignorare che si tratta di un atto solo. Chi legga i cinque fascicoli separatamente lo ignorerà in ciascuno di essi.</w:t>
      </w:r>
    </w:p>
    <w:p>
      <w:pPr>
        <w:pStyle w:val="Heading2"/>
        <w:spacing w:after="100" w:before="200"/>
      </w:pPr>
      <w:r>
        <w:rPr>
          <w:rFonts w:ascii="Barlow Semi Condensed" w:cs="Barlow Semi Condensed" w:eastAsia="Barlow Semi Condensed" w:hAnsi="Barlow Semi Condensed"/>
          <w:sz w:val="24"/>
          <w:szCs w:val="24"/>
        </w:rPr>
        <w:t xml:space="preserve">Parte terza — Chi attribuisce le chiavi, e quando</w:t>
      </w:r>
    </w:p>
    <w:p>
      <w:pPr>
        <w:spacing w:after="120" w:line="276"/>
        <w:jc w:val="both"/>
      </w:pPr>
      <w:r>
        <w:rPr>
          <w:rFonts w:ascii="Barlow Semi Condensed" w:cs="Barlow Semi Condensed" w:eastAsia="Barlow Semi Condensed" w:hAnsi="Barlow Semi Condensed"/>
          <w:b/>
          <w:bCs/>
          <w:sz w:val="24"/>
          <w:szCs w:val="24"/>
        </w:rPr>
        <w:t xml:space="preserve">La misura qui ottenuta va accostata a quella dell'appendice quinta, e l'accostamento produce il risultato principale del presente atto.</w:t>
      </w:r>
    </w:p>
    <w:p>
      <w:pPr>
        <w:spacing w:after="120" w:line="276"/>
        <w:jc w:val="both"/>
      </w:pPr>
      <w:r>
        <w:rPr>
          <w:rFonts w:ascii="Barlow Semi Condensed" w:cs="Barlow Semi Condensed" w:eastAsia="Barlow Semi Condensed" w:hAnsi="Barlow Semi Condensed"/>
          <w:b/>
          <w:bCs/>
          <w:sz w:val="24"/>
          <w:szCs w:val="24"/>
        </w:rPr>
        <w:t xml:space="preserve">L'appendice quinta ha contato, sull'indice di acquisizione del fascicolo del caso, quattordici unità su cinquanta recanti rinvio ad altro fascicolo. La presente conta, sui processi verbali della medesima serie, quattro sole voci del medesimo fascicolo recanti più di una chiave. Le quattro sono comprese fra le quattordici.</w:t>
      </w:r>
    </w:p>
    <w:p>
      <w:pPr>
        <w:spacing w:after="120" w:line="276"/>
        <w:jc w:val="both"/>
      </w:pPr>
      <w:r>
        <w:rPr>
          <w:rFonts w:ascii="Barlow Semi Condensed" w:cs="Barlow Semi Condensed" w:eastAsia="Barlow Semi Condensed" w:hAnsi="Barlow Semi Condensed"/>
          <w:b/>
          <w:bCs/>
          <w:sz w:val="24"/>
          <w:szCs w:val="24"/>
        </w:rPr>
        <w:t xml:space="preserve">Quattordici e quattro non si contraddicono: misurano due momenti diversi. Il processo verbale registra le chiavi assegnate all'ingresso dell'atto. L'indice di acquisizione è compilato in seguito, a fascicolo formato, e reca i rinvii che il compilatore ha riconosciuti allora, compresi quelli che al momento dell'ingresso non erano stati apposti.</w:t>
      </w:r>
    </w:p>
    <w:p>
      <w:pPr>
        <w:spacing w:after="120" w:line="276"/>
        <w:jc w:val="both"/>
      </w:pPr>
      <w:r>
        <w:rPr>
          <w:rFonts w:ascii="Barlow Semi Condensed" w:cs="Barlow Semi Condensed" w:eastAsia="Barlow Semi Condensed" w:hAnsi="Barlow Semi Condensed"/>
          <w:b/>
          <w:bCs/>
          <w:sz w:val="24"/>
          <w:szCs w:val="24"/>
        </w:rPr>
        <w:t xml:space="preserve">Ne segue che la catalogazione multipla, in questa serie, è in prevalenza attribuzione successiva del compilatore dell'indice e non proprietà dell'acquisizione. Dieci dei quattordici rinvii del fascicolo del caso sono stati riconosciuti dopo, e non risultano dagli atti che registrano l'ingresso dei documenti.</w:t>
      </w:r>
    </w:p>
    <w:p>
      <w:pPr>
        <w:spacing w:after="120" w:line="276"/>
        <w:jc w:val="both"/>
      </w:pPr>
      <w:r>
        <w:rPr>
          <w:rFonts w:ascii="Barlow Semi Condensed" w:cs="Barlow Semi Condensed" w:eastAsia="Barlow Semi Condensed" w:hAnsi="Barlow Semi Condensed"/>
          <w:b/>
          <w:bCs/>
          <w:sz w:val="24"/>
          <w:szCs w:val="24"/>
        </w:rPr>
        <w:t xml:space="preserve">La conseguenza operativa è duplice e va enunciata per intero, poiché essa corregge in un punto l'appendice terza e in un altro l'appendice quinta.</w:t>
      </w:r>
    </w:p>
    <w:p>
      <w:pPr>
        <w:spacing w:after="120" w:line="276"/>
        <w:jc w:val="both"/>
      </w:pPr>
      <w:r>
        <w:rPr>
          <w:rFonts w:ascii="Barlow Semi Condensed" w:cs="Barlow Semi Condensed" w:eastAsia="Barlow Semi Condensed" w:hAnsi="Barlow Semi Condensed"/>
          <w:b/>
          <w:bCs/>
          <w:sz w:val="24"/>
          <w:szCs w:val="24"/>
        </w:rPr>
        <w:t xml:space="preserve">Corregge l'appendice terza, la quale ha assunto il processo verbale come fonte autoritativa per la designazione delle unità. Esso lo è quanto all'atto, alla data e all'ufficio emittente, perché è contemporaneo all'ingresso; non lo è quanto ai rinvii, perché ne reca soltanto quelli apposti in quel momento. Per la rilevazione delle catalogazioni multiple l'indice è strumento superiore al verbale, e l'appendice terza aveva impiegato lo strumento inferiore.</w:t>
      </w:r>
    </w:p>
    <w:p>
      <w:pPr>
        <w:spacing w:after="120" w:line="276"/>
        <w:jc w:val="both"/>
      </w:pPr>
      <w:r>
        <w:rPr>
          <w:rFonts w:ascii="Barlow Semi Condensed" w:cs="Barlow Semi Condensed" w:eastAsia="Barlow Semi Condensed" w:hAnsi="Barlow Semi Condensed"/>
          <w:b/>
          <w:bCs/>
          <w:sz w:val="24"/>
          <w:szCs w:val="24"/>
        </w:rPr>
        <w:t xml:space="preserve">Corregge l'appendice quinta, la quale ha letto il rapporto di quattordici su cinquanta come proprietà del fondo e lo ha dichiarato soglia perché i rinvii sono apposti dove il compilatore li ha notati. La diagnosi era esatta e ne mancava la causa: i rinvii sono apposti dove il compilatore li ha notati, e il compilatore è persona diversa e successiva rispetto a chi registrò l'acquisizione. La soglia non dipende dalla disattenzione di chi acquisisce ma dalla diligenza di chi compila, e sono due grandezze indipendenti.</w:t>
      </w:r>
    </w:p>
    <w:p>
      <w:pPr>
        <w:spacing w:after="120" w:line="276"/>
        <w:jc w:val="both"/>
      </w:pPr>
      <w:r>
        <w:rPr>
          <w:rFonts w:ascii="Barlow Semi Condensed" w:cs="Barlow Semi Condensed" w:eastAsia="Barlow Semi Condensed" w:hAnsi="Barlow Semi Condensed"/>
          <w:b/>
          <w:bCs/>
          <w:sz w:val="24"/>
          <w:szCs w:val="24"/>
        </w:rPr>
        <w:t xml:space="preserve">Si enuncia la regola che ne discende, ed è la quattordicesima della serie.</w:t>
      </w:r>
    </w:p>
    <w:p>
      <w:pPr>
        <w:spacing w:after="120" w:line="276"/>
        <w:jc w:val="both"/>
      </w:pPr>
      <w:r>
        <w:rPr>
          <w:rFonts w:ascii="Barlow Semi Condensed" w:cs="Barlow Semi Condensed" w:eastAsia="Barlow Semi Condensed" w:hAnsi="Barlow Semi Condensed"/>
          <w:b/>
          <w:bCs/>
          <w:sz w:val="24"/>
          <w:szCs w:val="24"/>
        </w:rPr>
        <w:t xml:space="preserve">Quattordicesima regola della risalita. In un sistema a chiavi multiple, il momento nel quale una chiave è apposta determina che cosa essa possa attestare. Le chiavi apposte all'ingresso attestano come l'atto fu classificato da chi lo ricevette; quelle apposte in sede di compilazione attestano come fu riconosciuto da chi ordinò il fondo. Un computo di catalogazione multipla condotto su una sola delle due fonti misura uno solo dei due momenti, e va dichiarato tale.</w:t>
      </w:r>
    </w:p>
    <w:p>
      <w:pPr>
        <w:pStyle w:val="Heading2"/>
        <w:spacing w:after="100" w:before="200"/>
      </w:pPr>
      <w:r>
        <w:rPr>
          <w:rFonts w:ascii="Barlow Semi Condensed" w:cs="Barlow Semi Condensed" w:eastAsia="Barlow Semi Condensed" w:hAnsi="Barlow Semi Condensed"/>
          <w:sz w:val="24"/>
          <w:szCs w:val="24"/>
        </w:rPr>
        <w:t xml:space="preserve">Parte quarta — La varianza delle denominazioni</w:t>
      </w:r>
    </w:p>
    <w:p>
      <w:pPr>
        <w:spacing w:after="120" w:line="276"/>
        <w:jc w:val="both"/>
      </w:pPr>
      <w:r>
        <w:rPr>
          <w:rFonts w:ascii="Barlow Semi Condensed" w:cs="Barlow Semi Condensed" w:eastAsia="Barlow Semi Condensed" w:hAnsi="Barlow Semi Condensed"/>
          <w:b/>
          <w:bCs/>
          <w:sz w:val="24"/>
          <w:szCs w:val="24"/>
        </w:rPr>
        <w:t xml:space="preserve">Le stringhe distinte impiegate come denominazione di fascicolo nella serie sono cinquantaquattro. La cifra è, per il difetto di strumento dichiarato alla Parte prima, un'approssimazione per eccesso, e il numero dei fascicoli realmente distinti è inferiore. La sua determinazione esatta richiede la lettura manuale delle quattrocentoquarantaquattro voci e non è stata compiuta.</w:t>
      </w:r>
    </w:p>
    <w:p>
      <w:pPr>
        <w:spacing w:after="120" w:line="276"/>
        <w:jc w:val="both"/>
      </w:pPr>
      <w:r>
        <w:rPr>
          <w:rFonts w:ascii="Barlow Semi Condensed" w:cs="Barlow Semi Condensed" w:eastAsia="Barlow Semi Condensed" w:hAnsi="Barlow Semi Condensed"/>
          <w:b/>
          <w:bCs/>
          <w:sz w:val="24"/>
          <w:szCs w:val="24"/>
        </w:rPr>
        <w:t xml:space="preserve">Si registrano però, perché accertate per lettura e non per conteggio, quattro specie di varianza fra denominazioni del medesimo fascicolo.</w:t>
      </w:r>
    </w:p>
    <w:p>
      <w:pPr>
        <w:spacing w:after="120" w:line="276"/>
        <w:jc w:val="both"/>
      </w:pPr>
      <w:r>
        <w:rPr>
          <w:rFonts w:ascii="Barlow Semi Condensed" w:cs="Barlow Semi Condensed" w:eastAsia="Barlow Semi Condensed" w:hAnsi="Barlow Semi Condensed"/>
          <w:b/>
          <w:bCs/>
          <w:sz w:val="24"/>
          <w:szCs w:val="24"/>
        </w:rPr>
        <w:t xml:space="preserve">La prima è l'inversione dell'ordine: il fascicolo dedicato a una strage ferroviaria compare sotto due denominazioni che differiscono per l'ordine dei due termini che le compongono.</w:t>
      </w:r>
    </w:p>
    <w:p>
      <w:pPr>
        <w:spacing w:after="120" w:line="276"/>
        <w:jc w:val="both"/>
      </w:pPr>
      <w:r>
        <w:rPr>
          <w:rFonts w:ascii="Barlow Semi Condensed" w:cs="Barlow Semi Condensed" w:eastAsia="Barlow Semi Condensed" w:hAnsi="Barlow Semi Condensed"/>
          <w:b/>
          <w:bCs/>
          <w:sz w:val="24"/>
          <w:szCs w:val="24"/>
        </w:rPr>
        <w:t xml:space="preserve">La seconda è la variazione di numero grammaticale: il fascicolo dedicato alla raccolta informatizzata compare al singolare e al plurale.</w:t>
      </w:r>
    </w:p>
    <w:p>
      <w:pPr>
        <w:spacing w:after="120" w:line="276"/>
        <w:jc w:val="both"/>
      </w:pPr>
      <w:r>
        <w:rPr>
          <w:rFonts w:ascii="Barlow Semi Condensed" w:cs="Barlow Semi Condensed" w:eastAsia="Barlow Semi Condensed" w:hAnsi="Barlow Semi Condensed"/>
          <w:b/>
          <w:bCs/>
          <w:sz w:val="24"/>
          <w:szCs w:val="24"/>
        </w:rPr>
        <w:t xml:space="preserve">La terza è l'alternanza fra forma estesa e forma abbreviata: il fascicolo la cui denominazione estesa comprende tre termini compare talvolta con il solo terzo termine, il quale è però anche la denominazione autonoma di un fascicolo diverso. È la collisione già accertata dall'appendice quinta sull'unità ventiduesima del fascicolo del caso, qui ritrovata come fenomeno di serie e non come episodio.</w:t>
      </w:r>
    </w:p>
    <w:p>
      <w:pPr>
        <w:spacing w:after="120" w:line="276"/>
        <w:jc w:val="both"/>
      </w:pPr>
      <w:r>
        <w:rPr>
          <w:rFonts w:ascii="Barlow Semi Condensed" w:cs="Barlow Semi Condensed" w:eastAsia="Barlow Semi Condensed" w:hAnsi="Barlow Semi Condensed"/>
          <w:b/>
          <w:bCs/>
          <w:sz w:val="24"/>
          <w:szCs w:val="24"/>
        </w:rPr>
        <w:t xml:space="preserve">La quarta è la presenza o assenza del qualificatore iniziale: il fascicolo dedicato a un sequestro compare con e senza la parola che lo introduce.</w:t>
      </w:r>
    </w:p>
    <w:p>
      <w:pPr>
        <w:spacing w:after="120" w:line="276"/>
        <w:jc w:val="both"/>
      </w:pPr>
      <w:r>
        <w:rPr>
          <w:rFonts w:ascii="Barlow Semi Condensed" w:cs="Barlow Semi Condensed" w:eastAsia="Barlow Semi Condensed" w:hAnsi="Barlow Semi Condensed"/>
          <w:b/>
          <w:bCs/>
          <w:sz w:val="24"/>
          <w:szCs w:val="24"/>
        </w:rPr>
        <w:t xml:space="preserve">Nessuna di queste varianze è un errore di chi compila. Ciascuna è la conseguenza ordinaria di una denominazione lunga impiegata da più mani in dieci anni. La conseguenza per chi risale è che una ricerca condotta sulla denominazione anziché sul fascicolo perde una parte delle occorrenze, e che la parte perduta non è stimabile senza la tavola delle varianti.</w:t>
      </w:r>
    </w:p>
    <w:p>
      <w:pPr>
        <w:spacing w:after="120" w:line="276"/>
        <w:jc w:val="both"/>
      </w:pPr>
      <w:r>
        <w:rPr>
          <w:rFonts w:ascii="Barlow Semi Condensed" w:cs="Barlow Semi Condensed" w:eastAsia="Barlow Semi Condensed" w:hAnsi="Barlow Semi Condensed"/>
          <w:b/>
          <w:bCs/>
          <w:sz w:val="24"/>
          <w:szCs w:val="24"/>
        </w:rPr>
        <w:t xml:space="preserve">Voce quarantatreesima — La tavola delle denominazioni dei fascicoli. Oggetto: la lettura manuale delle quattrocentoquarantaquattro voci di acquisizione, la determinazione del numero dei fascicoli realmente distinti, e la tavola delle varianti di denominazione per ciascuno. Sede: la serie dei processi verbali, posseduta per duecentosedici documenti. Chiusura: compilazione della tavola.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Parte quinta — Le quattro voci del fascicolo del caso</w:t>
      </w:r>
    </w:p>
    <w:p>
      <w:pPr>
        <w:spacing w:after="120" w:line="276"/>
        <w:jc w:val="both"/>
      </w:pPr>
      <w:r>
        <w:rPr>
          <w:rFonts w:ascii="Barlow Semi Condensed" w:cs="Barlow Semi Condensed" w:eastAsia="Barlow Semi Condensed" w:hAnsi="Barlow Semi Condensed"/>
          <w:b/>
          <w:bCs/>
          <w:sz w:val="24"/>
          <w:szCs w:val="24"/>
        </w:rPr>
        <w:t xml:space="preserve">Si espongono le quattro voci del fascicolo del caso che recano più di una chiave nell'atto che ne registra l'ingresso, poiché esse sono le sole catalogazioni multiple contemporanee all'acquisizione, e le altre dieci sono attribuzioni successive.</w:t>
      </w:r>
    </w:p>
    <w:p>
      <w:pPr>
        <w:spacing w:after="120" w:line="276"/>
        <w:jc w:val="both"/>
      </w:pPr>
      <w:r>
        <w:rPr>
          <w:rFonts w:ascii="Barlow Semi Condensed" w:cs="Barlow Semi Condensed" w:eastAsia="Barlow Semi Condensed" w:hAnsi="Barlow Semi Condensed"/>
          <w:b/>
          <w:bCs/>
          <w:sz w:val="24"/>
          <w:szCs w:val="24"/>
        </w:rPr>
        <w:t xml:space="preserve">L'unità ventiduesima, acquisita alla ottantesima seduta, reca tre chiavi: quella del caso, quella di un fascicolo dedicato a una struttura informativa parallela e a un'organizzazione clandestina, e quella di un fascicolo dedicato a una struttura informativa successiva.</w:t>
      </w:r>
    </w:p>
    <w:p>
      <w:pPr>
        <w:spacing w:after="120" w:line="276"/>
        <w:jc w:val="both"/>
      </w:pPr>
      <w:r>
        <w:rPr>
          <w:rFonts w:ascii="Barlow Semi Condensed" w:cs="Barlow Semi Condensed" w:eastAsia="Barlow Semi Condensed" w:hAnsi="Barlow Semi Condensed"/>
          <w:b/>
          <w:bCs/>
          <w:sz w:val="24"/>
          <w:szCs w:val="24"/>
        </w:rPr>
        <w:t xml:space="preserve">L'unità ventitreesima, acquisita alla ottantunesima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b/>
          <w:bCs/>
          <w:sz w:val="24"/>
          <w:szCs w:val="24"/>
        </w:rPr>
        <w:t xml:space="preserve">L'unità trentasettesima, acquisita alla novantaquattresima seduta, reca tre chiavi: quella del caso, quella del fascicolo dedicato al terrorismo di sinistra e quella del fascicolo dedicato ai legami internazionali del terrorismo e dell'eversione.</w:t>
      </w:r>
    </w:p>
    <w:p>
      <w:pPr>
        <w:spacing w:after="120" w:line="276"/>
        <w:jc w:val="both"/>
      </w:pPr>
      <w:r>
        <w:rPr>
          <w:rFonts w:ascii="Barlow Semi Condensed" w:cs="Barlow Semi Condensed" w:eastAsia="Barlow Semi Condensed" w:hAnsi="Barlow Semi Condensed"/>
          <w:b/>
          <w:bCs/>
          <w:sz w:val="24"/>
          <w:szCs w:val="24"/>
        </w:rPr>
        <w:t xml:space="preserve">L'unità trentanovesima, acquisita alla novantottesima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b/>
          <w:bCs/>
          <w:sz w:val="24"/>
          <w:szCs w:val="24"/>
        </w:rPr>
        <w:t xml:space="preserve">Si osservi che due delle quattro puntano al medesimo fascicolo intitolato a una persona, e che una punta a due fascicoli di materia internazionale. Nessuna delle quattro punta al fascicolo dedicato alla struttura clandestina di difesa nella sua denominazione autonoma. La circostanza è registrata per completezza e non se ne trae alcuna inferenza, poiché quattro voci non sono base sufficiente per alcuna proposizione sulla struttura del fondo.</w:t>
      </w:r>
    </w:p>
    <w:p>
      <w:pPr>
        <w:spacing w:after="120" w:line="276"/>
        <w:jc w:val="both"/>
      </w:pPr>
      <w:r>
        <w:rPr>
          <w:rFonts w:ascii="Barlow Semi Condensed" w:cs="Barlow Semi Condensed" w:eastAsia="Barlow Semi Condensed" w:hAnsi="Barlow Semi Condensed"/>
          <w:b/>
          <w:bCs/>
          <w:sz w:val="24"/>
          <w:szCs w:val="24"/>
        </w:rPr>
        <w:t xml:space="preserve">Voce quarantaquattresima — La collazione fra indice e verbale. Oggetto: per ciascuno dei fascicoli dei quali si possieda tanto l'indice di acquisizione quanto i processi verbali, la collazione delle chiavi apposte all'ingresso con i rinvii apposti in sede di compilazione, e la misura della quota di catalogazione multipla attribuita in via successiva. Sede: gli indici posseduti per tre fascicoli e la serie dei verbali. Chiusura: collazione dei tre fascicoli. Smentita: la constatazione che la quota di attribuzione successiva sia trascurabile negli altri due fascicoli, la quale renderebbe il rapporto di dieci su quattordici una particolarità del fascicolo del caso anziché una proprietà del sistema.</w:t>
      </w:r>
    </w:p>
    <w:p>
      <w:pPr>
        <w:pStyle w:val="Heading2"/>
        <w:spacing w:after="100" w:before="200"/>
      </w:pPr>
      <w:r>
        <w:rPr>
          <w:rFonts w:ascii="Barlow Semi Condensed" w:cs="Barlow Semi Condensed" w:eastAsia="Barlow Semi Condensed" w:hAnsi="Barlow Semi Condensed"/>
          <w:sz w:val="24"/>
          <w:szCs w:val="24"/>
        </w:rPr>
        <w:t xml:space="preserve">Parte sesta — Stati Zero</w:t>
      </w:r>
    </w:p>
    <w:p>
      <w:pPr>
        <w:spacing w:after="120" w:line="276"/>
        <w:jc w:val="both"/>
      </w:pPr>
      <w:r>
        <w:rPr>
          <w:rFonts w:ascii="Barlow Semi Condensed" w:cs="Barlow Semi Condensed" w:eastAsia="Barlow Semi Condensed" w:hAnsi="Barlow Semi Condensed"/>
          <w:b/>
          <w:bCs/>
          <w:sz w:val="24"/>
          <w:szCs w:val="24"/>
        </w:rPr>
        <w:t xml:space="preserve">Primo. Il numero dei fascicoli realmente distinti non è determinato, e la cifra di cinquantaquattro denominazioni è approssimazione per eccesso dichiarata.</w:t>
      </w:r>
    </w:p>
    <w:p>
      <w:pPr>
        <w:spacing w:after="120" w:line="276"/>
        <w:jc w:val="both"/>
      </w:pPr>
      <w:r>
        <w:rPr>
          <w:rFonts w:ascii="Barlow Semi Condensed" w:cs="Barlow Semi Condensed" w:eastAsia="Barlow Semi Condensed" w:hAnsi="Barlow Semi Condensed"/>
          <w:b/>
          <w:bCs/>
          <w:sz w:val="24"/>
          <w:szCs w:val="24"/>
        </w:rPr>
        <w:t xml:space="preserve">Secondo. La collazione fra indice e verbale è compiuta per il solo fascicolo del caso, e la generalizzazione del rapporto di dieci su quattordici agli altri fascicoli non è verificata.</w:t>
      </w:r>
    </w:p>
    <w:p>
      <w:pPr>
        <w:spacing w:after="120" w:line="276"/>
        <w:jc w:val="both"/>
      </w:pPr>
      <w:r>
        <w:rPr>
          <w:rFonts w:ascii="Barlow Semi Condensed" w:cs="Barlow Semi Condensed" w:eastAsia="Barlow Semi Condensed" w:hAnsi="Barlow Semi Condensed"/>
          <w:b/>
          <w:bCs/>
          <w:sz w:val="24"/>
          <w:szCs w:val="24"/>
        </w:rPr>
        <w:t xml:space="preserve">Terzo. Quattro fascicoli di destinazione su sette restano non posseduti quanto agli indici, e la verifica di reciprocità in senso proprio — cioè l'accertamento che a ogni rinvio in uscita corrisponda un rinvio in entrata — resta pertanto ineseguibile per la maggior parte delle destinazioni.</w:t>
      </w:r>
    </w:p>
    <w:p>
      <w:pPr>
        <w:spacing w:after="120" w:line="276"/>
        <w:jc w:val="both"/>
      </w:pPr>
      <w:r>
        <w:rPr>
          <w:rFonts w:ascii="Barlow Semi Condensed" w:cs="Barlow Semi Condensed" w:eastAsia="Barlow Semi Condensed" w:hAnsi="Barlow Semi Condensed"/>
          <w:b/>
          <w:bCs/>
          <w:sz w:val="24"/>
          <w:szCs w:val="24"/>
        </w:rPr>
        <w:t xml:space="preserve">Si dichiara che la Voce ventiseiesima è eseguita in parte e non si chiude: essa è stata eseguita nella forma della misura della catalogazione multipla al momento dell'ingresso, che è più informativa di quella prevista, e non nella forma della verifica di reciprocità, che resta preclusa dall'assenza degli indici di destinazione.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ottava del giorno sul medesimo cantiere. Cantiere: designazione per atto delle fonti. Materia: la serie dei processi verbali letta come serie di acquisizione completa.</w:t>
      </w:r>
    </w:p>
    <w:p>
      <w:pPr>
        <w:spacing w:after="120" w:line="276"/>
        <w:jc w:val="both"/>
      </w:pPr>
      <w:r>
        <w:rPr>
          <w:rFonts w:ascii="Barlow Semi Condensed" w:cs="Barlow Semi Condensed" w:eastAsia="Barlow Semi Condensed" w:hAnsi="Barlow Semi Condensed"/>
          <w:b/>
          <w:bCs/>
          <w:sz w:val="24"/>
          <w:szCs w:val="24"/>
        </w:rPr>
        <w:t xml:space="preserve">Esito positivo: quattrocentoquarantaquattro voci di acquisizione censite su duecentosedici processi verbali, con distribuzione del numero di chiavi per voce; misura della catalogazione multipla all'ingresso, pari a cinquantasette voci su quattrocentoquarantaquattro; individuazione della voce a cinque chiavi; accertamento che la catalogazione multipla del fascicolo del caso è per dieci quattordicesimi attribuzione successiva del compilatore e non proprietà dell'acquisizione, con conseguente correzione dell'appendice terza quanto allo strumento e dell'appendice quinta quanto alla causa; enunciazione della quattordicesima regola della risalita; accertamento per lettura di quattro specie di varianza nelle denominazioni dei fascicoli; due voci nuove iscritte in tavola, entrambe eseguibili sul posseduto.</w:t>
      </w:r>
    </w:p>
    <w:p>
      <w:pPr>
        <w:spacing w:after="120" w:line="276"/>
        <w:jc w:val="both"/>
      </w:pPr>
      <w:r>
        <w:rPr>
          <w:rFonts w:ascii="Barlow Semi Condensed" w:cs="Barlow Semi Condensed" w:eastAsia="Barlow Semi Condensed" w:hAnsi="Barlow Semi Condensed"/>
          <w:b/>
          <w:bCs/>
          <w:sz w:val="24"/>
          <w:szCs w:val="24"/>
        </w:rPr>
        <w:t xml:space="preserve">Esito negativo: il numero dei fascicoli distinti non è determinato; la collazione indice-verbale è compiuta per un solo fascicolo; la verifica di reciprocità in senso proprio resta preclusa per quattro destinazioni su sette; la Voce ventiseiesima è eseguita in parte e non si chiude.</w:t>
      </w:r>
    </w:p>
    <w:p>
      <w:pPr>
        <w:spacing w:after="120" w:line="276"/>
        <w:jc w:val="both"/>
      </w:pPr>
      <w:r>
        <w:rPr>
          <w:rFonts w:ascii="Barlow Semi Condensed" w:cs="Barlow Semi Condensed" w:eastAsia="Barlow Semi Condensed" w:hAnsi="Barlow Semi Condensed"/>
          <w:b/>
          <w:bCs/>
          <w:sz w:val="24"/>
          <w:szCs w:val="24"/>
        </w:rPr>
        <w:t xml:space="preserve">Riga di errore proprio, quarta della giornata, e rilevata prima della pubblicazione. Lo strumento di estrazione ha congiunto in una sola stringa due chiavi consecutive in un numero limitato di voci, producendo denominazioni inesistenti e gonfiando il conteggio delle denominazioni distinte. Il difetto è stato rilevato leggendo a mano l'elenco prodotto, e non era rilevabile per via statistica poiché lo strumento sbagliava in modo stabile. La cifra è stata pubblicata come approssimazione per eccesso anziché come misura. Si registra che questa è la prima volta nella giornata in cui la regola tratta da un errore anteriore ha operato prima del danno anziché dopo.</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tratta di chiavi di catalogo e di denominazioni di fascicoli. Esso non riferisce il contenuto di alcuna delle quattrocentoquarantaquattro voci, non conferisce grado ad alcuna proposizione e non nomina alcuna persona. I fascicoli intitolati a persone sono designati per tale qualità e non per il nome che portano, poiché in questa sede la funzione basta a identificare l'indirizzo.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 la serie di acquisizione e chi attribuisce le chiavi,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Il momento nel quale una chiave è apposta determina che cosa essa possa attestare.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 · Appendice decima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2.081 parole in 9 sezioni; la più ampia è §9 Altre sezioni, con 1.705.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VIII — Appendice undicesima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w:t>
      </w:r>
    </w:p>
    <w:p>
      <w:pPr>
        <w:pStyle w:val="Heading2"/>
        <w:spacing w:after="100" w:before="200"/>
      </w:pPr>
      <w:r>
        <w:rPr>
          <w:rFonts w:ascii="Barlow Semi Condensed" w:cs="Barlow Semi Condensed" w:eastAsia="Barlow Semi Condensed" w:hAnsi="Barlow Semi Condensed"/>
          <w:sz w:val="24"/>
          <w:szCs w:val="24"/>
        </w:rPr>
        <w:t xml:space="preserve">Un falsificatore messo alla prova</w:t>
      </w:r>
    </w:p>
    <w:p>
      <w:pPr>
        <w:pStyle w:val="Heading2"/>
        <w:spacing w:after="100" w:before="200"/>
      </w:pPr>
      <w:r>
        <w:rPr>
          <w:rFonts w:ascii="Barlow Semi Condensed" w:cs="Barlow Semi Condensed" w:eastAsia="Barlow Semi Condensed" w:hAnsi="Barlow Semi Condensed"/>
          <w:sz w:val="24"/>
          <w:szCs w:val="24"/>
        </w:rPr>
        <w:t xml:space="preserve">Esecuzione della Voce quarantaquattresima sui tre fascicoli posseduti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undicesima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undicesima alla Fase Settima ed esegue la Voce quarantaquattresima, iscritta poche ore prima dall'appendice decima. Come le dieci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La voce eseguita reca una condizione di smentita determinata, ed è per questa ragione che la si esegue prima delle altre. L'appendice decima ha asserito che la catalogazione multipla è, nella serie parlamentare esaminata, in prevalenza attribuzione successiva del compilatore dell'indice e non proprietà dell'acquisizione; e ha dichiarato che tale asserzione cade se la quota di attribuzione successiva risulta trascurabile negli altri fascicoli posseduti, poiché in tal caso il rapporto rilevato sarebbe una particolarità del fascicolo del caso e non una proprietà del sistema.</w:t>
      </w:r>
    </w:p>
    <w:p>
      <w:pPr>
        <w:spacing w:after="120" w:line="276"/>
        <w:jc w:val="both"/>
      </w:pPr>
      <w:r>
        <w:rPr>
          <w:rFonts w:ascii="Barlow Semi Condensed" w:cs="Barlow Semi Condensed" w:eastAsia="Barlow Semi Condensed" w:hAnsi="Barlow Semi Condensed"/>
          <w:b/>
          <w:bCs/>
          <w:sz w:val="24"/>
          <w:szCs w:val="24"/>
        </w:rPr>
        <w:t xml:space="preserve">Si dispone degli indici di tre fascicoli e della serie completa dei processi verbali. La prova è dunque eseguibile, ed è eseguita.</w:t>
      </w:r>
    </w:p>
    <w:p>
      <w:pPr>
        <w:pStyle w:val="Heading2"/>
        <w:spacing w:after="100" w:before="200"/>
      </w:pPr>
      <w:r>
        <w:rPr>
          <w:rFonts w:ascii="Barlow Semi Condensed" w:cs="Barlow Semi Condensed" w:eastAsia="Barlow Semi Condensed" w:hAnsi="Barlow Semi Condensed"/>
          <w:sz w:val="24"/>
          <w:szCs w:val="24"/>
        </w:rPr>
        <w:t xml:space="preserve">Parte prima — La procedura, e i suoi tre limiti dichiarati</w:t>
      </w:r>
    </w:p>
    <w:p>
      <w:pPr>
        <w:spacing w:after="120" w:line="276"/>
        <w:jc w:val="both"/>
      </w:pPr>
      <w:r>
        <w:rPr>
          <w:rFonts w:ascii="Barlow Semi Condensed" w:cs="Barlow Semi Condensed" w:eastAsia="Barlow Semi Condensed" w:hAnsi="Barlow Semi Condensed"/>
          <w:b/>
          <w:bCs/>
          <w:sz w:val="24"/>
          <w:szCs w:val="24"/>
        </w:rPr>
        <w:t xml:space="preserve">Per ciascuno dei tre fascicoli si sono contate due grandezze: le voci che, nei processi verbali, recano la chiave di quel fascicolo insieme ad almeno un'altra chiave, cioè le catalogazioni multiple dichiarate al momento dell'ingresso; e le unità che, nell'indice di acquisizione di quel fascicolo, recano un rinvio ad altro fascicolo, cioè le catalogazioni multiple dichiarate in sede di compilazione.</w:t>
      </w:r>
    </w:p>
    <w:p>
      <w:pPr>
        <w:spacing w:after="120" w:line="276"/>
        <w:jc w:val="both"/>
      </w:pPr>
      <w:r>
        <w:rPr>
          <w:rFonts w:ascii="Barlow Semi Condensed" w:cs="Barlow Semi Condensed" w:eastAsia="Barlow Semi Condensed" w:hAnsi="Barlow Semi Condensed"/>
          <w:b/>
          <w:bCs/>
          <w:sz w:val="24"/>
          <w:szCs w:val="24"/>
        </w:rPr>
        <w:t xml:space="preserve">Si dichiarano tre limiti della procedura, tutti tali da incidere sulle cifre.</w:t>
      </w:r>
    </w:p>
    <w:p>
      <w:pPr>
        <w:spacing w:after="120" w:line="276"/>
        <w:jc w:val="both"/>
      </w:pPr>
      <w:r>
        <w:rPr>
          <w:rFonts w:ascii="Barlow Semi Condensed" w:cs="Barlow Semi Condensed" w:eastAsia="Barlow Semi Condensed" w:hAnsi="Barlow Semi Condensed"/>
          <w:b/>
          <w:bCs/>
          <w:sz w:val="24"/>
          <w:szCs w:val="24"/>
        </w:rPr>
        <w:t xml:space="preserve">Primo limite. Si era prevista una terza grandezza, il numero complessivo delle unità di ciascun fascicolo, da impiegare come denominatore comune. Il procedimento adottato per ricavarla dagli indici — il riconoscimento delle righe contenenti un numero isolato — ha prodotto per uno dei tre fascicoli un valore massimo incompatibile con l'ampiezza del fascicolo medesimo, segno che esso ha riconosciuto come numeri d'unità anche numeri di altra natura. Il procedimento è stato abbandonato e il denominatore comune non è impiegato. Le cifre che seguono sono pertanto conteggi assoluti e non tassi riferiti al totale delle unità.</w:t>
      </w:r>
    </w:p>
    <w:p>
      <w:pPr>
        <w:spacing w:after="120" w:line="276"/>
        <w:jc w:val="both"/>
      </w:pPr>
      <w:r>
        <w:rPr>
          <w:rFonts w:ascii="Barlow Semi Condensed" w:cs="Barlow Semi Condensed" w:eastAsia="Barlow Semi Condensed" w:hAnsi="Barlow Semi Condensed"/>
          <w:b/>
          <w:bCs/>
          <w:sz w:val="24"/>
          <w:szCs w:val="24"/>
        </w:rPr>
        <w:t xml:space="preserve">Secondo limite. Il fascicolo dedicato alla struttura clandestina compare nei verbali sotto due denominazioni, l'una estesa e l'altra abbreviata, e le due sono state trattate come una sola ai fini del conteggio. L'appendice quinta ha accertato che l'abbreviata coincide con la denominazione autonoma di un fascicolo distinto. Il conteggio di quel fascicolo è pertanto una somma di due insiemi che potrebbero non coincidere, e la sua cifra è dichiarata come valore per eccesso.</w:t>
      </w:r>
    </w:p>
    <w:p>
      <w:pPr>
        <w:spacing w:after="120" w:line="276"/>
        <w:jc w:val="both"/>
      </w:pPr>
      <w:r>
        <w:rPr>
          <w:rFonts w:ascii="Barlow Semi Condensed" w:cs="Barlow Semi Condensed" w:eastAsia="Barlow Semi Condensed" w:hAnsi="Barlow Semi Condensed"/>
          <w:b/>
          <w:bCs/>
          <w:sz w:val="24"/>
          <w:szCs w:val="24"/>
        </w:rPr>
        <w:t xml:space="preserve">Terzo limite. Le due grandezze contate non hanno la medesima unità di misura. La prima conta voci di verbale, e una voce può appartenere a più fascicoli ed essere pertanto contata in più conteggi. La seconda conta unità di un fascicolo determinato. La comparazione fra le due è legittima come comparazione fra ordini di grandezza e non come rapporto esatto.</w:t>
      </w:r>
    </w:p>
    <w:p>
      <w:pPr>
        <w:pStyle w:val="Heading2"/>
        <w:spacing w:after="100" w:before="200"/>
      </w:pPr>
      <w:r>
        <w:rPr>
          <w:rFonts w:ascii="Barlow Semi Condensed" w:cs="Barlow Semi Condensed" w:eastAsia="Barlow Semi Condensed" w:hAnsi="Barlow Semi Condensed"/>
          <w:sz w:val="24"/>
          <w:szCs w:val="24"/>
        </w:rPr>
        <w:t xml:space="preserve">Parte seconda — L'esito della prova</w:t>
      </w:r>
    </w:p>
    <w:p>
      <w:pPr>
        <w:spacing w:after="120" w:line="276"/>
        <w:jc w:val="both"/>
      </w:pPr>
      <w:r>
        <w:rPr>
          <w:rFonts w:ascii="Barlow Semi Condensed" w:cs="Barlow Semi Condensed" w:eastAsia="Barlow Semi Condensed" w:hAnsi="Barlow Semi Condensed"/>
          <w:b/>
          <w:bCs/>
          <w:sz w:val="24"/>
          <w:szCs w:val="24"/>
        </w:rPr>
        <w:t xml:space="preserve">Per il fascicolo del caso: quattro catalogazioni multiple dichiarate all'ingresso, quattordici dichiarate nell'indice.</w:t>
      </w:r>
    </w:p>
    <w:p>
      <w:pPr>
        <w:spacing w:after="120" w:line="276"/>
        <w:jc w:val="both"/>
      </w:pPr>
      <w:r>
        <w:rPr>
          <w:rFonts w:ascii="Barlow Semi Condensed" w:cs="Barlow Semi Condensed" w:eastAsia="Barlow Semi Condensed" w:hAnsi="Barlow Semi Condensed"/>
          <w:b/>
          <w:bCs/>
          <w:sz w:val="24"/>
          <w:szCs w:val="24"/>
        </w:rPr>
        <w:t xml:space="preserve">Per il fascicolo dedicato al disastro aereo: nove dichiarate all'ingresso, quattordici nell'indice.</w:t>
      </w:r>
    </w:p>
    <w:p>
      <w:pPr>
        <w:spacing w:after="120" w:line="276"/>
        <w:jc w:val="both"/>
      </w:pPr>
      <w:r>
        <w:rPr>
          <w:rFonts w:ascii="Barlow Semi Condensed" w:cs="Barlow Semi Condensed" w:eastAsia="Barlow Semi Condensed" w:hAnsi="Barlow Semi Condensed"/>
          <w:b/>
          <w:bCs/>
          <w:sz w:val="24"/>
          <w:szCs w:val="24"/>
        </w:rPr>
        <w:t xml:space="preserve">Per il fascicolo dedicato alla struttura clandestina: trentacinque dichiarate all'ingresso, cinquantotto nell'indice.</w:t>
      </w:r>
    </w:p>
    <w:p>
      <w:pPr>
        <w:spacing w:after="120" w:line="276"/>
        <w:jc w:val="both"/>
      </w:pPr>
      <w:r>
        <w:rPr>
          <w:rFonts w:ascii="Barlow Semi Condensed" w:cs="Barlow Semi Condensed" w:eastAsia="Barlow Semi Condensed" w:hAnsi="Barlow Semi Condensed"/>
          <w:b/>
          <w:bCs/>
          <w:sz w:val="24"/>
          <w:szCs w:val="24"/>
        </w:rPr>
        <w:t xml:space="preserve">In tutti e tre i fascicoli l'indice dichiara più catalogazioni multiple di quante ne dichiarino i verbali, e in nessuno dei tre la differenza è trascurabile. La quota di attribuzione successiva è di dieci su quattordici nel primo, di cinque su quattordici nel secondo, di ventitré su cinquantotto nel terzo.</w:t>
      </w:r>
    </w:p>
    <w:p>
      <w:pPr>
        <w:spacing w:after="120" w:line="276"/>
        <w:jc w:val="both"/>
      </w:pPr>
      <w:r>
        <w:rPr>
          <w:rFonts w:ascii="Barlow Semi Condensed" w:cs="Barlow Semi Condensed" w:eastAsia="Barlow Semi Condensed" w:hAnsi="Barlow Semi Condensed"/>
          <w:b/>
          <w:bCs/>
          <w:sz w:val="24"/>
          <w:szCs w:val="24"/>
        </w:rPr>
        <w:t xml:space="preserve">La condizione di smentita non si verifica. L'asserzione dell'appendice decima regge: l'attribuzione successiva della catalogazione multipla è una proprietà del sistema e non una particolarità del fascicolo del caso.</w:t>
      </w:r>
    </w:p>
    <w:p>
      <w:pPr>
        <w:spacing w:after="120" w:line="276"/>
        <w:jc w:val="both"/>
      </w:pPr>
      <w:r>
        <w:rPr>
          <w:rFonts w:ascii="Barlow Semi Condensed" w:cs="Barlow Semi Condensed" w:eastAsia="Barlow Semi Condensed" w:hAnsi="Barlow Semi Condensed"/>
          <w:b/>
          <w:bCs/>
          <w:sz w:val="24"/>
          <w:szCs w:val="24"/>
        </w:rPr>
        <w:t xml:space="preserve">Si dichiari però, con la medesima esattezza, in che misura essa regga. La quota di attribuzione successiva è nel fascicolo del caso di circa sette decimi, negli altri due di circa quattro decimi. La proprietà è dunque presente in tutti e tre e ha nel fascicolo del caso un'intensità quasi doppia rispetto agli altri due. L'asserzione va pertanto mantenuta nella formulazione generale e ristretta nella misura: l'attribuzione successiva è ovunque rilevante, e il fascicolo sul quale essa fu rilevata è quello nel quale è massima. Chi avesse generalizzato la cifra di sette decimi avrebbe generalizzato un estremo.</w:t>
      </w:r>
    </w:p>
    <w:p>
      <w:pPr>
        <w:pStyle w:val="Heading2"/>
        <w:spacing w:after="100" w:before="200"/>
      </w:pPr>
      <w:r>
        <w:rPr>
          <w:rFonts w:ascii="Barlow Semi Condensed" w:cs="Barlow Semi Condensed" w:eastAsia="Barlow Semi Condensed" w:hAnsi="Barlow Semi Condensed"/>
          <w:sz w:val="24"/>
          <w:szCs w:val="24"/>
        </w:rPr>
        <w:t xml:space="preserve">Parte terza — Un secondo reperto, non cercato</w:t>
      </w:r>
    </w:p>
    <w:p>
      <w:pPr>
        <w:spacing w:after="120" w:line="276"/>
        <w:jc w:val="both"/>
      </w:pPr>
      <w:r>
        <w:rPr>
          <w:rFonts w:ascii="Barlow Semi Condensed" w:cs="Barlow Semi Condensed" w:eastAsia="Barlow Semi Condensed" w:hAnsi="Barlow Semi Condensed"/>
          <w:b/>
          <w:bCs/>
          <w:sz w:val="24"/>
          <w:szCs w:val="24"/>
        </w:rPr>
        <w:t xml:space="preserve">La collazione ha prodotto un dato che non era il suo oggetto e che va registrato perché è di natura diversa da tutti quelli raccolti oggi.</w:t>
      </w:r>
    </w:p>
    <w:p>
      <w:pPr>
        <w:spacing w:after="120" w:line="276"/>
        <w:jc w:val="both"/>
      </w:pPr>
      <w:r>
        <w:rPr>
          <w:rFonts w:ascii="Barlow Semi Condensed" w:cs="Barlow Semi Condensed" w:eastAsia="Barlow Semi Condensed" w:hAnsi="Barlow Semi Condensed"/>
          <w:b/>
          <w:bCs/>
          <w:sz w:val="24"/>
          <w:szCs w:val="24"/>
        </w:rPr>
        <w:t xml:space="preserve">Rapportando le catalogazioni multiple dichiarate all'ingresso al numero delle voci di verbale recanti la chiave di ciascun fascicolo, si ottengono tre valori assai distanti. Per il fascicolo dedicato alla struttura clandestina, trentacinque su centoquattordici, cioè poco meno di un terzo. Per il fascicolo del caso, quattro su ventinove, cioè poco meno di un settimo. Per il fascicolo dedicato al disastro aereo, nove su centosettanta, cioè circa un ventesimo.</w:t>
      </w:r>
    </w:p>
    <w:p>
      <w:pPr>
        <w:spacing w:after="120" w:line="276"/>
        <w:jc w:val="both"/>
      </w:pPr>
      <w:r>
        <w:rPr>
          <w:rFonts w:ascii="Barlow Semi Condensed" w:cs="Barlow Semi Condensed" w:eastAsia="Barlow Semi Condensed" w:hAnsi="Barlow Semi Condensed"/>
          <w:b/>
          <w:bCs/>
          <w:sz w:val="24"/>
          <w:szCs w:val="24"/>
        </w:rPr>
        <w:t xml:space="preserve">Fra il fascicolo più trasversalmente catalogato e quello meno lo scarto è di circa sei volte.</w:t>
      </w:r>
    </w:p>
    <w:p>
      <w:pPr>
        <w:spacing w:after="120" w:line="276"/>
        <w:jc w:val="both"/>
      </w:pPr>
      <w:r>
        <w:rPr>
          <w:rFonts w:ascii="Barlow Semi Condensed" w:cs="Barlow Semi Condensed" w:eastAsia="Barlow Semi Condensed" w:hAnsi="Barlow Semi Condensed"/>
          <w:b/>
          <w:bCs/>
          <w:sz w:val="24"/>
          <w:szCs w:val="24"/>
        </w:rPr>
        <w:t xml:space="preserve">Si enunciano le due spiegazioni candidate e si dichiara di non discriminare fra esse.</w:t>
      </w:r>
    </w:p>
    <w:p>
      <w:pPr>
        <w:spacing w:after="120" w:line="276"/>
        <w:jc w:val="both"/>
      </w:pPr>
      <w:r>
        <w:rPr>
          <w:rFonts w:ascii="Barlow Semi Condensed" w:cs="Barlow Semi Condensed" w:eastAsia="Barlow Semi Condensed" w:hAnsi="Barlow Semi Condensed"/>
          <w:b/>
          <w:bCs/>
          <w:sz w:val="24"/>
          <w:szCs w:val="24"/>
        </w:rPr>
        <w:t xml:space="preserve">La prima è che lo scarto rifletta la natura degli oggetti. Un disastro aereo è un evento circoscritto nel tempo e nello spazio, i cui atti concernono quell'evento e pochi altri; una struttura clandestina permanente attraversa per definizione materie, periodi e apparati diversi, e i suoi atti toccano necessariamente più fascicoli. Se questa spiegazione è esatta, il tasso di catalogazione multipla è un indicatore della trasversalità dell'oggetto, e sarebbe un dato di prim'ordine.</w:t>
      </w:r>
    </w:p>
    <w:p>
      <w:pPr>
        <w:spacing w:after="120" w:line="276"/>
        <w:jc w:val="both"/>
      </w:pPr>
      <w:r>
        <w:rPr>
          <w:rFonts w:ascii="Barlow Semi Condensed" w:cs="Barlow Semi Condensed" w:eastAsia="Barlow Semi Condensed" w:hAnsi="Barlow Semi Condensed"/>
          <w:b/>
          <w:bCs/>
          <w:sz w:val="24"/>
          <w:szCs w:val="24"/>
        </w:rPr>
        <w:t xml:space="preserve">La seconda è che lo scarto rifletta la pratica di chi cataloga. Fascicoli aperti in tempi diversi, alimentati da mani diverse e con criteri di attribuzione non uniformi produrrebbero tassi diversi indipendentemente dalla natura degli oggetti. Se questa spiegazione è esatta, il tasso non dice nulla sugli oggetti e dice qualcosa sugli uffici.</w:t>
      </w:r>
    </w:p>
    <w:p>
      <w:pPr>
        <w:spacing w:after="120" w:line="276"/>
        <w:jc w:val="both"/>
      </w:pPr>
      <w:r>
        <w:rPr>
          <w:rFonts w:ascii="Barlow Semi Condensed" w:cs="Barlow Semi Condensed" w:eastAsia="Barlow Semi Condensed" w:hAnsi="Barlow Semi Condensed"/>
          <w:b/>
          <w:bCs/>
          <w:sz w:val="24"/>
          <w:szCs w:val="24"/>
        </w:rPr>
        <w:t xml:space="preserve">Le due spiegazioni non si escludono e concorrono probabilmente entrambe. Il presente atto non dispone di alcun elemento per attribuire quote all'una e all'altra, e si astiene. Si segnala soltanto che la via di discriminazione esiste ed è indicabile: essa consisterebbe nel verificare se il tasso di un medesimo fascicolo vari nel tempo, poiché una variazione temporale a oggetto costante deporrebbe per la seconda spiegazione.</w:t>
      </w:r>
    </w:p>
    <w:p>
      <w:pPr>
        <w:spacing w:after="120" w:line="276"/>
        <w:jc w:val="both"/>
      </w:pPr>
      <w:r>
        <w:rPr>
          <w:rFonts w:ascii="Barlow Semi Condensed" w:cs="Barlow Semi Condensed" w:eastAsia="Barlow Semi Condensed" w:hAnsi="Barlow Semi Condensed"/>
          <w:b/>
          <w:bCs/>
          <w:sz w:val="24"/>
          <w:szCs w:val="24"/>
        </w:rPr>
        <w:t xml:space="preserve">Voce quarantacinquesima — La trasversalità dei fascicoli e la sua causa. Oggetto: il tasso di catalogazione multipla all'ingresso per ciascun fascicolo della serie, e la sua variazione nel tempo entro ciascun fascicolo. Sede: la serie dei processi verbali, posseduta per duecentosedici documenti. Chiusura: computo dei tassi per fascicolo e per periodo. Smentita: la constatazione che il tasso di ciascun fascicolo sia stabile nel tempo, la quale escluderebbe la spiegazione fondata sulla pratica di catalogazione e lascerebbe in campo quella fondata sulla natura degli oggetti.</w:t>
      </w:r>
    </w:p>
    <w:p>
      <w:pPr>
        <w:pStyle w:val="Heading2"/>
        <w:spacing w:after="100" w:before="200"/>
      </w:pPr>
      <w:r>
        <w:rPr>
          <w:rFonts w:ascii="Barlow Semi Condensed" w:cs="Barlow Semi Condensed" w:eastAsia="Barlow Semi Condensed" w:hAnsi="Barlow Semi Condensed"/>
          <w:sz w:val="24"/>
          <w:szCs w:val="24"/>
        </w:rPr>
        <w:t xml:space="preserve">Parte quarta — Sul falsificatore che regge</w:t>
      </w:r>
    </w:p>
    <w:p>
      <w:pPr>
        <w:spacing w:after="120" w:line="276"/>
        <w:jc w:val="both"/>
      </w:pPr>
      <w:r>
        <w:rPr>
          <w:rFonts w:ascii="Barlow Semi Condensed" w:cs="Barlow Semi Condensed" w:eastAsia="Barlow Semi Condensed" w:hAnsi="Barlow Semi Condensed"/>
          <w:b/>
          <w:bCs/>
          <w:sz w:val="24"/>
          <w:szCs w:val="24"/>
        </w:rPr>
        <w:t xml:space="preserve">Si registra un fatto che riguarda l'apparato e non la materia, e che va accostato a quanto la presente serie ha stabilito nella propria seconda appendice.</w:t>
      </w:r>
    </w:p>
    <w:p>
      <w:pPr>
        <w:spacing w:after="120" w:line="276"/>
        <w:jc w:val="both"/>
      </w:pPr>
      <w:r>
        <w:rPr>
          <w:rFonts w:ascii="Barlow Semi Condensed" w:cs="Barlow Semi Condensed" w:eastAsia="Barlow Semi Condensed" w:hAnsi="Barlow Semi Condensed"/>
          <w:b/>
          <w:bCs/>
          <w:sz w:val="24"/>
          <w:szCs w:val="24"/>
        </w:rPr>
        <w:t xml:space="preserve">L'appendice seconda ha censurato un falsificatore dell'opera perché tarato al di sotto della soglia che proteggeva, e ne ha tratto che un falsificatore il quale non scatti mai non è prova di correttezza ma indizio di taratura compiacente. La censura era fondata e la formulazione fu corretta.</w:t>
      </w:r>
    </w:p>
    <w:p>
      <w:pPr>
        <w:spacing w:after="120" w:line="276"/>
        <w:jc w:val="both"/>
      </w:pPr>
      <w:r>
        <w:rPr>
          <w:rFonts w:ascii="Barlow Semi Condensed" w:cs="Barlow Semi Condensed" w:eastAsia="Barlow Semi Condensed" w:hAnsi="Barlow Semi Condensed"/>
          <w:b/>
          <w:bCs/>
          <w:sz w:val="24"/>
          <w:szCs w:val="24"/>
        </w:rPr>
        <w:t xml:space="preserve">Il presente atto registra l'evento simmetrico. Un falsificatore è stato formulato con una condizione determinata, è stato sottoposto alla prova nelle ore immediatamente successive, e non è scattato. La differenza rispetto al caso censurato è intera: là il falsificatore non era scattato perché nessuno lo aveva provato e perché la sua soglia lo rendeva improbabile; qui non è scattato perché è stato provato e la prova è stata superata.</w:t>
      </w:r>
    </w:p>
    <w:p>
      <w:pPr>
        <w:spacing w:after="120" w:line="276"/>
        <w:jc w:val="both"/>
      </w:pPr>
      <w:r>
        <w:rPr>
          <w:rFonts w:ascii="Barlow Semi Condensed" w:cs="Barlow Semi Condensed" w:eastAsia="Barlow Semi Condensed" w:hAnsi="Barlow Semi Condensed"/>
          <w:b/>
          <w:bCs/>
          <w:sz w:val="24"/>
          <w:szCs w:val="24"/>
        </w:rPr>
        <w:t xml:space="preserve">Si enuncia la regola, ed è la quindicesima della serie. Il valore di un'asserzione si misura sul numero e sulla severità delle prove che ha superate, e non sull'assenza di prove. Un falsificatore mai azionato è privo di significato finché non si dichiari se sia stato provato; un falsificatore provato e non azionato conferisce all'asserzione un grado che nessuna accumulazione di conferme le avrebbe conferito. Si dichiari pertanto sempre, accanto a un falsificatore, se e quando sia stato messo alla prova.</w:t>
      </w:r>
    </w:p>
    <w:p>
      <w:pPr>
        <w:spacing w:after="120" w:line="276"/>
        <w:jc w:val="both"/>
      </w:pPr>
      <w:r>
        <w:rPr>
          <w:rFonts w:ascii="Barlow Semi Condensed" w:cs="Barlow Semi Condensed" w:eastAsia="Barlow Semi Condensed" w:hAnsi="Barlow Semi Condensed"/>
          <w:b/>
          <w:bCs/>
          <w:sz w:val="24"/>
          <w:szCs w:val="24"/>
        </w:rPr>
        <w:t xml:space="preserve">Si dispone che le voci della tavola rechino, dalla presente appendice in avanti, oltre alla condizione di smentita, l'indicazione di quali prove siano state eseguite e con quale esito.</w:t>
      </w:r>
    </w:p>
    <w:p>
      <w:pPr>
        <w:pStyle w:val="Heading2"/>
        <w:spacing w:after="100" w:before="200"/>
      </w:pPr>
      <w:r>
        <w:rPr>
          <w:rFonts w:ascii="Barlow Semi Condensed" w:cs="Barlow Semi Condensed" w:eastAsia="Barlow Semi Condensed" w:hAnsi="Barlow Semi Condensed"/>
          <w:sz w:val="24"/>
          <w:szCs w:val="24"/>
        </w:rPr>
        <w:t xml:space="preserve">Parte quinta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quarantaquattresima si chiude quanto alla collazione dei tre fascicoli posseduti, con esito di conferma dell'asserzione provata e di restrizione della sua misura. Si iscrive la Voce quarantacinquesima.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il denominatore comune, cioè il numero complessivo delle unità di ciascun fascicolo, non è determinato, e le cifre sono conteggi assoluti. Secondo: il conteggio del fascicolo dedicato alla struttura clandestina è per eccesso, per la somma di due denominazioni che potrebbero designare fascicoli distinti. Terzo: la ripartizione fra le due spiegazioni della varianza dei tassi non è compiuta. Quarto: quattro fascicoli di destinazione su sette restano privi di indice posseduto, e la collazione è eseguita per tre.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nona del giorno sul medesimo cantiere. Cantiere: designazione per atto delle fonti. Materia: la collazione fra indice di acquisizione e processo verbale sui tre fascicoli posseduti.</w:t>
      </w:r>
    </w:p>
    <w:p>
      <w:pPr>
        <w:spacing w:after="120" w:line="276"/>
        <w:jc w:val="both"/>
      </w:pPr>
      <w:r>
        <w:rPr>
          <w:rFonts w:ascii="Barlow Semi Condensed" w:cs="Barlow Semi Condensed" w:eastAsia="Barlow Semi Condensed" w:hAnsi="Barlow Semi Condensed"/>
          <w:b/>
          <w:bCs/>
          <w:sz w:val="24"/>
          <w:szCs w:val="24"/>
        </w:rPr>
        <w:t xml:space="preserve">Esito positivo: collazione eseguita per tre fascicoli, con esito di quattro contro quattordici, nove contro quattordici e trentacinque contro cinquantotto; condizione di smentita non verificata e asserzione dell'appendice decima confermata; restrizione della misura dell'asserzione, che passa da sette decimi a una banda compresa fra quattro e sette decimi secondo il fascicolo; rilevazione non cercata della varianza del tasso di catalogazione multipla fra fascicoli, con scarto di circa sei volte fra l'estremo superiore e l'inferiore; enunciazione delle due spiegazioni candidate e della via di discriminazione fra esse; enunciazione della quindicesima regola della risalita; una voce nuova iscritta in tavola; disposizione che le voci della tavola rechino l'indicazione delle prove eseguite.</w:t>
      </w:r>
    </w:p>
    <w:p>
      <w:pPr>
        <w:spacing w:after="120" w:line="276"/>
        <w:jc w:val="both"/>
      </w:pPr>
      <w:r>
        <w:rPr>
          <w:rFonts w:ascii="Barlow Semi Condensed" w:cs="Barlow Semi Condensed" w:eastAsia="Barlow Semi Condensed" w:hAnsi="Barlow Semi Condensed"/>
          <w:b/>
          <w:bCs/>
          <w:sz w:val="24"/>
          <w:szCs w:val="24"/>
        </w:rPr>
        <w:t xml:space="preserve">Esito negativo: il denominatore comune non è determinato e il procedimento previsto per ricavarlo è stato abbandonato per difetto accertato; il conteggio di un fascicolo è per eccesso; la varianza dei tassi non è spiegata; la collazione è eseguita per tre fascicoli su sette.</w:t>
      </w:r>
    </w:p>
    <w:p>
      <w:pPr>
        <w:spacing w:after="120" w:line="276"/>
        <w:jc w:val="both"/>
      </w:pPr>
      <w:r>
        <w:rPr>
          <w:rFonts w:ascii="Barlow Semi Condensed" w:cs="Barlow Semi Condensed" w:eastAsia="Barlow Semi Condensed" w:hAnsi="Barlow Semi Condensed"/>
          <w:b/>
          <w:bCs/>
          <w:sz w:val="24"/>
          <w:szCs w:val="24"/>
        </w:rPr>
        <w:t xml:space="preserve">Riga di restrizione a proprio sfavore. L'asserzione provata regge nella formulazione generale e non nella misura con la quale era stata rilevata. Il fascicolo sul quale essa fu misurata è quello nel quale l'attribuzione successiva è massima, e chi avesse generalizzato quella cifra avrebbe generalizzato un estremo. Si registra che la restrizione è emersa dalla medesima prova che ha confermato l'asserzione, e che una prova la quale confermi e insieme restringa è più utile di una che confermi soltanto.</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tratta di conteggi su chiavi di catalogo. Non riferisce il contenuto di alcuna voce, non conferisce grado ad alcuna proposizione, non nomina alcuna persona e non trae alcuna inferenza sulla materia dei fascicoli comparati. In particolare, il tasso di catalogazione multipla di un fascicolo non è, allo stato, un indicatore di alcunché, poiché la sua causa non è stabilita.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 un falsificatore messo alla prova, quindici agosto duemilaventisei. I settanta Capitoli restano settanta. Le redazioni anteriori non sono modificate: le pietre deposte non si scalpellano. Resta sovrana la Regola di Ferro: dove la fonte documenta, l'opera certifica; dove la fonte tace, l'opera indaga e non afferma. Il valore di un'asserzione si misura sulle prove che ha superate, e non sull'assenza di prove.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VIII · Appendice undicesima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1.749 parole in 9 sezioni; la più ampia è §9 Altre sezioni, con 1.311.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IX — Appendice dodicesima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w:t>
      </w:r>
    </w:p>
    <w:p>
      <w:pPr>
        <w:pStyle w:val="Heading2"/>
        <w:spacing w:after="100" w:before="200"/>
      </w:pPr>
      <w:r>
        <w:rPr>
          <w:rFonts w:ascii="Barlow Semi Condensed" w:cs="Barlow Semi Condensed" w:eastAsia="Barlow Semi Condensed" w:hAnsi="Barlow Semi Condensed"/>
          <w:sz w:val="24"/>
          <w:szCs w:val="24"/>
        </w:rPr>
        <w:t xml:space="preserve">Lo strumento che esisteva</w:t>
      </w:r>
    </w:p>
    <w:p>
      <w:pPr>
        <w:pStyle w:val="Heading2"/>
        <w:spacing w:after="100" w:before="200"/>
      </w:pPr>
      <w:r>
        <w:rPr>
          <w:rFonts w:ascii="Barlow Semi Condensed" w:cs="Barlow Semi Condensed" w:eastAsia="Barlow Semi Condensed" w:hAnsi="Barlow Semi Condensed"/>
          <w:sz w:val="24"/>
          <w:szCs w:val="24"/>
        </w:rPr>
        <w:t xml:space="preserve">L'apparato dell'Indice generale atti della X legislatura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dodicesima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dodicesima alla Fase Settima e opera sull'apparato introduttivo dell'Indice generale degli atti della Commissione parlamentare d'inchiesta della X legislatura: la premessa, il testo della legge istitutiva con le sue modificazioni, l'elenco dei componenti, l'elenco dei collaboratori, il prospetto analitico delle centodue sedute, l'elenco degli auditi in sede formale, e la nota introduttiva che gli estensori intitolano indice degli indici. Come le undici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Essa chiude la giornata, e la chiude con l'errore proprio più grave dei cinque commessi.</w:t>
      </w:r>
    </w:p>
    <w:p>
      <w:pPr>
        <w:pStyle w:val="Heading2"/>
        <w:spacing w:after="100" w:before="200"/>
      </w:pPr>
      <w:r>
        <w:rPr>
          <w:rFonts w:ascii="Barlow Semi Condensed" w:cs="Barlow Semi Condensed" w:eastAsia="Barlow Semi Condensed" w:hAnsi="Barlow Semi Condensed"/>
          <w:sz w:val="24"/>
          <w:szCs w:val="24"/>
        </w:rPr>
        <w:t xml:space="preserve">Parte prima — La regola che era già implementata</w:t>
      </w:r>
    </w:p>
    <w:p>
      <w:pPr>
        <w:spacing w:after="120" w:line="276"/>
        <w:jc w:val="both"/>
      </w:pPr>
      <w:r>
        <w:rPr>
          <w:rFonts w:ascii="Barlow Semi Condensed" w:cs="Barlow Semi Condensed" w:eastAsia="Barlow Semi Condensed" w:hAnsi="Barlow Semi Condensed"/>
          <w:b/>
          <w:bCs/>
          <w:sz w:val="24"/>
          <w:szCs w:val="24"/>
        </w:rPr>
        <w:t xml:space="preserve">La nota introduttiva descrive i criteri con i quali l'archivio informatizzato della Commissione fu ordinato. Uno di essi va riportato quasi alla lettera, poiché è il punto del presente atto.</w:t>
      </w:r>
    </w:p>
    <w:p>
      <w:pPr>
        <w:spacing w:after="120" w:line="276"/>
        <w:jc w:val="both"/>
      </w:pPr>
      <w:r>
        <w:rPr>
          <w:rFonts w:ascii="Barlow Semi Condensed" w:cs="Barlow Semi Condensed" w:eastAsia="Barlow Semi Condensed" w:hAnsi="Barlow Semi Condensed"/>
          <w:b/>
          <w:bCs/>
          <w:sz w:val="24"/>
          <w:szCs w:val="24"/>
        </w:rPr>
        <w:t xml:space="preserve">L'ordine tematico, vi si legge, organizza il materiale documentale tenendo conto non già dell'ente di provenienza dell'atto, ma dell'ente originatore, dell'oggetto dell'atto e spesso anche della sua natura giuridico-formale.</w:t>
      </w:r>
    </w:p>
    <w:p>
      <w:pPr>
        <w:spacing w:after="120" w:line="276"/>
        <w:jc w:val="both"/>
      </w:pPr>
      <w:r>
        <w:rPr>
          <w:rFonts w:ascii="Barlow Semi Condensed" w:cs="Barlow Semi Condensed" w:eastAsia="Barlow Semi Condensed" w:hAnsi="Barlow Semi Condensed"/>
          <w:b/>
          <w:bCs/>
          <w:sz w:val="24"/>
          <w:szCs w:val="24"/>
        </w:rPr>
        <w:t xml:space="preserve">Non già dell'ente di provenienza, ma dell'ente originatore.</w:t>
      </w:r>
    </w:p>
    <w:p>
      <w:pPr>
        <w:spacing w:after="120" w:line="276"/>
        <w:jc w:val="both"/>
      </w:pPr>
      <w:r>
        <w:rPr>
          <w:rFonts w:ascii="Barlow Semi Condensed" w:cs="Barlow Semi Condensed" w:eastAsia="Barlow Semi Condensed" w:hAnsi="Barlow Semi Condensed"/>
          <w:b/>
          <w:bCs/>
          <w:sz w:val="24"/>
          <w:szCs w:val="24"/>
        </w:rPr>
        <w:t xml:space="preserve">È la prima regola della risalita, enunciata dall'appendice seconda nella mattina di oggi come fondamento dell'intera verifica genealogica: soltanto la produzione genera catena, l'acquisizione e l'esposizione non ne generano; chi detiene non attesta. Gli estensori dell'indice l'hanno formulata nel millenovecentonovantadue, in una nota introduttiva, come criterio ordinatore di un archivio ottico, e l'hanno implementata in un sistema di codici.</w:t>
      </w:r>
    </w:p>
    <w:p>
      <w:pPr>
        <w:spacing w:after="120" w:line="276"/>
        <w:jc w:val="both"/>
      </w:pPr>
      <w:r>
        <w:rPr>
          <w:rFonts w:ascii="Barlow Semi Condensed" w:cs="Barlow Semi Condensed" w:eastAsia="Barlow Semi Condensed" w:hAnsi="Barlow Semi Condensed"/>
          <w:b/>
          <w:bCs/>
          <w:sz w:val="24"/>
          <w:szCs w:val="24"/>
        </w:rPr>
        <w:t xml:space="preserve">Si registri l'errore per intero e senza attenuazione. Esso non è un errore di misura, come i quattro anteriori, e non si corregge con una cifra. È un errore di presunzione: si è costruita per dodici appendici una disciplina di risalita senza avere verificato se l'archivio sul quale la si applicava ne possedesse già una. Gli archivisti di un fondo hanno risolto i problemi di quel fondo prima di chi vi arriva dopo, e li hanno risolti avendo il fondo sotto mano.</w:t>
      </w:r>
    </w:p>
    <w:p>
      <w:pPr>
        <w:spacing w:after="120" w:line="276"/>
        <w:jc w:val="both"/>
      </w:pPr>
      <w:r>
        <w:rPr>
          <w:rFonts w:ascii="Barlow Semi Condensed" w:cs="Barlow Semi Condensed" w:eastAsia="Barlow Semi Condensed" w:hAnsi="Barlow Semi Condensed"/>
          <w:b/>
          <w:bCs/>
          <w:sz w:val="24"/>
          <w:szCs w:val="24"/>
        </w:rPr>
        <w:t xml:space="preserve">Si enuncia la regola, ed è la sedicesima e ultima della serie. Prima di costruire uno strumento di reperimento sopra un fondo, si legga l'apparato introduttivo del fondo. Un archivio ordinato reca la propria teoria nella propria nota introduttiva, e quella teoria è stata provata sul materiale che ordina, il che è più di quanto possa dire chiunque la ricostruisca dall'esterno.</w:t>
      </w:r>
    </w:p>
    <w:p>
      <w:pPr>
        <w:spacing w:after="120" w:line="276"/>
        <w:jc w:val="both"/>
      </w:pPr>
      <w:r>
        <w:rPr>
          <w:rFonts w:ascii="Barlow Semi Condensed" w:cs="Barlow Semi Condensed" w:eastAsia="Barlow Semi Condensed" w:hAnsi="Barlow Semi Condensed"/>
          <w:b/>
          <w:bCs/>
          <w:sz w:val="24"/>
          <w:szCs w:val="24"/>
        </w:rPr>
        <w:t xml:space="preserve">Si dichiari, per esattezza e non per attenuazione, che la coincidenza fra la regola enunciata e il criterio ritrovato non toglie valore alla prima. Una regola indipendentemente riscoperta e poi ritrovata nella pratica di chi ordinò il materiale è confermata, non smentita: due derivazioni indipendenti dal medesimo problema hanno prodotto la medesima soluzione. Ciò che è tolto non è la validità della regola, ma il merito della sua scoperta e, soprattutto, il tempo speso a ricostruirla.</w:t>
      </w:r>
    </w:p>
    <w:p>
      <w:pPr>
        <w:pStyle w:val="Heading2"/>
        <w:spacing w:after="100" w:before="200"/>
      </w:pPr>
      <w:r>
        <w:rPr>
          <w:rFonts w:ascii="Barlow Semi Condensed" w:cs="Barlow Semi Condensed" w:eastAsia="Barlow Semi Condensed" w:hAnsi="Barlow Semi Condensed"/>
          <w:sz w:val="24"/>
          <w:szCs w:val="24"/>
        </w:rPr>
        <w:t xml:space="preserve">Parte seconda — L'indirizzo macchina delle cinquanta unità</w:t>
      </w:r>
    </w:p>
    <w:p>
      <w:pPr>
        <w:spacing w:after="120" w:line="276"/>
        <w:jc w:val="both"/>
      </w:pPr>
      <w:r>
        <w:rPr>
          <w:rFonts w:ascii="Barlow Semi Condensed" w:cs="Barlow Semi Condensed" w:eastAsia="Barlow Semi Condensed" w:hAnsi="Barlow Semi Condensed"/>
          <w:b/>
          <w:bCs/>
          <w:sz w:val="24"/>
          <w:szCs w:val="24"/>
        </w:rPr>
        <w:t xml:space="preserve">La nota descrive il codice di accesso all'archivio ottico. Esso consta di una parte fissa, costituita dalla lettera iniziale del nome dell'inchiesta seguita da un trattino, e di una parte variabile che coincide con il numero di classificazione del documento secondo l'indice delle acquisizioni. I documenti di particolare complessità sono ridotti a unità documentarie elementari, e in tal caso la parte variabile diviene la radice cui si connette un'ulteriore progressione numerica, con segnalazione automatica della cascata dei documenti derivati.</w:t>
      </w:r>
    </w:p>
    <w:p>
      <w:pPr>
        <w:spacing w:after="120" w:line="276"/>
        <w:jc w:val="both"/>
      </w:pPr>
      <w:r>
        <w:rPr>
          <w:rFonts w:ascii="Barlow Semi Condensed" w:cs="Barlow Semi Condensed" w:eastAsia="Barlow Semi Condensed" w:hAnsi="Barlow Semi Condensed"/>
          <w:b/>
          <w:bCs/>
          <w:sz w:val="24"/>
          <w:szCs w:val="24"/>
        </w:rPr>
        <w:t xml:space="preserve">Ne segue che ciascuna delle cinquanta unità individuate dalle appendici terza e quarta possiede già un indirizzo formato, ricavabile per composizione dalla lettera dell'inchiesta e dal numero d'ordine che quelle appendici hanno determinato. Il lavoro di designazione compiuto oggi non produce dunque un indirizzo nuovo: ricostruisce, per via indiretta e con tre divergenze accertate, la parte variabile di un indirizzo già esistente.</w:t>
      </w:r>
    </w:p>
    <w:p>
      <w:pPr>
        <w:spacing w:after="120" w:line="276"/>
        <w:jc w:val="both"/>
      </w:pPr>
      <w:r>
        <w:rPr>
          <w:rFonts w:ascii="Barlow Semi Condensed" w:cs="Barlow Semi Condensed" w:eastAsia="Barlow Semi Condensed" w:hAnsi="Barlow Semi Condensed"/>
          <w:b/>
          <w:bCs/>
          <w:sz w:val="24"/>
          <w:szCs w:val="24"/>
        </w:rPr>
        <w:t xml:space="preserve">Ne segue altresì la spiegazione della struttura che le appendici avevano rilevata senza spiegarla. L'unità quattordicesima bis e la serie a tre membri della trentaseiesima non sono irregolarità della numerazione: sono unità documentarie elementari derivate da un documento complesso, e la loro forma è quella che il sistema di codifica prescrive. La cascata che l'appendice quarta ha ricostruito leggendo un indice era generata automaticamente dal programma.</w:t>
      </w:r>
    </w:p>
    <w:p>
      <w:pPr>
        <w:pStyle w:val="Heading2"/>
        <w:spacing w:after="100" w:before="200"/>
      </w:pPr>
      <w:r>
        <w:rPr>
          <w:rFonts w:ascii="Barlow Semi Condensed" w:cs="Barlow Semi Condensed" w:eastAsia="Barlow Semi Condensed" w:hAnsi="Barlow Semi Condensed"/>
          <w:sz w:val="24"/>
          <w:szCs w:val="24"/>
        </w:rPr>
        <w:t xml:space="preserve">Parte terza — Ciò che è pubblicato</w:t>
      </w:r>
    </w:p>
    <w:p>
      <w:pPr>
        <w:spacing w:after="120" w:line="276"/>
        <w:jc w:val="both"/>
      </w:pPr>
      <w:r>
        <w:rPr>
          <w:rFonts w:ascii="Barlow Semi Condensed" w:cs="Barlow Semi Condensed" w:eastAsia="Barlow Semi Condensed" w:hAnsi="Barlow Semi Condensed"/>
          <w:b/>
          <w:bCs/>
          <w:sz w:val="24"/>
          <w:szCs w:val="24"/>
        </w:rPr>
        <w:t xml:space="preserve">La premessa e la nota introduttiva stabiliscono, quanto al regime dei materiali, quattro fatti che riclassificano una parte consistente della tavola.</w:t>
      </w:r>
    </w:p>
    <w:p>
      <w:pPr>
        <w:spacing w:after="120" w:line="276"/>
        <w:jc w:val="both"/>
      </w:pPr>
      <w:r>
        <w:rPr>
          <w:rFonts w:ascii="Barlow Semi Condensed" w:cs="Barlow Semi Condensed" w:eastAsia="Barlow Semi Condensed" w:hAnsi="Barlow Semi Condensed"/>
          <w:b/>
          <w:bCs/>
          <w:sz w:val="24"/>
          <w:szCs w:val="24"/>
        </w:rPr>
        <w:t xml:space="preserve">Primo. Nella seduta conclusiva del quattordici e quindici aprile millenovecentonovantadue la Commissione approvò le relazioni conclusive di quattro inchieste, fra le quali quella sul caso, e deliberò all'unanimità di pubblicare quali allegati alle relazioni finali la totalità dei documenti a ciascuna di esse relativi, dichiarando di volere assicurare la massima trasparenza dell'operato e le più ampie possibilità di ricerca futura.</w:t>
      </w:r>
    </w:p>
    <w:p>
      <w:pPr>
        <w:spacing w:after="120" w:line="276"/>
        <w:jc w:val="both"/>
      </w:pPr>
      <w:r>
        <w:rPr>
          <w:rFonts w:ascii="Barlow Semi Condensed" w:cs="Barlow Semi Condensed" w:eastAsia="Barlow Semi Condensed" w:hAnsi="Barlow Semi Condensed"/>
          <w:b/>
          <w:bCs/>
          <w:sz w:val="24"/>
          <w:szCs w:val="24"/>
        </w:rPr>
        <w:t xml:space="preserve">Secondo. La mole così pubblicata è quantificata dagli estensori in circa trecentocinquantamila pagine per le quattro inchieste, e in prossimità di cinquecentomila comprendendo la documentazione delle inchieste non giunte a relazione conclusiva, la quale non è soggetta a pubblicazione ed è stata versata alla Commissione successiva per disposizione di legge.</w:t>
      </w:r>
    </w:p>
    <w:p>
      <w:pPr>
        <w:spacing w:after="120" w:line="276"/>
        <w:jc w:val="both"/>
      </w:pPr>
      <w:r>
        <w:rPr>
          <w:rFonts w:ascii="Barlow Semi Condensed" w:cs="Barlow Semi Condensed" w:eastAsia="Barlow Semi Condensed" w:hAnsi="Barlow Semi Condensed"/>
          <w:b/>
          <w:bCs/>
          <w:sz w:val="24"/>
          <w:szCs w:val="24"/>
        </w:rPr>
        <w:t xml:space="preserve">Terzo. I resoconti stenografici delle centodue sedute sono integralmente riprodotti a stampa in otto volumi.</w:t>
      </w:r>
    </w:p>
    <w:p>
      <w:pPr>
        <w:spacing w:after="120" w:line="276"/>
        <w:jc w:val="both"/>
      </w:pPr>
      <w:r>
        <w:rPr>
          <w:rFonts w:ascii="Barlow Semi Condensed" w:cs="Barlow Semi Condensed" w:eastAsia="Barlow Semi Condensed" w:hAnsi="Barlow Semi Condensed"/>
          <w:b/>
          <w:bCs/>
          <w:sz w:val="24"/>
          <w:szCs w:val="24"/>
        </w:rPr>
        <w:t xml:space="preserve">Quarto. Fra le pubblicazioni curate dalla Commissione figura, in due volumi reperibili fra gli atti parlamentari della medesima legislatura, la documentazione rinvenuta il nove ottobre millenovecentonovanta nella base milanese.</w:t>
      </w:r>
    </w:p>
    <w:p>
      <w:pPr>
        <w:spacing w:after="120" w:line="276"/>
        <w:jc w:val="both"/>
      </w:pPr>
      <w:r>
        <w:rPr>
          <w:rFonts w:ascii="Barlow Semi Condensed" w:cs="Barlow Semi Condensed" w:eastAsia="Barlow Semi Condensed" w:hAnsi="Barlow Semi Condensed"/>
          <w:b/>
          <w:bCs/>
          <w:sz w:val="24"/>
          <w:szCs w:val="24"/>
        </w:rPr>
        <w:t xml:space="preserve">La conseguenza sulla tavola è la più ampia della giornata e va enunciata senza cautele, poiché i quattro fatti sono dichiarati dagli estensori dell'indice e non inferiti.</w:t>
      </w:r>
    </w:p>
    <w:p>
      <w:pPr>
        <w:spacing w:after="120" w:line="276"/>
        <w:jc w:val="both"/>
      </w:pPr>
      <w:r>
        <w:rPr>
          <w:rFonts w:ascii="Barlow Semi Condensed" w:cs="Barlow Semi Condensed" w:eastAsia="Barlow Semi Condensed" w:hAnsi="Barlow Semi Condensed"/>
          <w:b/>
          <w:bCs/>
          <w:sz w:val="24"/>
          <w:szCs w:val="24"/>
        </w:rPr>
        <w:t xml:space="preserve">Lo Stato Zero dichiarato dall'appendice terza sui ventisette processi verbali non posseduti si chiude quanto alla natura: essi non sono materiale d'archivio da domandare, sono pagine di otto volumi a stampa. Il loro non possesso è mancata consultazione e non mancato accesso.</w:t>
      </w:r>
    </w:p>
    <w:p>
      <w:pPr>
        <w:spacing w:after="120" w:line="276"/>
        <w:jc w:val="both"/>
      </w:pPr>
      <w:r>
        <w:rPr>
          <w:rFonts w:ascii="Barlow Semi Condensed" w:cs="Barlow Semi Condensed" w:eastAsia="Barlow Semi Condensed" w:hAnsi="Barlow Semi Condensed"/>
          <w:b/>
          <w:bCs/>
          <w:sz w:val="24"/>
          <w:szCs w:val="24"/>
        </w:rPr>
        <w:t xml:space="preserve">La Voce prima, che l'appendice terza aveva fatta passare dalle voci che domandano un accesso a quelle che domandano un reperimento, compie il secondo passaggio e diventa consultazione: il materiale del secondo rinvenimento è in due volumi pubblicati.</w:t>
      </w:r>
    </w:p>
    <w:p>
      <w:pPr>
        <w:spacing w:after="120" w:line="276"/>
        <w:jc w:val="both"/>
      </w:pPr>
      <w:r>
        <w:rPr>
          <w:rFonts w:ascii="Barlow Semi Condensed" w:cs="Barlow Semi Condensed" w:eastAsia="Barlow Semi Condensed" w:hAnsi="Barlow Semi Condensed"/>
          <w:b/>
          <w:bCs/>
          <w:sz w:val="24"/>
          <w:szCs w:val="24"/>
        </w:rPr>
        <w:t xml:space="preserve">Le voci della tavola che domandano unità del fascicolo del caso sono, per la totalità, voci di consultazione e non di accesso, poiché la totalità dei documenti relativi all'inchiesta conclusa fu pubblicata per deliberazione unanime.</w:t>
      </w:r>
    </w:p>
    <w:p>
      <w:pPr>
        <w:spacing w:after="120" w:line="276"/>
        <w:jc w:val="both"/>
      </w:pPr>
      <w:r>
        <w:rPr>
          <w:rFonts w:ascii="Barlow Semi Condensed" w:cs="Barlow Semi Condensed" w:eastAsia="Barlow Semi Condensed" w:hAnsi="Barlow Semi Condensed"/>
          <w:b/>
          <w:bCs/>
          <w:sz w:val="24"/>
          <w:szCs w:val="24"/>
        </w:rPr>
        <w:t xml:space="preserve">Si dichiari il limite di questa riclassificazione, ed è uno solo ma va detto. Essa riguarda i documenti relativi alle quattro inchieste concluse. Non riguarda la documentazione delle inchieste non giunte a relazione, non soggetta a pubblicazione e versata alla Commissione successiva; e non riguarda ciò che, entro le inchieste concluse, fosse stato sottratto alla pubblicazione da provvedimenti particolari. Le appendici anteriori hanno registrato per il fascicolo del caso quattordici unità con indicazione di riservatezza alla data dell'acquisizione e una con indicazione di non divulgabilità: la loro sorte nella deliberazione di pubblicazione non è dichiarata dalle fonti qui impiegate.</w:t>
      </w:r>
    </w:p>
    <w:p>
      <w:pPr>
        <w:pStyle w:val="Heading2"/>
        <w:spacing w:after="100" w:before="200"/>
      </w:pPr>
      <w:r>
        <w:rPr>
          <w:rFonts w:ascii="Barlow Semi Condensed" w:cs="Barlow Semi Condensed" w:eastAsia="Barlow Semi Condensed" w:hAnsi="Barlow Semi Condensed"/>
          <w:sz w:val="24"/>
          <w:szCs w:val="24"/>
        </w:rPr>
        <w:t xml:space="preserve">Parte quarta — Un'asimmetria fra le quattro inchieste</w:t>
      </w:r>
    </w:p>
    <w:p>
      <w:pPr>
        <w:spacing w:after="120" w:line="276"/>
        <w:jc w:val="both"/>
      </w:pPr>
      <w:r>
        <w:rPr>
          <w:rFonts w:ascii="Barlow Semi Condensed" w:cs="Barlow Semi Condensed" w:eastAsia="Barlow Semi Condensed" w:hAnsi="Barlow Semi Condensed"/>
          <w:b/>
          <w:bCs/>
          <w:sz w:val="24"/>
          <w:szCs w:val="24"/>
        </w:rPr>
        <w:t xml:space="preserve">La nota introduttiva descrive, alla lettera che riguarda gli indici analitici, uno strumento che merita registrazione perché non è universale.</w:t>
      </w:r>
    </w:p>
    <w:p>
      <w:pPr>
        <w:spacing w:after="120" w:line="276"/>
        <w:jc w:val="both"/>
      </w:pPr>
      <w:r>
        <w:rPr>
          <w:rFonts w:ascii="Barlow Semi Condensed" w:cs="Barlow Semi Condensed" w:eastAsia="Barlow Semi Condensed" w:hAnsi="Barlow Semi Condensed"/>
          <w:b/>
          <w:bCs/>
          <w:sz w:val="24"/>
          <w:szCs w:val="24"/>
        </w:rPr>
        <w:t xml:space="preserve">Per le inchieste sul disastro aereo, sull'organizzazione clandestina e sul caso di un apparato informativo e di un piano degli anni sessanta, ogni deposizione resa in sede formale è stata classificata per argomenti con indicazione di volume e pagina, in modo da consentire la ricerca per parole chiave e per combinazioni di esse, e da ottenere indici completi delle questioni affrontate in ciascuna audizione.</w:t>
      </w:r>
    </w:p>
    <w:p>
      <w:pPr>
        <w:spacing w:after="120" w:line="276"/>
        <w:jc w:val="both"/>
      </w:pPr>
      <w:r>
        <w:rPr>
          <w:rFonts w:ascii="Barlow Semi Condensed" w:cs="Barlow Semi Condensed" w:eastAsia="Barlow Semi Condensed" w:hAnsi="Barlow Semi Condensed"/>
          <w:b/>
          <w:bCs/>
          <w:sz w:val="24"/>
          <w:szCs w:val="24"/>
        </w:rPr>
        <w:t xml:space="preserve">Per l'inchiesta sul caso, no. L'indice analitico per argomenti delle deposizioni non è compreso fra quelli pubblicati.</w:t>
      </w:r>
    </w:p>
    <w:p>
      <w:pPr>
        <w:spacing w:after="120" w:line="276"/>
        <w:jc w:val="both"/>
      </w:pPr>
      <w:r>
        <w:rPr>
          <w:rFonts w:ascii="Barlow Semi Condensed" w:cs="Barlow Semi Condensed" w:eastAsia="Barlow Semi Condensed" w:hAnsi="Barlow Semi Condensed"/>
          <w:b/>
          <w:bCs/>
          <w:sz w:val="24"/>
          <w:szCs w:val="24"/>
        </w:rPr>
        <w:t xml:space="preserve">Si registra l'asimmetria come dato e non se ne trae inferenza. Le sue cause possibili sono almeno tre — l'ampiezza relativa dei corpora, il tempo disponibile alla vigilia dello scioglimento, la circostanza che sul caso esistesse già una Commissione anteriore dedicata — e nessuna delle tre è stabilita dalle fonti qui impiegate. Si registra però la conseguenza operativa, che è certa: per il caso, la ricerca nelle deposizioni non dispone dello strumento di cui dispongono le altre tre inchieste, e va condotta sui volumi.</w:t>
      </w:r>
    </w:p>
    <w:p>
      <w:pPr>
        <w:spacing w:after="120" w:line="276"/>
        <w:jc w:val="both"/>
      </w:pPr>
      <w:r>
        <w:rPr>
          <w:rFonts w:ascii="Barlow Semi Condensed" w:cs="Barlow Semi Condensed" w:eastAsia="Barlow Semi Condensed" w:hAnsi="Barlow Semi Condensed"/>
          <w:b/>
          <w:bCs/>
          <w:sz w:val="24"/>
          <w:szCs w:val="24"/>
        </w:rPr>
        <w:t xml:space="preserve">Si registra altresì una precisazione che gli estensori appongono e che vale per tutti gli indici analitici: i passaggi svolti in regime di seduta segreta non vi sono compresi. Un indice che non comprenda i passaggi segreti non segnala la propria incompletezza in alcun punto del testo indicizzato, e chi lo interroghi non sa quanto gli manchi. È la medesima figura che l'appendice nona ha rilevata nel fondo estero sotto forma di espunzione di estensione non dichiarata, e la si ritrova qui, in un archivio che per il resto dichiara i propri criteri con precisione notevole.</w:t>
      </w:r>
    </w:p>
    <w:p>
      <w:pPr>
        <w:pStyle w:val="Heading2"/>
        <w:spacing w:after="100" w:before="200"/>
      </w:pPr>
      <w:r>
        <w:rPr>
          <w:rFonts w:ascii="Barlow Semi Condensed" w:cs="Barlow Semi Condensed" w:eastAsia="Barlow Semi Condensed" w:hAnsi="Barlow Semi Condensed"/>
          <w:sz w:val="24"/>
          <w:szCs w:val="24"/>
        </w:rPr>
        <w:t xml:space="preserve">Parte quinta — La legge, e il suo allargamento</w:t>
      </w:r>
    </w:p>
    <w:p>
      <w:pPr>
        <w:spacing w:after="120" w:line="276"/>
        <w:jc w:val="both"/>
      </w:pPr>
      <w:r>
        <w:rPr>
          <w:rFonts w:ascii="Barlow Semi Condensed" w:cs="Barlow Semi Condensed" w:eastAsia="Barlow Semi Condensed" w:hAnsi="Barlow Semi Condensed"/>
          <w:b/>
          <w:bCs/>
          <w:sz w:val="24"/>
          <w:szCs w:val="24"/>
        </w:rPr>
        <w:t xml:space="preserve">Il volume riproduce il testo della legge istitutiva del diciassette maggio millenovecentottantotto, numero 172, con le modificazioni introdotte da tre leggi successive, del gennaio millenovecentonovanta, del giugno millenovecentonovantuno e del dicembre millenovecentonovantuno.</w:t>
      </w:r>
    </w:p>
    <w:p>
      <w:pPr>
        <w:spacing w:after="120" w:line="276"/>
        <w:jc w:val="both"/>
      </w:pPr>
      <w:r>
        <w:rPr>
          <w:rFonts w:ascii="Barlow Semi Condensed" w:cs="Barlow Semi Condensed" w:eastAsia="Barlow Semi Condensed" w:hAnsi="Barlow Semi Condensed"/>
          <w:b/>
          <w:bCs/>
          <w:sz w:val="24"/>
          <w:szCs w:val="24"/>
        </w:rPr>
        <w:t xml:space="preserve">Due disposizioni vanno registrate.</w:t>
      </w:r>
    </w:p>
    <w:p>
      <w:pPr>
        <w:spacing w:after="120" w:line="276"/>
        <w:jc w:val="both"/>
      </w:pPr>
      <w:r>
        <w:rPr>
          <w:rFonts w:ascii="Barlow Semi Condensed" w:cs="Barlow Semi Condensed" w:eastAsia="Barlow Semi Condensed" w:hAnsi="Barlow Semi Condensed"/>
          <w:b/>
          <w:bCs/>
          <w:sz w:val="24"/>
          <w:szCs w:val="24"/>
        </w:rPr>
        <w:t xml:space="preserve">La prima. L'articolo primo assegna alla Commissione, fra i propri oggetti, l'accertamento dei nuovi elementi che possano integrare le conoscenze acquisite dalla Commissione parlamentare d'inchiesta sulla strage di via Fani e sull'assassinio di Aldo Moro, istituita con legge del ventitré novembre millenovecentosettantanove numero 597. L'inchiesta sul caso non è dunque un filone che la Commissione si diede: è un mandato che la legge le assegnò, e lo assegnò in forma di integrazione di un accertamento anteriore. Ne segue che le due Commissioni sono, per disposizione di legge, in rapporto di continuazione e non di sovrapposizione, e che le loro risultanze vanno lette in quella sequenza.</w:t>
      </w:r>
    </w:p>
    <w:p>
      <w:pPr>
        <w:spacing w:after="120" w:line="276"/>
        <w:jc w:val="both"/>
      </w:pPr>
      <w:r>
        <w:rPr>
          <w:rFonts w:ascii="Barlow Semi Condensed" w:cs="Barlow Semi Condensed" w:eastAsia="Barlow Semi Condensed" w:hAnsi="Barlow Semi Condensed"/>
          <w:b/>
          <w:bCs/>
          <w:sz w:val="24"/>
          <w:szCs w:val="24"/>
        </w:rPr>
        <w:t xml:space="preserve">La seconda, e di rilievo maggiore per il corpus maggiore che per l'opera. Una nota agli atti dichiara che la legge del giugno millenovecentonovantuno soppresse, alla lettera relativa alle ragioni che impedirono l'individuazione dei responsabili delle stragi, le parole a partire dal 1969, e aggiunse per intero una lettera nuova, avente per oggetto le attività connesse a fatti di strage o a fenomeni eversivi dell'ordinamento costituzionale e le relative responsabilità riconducibili ad apparati, strutture e organizzazioni comunque denominati, o a persone ad essi appartenenti o appartenute.</w:t>
      </w:r>
    </w:p>
    <w:p>
      <w:pPr>
        <w:spacing w:after="120" w:line="276"/>
        <w:jc w:val="both"/>
      </w:pPr>
      <w:r>
        <w:rPr>
          <w:rFonts w:ascii="Barlow Semi Condensed" w:cs="Barlow Semi Condensed" w:eastAsia="Barlow Semi Condensed" w:hAnsi="Barlow Semi Condensed"/>
          <w:b/>
          <w:bCs/>
          <w:sz w:val="24"/>
          <w:szCs w:val="24"/>
        </w:rPr>
        <w:t xml:space="preserve">Sono due allargamenti simultanei e di natura diversa. Il primo è temporale e rimuove per via legislativa il termine iniziale del millenovecentosessantanove. Il secondo è materiale e introduce come oggetto d'inchiesta la riconducibilità dei fatti ad apparati e strutture comunque denominati.</w:t>
      </w:r>
    </w:p>
    <w:p>
      <w:pPr>
        <w:spacing w:after="120" w:line="276"/>
        <w:jc w:val="both"/>
      </w:pPr>
      <w:r>
        <w:rPr>
          <w:rFonts w:ascii="Barlow Semi Condensed" w:cs="Barlow Semi Condensed" w:eastAsia="Barlow Semi Condensed" w:hAnsi="Barlow Semi Condensed"/>
          <w:b/>
          <w:bCs/>
          <w:sz w:val="24"/>
          <w:szCs w:val="24"/>
        </w:rPr>
        <w:t xml:space="preserve">Si registra il dato e non se ne trae alcuna inferenza sulle ragioni della modificazione, che le fonti qui impiegate non recano. Si registra però che un mandato d'inchiesta parlamentare fu esteso per legge, a lavori avviati, tanto all'indietro nel tempo quanto verso l'imputabilità ad apparati; e che ciò avvenne nel giugno millenovecentonovantuno, cioè nel periodo nel quale il fascicolo del caso ricevette, secondo le appendici anteriori, la maggior parte delle proprie acquisizioni.</w:t>
      </w:r>
    </w:p>
    <w:p>
      <w:pPr>
        <w:pStyle w:val="Heading2"/>
        <w:spacing w:after="100" w:before="200"/>
      </w:pPr>
      <w:r>
        <w:rPr>
          <w:rFonts w:ascii="Barlow Semi Condensed" w:cs="Barlow Semi Condensed" w:eastAsia="Barlow Semi Condensed" w:hAnsi="Barlow Semi Condensed"/>
          <w:sz w:val="24"/>
          <w:szCs w:val="24"/>
        </w:rPr>
        <w:t xml:space="preserve">Parte sesta — Gli elenchi delle persone, e come vadano letti</w:t>
      </w:r>
    </w:p>
    <w:p>
      <w:pPr>
        <w:spacing w:after="120" w:line="276"/>
        <w:jc w:val="both"/>
      </w:pPr>
      <w:r>
        <w:rPr>
          <w:rFonts w:ascii="Barlow Semi Condensed" w:cs="Barlow Semi Condensed" w:eastAsia="Barlow Semi Condensed" w:hAnsi="Barlow Semi Condensed"/>
          <w:b/>
          <w:bCs/>
          <w:sz w:val="24"/>
          <w:szCs w:val="24"/>
        </w:rPr>
        <w:t xml:space="preserve">Il volume reca l'elenco dei quaranta componenti con l'indicazione del gruppo di appartenenza e, per i sostituiti, la data di cessazione e quella di ingresso; e l'elenco dei collaboratori dei quali la Commissione si avvalse, con la qualifica di ciascuno e la data di inizio o di cessazione del rapporto.</w:t>
      </w:r>
    </w:p>
    <w:p>
      <w:pPr>
        <w:spacing w:after="120" w:line="276"/>
        <w:jc w:val="both"/>
      </w:pPr>
      <w:r>
        <w:rPr>
          <w:rFonts w:ascii="Barlow Semi Condensed" w:cs="Barlow Semi Condensed" w:eastAsia="Barlow Semi Condensed" w:hAnsi="Barlow Semi Condensed"/>
          <w:b/>
          <w:bCs/>
          <w:sz w:val="24"/>
          <w:szCs w:val="24"/>
        </w:rPr>
        <w:t xml:space="preserve">Si registra il valore di questi due elenchi ai fini della designazione, e si registra insieme la sola disciplina con la quale vadano letti.</w:t>
      </w:r>
    </w:p>
    <w:p>
      <w:pPr>
        <w:spacing w:after="120" w:line="276"/>
        <w:jc w:val="both"/>
      </w:pPr>
      <w:r>
        <w:rPr>
          <w:rFonts w:ascii="Barlow Semi Condensed" w:cs="Barlow Semi Condensed" w:eastAsia="Barlow Semi Condensed" w:hAnsi="Barlow Semi Condensed"/>
          <w:b/>
          <w:bCs/>
          <w:sz w:val="24"/>
          <w:szCs w:val="24"/>
        </w:rPr>
        <w:t xml:space="preserve">Il valore è alto. Un elenco di componenti con le date consente di stabilire chi fosse in carica quando una deliberazione fu presa, e dunque di designare l'organo di un atto per la propria composizione effettiva anziché per la propria denominazione. Un elenco di collaboratori con le date consente di stabilire chi avesse quale funzione in quale periodo, e dunque di attribuire un elaborato al proprio autore per estremi anziché per congettura.</w:t>
      </w:r>
    </w:p>
    <w:p>
      <w:pPr>
        <w:spacing w:after="120" w:line="276"/>
        <w:jc w:val="both"/>
      </w:pPr>
      <w:r>
        <w:rPr>
          <w:rFonts w:ascii="Barlow Semi Condensed" w:cs="Barlow Semi Condensed" w:eastAsia="Barlow Semi Condensed" w:hAnsi="Barlow Semi Condensed"/>
          <w:b/>
          <w:bCs/>
          <w:sz w:val="24"/>
          <w:szCs w:val="24"/>
        </w:rPr>
        <w:t xml:space="preserve">La disciplina è quella che l'opera osserva ovunque e che qui va ribadita, poiché il materiale invita a violarla. Un elenco di collaboratori è un elenco di funzioni pubbliche esercitate legittimamente, non un elenco di posizioni. L'elenco reca, con le rispettive date, persone che in altre fasi della vicenda ebbero funzioni inquirenti o giudicanti sui medesimi fatti; la circostanza è di pubblico dominio, è documentata dall'elenco medesimo, ed è ordinaria in un ordinamento nel quale gli organi d'inchiesta si avvalgono di magistrati e di ufficiali. Il presente atto non ne trae, e vieta a sé stesso di trarne, alcuna valutazione. Chi volesse impiegare quegli elenchi altrimenti impiegherebbe uno strumento di designazione come un indizio, ed è precisamente l'errore che l'appendice quinta ha censito nella forma della collocazione scambiata per evidenza.</w:t>
      </w:r>
    </w:p>
    <w:p>
      <w:pPr>
        <w:pStyle w:val="Heading2"/>
        <w:spacing w:after="100" w:before="200"/>
      </w:pPr>
      <w:r>
        <w:rPr>
          <w:rFonts w:ascii="Barlow Semi Condensed" w:cs="Barlow Semi Condensed" w:eastAsia="Barlow Semi Condensed" w:hAnsi="Barlow Semi Condensed"/>
          <w:sz w:val="24"/>
          <w:szCs w:val="24"/>
        </w:rPr>
        <w:t xml:space="preserve">Parte settima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registra la riclassificazione della tavola esposta alla Parte terza, che è la mutazione più ampia della giornata. Si enuncia la sedicesima regola della risalita.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residui, e sono cinque.</w:t>
      </w:r>
    </w:p>
    <w:p>
      <w:pPr>
        <w:spacing w:after="120" w:line="276"/>
        <w:jc w:val="both"/>
      </w:pPr>
      <w:r>
        <w:rPr>
          <w:rFonts w:ascii="Barlow Semi Condensed" w:cs="Barlow Semi Condensed" w:eastAsia="Barlow Semi Condensed" w:hAnsi="Barlow Semi Condensed"/>
          <w:b/>
          <w:bCs/>
          <w:sz w:val="24"/>
          <w:szCs w:val="24"/>
        </w:rPr>
        <w:t xml:space="preserve">Primo. La sorte, nella deliberazione di pubblicazione, delle unità del fascicolo che recavano indicazione di riservatezza o di non divulgabilità alla data dell'acquisizione non è dichiarata.</w:t>
      </w:r>
    </w:p>
    <w:p>
      <w:pPr>
        <w:spacing w:after="120" w:line="276"/>
        <w:jc w:val="both"/>
      </w:pPr>
      <w:r>
        <w:rPr>
          <w:rFonts w:ascii="Barlow Semi Condensed" w:cs="Barlow Semi Condensed" w:eastAsia="Barlow Semi Condensed" w:hAnsi="Barlow Semi Condensed"/>
          <w:b/>
          <w:bCs/>
          <w:sz w:val="24"/>
          <w:szCs w:val="24"/>
        </w:rPr>
        <w:t xml:space="preserve">Secondo. L'indice analitico per argomenti delle deposizioni sul caso non esiste fra quelli pubblicati, e la ricerca nelle deposizioni va condotta sui volumi.</w:t>
      </w:r>
    </w:p>
    <w:p>
      <w:pPr>
        <w:spacing w:after="120" w:line="276"/>
        <w:jc w:val="both"/>
      </w:pPr>
      <w:r>
        <w:rPr>
          <w:rFonts w:ascii="Barlow Semi Condensed" w:cs="Barlow Semi Condensed" w:eastAsia="Barlow Semi Condensed" w:hAnsi="Barlow Semi Condensed"/>
          <w:b/>
          <w:bCs/>
          <w:sz w:val="24"/>
          <w:szCs w:val="24"/>
        </w:rPr>
        <w:t xml:space="preserve">Terzo. I passaggi svolti in regime di seduta segreta non sono compresi in alcuno degli indici analitici, e la loro estensione non è dichiarata.</w:t>
      </w:r>
    </w:p>
    <w:p>
      <w:pPr>
        <w:spacing w:after="120" w:line="276"/>
        <w:jc w:val="both"/>
      </w:pPr>
      <w:r>
        <w:rPr>
          <w:rFonts w:ascii="Barlow Semi Condensed" w:cs="Barlow Semi Condensed" w:eastAsia="Barlow Semi Condensed" w:hAnsi="Barlow Semi Condensed"/>
          <w:b/>
          <w:bCs/>
          <w:sz w:val="24"/>
          <w:szCs w:val="24"/>
        </w:rPr>
        <w:t xml:space="preserve">Quarto. Il prospetto analitico delle centodue sedute e l'elenco degli auditi in sede formale sono posseduti e non sono stati collazionati con le ventisette sedute mancanti, operazione che consentirebbe di stabilire l'oggetto di ciascuna di esse. È eseguibile sul posseduto e non è stata compiuta.</w:t>
      </w:r>
    </w:p>
    <w:p>
      <w:pPr>
        <w:spacing w:after="120" w:line="276"/>
        <w:jc w:val="both"/>
      </w:pPr>
      <w:r>
        <w:rPr>
          <w:rFonts w:ascii="Barlow Semi Condensed" w:cs="Barlow Semi Condensed" w:eastAsia="Barlow Semi Condensed" w:hAnsi="Barlow Semi Condensed"/>
          <w:b/>
          <w:bCs/>
          <w:sz w:val="24"/>
          <w:szCs w:val="24"/>
        </w:rPr>
        <w:t xml:space="preserve">Quinto. Le tre divergenze accertate dall'appendice quinta restano non risolte, e la presente unità non le risolve; essa consente però di prevedere che la loro risoluzione si trovi nel codice della banca-immagini, poiché a un documento corrisponde un codice e a un codice un documento.</w:t>
      </w:r>
    </w:p>
    <w:p>
      <w:pPr>
        <w:spacing w:after="120" w:line="276"/>
        <w:jc w:val="both"/>
      </w:pPr>
      <w:r>
        <w:rPr>
          <w:rFonts w:ascii="Barlow Semi Condensed" w:cs="Barlow Semi Condensed" w:eastAsia="Barlow Semi Condensed" w:hAnsi="Barlow Semi Condensed"/>
          <w:b/>
          <w:bCs/>
          <w:sz w:val="24"/>
          <w:szCs w:val="24"/>
        </w:rPr>
        <w:t xml:space="preserve">Voce quarantaseiesima — La collazione del prospetto delle sedute. Oggetto: l'oggetto sommario di ciascuna delle ventisette sedute i cui processi verbali non sono posseduti, ricavato dal prospetto analitico; e l'individuazione, fra gli auditi in sede formale, di quelli le cui deposizioni riguardano il caso. Sede: l'apparato dell'Indice generale, posseduto. Chiusura: compilazione dei due elenchi.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decima e ultima del giorno sul medesimo cantiere. Cantiere: designazione per atto delle fonti. Materia: l'apparato introduttivo dell'Indice generale degli atti della X legislatura.</w:t>
      </w:r>
    </w:p>
    <w:p>
      <w:pPr>
        <w:spacing w:after="120" w:line="276"/>
        <w:jc w:val="both"/>
      </w:pPr>
      <w:r>
        <w:rPr>
          <w:rFonts w:ascii="Barlow Semi Condensed" w:cs="Barlow Semi Condensed" w:eastAsia="Barlow Semi Condensed" w:hAnsi="Barlow Semi Condensed"/>
          <w:b/>
          <w:bCs/>
          <w:sz w:val="24"/>
          <w:szCs w:val="24"/>
        </w:rPr>
        <w:t xml:space="preserve">Esito positivo: accertamento che il criterio ordinatore dell'archivio informatizzato è l'ente originatore e non l'ente di provenienza; individuazione del sistema di codici della banca-immagini e della sua struttura a cascata per unità documentarie elementari, con spiegazione della forma delle unità derivate rilevate dalle appendici anteriori; accertamento della deliberazione unanime di pubblicazione della totalità dei documenti relativi alle quattro inchieste concluse, quantificati in circa trecentocinquantamila pagine, e della riproduzione a stampa in otto volumi dei resoconti delle centodue sedute; accertamento della pubblicazione in due volumi della documentazione del secondo rinvenimento; riclassificazione conseguente delle voci della tavola relative al fascicolo del caso, da accesso a consultazione; rilevazione dell'asimmetria per la quale l'indice analitico per argomenti delle deposizioni esiste per tre inchieste e non per la quarta; registrazione della modificazione legislativa del giugno millenovecentonovantuno, che soppresse il termine iniziale del millenovecentosessantanove e aggiunse l'oggetto della riconducibilità ad apparati; enunciazione della sedicesima regola della risalita;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la sorte delle unità riservate nella deliberazione di pubblicazione non è dichiarata; l'indice analitico delle deposizioni sul caso non esiste; l'estensione dei passaggi segreti esclusi dagli indici non è dichiarata; la collazione del prospetto delle sedute non è compiuta; le tre divergenze restano non risolte.</w:t>
      </w:r>
    </w:p>
    <w:p>
      <w:pPr>
        <w:spacing w:after="120" w:line="276"/>
        <w:jc w:val="both"/>
      </w:pPr>
      <w:r>
        <w:rPr>
          <w:rFonts w:ascii="Barlow Semi Condensed" w:cs="Barlow Semi Condensed" w:eastAsia="Barlow Semi Condensed" w:hAnsi="Barlow Semi Condensed"/>
          <w:b/>
          <w:bCs/>
          <w:sz w:val="24"/>
          <w:szCs w:val="24"/>
        </w:rPr>
        <w:t xml:space="preserve">Riga di errore proprio, quinta e più grave della giornata. Si è costruita per dodici appendici una disciplina di risalita fondata sulla distinzione fra chi produce un atto e chi lo detiene, senza avere letto la nota introduttiva dell'archivio sul quale la si applicava; e quella nota dichiara la medesima distinzione come proprio criterio ordinatore, formulata nel millenovecentonovantadue e implementata in un sistema di codici. Non è un errore di misura e non si corregge con una cifra: è un errore di presunzione. Si registra che esso è, dei cinque della giornata, l'unico che nessuna regola tratta dai precedenti avrebbe impedito, poiché tutte prescrivevano di interrogare meglio il posseduto e nessuna prescriveva di leggerne la prefazione.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 documento indicizzato. Gli elenchi di persone che esso registra sono strumenti di designazione di atti e di funzioni pubbliche esercitate legittimamente, e non consentono alcuna inferenza di altra natura; il divieto è enunciato in forma espressa alla Parte sesta e vale per l'intero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 lo strumento che esisteva,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Un archivio ordinato reca la propria teoria nella propria nota introduttiva, e quella teoria è stata provata sul materiale che ordina.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IX · Appendice dodicesima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2.641 parole in 9 sezioni; la più ampia è §9 Altre sezioni, con 2.205.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 — Appendice tredicesima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w:t>
      </w:r>
    </w:p>
    <w:p>
      <w:pPr>
        <w:pStyle w:val="Heading2"/>
        <w:spacing w:after="100" w:before="200"/>
      </w:pPr>
      <w:r>
        <w:rPr>
          <w:rFonts w:ascii="Barlow Semi Condensed" w:cs="Barlow Semi Condensed" w:eastAsia="Barlow Semi Condensed" w:hAnsi="Barlow Semi Condensed"/>
          <w:sz w:val="24"/>
          <w:szCs w:val="24"/>
        </w:rPr>
        <w:t xml:space="preserve">Una sola testimonianza formale</w:t>
      </w:r>
    </w:p>
    <w:p>
      <w:pPr>
        <w:pStyle w:val="Heading2"/>
        <w:spacing w:after="100" w:before="200"/>
      </w:pPr>
      <w:r>
        <w:rPr>
          <w:rFonts w:ascii="Barlow Semi Condensed" w:cs="Barlow Semi Condensed" w:eastAsia="Barlow Semi Condensed" w:hAnsi="Barlow Semi Condensed"/>
          <w:sz w:val="24"/>
          <w:szCs w:val="24"/>
        </w:rPr>
        <w:t xml:space="preserve">Esecuzione della Voce quarantaseiesima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tredicesima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tredicesima alla Fase Settima ed esegue la Voce quarantaseiesima, iscritta dall'appendice dodicesima, la quale prescrive di ricavare dal prospetto analitico delle sedute l'oggetto delle ventisette sedute i cui processi verbali non sono posseduti, e di individuare fra gli auditi in sede formale quelli le cui deposizioni riguardino il caso. Come le dodici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L'esecuzione produce due risultati, dei quali il secondo non era previsto e corregge l'appendice dodicesima in un punto che essa aveva dichiarato di non sapere spiegare.</w:t>
      </w:r>
    </w:p>
    <w:p>
      <w:pPr>
        <w:pStyle w:val="Heading2"/>
        <w:spacing w:after="100" w:before="200"/>
      </w:pPr>
      <w:r>
        <w:rPr>
          <w:rFonts w:ascii="Barlow Semi Condensed" w:cs="Barlow Semi Condensed" w:eastAsia="Barlow Semi Condensed" w:hAnsi="Barlow Semi Condensed"/>
          <w:sz w:val="24"/>
          <w:szCs w:val="24"/>
        </w:rPr>
        <w:t xml:space="preserve">Parte prima — Il difetto dello strumento, e la risoluzione posizionale</w:t>
      </w:r>
    </w:p>
    <w:p>
      <w:pPr>
        <w:spacing w:after="120" w:line="276"/>
        <w:jc w:val="both"/>
      </w:pPr>
      <w:r>
        <w:rPr>
          <w:rFonts w:ascii="Barlow Semi Condensed" w:cs="Barlow Semi Condensed" w:eastAsia="Barlow Semi Condensed" w:hAnsi="Barlow Semi Condensed"/>
          <w:b/>
          <w:bCs/>
          <w:sz w:val="24"/>
          <w:szCs w:val="24"/>
        </w:rPr>
        <w:t xml:space="preserve">Si dichiara anzitutto un difetto della fonte impiegata, poiché senza la sua correzione l'intera collazione sarebbe stata falsa e falsa in modo plausibile, che è la specie peggiore.</w:t>
      </w:r>
    </w:p>
    <w:p>
      <w:pPr>
        <w:spacing w:after="120" w:line="276"/>
        <w:jc w:val="both"/>
      </w:pPr>
      <w:r>
        <w:rPr>
          <w:rFonts w:ascii="Barlow Semi Condensed" w:cs="Barlow Semi Condensed" w:eastAsia="Barlow Semi Condensed" w:hAnsi="Barlow Semi Condensed"/>
          <w:b/>
          <w:bCs/>
          <w:sz w:val="24"/>
          <w:szCs w:val="24"/>
        </w:rPr>
        <w:t xml:space="preserve">Il prospetto è posseduto in trascrizione automatica, e il riconoscimento ottico ha reso l'indicatore ordinale che segue il numero di seduta come una cifra ulteriore. La prima seduta compare pertanto come diciottesima, la seconda come ventiquattresima, la terza come trentaduesima, la quarta come quarantaquattresima, la quinta come cinquantaquattresima. La deformazione non è costante e dipende dalla forma che l'indicatore assume nella stampa.</w:t>
      </w:r>
    </w:p>
    <w:p>
      <w:pPr>
        <w:spacing w:after="120" w:line="276"/>
        <w:jc w:val="both"/>
      </w:pPr>
      <w:r>
        <w:rPr>
          <w:rFonts w:ascii="Barlow Semi Condensed" w:cs="Barlow Semi Condensed" w:eastAsia="Barlow Semi Condensed" w:hAnsi="Barlow Semi Condensed"/>
          <w:b/>
          <w:bCs/>
          <w:sz w:val="24"/>
          <w:szCs w:val="24"/>
        </w:rPr>
        <w:t xml:space="preserve">La prima lettura, condotta sui numeri così risultanti, ha prodotto una collazione interamente errata, nella quale a sedute mancanti erano attribuiti oggetti appartenenti ad altre sedute. L'errore non era rilevabile dall'interno: i numeri erano plausibili, le date erano plausibili, e gli oggetti erano oggetti reali di sedute reali. È stato rilevato leggendo le prime cinque voci e constatando che la prima seduta di una Commissione non può essere la diciottesima.</w:t>
      </w:r>
    </w:p>
    <w:p>
      <w:pPr>
        <w:spacing w:after="120" w:line="276"/>
        <w:jc w:val="both"/>
      </w:pPr>
      <w:r>
        <w:rPr>
          <w:rFonts w:ascii="Barlow Semi Condensed" w:cs="Barlow Semi Condensed" w:eastAsia="Barlow Semi Condensed" w:hAnsi="Barlow Semi Condensed"/>
          <w:b/>
          <w:bCs/>
          <w:sz w:val="24"/>
          <w:szCs w:val="24"/>
        </w:rPr>
        <w:t xml:space="preserve">La risoluzione adottata è posizionale e non numerica. Il prospetto è cronologico; si sono pertanto estratte le date nell'ordine in cui compaiono e si è assunto che l'ennesima voce corrisponda all'ennesima seduta. La risoluzione è verificata su cinque ancoraggi indipendenti costituiti da processi verbali posseduti, dei quali si conoscono numero e data: la quarta voce reca la data del ventitré novembre millenovecentottantotto, che è quella del quarto processo verbale posseduto, e le altre quattro collimano del pari.</w:t>
      </w:r>
    </w:p>
    <w:p>
      <w:pPr>
        <w:spacing w:after="120" w:line="276"/>
        <w:jc w:val="both"/>
      </w:pPr>
      <w:r>
        <w:rPr>
          <w:rFonts w:ascii="Barlow Semi Condensed" w:cs="Barlow Semi Condensed" w:eastAsia="Barlow Semi Condensed" w:hAnsi="Barlow Semi Condensed"/>
          <w:b/>
          <w:bCs/>
          <w:sz w:val="24"/>
          <w:szCs w:val="24"/>
        </w:rPr>
        <w:t xml:space="preserve">Si dichiara che la risoluzione è un'inferenza dell'opera e non un dato del documento, ed è falsificabile con un esemplare a stampa correttamente impaginato. È la seconda volta nella giornata che una convenzione di numerazione va risolta per inferenza e verificata su ancoraggi, e le due risoluzioni riguardano due strumenti diversi del medesimo fondo.</w:t>
      </w:r>
    </w:p>
    <w:p>
      <w:pPr>
        <w:spacing w:after="120" w:line="276"/>
        <w:jc w:val="both"/>
      </w:pPr>
      <w:r>
        <w:rPr>
          <w:rFonts w:ascii="Barlow Semi Condensed" w:cs="Barlow Semi Condensed" w:eastAsia="Barlow Semi Condensed" w:hAnsi="Barlow Semi Condensed"/>
          <w:b/>
          <w:bCs/>
          <w:sz w:val="24"/>
          <w:szCs w:val="24"/>
        </w:rPr>
        <w:t xml:space="preserve">Si registra altresì che il prospetto posseduto si arresta alla settantasettesima seduta, del quindici novembre millenovecentonovantuno. Le sedute dalla settantottesima alla centoduesima non vi sono comprese.</w:t>
      </w:r>
    </w:p>
    <w:p>
      <w:pPr>
        <w:pStyle w:val="Heading2"/>
        <w:spacing w:after="100" w:before="200"/>
      </w:pPr>
      <w:r>
        <w:rPr>
          <w:rFonts w:ascii="Barlow Semi Condensed" w:cs="Barlow Semi Condensed" w:eastAsia="Barlow Semi Condensed" w:hAnsi="Barlow Semi Condensed"/>
          <w:sz w:val="24"/>
          <w:szCs w:val="24"/>
        </w:rPr>
        <w:t xml:space="preserve">Parte seconda — L'oggetto delle sedute non possedute</w:t>
      </w:r>
    </w:p>
    <w:p>
      <w:pPr>
        <w:spacing w:after="120" w:line="276"/>
        <w:jc w:val="both"/>
      </w:pPr>
      <w:r>
        <w:rPr>
          <w:rFonts w:ascii="Barlow Semi Condensed" w:cs="Barlow Semi Condensed" w:eastAsia="Barlow Semi Condensed" w:hAnsi="Barlow Semi Condensed"/>
          <w:b/>
          <w:bCs/>
          <w:sz w:val="24"/>
          <w:szCs w:val="24"/>
        </w:rPr>
        <w:t xml:space="preserve">Delle ventisette sedute i cui processi verbali non sono posseduti, venticinque cadono entro la copertura del prospetto e il loro oggetto è determinato. Due — l'ottantaseiesima e la novantatreesima — cadono oltre e restano ignote.</w:t>
      </w:r>
    </w:p>
    <w:p>
      <w:pPr>
        <w:spacing w:after="120" w:line="276"/>
        <w:jc w:val="both"/>
      </w:pPr>
      <w:r>
        <w:rPr>
          <w:rFonts w:ascii="Barlow Semi Condensed" w:cs="Barlow Semi Condensed" w:eastAsia="Barlow Semi Condensed" w:hAnsi="Barlow Semi Condensed"/>
          <w:b/>
          <w:bCs/>
          <w:sz w:val="24"/>
          <w:szCs w:val="24"/>
        </w:rPr>
        <w:t xml:space="preserve">Si espone la ripartizione delle venticinque per materia, poiché è il dato che la voce domandava.</w:t>
      </w:r>
    </w:p>
    <w:p>
      <w:pPr>
        <w:spacing w:after="120" w:line="276"/>
        <w:jc w:val="both"/>
      </w:pPr>
      <w:r>
        <w:rPr>
          <w:rFonts w:ascii="Barlow Semi Condensed" w:cs="Barlow Semi Condensed" w:eastAsia="Barlow Semi Condensed" w:hAnsi="Barlow Semi Condensed"/>
          <w:b/>
          <w:bCs/>
          <w:sz w:val="24"/>
          <w:szCs w:val="24"/>
        </w:rPr>
        <w:t xml:space="preserve">Quattordici concernono l'inchiesta sul disastro aereo, in forma di testimonianze formali di ufficiali generali e di dirigenti, di audizioni di ministri e di parlamentari, di discussione della relazione del Presidente.</w:t>
      </w:r>
    </w:p>
    <w:p>
      <w:pPr>
        <w:spacing w:after="120" w:line="276"/>
        <w:jc w:val="both"/>
      </w:pPr>
      <w:r>
        <w:rPr>
          <w:rFonts w:ascii="Barlow Semi Condensed" w:cs="Barlow Semi Condensed" w:eastAsia="Barlow Semi Condensed" w:hAnsi="Barlow Semi Condensed"/>
          <w:b/>
          <w:bCs/>
          <w:sz w:val="24"/>
          <w:szCs w:val="24"/>
        </w:rPr>
        <w:t xml:space="preserve">Sei concernono l'inchiesta sull'organizzazione clandestina, in forma di testimonianze formali di ufficiali generali e di discussione del documento predisposto dal Presidente.</w:t>
      </w:r>
    </w:p>
    <w:p>
      <w:pPr>
        <w:spacing w:after="120" w:line="276"/>
        <w:jc w:val="both"/>
      </w:pPr>
      <w:r>
        <w:rPr>
          <w:rFonts w:ascii="Barlow Semi Condensed" w:cs="Barlow Semi Condensed" w:eastAsia="Barlow Semi Condensed" w:hAnsi="Barlow Semi Condensed"/>
          <w:b/>
          <w:bCs/>
          <w:sz w:val="24"/>
          <w:szCs w:val="24"/>
        </w:rPr>
        <w:t xml:space="preserve">Una concerne l'inchiesta su un apparato informativo e su un piano degli anni sessanta.</w:t>
      </w:r>
    </w:p>
    <w:p>
      <w:pPr>
        <w:spacing w:after="120" w:line="276"/>
        <w:jc w:val="both"/>
      </w:pPr>
      <w:r>
        <w:rPr>
          <w:rFonts w:ascii="Barlow Semi Condensed" w:cs="Barlow Semi Condensed" w:eastAsia="Barlow Semi Condensed" w:hAnsi="Barlow Semi Condensed"/>
          <w:b/>
          <w:bCs/>
          <w:sz w:val="24"/>
          <w:szCs w:val="24"/>
        </w:rPr>
        <w:t xml:space="preserve">Quattro concernono materie interne: elezione dell'ufficio di presidenza, discussione e approvazione e successive modifiche del regolamento interno, esame del programma d'inchiesta, comunicazioni del Presidente e ordine dei lavori.</w:t>
      </w:r>
    </w:p>
    <w:p>
      <w:pPr>
        <w:spacing w:after="120" w:line="276"/>
        <w:jc w:val="both"/>
      </w:pPr>
      <w:r>
        <w:rPr>
          <w:rFonts w:ascii="Barlow Semi Condensed" w:cs="Barlow Semi Condensed" w:eastAsia="Barlow Semi Condensed" w:hAnsi="Barlow Semi Condensed"/>
          <w:b/>
          <w:bCs/>
          <w:sz w:val="24"/>
          <w:szCs w:val="24"/>
        </w:rPr>
        <w:t xml:space="preserve">Nessuna delle venticinque concerne il caso.</w:t>
      </w:r>
    </w:p>
    <w:p>
      <w:pPr>
        <w:spacing w:after="120" w:line="276"/>
        <w:jc w:val="both"/>
      </w:pPr>
      <w:r>
        <w:rPr>
          <w:rFonts w:ascii="Barlow Semi Condensed" w:cs="Barlow Semi Condensed" w:eastAsia="Barlow Semi Condensed" w:hAnsi="Barlow Semi Condensed"/>
          <w:b/>
          <w:bCs/>
          <w:sz w:val="24"/>
          <w:szCs w:val="24"/>
        </w:rPr>
        <w:t xml:space="preserve">Il risultato va enunciato per ciò che significa. La lacuna del corpus posseduto, che l'appendice terza aveva dichiarata come Stato Zero su ventisette processi verbali e che l'appendice dodicesima aveva riqualificata come mancata consultazione di volumi a stampa, si rivela per venticinque ventisettesimi irrilevante ai fini dell'opera. Ciò che manca non riguarda la materia. Restano ignote due sedute su centodue.</w:t>
      </w:r>
    </w:p>
    <w:p>
      <w:pPr>
        <w:spacing w:after="120" w:line="276"/>
        <w:jc w:val="both"/>
      </w:pPr>
      <w:r>
        <w:rPr>
          <w:rFonts w:ascii="Barlow Semi Condensed" w:cs="Barlow Semi Condensed" w:eastAsia="Barlow Semi Condensed" w:hAnsi="Barlow Semi Condensed"/>
          <w:b/>
          <w:bCs/>
          <w:sz w:val="24"/>
          <w:szCs w:val="24"/>
        </w:rPr>
        <w:t xml:space="preserve">Si registra un secondo effetto della collazione, che non era il suo oggetto e che vale più del primo. La distribuzione delle sedute mancanti per materia è prossima alla distribuzione delle sedute della Commissione per materia: mancano soprattutto sedute sull'inchiesta più voluminosa, e mancano nella proporzione nella quale essa pesa. Il corpus posseduto non è dunque un sottoinsieme selezionato contro il caso, e le lacune non hanno struttura. È un controllo contro la distorsione di selezione, e non era stato compiuto: le dodici appendici anteriori hanno lavorato su un corpus del quale non era accertato che fosse imparziale rispetto al proprio oggetto. Ora lo è, entro il limite di questa verifica.</w:t>
      </w:r>
    </w:p>
    <w:p>
      <w:pPr>
        <w:pStyle w:val="Heading2"/>
        <w:spacing w:after="100" w:before="200"/>
      </w:pPr>
      <w:r>
        <w:rPr>
          <w:rFonts w:ascii="Barlow Semi Condensed" w:cs="Barlow Semi Condensed" w:eastAsia="Barlow Semi Condensed" w:hAnsi="Barlow Semi Condensed"/>
          <w:sz w:val="24"/>
          <w:szCs w:val="24"/>
        </w:rPr>
        <w:t xml:space="preserve">Parte terza — Una sola testimonianza formale</w:t>
      </w:r>
    </w:p>
    <w:p>
      <w:pPr>
        <w:spacing w:after="120" w:line="276"/>
        <w:jc w:val="both"/>
      </w:pPr>
      <w:r>
        <w:rPr>
          <w:rFonts w:ascii="Barlow Semi Condensed" w:cs="Barlow Semi Condensed" w:eastAsia="Barlow Semi Condensed" w:hAnsi="Barlow Semi Condensed"/>
          <w:b/>
          <w:bCs/>
          <w:sz w:val="24"/>
          <w:szCs w:val="24"/>
        </w:rPr>
        <w:t xml:space="preserve">L'elenco degli auditi in sede formale è ordinato in tre modi, alfabetico, cronologico e tematico. L'ordine tematico raggruppa le deposizioni per inchiesta.</w:t>
      </w:r>
    </w:p>
    <w:p>
      <w:pPr>
        <w:spacing w:after="120" w:line="276"/>
        <w:jc w:val="both"/>
      </w:pPr>
      <w:r>
        <w:rPr>
          <w:rFonts w:ascii="Barlow Semi Condensed" w:cs="Barlow Semi Condensed" w:eastAsia="Barlow Semi Condensed" w:hAnsi="Barlow Semi Condensed"/>
          <w:b/>
          <w:bCs/>
          <w:sz w:val="24"/>
          <w:szCs w:val="24"/>
        </w:rPr>
        <w:t xml:space="preserve">Sotto l'intitolazione del caso figura una sola voce. È una testimonianza formale del diciassette ottobre millenovecentonovanta, resa alla sessantaduesima seduta dal capo della polizia in carica.</w:t>
      </w:r>
    </w:p>
    <w:p>
      <w:pPr>
        <w:spacing w:after="120" w:line="276"/>
        <w:jc w:val="both"/>
      </w:pPr>
      <w:r>
        <w:rPr>
          <w:rFonts w:ascii="Barlow Semi Condensed" w:cs="Barlow Semi Condensed" w:eastAsia="Barlow Semi Condensed" w:hAnsi="Barlow Semi Condensed"/>
          <w:b/>
          <w:bCs/>
          <w:sz w:val="24"/>
          <w:szCs w:val="24"/>
        </w:rPr>
        <w:t xml:space="preserve">Una, su centodue sedute e su quattro anni di lavori.</w:t>
      </w:r>
    </w:p>
    <w:p>
      <w:pPr>
        <w:spacing w:after="120" w:line="276"/>
        <w:jc w:val="both"/>
      </w:pPr>
      <w:r>
        <w:rPr>
          <w:rFonts w:ascii="Barlow Semi Condensed" w:cs="Barlow Semi Condensed" w:eastAsia="Barlow Semi Condensed" w:hAnsi="Barlow Semi Condensed"/>
          <w:b/>
          <w:bCs/>
          <w:sz w:val="24"/>
          <w:szCs w:val="24"/>
        </w:rPr>
        <w:t xml:space="preserve">Si dichiari la procedura con la quale il dato è stato ricavato, poiché la trascrizione presenta le colonne dislocate: le date, i numeri di seduta, la qualificazione della deposizione e i nominativi compaiono in quattro blocchi separati anziché in righe. Si è ricostruita la corrispondenza per posizione, e la ricostruzione è verificata su un riscontro indipendente: l'unità quindicesima del fascicolo del caso, individuata dall'appendice quarta, reca i documenti consegnati dal capo della polizia nel corso della testimonianza formale del diciassette ottobre millenovecentonovanta. La data, la qualità dell'audito e la natura dell'atto collimano, e la sessantaduesima seduta è quella che l'appendice terza aveva già individuata come seduta del diciassette ottobre millenovecentonovanta. La ricostruzione posizionale è pertanto confermata da tre elementi indipendenti dall'elenco.</w:t>
      </w:r>
    </w:p>
    <w:p>
      <w:pPr>
        <w:spacing w:after="120" w:line="276"/>
        <w:jc w:val="both"/>
      </w:pPr>
      <w:r>
        <w:rPr>
          <w:rFonts w:ascii="Barlow Semi Condensed" w:cs="Barlow Semi Condensed" w:eastAsia="Barlow Semi Condensed" w:hAnsi="Barlow Semi Condensed"/>
          <w:b/>
          <w:bCs/>
          <w:sz w:val="24"/>
          <w:szCs w:val="24"/>
        </w:rPr>
        <w:t xml:space="preserve">Si accosti la cifra a quelle delle altre inchieste rilevabili dal medesimo ordine tematico: oltre cento deposizioni per l'inchiesta sul disastro aereo, ventisei per quella sull'organizzazione clandestina, dodici per quella sull'apparato informativo, diciannove per quella su un sequestro del millenovecentottantuno. E una per il caso.</w:t>
      </w:r>
    </w:p>
    <w:p>
      <w:pPr>
        <w:pStyle w:val="Heading2"/>
        <w:spacing w:after="100" w:before="200"/>
      </w:pPr>
      <w:r>
        <w:rPr>
          <w:rFonts w:ascii="Barlow Semi Condensed" w:cs="Barlow Semi Condensed" w:eastAsia="Barlow Semi Condensed" w:hAnsi="Barlow Semi Condensed"/>
          <w:sz w:val="24"/>
          <w:szCs w:val="24"/>
        </w:rPr>
        <w:t xml:space="preserve">Parte quarta — La correzione dell'appendice dodicesima</w:t>
      </w:r>
    </w:p>
    <w:p>
      <w:pPr>
        <w:spacing w:after="120" w:line="276"/>
        <w:jc w:val="both"/>
      </w:pPr>
      <w:r>
        <w:rPr>
          <w:rFonts w:ascii="Barlow Semi Condensed" w:cs="Barlow Semi Condensed" w:eastAsia="Barlow Semi Condensed" w:hAnsi="Barlow Semi Condensed"/>
          <w:b/>
          <w:bCs/>
          <w:sz w:val="24"/>
          <w:szCs w:val="24"/>
        </w:rPr>
        <w:t xml:space="preserve">L'appendice dodicesima ha rilevato che l'indice analitico per argomenti delle deposizioni fu pubblicato per tre inchieste e non per quella sul caso, ha qualificato l'asimmetria come dato, e ha enunciato tre cause possibili dichiarando di non discriminare fra esse: l'ampiezza relativa dei corpora, il tempo disponibile alla vigilia dello scioglimento, l'esistenza di una Commissione anteriore dedicata.</w:t>
      </w:r>
    </w:p>
    <w:p>
      <w:pPr>
        <w:spacing w:after="120" w:line="276"/>
        <w:jc w:val="both"/>
      </w:pPr>
      <w:r>
        <w:rPr>
          <w:rFonts w:ascii="Barlow Semi Condensed" w:cs="Barlow Semi Condensed" w:eastAsia="Barlow Semi Condensed" w:hAnsi="Barlow Semi Condensed"/>
          <w:b/>
          <w:bCs/>
          <w:sz w:val="24"/>
          <w:szCs w:val="24"/>
        </w:rPr>
        <w:t xml:space="preserve">La causa è una quarta, e più semplice di tutte e tre. Un indice analitico per argomenti delle deposizioni non fu pubblicato per il caso perché le deposizioni formali sul caso erano una.</w:t>
      </w:r>
    </w:p>
    <w:p>
      <w:pPr>
        <w:spacing w:after="120" w:line="276"/>
        <w:jc w:val="both"/>
      </w:pPr>
      <w:r>
        <w:rPr>
          <w:rFonts w:ascii="Barlow Semi Condensed" w:cs="Barlow Semi Condensed" w:eastAsia="Barlow Semi Condensed" w:hAnsi="Barlow Semi Condensed"/>
          <w:b/>
          <w:bCs/>
          <w:sz w:val="24"/>
          <w:szCs w:val="24"/>
        </w:rPr>
        <w:t xml:space="preserve">Si registra la correzione a proprio sfavore, e se ne trae la regola che vale per l'intera giornata. Quando si rileva un'assenza e se ne enumerano le cause possibili, si verifichi prima di tutto se l'oggetto assente esistesse. Le tre cause enunciate presupponevano tutte un corpus di deposizioni da indicizzare, e nessuna delle tre poteva essere vera in mancanza di quel corpus. Si è cercata la spiegazione della mancanza di un indice senza avere contato ciò che l'indice avrebbe dovuto indicizzare.</w:t>
      </w:r>
    </w:p>
    <w:p>
      <w:pPr>
        <w:spacing w:after="120" w:line="276"/>
        <w:jc w:val="both"/>
      </w:pPr>
      <w:r>
        <w:rPr>
          <w:rFonts w:ascii="Barlow Semi Condensed" w:cs="Barlow Semi Condensed" w:eastAsia="Barlow Semi Condensed" w:hAnsi="Barlow Semi Condensed"/>
          <w:b/>
          <w:bCs/>
          <w:sz w:val="24"/>
          <w:szCs w:val="24"/>
        </w:rPr>
        <w:t xml:space="preserve">Si osservi che l'errore appartiene alla medesima specie del quinto: non un errore di misura, ma l'avere costruito un ragionamento sopra un presupposto non verificato che una sola lettura avrebbe verificato.</w:t>
      </w:r>
    </w:p>
    <w:p>
      <w:pPr>
        <w:pStyle w:val="Heading2"/>
        <w:spacing w:after="100" w:before="200"/>
      </w:pPr>
      <w:r>
        <w:rPr>
          <w:rFonts w:ascii="Barlow Semi Condensed" w:cs="Barlow Semi Condensed" w:eastAsia="Barlow Semi Condensed" w:hAnsi="Barlow Semi Condensed"/>
          <w:sz w:val="24"/>
          <w:szCs w:val="24"/>
        </w:rPr>
        <w:t xml:space="preserve">Parte quinta — Dove si trova il lavoro sul caso</w:t>
      </w:r>
    </w:p>
    <w:p>
      <w:pPr>
        <w:spacing w:after="120" w:line="276"/>
        <w:jc w:val="both"/>
      </w:pPr>
      <w:r>
        <w:rPr>
          <w:rFonts w:ascii="Barlow Semi Condensed" w:cs="Barlow Semi Condensed" w:eastAsia="Barlow Semi Condensed" w:hAnsi="Barlow Semi Condensed"/>
          <w:b/>
          <w:bCs/>
          <w:sz w:val="24"/>
          <w:szCs w:val="24"/>
        </w:rPr>
        <w:t xml:space="preserve">Se le deposizioni formali sul caso furono una, la questione diviene dove si trovi il resto del lavoro, poiché il fascicolo reca cinquanta unità acquisite e la Commissione approvò sul caso una relazione conclusiva.</w:t>
      </w:r>
    </w:p>
    <w:p>
      <w:pPr>
        <w:spacing w:after="120" w:line="276"/>
        <w:jc w:val="both"/>
      </w:pPr>
      <w:r>
        <w:rPr>
          <w:rFonts w:ascii="Barlow Semi Condensed" w:cs="Barlow Semi Condensed" w:eastAsia="Barlow Semi Condensed" w:hAnsi="Barlow Semi Condensed"/>
          <w:b/>
          <w:bCs/>
          <w:sz w:val="24"/>
          <w:szCs w:val="24"/>
        </w:rPr>
        <w:t xml:space="preserve">Le fonti possedute lo dicono, e in tre luoghi concordanti. L'indice degli indici descrive, come proprio gruppo distinto, l'indice in ordine alfabetico e tematico dei testi ascoltati in sede informale dai gruppi di lavoro delegati dalla Commissione a svolgere particolari accertamenti, e dichiara che alcuni dei relativi resoconti sono riversati sul sistema informatico e consultabili nelle banche-immagini delle singole inchieste. L'unità trentatreesima del fascicolo reca osservazioni consegnate nel corso di un incontro con il gruppo di lavoro sul caso. L'unità trentaduesima reca una memoria consegnata alla Commissione da un componente che aveva condotto ricerca propria.</w:t>
      </w:r>
    </w:p>
    <w:p>
      <w:pPr>
        <w:spacing w:after="120" w:line="276"/>
        <w:jc w:val="both"/>
      </w:pPr>
      <w:r>
        <w:rPr>
          <w:rFonts w:ascii="Barlow Semi Condensed" w:cs="Barlow Semi Condensed" w:eastAsia="Barlow Semi Condensed" w:hAnsi="Barlow Semi Condensed"/>
          <w:b/>
          <w:bCs/>
          <w:sz w:val="24"/>
          <w:szCs w:val="24"/>
        </w:rPr>
        <w:t xml:space="preserve">Ne segue che l'inchiesta sul caso, nella X legislatura, fu condotta in prevalenza in sede informale, per gruppi di lavoro, e che i suoi atti orali si trovano nei resoconti di quei gruppi e non nei volumi dei resoconti stenografici delle sedute. Chi cercasse le deposizioni sul caso negli otto volumi a stampa ne troverebbe una.</w:t>
      </w:r>
    </w:p>
    <w:p>
      <w:pPr>
        <w:spacing w:after="120" w:line="276"/>
        <w:jc w:val="both"/>
      </w:pPr>
      <w:r>
        <w:rPr>
          <w:rFonts w:ascii="Barlow Semi Condensed" w:cs="Barlow Semi Condensed" w:eastAsia="Barlow Semi Condensed" w:hAnsi="Barlow Semi Condensed"/>
          <w:b/>
          <w:bCs/>
          <w:sz w:val="24"/>
          <w:szCs w:val="24"/>
        </w:rPr>
        <w:t xml:space="preserve">Si registra la conseguenza sulla disciplina delle fonti. Un resoconto di audizione informale dinanzi a un gruppo di lavoro non ha il regime di una testimonianza formale: non è reso con le forme e con le sanzioni che l'articolo secondo della legge istitutiva richiama, e il suo valore probatorio è quello di una dichiarazione raccolta e non di una testimonianza assunta. Ove l'opera venga a impiegarne, dovrà graduarli in conseguenza, e non potrà graduarli per la sede.</w:t>
      </w:r>
    </w:p>
    <w:p>
      <w:pPr>
        <w:spacing w:after="120" w:line="276"/>
        <w:jc w:val="both"/>
      </w:pPr>
      <w:r>
        <w:rPr>
          <w:rFonts w:ascii="Barlow Semi Condensed" w:cs="Barlow Semi Condensed" w:eastAsia="Barlow Semi Condensed" w:hAnsi="Barlow Semi Condensed"/>
          <w:b/>
          <w:bCs/>
          <w:sz w:val="24"/>
          <w:szCs w:val="24"/>
        </w:rPr>
        <w:t xml:space="preserve">Voce quarantasettesima — I resoconti dei gruppi di lavoro sul caso. Oggetto: l'indice in ordine alfabetico e tematico dei testi ascoltati in sede informale dai gruppi di lavoro, limitatamente al caso; e i resoconti medesimi, per la parte riversata nella banca-immagini. Sede: l'Indice generale degli atti della X legislatura, e la banca-immagini dell'inchiesta, il cui codice ha per parte fissa la lettera dell'inchiesta. Chiusura: individuazione dei testi ascoltati e reperimento dei resoconti. Smentita: la constatazione che i resoconti delle audizioni informali non siano stati redatti o non siano stati riversati, nel qual caso l'attività del gruppo di lavoro sarebbe documentata dai soli atti acquisiti e la voce si chiuderebbe con Stato Zero.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quarantaseiesima si chiude per venticinque sedute su ventisette e per l'individuazione delle deposizioni formali sul caso. Si iscrive la Voce quarantasettesima. Si registra la correzione dell'appendice dodicesima quanto alla causa dell'asimmetria.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l'oggetto della ottantaseiesima e della novantatreesima seduta resta ignoto, poiché il prospetto posseduto si arresta alla settantasettesima. Secondo: la copertura del prospetto per le sedute dalla settantottesima alla centoduesima non è posseduta, ed è la parte del prospetto che comprende il periodo nel quale il fascicolo del caso ricevette le proprie ultime acquisizioni. Terzo: i resoconti dei gruppi di lavoro non sono posseduti né individuati. Quarto: la risoluzione posizionale delle due convenzioni di numerazione resta inferenza dell'opera e non è stata verificata su esemplare a stampa.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undicesima del giorno sul medesimo cantiere. Cantiere: designazione per atto delle fonti. Materia: il prospetto analitico delle sedute e l'elenco degli auditi in sede formale della X legislatura.</w:t>
      </w:r>
    </w:p>
    <w:p>
      <w:pPr>
        <w:spacing w:after="120" w:line="276"/>
        <w:jc w:val="both"/>
      </w:pPr>
      <w:r>
        <w:rPr>
          <w:rFonts w:ascii="Barlow Semi Condensed" w:cs="Barlow Semi Condensed" w:eastAsia="Barlow Semi Condensed" w:hAnsi="Barlow Semi Condensed"/>
          <w:b/>
          <w:bCs/>
          <w:sz w:val="24"/>
          <w:szCs w:val="24"/>
        </w:rPr>
        <w:t xml:space="preserve">Esito positivo: determinazione dell'oggetto di venticinque delle ventisette sedute non possedute, con accertamento che nessuna di esse concerne il caso; controllo contro la distorsione di selezione, con accertamento che le lacune del corpus posseduto sono distribuite in proporzione al peso delle inchieste e non hanno struttura; accertamento che le deposizioni formali sul caso nella X legislatura furono una sola, resa alla sessantaduesima seduta del diciassette ottobre millenovecentonovanta, con verifica su tre elementi indipendenti; correzione dell'appendice dodicesima quanto alla causa dell'asimmetria degli indici analitici; individuazione della sede nella quale si trova il lavoro sul caso, che è quella dei gruppi di lavoro in sede informale, con la conseguente disciplina di grado;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due sedute su centodue restano ignote quanto all'oggetto; la parte del prospetto relativa alle ultime venticinque sedute non è posseduta; i resoconti dei gruppi di lavoro non sono individuati.</w:t>
      </w:r>
    </w:p>
    <w:p>
      <w:pPr>
        <w:spacing w:after="120" w:line="276"/>
        <w:jc w:val="both"/>
      </w:pPr>
      <w:r>
        <w:rPr>
          <w:rFonts w:ascii="Barlow Semi Condensed" w:cs="Barlow Semi Condensed" w:eastAsia="Barlow Semi Condensed" w:hAnsi="Barlow Semi Condensed"/>
          <w:b/>
          <w:bCs/>
          <w:sz w:val="24"/>
          <w:szCs w:val="24"/>
        </w:rPr>
        <w:t xml:space="preserve">Riga di errore proprio, sesta della giornata, rilevata prima della pubblicazione. La trascrizione automatica del prospetto ha reso l'indicatore ordinale come cifra, e la prima lettura ha prodotto una collazione interamente errata nella quale a sedute mancanti erano attribuiti oggetti di altre sedute. L'errore non era rilevabile dall'interno, poiché numeri, date e oggetti erano tutti reali; è stato rilevato constatando che la prima seduta di una Commissione non può essere la diciottesima. Si registra che il controllo che lo ha scoperto è il più elementare disponibile, ed è la lettura della prima riga.</w:t>
      </w:r>
    </w:p>
    <w:p>
      <w:pPr>
        <w:spacing w:after="120" w:line="276"/>
        <w:jc w:val="both"/>
      </w:pPr>
      <w:r>
        <w:rPr>
          <w:rFonts w:ascii="Barlow Semi Condensed" w:cs="Barlow Semi Condensed" w:eastAsia="Barlow Semi Condensed" w:hAnsi="Barlow Semi Condensed"/>
          <w:b/>
          <w:bCs/>
          <w:sz w:val="24"/>
          <w:szCs w:val="24"/>
        </w:rPr>
        <w:t xml:space="preserve">Riga di errore proprio, settima della giornata. L'appendice dodicesima ha enumerato tre cause possibili di un'assenza senza avere contato ciò che l'assenza riguardava. Le tre cause presupponevano tutte l'esistenza di un corpus da indicizzare, e quel corpus consta di un elemento. Regola che se ne trae: quando si rileva un'assenza e se ne enumerano le cause, si verifichi prima di tutto se l'oggetto assente esistesse.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alcuna deposizione, di alcuna seduta e di alcun resoconto. La persona che rese la sola testimonianza formale sul caso è designata per la funzione che esercitava, la quale basta a identificare l'atto. La rilevazione del numero delle deposizioni per inchiesta è una misura dell'attività dell'organo e non un giudizio su di essa, e in particolare non implica alcuna valutazione sulla diligenza con la quale l'inchiesta fu condotta, che le presenti fonti non consentono di formulare.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 una sola testimonianza formale,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Quando si rileva un'assenza e se ne enumerano le cause, si verifichi prima di tutto se l'oggetto assente esistesse.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 · Appendice tredicesima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2.085 parole in 9 sezioni; la più ampia è §9 Altre sezioni, con 1.676.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39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 — Appendice quattordicesima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w:t>
      </w:r>
    </w:p>
    <w:p>
      <w:pPr>
        <w:pStyle w:val="Heading2"/>
        <w:spacing w:after="100" w:before="200"/>
      </w:pPr>
      <w:r>
        <w:rPr>
          <w:rFonts w:ascii="Barlow Semi Condensed" w:cs="Barlow Semi Condensed" w:eastAsia="Barlow Semi Condensed" w:hAnsi="Barlow Semi Condensed"/>
          <w:sz w:val="24"/>
          <w:szCs w:val="24"/>
        </w:rPr>
        <w:t xml:space="preserve">La classe di comparazione che non c'è</w:t>
      </w:r>
    </w:p>
    <w:p>
      <w:pPr>
        <w:pStyle w:val="Heading2"/>
        <w:spacing w:after="100" w:before="200"/>
      </w:pPr>
      <w:r>
        <w:rPr>
          <w:rFonts w:ascii="Barlow Semi Condensed" w:cs="Barlow Semi Condensed" w:eastAsia="Barlow Semi Condensed" w:hAnsi="Barlow Semi Condensed"/>
          <w:sz w:val="24"/>
          <w:szCs w:val="24"/>
        </w:rPr>
        <w:t xml:space="preserve">Le schede informative sulle stragi 1969-1984, e un errore respinto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quattordicesima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quattordicesima alla Fase Settima e opera sulle schede informative allegate alla relazione sulle stragi meno recenti del periodo millenovecentosessantanove-millenovecentottantaquattro, XI legislatura, delle quali si possiede la trascrizione integrale di trentasei pagine. Come le tredici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stata esaminata per una ragione determinata e ha prodotto un esito contrario a quella ragione. Si cercava in essa la classe di comparazione che la Voce quinta della tavola domanda da principio e che nessuna acquisizione della giornata ha fornita. La classe non c'è, e il presente atto serve principalmente a dichiarare perché non c'è e perché credere il contrario sarebbe stato l'errore più costoso dei quattordici atti.</w:t>
      </w:r>
    </w:p>
    <w:p>
      <w:pPr>
        <w:pStyle w:val="Heading2"/>
        <w:spacing w:after="100" w:before="200"/>
      </w:pPr>
      <w:r>
        <w:rPr>
          <w:rFonts w:ascii="Barlow Semi Condensed" w:cs="Barlow Semi Condensed" w:eastAsia="Barlow Semi Condensed" w:hAnsi="Barlow Semi Condensed"/>
          <w:sz w:val="24"/>
          <w:szCs w:val="24"/>
        </w:rPr>
        <w:t xml:space="preserve">Parte prima — Un numero di documento non è una designazione</w:t>
      </w:r>
    </w:p>
    <w:p>
      <w:pPr>
        <w:spacing w:after="120" w:line="276"/>
        <w:jc w:val="both"/>
      </w:pPr>
      <w:r>
        <w:rPr>
          <w:rFonts w:ascii="Barlow Semi Condensed" w:cs="Barlow Semi Condensed" w:eastAsia="Barlow Semi Condensed" w:hAnsi="Barlow Semi Condensed"/>
          <w:b/>
          <w:bCs/>
          <w:sz w:val="24"/>
          <w:szCs w:val="24"/>
        </w:rPr>
        <w:t xml:space="preserve">Va registrato anzitutto un fatto di designazione, poiché esso incide su ogni citazione anteriore.</w:t>
      </w:r>
    </w:p>
    <w:p>
      <w:pPr>
        <w:spacing w:after="120" w:line="276"/>
        <w:jc w:val="both"/>
      </w:pPr>
      <w:r>
        <w:rPr>
          <w:rFonts w:ascii="Barlow Semi Condensed" w:cs="Barlow Semi Condensed" w:eastAsia="Barlow Semi Condensed" w:hAnsi="Barlow Semi Condensed"/>
          <w:b/>
          <w:bCs/>
          <w:sz w:val="24"/>
          <w:szCs w:val="24"/>
        </w:rPr>
        <w:t xml:space="preserve">Il documento parlamentare XXIII numero 13 della XI legislatura reca due opere distinte. L'una è la relazione sugli sviluppi del caso, che l'appendice sesta ha esaminata. L'altra è la relazione sulle stragi meno recenti con le proprie schede informative, che la presente esamina. Sono due testi di autore, oggetto, periodo e struttura diversi, riuniti sotto un solo numero.</w:t>
      </w:r>
    </w:p>
    <w:p>
      <w:pPr>
        <w:spacing w:after="120" w:line="276"/>
        <w:jc w:val="both"/>
      </w:pPr>
      <w:r>
        <w:rPr>
          <w:rFonts w:ascii="Barlow Semi Condensed" w:cs="Barlow Semi Condensed" w:eastAsia="Barlow Semi Condensed" w:hAnsi="Barlow Semi Condensed"/>
          <w:b/>
          <w:bCs/>
          <w:sz w:val="24"/>
          <w:szCs w:val="24"/>
        </w:rPr>
        <w:t xml:space="preserve">Ne segue che la designazione di una fonte mediante il solo numero di documento parlamentare è, per questo documento, ambigua, e che chi citi il documento XXIII numero 13 non ha designato alcunché finché non indichi quale delle due opere e a quale pagina. L'appendice sesta ha citato quel numero per la relazione sul caso e lo ha fatto senza sapere che il numero ne copre due; la citazione non è falsa e la sua precisione era illusoria.</w:t>
      </w:r>
    </w:p>
    <w:p>
      <w:pPr>
        <w:spacing w:after="120" w:line="276"/>
        <w:jc w:val="both"/>
      </w:pPr>
      <w:r>
        <w:rPr>
          <w:rFonts w:ascii="Barlow Semi Condensed" w:cs="Barlow Semi Condensed" w:eastAsia="Barlow Semi Condensed" w:hAnsi="Barlow Semi Condensed"/>
          <w:b/>
          <w:bCs/>
          <w:sz w:val="24"/>
          <w:szCs w:val="24"/>
        </w:rPr>
        <w:t xml:space="preserve">Si enuncia la regola, ed è la diciassettesima della serie. Un numero di documento parlamentare designa una pubblicazione e non un'opera. Dove la pubblicazione ne raccolga più d'una, la designazione si compie per opera e per pagina, e il solo numero non basta. Si verifichi sempre, prima di citare un numero, di quante opere quel numero sia il contenitore.</w:t>
      </w:r>
    </w:p>
    <w:p>
      <w:pPr>
        <w:pStyle w:val="Heading2"/>
        <w:spacing w:after="100" w:before="200"/>
      </w:pPr>
      <w:r>
        <w:rPr>
          <w:rFonts w:ascii="Barlow Semi Condensed" w:cs="Barlow Semi Condensed" w:eastAsia="Barlow Semi Condensed" w:hAnsi="Barlow Semi Condensed"/>
          <w:sz w:val="24"/>
          <w:szCs w:val="24"/>
        </w:rPr>
        <w:t xml:space="preserve">Parte seconda — Che cosa le schede siano</w:t>
      </w:r>
    </w:p>
    <w:p>
      <w:pPr>
        <w:spacing w:after="120" w:line="276"/>
        <w:jc w:val="both"/>
      </w:pPr>
      <w:r>
        <w:rPr>
          <w:rFonts w:ascii="Barlow Semi Condensed" w:cs="Barlow Semi Condensed" w:eastAsia="Barlow Semi Condensed" w:hAnsi="Barlow Semi Condensed"/>
          <w:b/>
          <w:bCs/>
          <w:sz w:val="24"/>
          <w:szCs w:val="24"/>
        </w:rPr>
        <w:t xml:space="preserve">Le schede sono otto e riguardano, nell'ordine cronologico che esse osservano, gli attentati simultanei del dicembre millenovecentosessantanove, il deragliamento del luglio millenovecentosettanta, l'attentato del maggio millenovecentosettantadue in provincia di Gorizia, l'attentato del maggio millenovecentosettantatré dinanzi a una questura, la strage del maggio millenovecentosettantaquattro in una piazza lombarda, quella dell'agosto del medesimo anno su un convoglio ferroviario, quella dell'agosto millenovecentottanta in una stazione, e quella del dicembre millenovecentottantaquattro su un secondo convoglio.</w:t>
      </w:r>
    </w:p>
    <w:p>
      <w:pPr>
        <w:spacing w:after="120" w:line="276"/>
        <w:jc w:val="both"/>
      </w:pPr>
      <w:r>
        <w:rPr>
          <w:rFonts w:ascii="Barlow Semi Condensed" w:cs="Barlow Semi Condensed" w:eastAsia="Barlow Semi Condensed" w:hAnsi="Barlow Semi Condensed"/>
          <w:b/>
          <w:bCs/>
          <w:sz w:val="24"/>
          <w:szCs w:val="24"/>
        </w:rPr>
        <w:t xml:space="preserve">Ciascuna scheda espone il fatto, l'itinerario processuale con le sedi, le date e gli esiti, e le vicende istruttorie che lo accompagnarono.</w:t>
      </w:r>
    </w:p>
    <w:p>
      <w:pPr>
        <w:spacing w:after="120" w:line="276"/>
        <w:jc w:val="both"/>
      </w:pPr>
      <w:r>
        <w:rPr>
          <w:rFonts w:ascii="Barlow Semi Condensed" w:cs="Barlow Semi Condensed" w:eastAsia="Barlow Semi Condensed" w:hAnsi="Barlow Semi Condensed"/>
          <w:b/>
          <w:bCs/>
          <w:sz w:val="24"/>
          <w:szCs w:val="24"/>
        </w:rPr>
        <w:t xml:space="preserve">Si registra una disuguaglianza interna che è essa stessa un dato. L'ampiezza delle schede varia da circa cinquecento parole a circa quattromiladuecento, con uno scarto di otto volte fra la più breve e la più estesa. La più estesa riguarda la strage del millenovecentottanta; la più breve un attentato del millenovecentosettantatré.</w:t>
      </w:r>
    </w:p>
    <w:p>
      <w:pPr>
        <w:spacing w:after="120" w:line="276"/>
        <w:jc w:val="both"/>
      </w:pPr>
      <w:r>
        <w:rPr>
          <w:rFonts w:ascii="Barlow Semi Condensed" w:cs="Barlow Semi Condensed" w:eastAsia="Barlow Semi Condensed" w:hAnsi="Barlow Semi Condensed"/>
          <w:b/>
          <w:bCs/>
          <w:sz w:val="24"/>
          <w:szCs w:val="24"/>
        </w:rPr>
        <w:t xml:space="preserve">Lo scarto non misura la gravità dei fatti né il numero delle vittime. Misura lo stato dell'accertamento: una scheda è lunga dove molto fu accertato e dove molte istruttorie si succedettero, ed è breve dove poco fu accertato. Ne segue che l'ampiezza di una scheda è un indicatore dell'attività giudiziaria e non della materia, e che leggerla altrimenti significherebbe attribuire minore rilievo ai fatti sui quali si è indagato meno, il che è l'inversione esatta di ciò che la disciplina prescrive.</w:t>
      </w:r>
    </w:p>
    <w:p>
      <w:pPr>
        <w:pStyle w:val="Heading2"/>
        <w:spacing w:after="100" w:before="200"/>
      </w:pPr>
      <w:r>
        <w:rPr>
          <w:rFonts w:ascii="Barlow Semi Condensed" w:cs="Barlow Semi Condensed" w:eastAsia="Barlow Semi Condensed" w:hAnsi="Barlow Semi Condensed"/>
          <w:sz w:val="24"/>
          <w:szCs w:val="24"/>
        </w:rPr>
        <w:t xml:space="preserve">Parte terza — La tentazione, e la ragione per cui va respinta</w:t>
      </w:r>
    </w:p>
    <w:p>
      <w:pPr>
        <w:spacing w:after="120" w:line="276"/>
        <w:jc w:val="both"/>
      </w:pPr>
      <w:r>
        <w:rPr>
          <w:rFonts w:ascii="Barlow Semi Condensed" w:cs="Barlow Semi Condensed" w:eastAsia="Barlow Semi Condensed" w:hAnsi="Barlow Semi Condensed"/>
          <w:b/>
          <w:bCs/>
          <w:sz w:val="24"/>
          <w:szCs w:val="24"/>
        </w:rPr>
        <w:t xml:space="preserve">La Voce quinta della tavola domanda il tasso ordinario di omissioni procedurali presso uffici comparabili nel periodo, poiché senza di esso l'irregolarità dell'ottobre millenovecentosettantotto — l'asportazione di un fascicolo dal luogo prima che i fogli fossero numerati a verbale — non è collocabile: non si sa se essa fosse eccezionale o ordinaria, e da ciò dipende ogni valutazione che la riguardi.</w:t>
      </w:r>
    </w:p>
    <w:p>
      <w:pPr>
        <w:spacing w:after="120" w:line="276"/>
        <w:jc w:val="both"/>
      </w:pPr>
      <w:r>
        <w:rPr>
          <w:rFonts w:ascii="Barlow Semi Condensed" w:cs="Barlow Semi Condensed" w:eastAsia="Barlow Semi Condensed" w:hAnsi="Barlow Semi Condensed"/>
          <w:b/>
          <w:bCs/>
          <w:sz w:val="24"/>
          <w:szCs w:val="24"/>
        </w:rPr>
        <w:t xml:space="preserve">Le schede sembrano fornire quella classe. Esse documentano, strage per strage, irregolarità istruttorie di specie diverse: manipolazioni sui corpi di reato, distruzione di materiale sequestrato all'insaputa dei magistrati, omessa informazione dei magistrati su riscontri già acquisiti dalla polizia, occultamento di rapporti con successiva condanna penale, falso ideologico accertato in sede di giudizio, dichiarazioni di sedicenti collaboratori accertate come false, inquinamento delle indagini mediante materiale collocato per avvalorare una pista.</w:t>
      </w:r>
    </w:p>
    <w:p>
      <w:pPr>
        <w:spacing w:after="120" w:line="276"/>
        <w:jc w:val="both"/>
      </w:pPr>
      <w:r>
        <w:rPr>
          <w:rFonts w:ascii="Barlow Semi Condensed" w:cs="Barlow Semi Condensed" w:eastAsia="Barlow Semi Condensed" w:hAnsi="Barlow Semi Condensed"/>
          <w:b/>
          <w:bCs/>
          <w:sz w:val="24"/>
          <w:szCs w:val="24"/>
        </w:rPr>
        <w:t xml:space="preserve">La tentazione è di contare: otto stragi, irregolarità documentate nella maggior parte di esse, dunque un tasso elevato, dunque l'irregolarità del millenovecentosettantotto è ordinaria.</w:t>
      </w:r>
    </w:p>
    <w:p>
      <w:pPr>
        <w:spacing w:after="120" w:line="276"/>
        <w:jc w:val="both"/>
      </w:pPr>
      <w:r>
        <w:rPr>
          <w:rFonts w:ascii="Barlow Semi Condensed" w:cs="Barlow Semi Condensed" w:eastAsia="Barlow Semi Condensed" w:hAnsi="Barlow Semi Condensed"/>
          <w:b/>
          <w:bCs/>
          <w:sz w:val="24"/>
          <w:szCs w:val="24"/>
        </w:rPr>
        <w:t xml:space="preserve">Il ragionamento è viziato e va respinto per intero.</w:t>
      </w:r>
    </w:p>
    <w:p>
      <w:pPr>
        <w:spacing w:after="120" w:line="276"/>
        <w:jc w:val="both"/>
      </w:pPr>
      <w:r>
        <w:rPr>
          <w:rFonts w:ascii="Barlow Semi Condensed" w:cs="Barlow Semi Condensed" w:eastAsia="Barlow Semi Condensed" w:hAnsi="Barlow Semi Condensed"/>
          <w:b/>
          <w:bCs/>
          <w:sz w:val="24"/>
          <w:szCs w:val="24"/>
        </w:rPr>
        <w:t xml:space="preserve">Le otto schede non sono un campione. Sono le stragi più note del periodo, e sono note per una ragione che coincide con ciò che si vorrebbe misurare: sono le vicende nelle quali l'accertamento fallì o durò decenni, e sono state selezionate e istruite proprio perché giudiziariamente problematiche. Contare le irregolarità in un insieme scelto per la propria problematicità e trarne un tasso ordinario significa selezionare sulla variabile che si intende misurare. È l'errore che, in altra forma, il corpus maggiore ha già iscritto fra le proprie risultanze sotto il nome di effetto del lampione: si misura dove la luce cade, e la luce cade dove qualcosa fu trovato.</w:t>
      </w:r>
    </w:p>
    <w:p>
      <w:pPr>
        <w:spacing w:after="120" w:line="276"/>
        <w:jc w:val="both"/>
      </w:pPr>
      <w:r>
        <w:rPr>
          <w:rFonts w:ascii="Barlow Semi Condensed" w:cs="Barlow Semi Condensed" w:eastAsia="Barlow Semi Condensed" w:hAnsi="Barlow Semi Condensed"/>
          <w:b/>
          <w:bCs/>
          <w:sz w:val="24"/>
          <w:szCs w:val="24"/>
        </w:rPr>
        <w:t xml:space="preserve">Si dichiara pertanto che le schede non forniscono la classe di comparazione domandata dalla Voce quinta, e che la Voce quinta resta aperta. Si registra la circostanza fra gli esiti negativi, ed è il settimo della giornata.</w:t>
      </w:r>
    </w:p>
    <w:p>
      <w:pPr>
        <w:spacing w:after="120" w:line="276"/>
        <w:jc w:val="both"/>
      </w:pPr>
      <w:r>
        <w:rPr>
          <w:rFonts w:ascii="Barlow Semi Condensed" w:cs="Barlow Semi Condensed" w:eastAsia="Barlow Semi Condensed" w:hAnsi="Barlow Semi Condensed"/>
          <w:b/>
          <w:bCs/>
          <w:sz w:val="24"/>
          <w:szCs w:val="24"/>
        </w:rPr>
        <w:t xml:space="preserve">Si aggiunge la ragione per la quale l'errore sarebbe stato costoso più di ogni altro commesso oggi. Gli errori di misura e di strumento registrati nelle appendici anteriori producevano cifre sbagliate, e una cifra sbagliata si corregge. Questo avrebbe prodotto una collocazione: avrebbe stabilito che l'irregolarità del millenovecentosettantotto era ordinaria, e da quella collocazione sarebbe disceso che essa non richiede spiegazione. Un errore che dispensa dal cercare non si corregge, perché sopprime la ricerca che lo avrebbe corretto.</w:t>
      </w:r>
    </w:p>
    <w:p>
      <w:pPr>
        <w:pStyle w:val="Heading2"/>
        <w:spacing w:after="100" w:before="200"/>
      </w:pPr>
      <w:r>
        <w:rPr>
          <w:rFonts w:ascii="Barlow Semi Condensed" w:cs="Barlow Semi Condensed" w:eastAsia="Barlow Semi Condensed" w:hAnsi="Barlow Semi Condensed"/>
          <w:sz w:val="24"/>
          <w:szCs w:val="24"/>
        </w:rPr>
        <w:t xml:space="preserve">Parte quarta — Che cosa le schede danno realmente</w:t>
      </w:r>
    </w:p>
    <w:p>
      <w:pPr>
        <w:spacing w:after="120" w:line="276"/>
        <w:jc w:val="both"/>
      </w:pPr>
      <w:r>
        <w:rPr>
          <w:rFonts w:ascii="Barlow Semi Condensed" w:cs="Barlow Semi Condensed" w:eastAsia="Barlow Semi Condensed" w:hAnsi="Barlow Semi Condensed"/>
          <w:b/>
          <w:bCs/>
          <w:sz w:val="24"/>
          <w:szCs w:val="24"/>
        </w:rPr>
        <w:t xml:space="preserve">Respinta la lettura quantitativa, resta una lettura tipologica, che è legittima e utile.</w:t>
      </w:r>
    </w:p>
    <w:p>
      <w:pPr>
        <w:spacing w:after="120" w:line="276"/>
        <w:jc w:val="both"/>
      </w:pPr>
      <w:r>
        <w:rPr>
          <w:rFonts w:ascii="Barlow Semi Condensed" w:cs="Barlow Semi Condensed" w:eastAsia="Barlow Semi Condensed" w:hAnsi="Barlow Semi Condensed"/>
          <w:b/>
          <w:bCs/>
          <w:sz w:val="24"/>
          <w:szCs w:val="24"/>
        </w:rPr>
        <w:t xml:space="preserve">Le schede stabiliscono che le irregolarità istruttorie nei procedimenti per strage del periodo appartengono a generi ricorrenti e nominabili, e ne documentano almeno cinque. Il primo è la manipolazione o la distruzione del corpo di reato. Il secondo è l'omessa trasmissione ai magistrati di riscontri già in possesso della polizia. Il terzo è l'occultamento di atti, accertato in sede penale con condanna. Il quarto è la falsità di dichiarazioni rese da sedicenti collaboratori, in taluni casi accertata come strumentale a fini diversi dall'inchiesta. Il quinto è la collocazione di materiale documentale destinato ad avvalorare una pista determinata.</w:t>
      </w:r>
    </w:p>
    <w:p>
      <w:pPr>
        <w:spacing w:after="120" w:line="276"/>
        <w:jc w:val="both"/>
      </w:pPr>
      <w:r>
        <w:rPr>
          <w:rFonts w:ascii="Barlow Semi Condensed" w:cs="Barlow Semi Condensed" w:eastAsia="Barlow Semi Condensed" w:hAnsi="Barlow Semi Condensed"/>
          <w:b/>
          <w:bCs/>
          <w:sz w:val="24"/>
          <w:szCs w:val="24"/>
        </w:rPr>
        <w:t xml:space="preserve">Questa tipologia consente una sola operazione, e la si compie. L'irregolarità dell'ottobre millenovecentosettantotto appartiene al primo genere: essa riguarda la custodia di un corpo di reato nella fase immediatamente successiva al rinvenimento. Il genere è documentato, per il periodo, da almeno due istanze in una sola delle schede.</w:t>
      </w:r>
    </w:p>
    <w:p>
      <w:pPr>
        <w:spacing w:after="120" w:line="276"/>
        <w:jc w:val="both"/>
      </w:pPr>
      <w:r>
        <w:rPr>
          <w:rFonts w:ascii="Barlow Semi Condensed" w:cs="Barlow Semi Condensed" w:eastAsia="Barlow Semi Condensed" w:hAnsi="Barlow Semi Condensed"/>
          <w:b/>
          <w:bCs/>
          <w:sz w:val="24"/>
          <w:szCs w:val="24"/>
        </w:rPr>
        <w:t xml:space="preserve">Si dichiari con esattezza che cosa questa collocazione stabilisca. Stabilisce che la figura non è isolata nel proprio genere. Non stabilisce che sia frequente, poiché l'appartenenza a un genere non è una frequenza; e non stabilisce che sia ordinaria, poiché ordinario è ciò che accade nella maggior parte dei casi comparabili, e i casi comparabili non sono stati contati.</w:t>
      </w:r>
    </w:p>
    <w:p>
      <w:pPr>
        <w:spacing w:after="120" w:line="276"/>
        <w:jc w:val="both"/>
      </w:pPr>
      <w:r>
        <w:rPr>
          <w:rFonts w:ascii="Barlow Semi Condensed" w:cs="Barlow Semi Condensed" w:eastAsia="Barlow Semi Condensed" w:hAnsi="Barlow Semi Condensed"/>
          <w:b/>
          <w:bCs/>
          <w:sz w:val="24"/>
          <w:szCs w:val="24"/>
        </w:rPr>
        <w:t xml:space="preserve">Si registra inoltre un esito negativo interno alla tipologia. La lettura condotta non ha rinvenuto, in alcuna delle otto schede, la figura specifica dell'ottobre millenovecentosettantotto, cioè l'asportazione di un insieme di documenti dal luogo del rinvenimento prima della loro numerazione a verbale e la restituzione successiva. La lettura è stata condotta per parole chiave sul testo integrale e per lettura diretta dei passaggi segnalati, e non per lettura integrale delle trentasei pagine; l'esito negativo è dichiarato con questo limite.</w:t>
      </w:r>
    </w:p>
    <w:p>
      <w:pPr>
        <w:spacing w:after="120" w:line="276"/>
        <w:jc w:val="both"/>
      </w:pPr>
      <w:r>
        <w:rPr>
          <w:rFonts w:ascii="Barlow Semi Condensed" w:cs="Barlow Semi Condensed" w:eastAsia="Barlow Semi Condensed" w:hAnsi="Barlow Semi Condensed"/>
          <w:b/>
          <w:bCs/>
          <w:sz w:val="24"/>
          <w:szCs w:val="24"/>
        </w:rPr>
        <w:t xml:space="preserve">Ove esso sia confermato da lettura integrale, ne discenderebbe che la figura del millenovecentosettantotto non è rappresentata nella tipologia delle irregolarità documentate per le stragi del periodo, il che non ne farebbe una figura unica — le schede riguardano otto vicende e non tutte — ma la collocherebbe fuori dai generi ricorrenti anziché dentro uno di essi. È l'opposto della conclusione che la lettura quantitativa avrebbe suggerita.</w:t>
      </w:r>
    </w:p>
    <w:p>
      <w:pPr>
        <w:pStyle w:val="Heading2"/>
        <w:spacing w:after="100" w:before="200"/>
      </w:pPr>
      <w:r>
        <w:rPr>
          <w:rFonts w:ascii="Barlow Semi Condensed" w:cs="Barlow Semi Condensed" w:eastAsia="Barlow Semi Condensed" w:hAnsi="Barlow Semi Condensed"/>
          <w:sz w:val="24"/>
          <w:szCs w:val="24"/>
        </w:rPr>
        <w:t xml:space="preserve">Parte quinta — Dove la classe di comparazione vada cercata</w:t>
      </w:r>
    </w:p>
    <w:p>
      <w:pPr>
        <w:spacing w:after="120" w:line="276"/>
        <w:jc w:val="both"/>
      </w:pPr>
      <w:r>
        <w:rPr>
          <w:rFonts w:ascii="Barlow Semi Condensed" w:cs="Barlow Semi Condensed" w:eastAsia="Barlow Semi Condensed" w:hAnsi="Barlow Semi Condensed"/>
          <w:b/>
          <w:bCs/>
          <w:sz w:val="24"/>
          <w:szCs w:val="24"/>
        </w:rPr>
        <w:t xml:space="preserve">Se le vicende eccezionali non forniscono il tasso ordinario, esso va cercato dove l'ordinario si trova, e la sede è indicabile.</w:t>
      </w:r>
    </w:p>
    <w:p>
      <w:pPr>
        <w:spacing w:after="120" w:line="276"/>
        <w:jc w:val="both"/>
      </w:pPr>
      <w:r>
        <w:rPr>
          <w:rFonts w:ascii="Barlow Semi Condensed" w:cs="Barlow Semi Condensed" w:eastAsia="Barlow Semi Condensed" w:hAnsi="Barlow Semi Condensed"/>
          <w:b/>
          <w:bCs/>
          <w:sz w:val="24"/>
          <w:szCs w:val="24"/>
        </w:rPr>
        <w:t xml:space="preserve">La classe di comparazione appropriata alla Voce quinta non è costituita dai procedimenti per strage, ma dai procedimenti ordinari coevi nei quali si sia proceduto a perquisizione e a sequestro di documentazione: procedimenti per reati comuni, trattati da uffici di polizia giudiziaria comparabili, nel medesimo periodo e nella medesima area. In quella classe l'osservanza o l'inosservanza della numerazione preventiva dei documenti sequestrati è un dato di prassi, rilevabile su un numero sufficiente di casi e non selezionato per la propria problematicità.</w:t>
      </w:r>
    </w:p>
    <w:p>
      <w:pPr>
        <w:spacing w:after="120" w:line="276"/>
        <w:jc w:val="both"/>
      </w:pPr>
      <w:r>
        <w:rPr>
          <w:rFonts w:ascii="Barlow Semi Condensed" w:cs="Barlow Semi Condensed" w:eastAsia="Barlow Semi Condensed" w:hAnsi="Barlow Semi Condensed"/>
          <w:b/>
          <w:bCs/>
          <w:sz w:val="24"/>
          <w:szCs w:val="24"/>
        </w:rPr>
        <w:t xml:space="preserve">Voce quarantottesima — La prassi ordinaria di numerazione dei documenti sequestrati. Oggetto: l'accertamento, su un insieme di procedimenti ordinari coevi comprendenti perquisizione e sequestro di documentazione, della frequenza con la quale i documenti sequestrati fossero numerati a verbale prima dell'asportazione dal luogo. Sede: archivi giudiziari e prontuari operativi delle forze di polizia giudiziaria del periodo; manuali e circolari sulla formazione dei verbali di sequestro. Chiusura: determinazione di una frequenza su un insieme non selezionato. Smentita: la constatazione che non esistesse all'epoca alcuna prescrizione di numerazione preventiva, nel qual caso l'omissione del millenovecentosettantotto non sarebbe inosservanza di una regola ma assenza di una regola, e la Voce quinta si chiuderebbe con esito opposto a quello atteso.</w:t>
      </w:r>
    </w:p>
    <w:p>
      <w:pPr>
        <w:spacing w:after="120" w:line="276"/>
        <w:jc w:val="both"/>
      </w:pPr>
      <w:r>
        <w:rPr>
          <w:rFonts w:ascii="Barlow Semi Condensed" w:cs="Barlow Semi Condensed" w:eastAsia="Barlow Semi Condensed" w:hAnsi="Barlow Semi Condensed"/>
          <w:b/>
          <w:bCs/>
          <w:sz w:val="24"/>
          <w:szCs w:val="24"/>
        </w:rPr>
        <w:t xml:space="preserve">Si segnala che la condizione di smentita qui formulata è la più significativa fra quelle iscritte oggi, poiché il suo verificarsi rovescerebbe il senso di una delle poche irregolarità che l'opera ha ritenute superare tutti e tre i tempi del proprio test.</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quinta non si chiude e non progredisce quanto al proprio oggetto; progredisce quanto alla propria formulazione, poiché è ora indicata la classe entro la quale la ricerca va condotta e quella entro la quale non va condotta. Si iscrive la Voce quarantottesima. Si enuncia la diciassettesima regola della risalita.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classe di comparazione domandata dalla Voce quinta non è fornita dalle schede e resta da costituire. Secondo: la lettura delle schede è stata condotta per parole chiave e per campione e non integralmente, e l'esito negativo sulla figura specifica è dichiarato con questo limite. Terzo: la relazione sulle stragi meno recenti alla quale le schede sono allegate non è posseduta nel proprio testo, ma soltanto nelle schede; e una relazione dice, delle proprie schede, ciò che esse non dicono di sé.</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dodicesima del giorno sul medesimo cantiere. Cantiere: designazione per atto delle fonti e classe di comparazione. Materia: le schede informative sulle stragi del periodo millenovecentosessantanove-millenovecentottantaquattro.</w:t>
      </w:r>
    </w:p>
    <w:p>
      <w:pPr>
        <w:spacing w:after="120" w:line="276"/>
        <w:jc w:val="both"/>
      </w:pPr>
      <w:r>
        <w:rPr>
          <w:rFonts w:ascii="Barlow Semi Condensed" w:cs="Barlow Semi Condensed" w:eastAsia="Barlow Semi Condensed" w:hAnsi="Barlow Semi Condensed"/>
          <w:b/>
          <w:bCs/>
          <w:sz w:val="24"/>
          <w:szCs w:val="24"/>
        </w:rPr>
        <w:t xml:space="preserve">Esito positivo: accertamento che un solo numero di documento parlamentare copre due opere distinte, con enunciazione della diciassettesima regola della risalita; rilevazione della disuguaglianza di ampiezza fra le otto schede e della sua interpretazione come indicatore dello stato dell'accertamento e non della materia; enunciazione di una tipologia in cinque generi delle irregolarità istruttorie documentate per il periodo; collocazione dell'irregolarità dell'ottobre millenovecentosettantotto nel primo genere, con dichiarazione espressa di ciò che la collocazione non stabilisce; indicazione della classe entro la quale la comparazione domandata dalla Voce quinta va condotta; una voce nuova iscritta in tavola, con la condizione di smentita più significativa della giornata.</w:t>
      </w:r>
    </w:p>
    <w:p>
      <w:pPr>
        <w:spacing w:after="120" w:line="276"/>
        <w:jc w:val="both"/>
      </w:pPr>
      <w:r>
        <w:rPr>
          <w:rFonts w:ascii="Barlow Semi Condensed" w:cs="Barlow Semi Condensed" w:eastAsia="Barlow Semi Condensed" w:hAnsi="Barlow Semi Condensed"/>
          <w:b/>
          <w:bCs/>
          <w:sz w:val="24"/>
          <w:szCs w:val="24"/>
        </w:rPr>
        <w:t xml:space="preserve">Esito negativo: le schede non forniscono la classe di comparazione e la Voce quinta resta aperta; la figura specifica dell'ottobre millenovecentosettantotto non risulta rappresentata nella tipologia, con il limite della lettura non integrale; la relazione alla quale le schede sono allegate non è posseduta.</w:t>
      </w:r>
    </w:p>
    <w:p>
      <w:pPr>
        <w:spacing w:after="120" w:line="276"/>
        <w:jc w:val="both"/>
      </w:pPr>
      <w:r>
        <w:rPr>
          <w:rFonts w:ascii="Barlow Semi Condensed" w:cs="Barlow Semi Condensed" w:eastAsia="Barlow Semi Condensed" w:hAnsi="Barlow Semi Condensed"/>
          <w:b/>
          <w:bCs/>
          <w:sz w:val="24"/>
          <w:szCs w:val="24"/>
        </w:rPr>
        <w:t xml:space="preserve">Riga di errore respinto. Si registra, come si è registrato un errore evitato nell'appendice ottava, la lettura quantitativa che le schede invitavano a compiere e che avrebbe stabilito, contando irregolarità in otto vicende scelte per la propria problematicità, un tasso ordinario di irregolarità. Il vizio è la selezione sulla variabile che si intende misurare. Si registra altresì la ragione per la quale questo errore sarebbe stato più costoso di tutti quelli commessi oggi: gli errori di misura producono cifre sbagliate e una cifra si corregge; questo avrebbe prodotto una collocazione, e da essa sarebbe disceso che l'irregolarità del millenovecentosettantotto non richiede spiegazione. Un errore che dispensa dal cercare sopprime la ricerca che lo avrebbe corretto.</w:t>
      </w:r>
    </w:p>
    <w:p>
      <w:pPr>
        <w:spacing w:after="120" w:line="276"/>
        <w:jc w:val="both"/>
      </w:pPr>
      <w:r>
        <w:rPr>
          <w:rFonts w:ascii="Barlow Semi Condensed" w:cs="Barlow Semi Condensed" w:eastAsia="Barlow Semi Condensed" w:hAnsi="Barlow Semi Condensed"/>
          <w:b/>
          <w:bCs/>
          <w:sz w:val="24"/>
          <w:szCs w:val="24"/>
        </w:rPr>
        <w:t xml:space="preserve">Riga di avvertenza. Le schede qui esaminate riguardano vicende estranee alla materia dell'opera e appartenenti al corpus maggiore. Il presente atto non ne riferisce il merito, non nomina alcuna delle persone che vi compaiono e non riporta alcuno degli esiti processuali che esse recano, salvo la menzione, in forma generica e senza nomi, dei generi di irregolarità accertati. Ove il corpus maggiore venga a impiegarle, dovrà graduarle per ciò che sono: ricostruzioni di organo qualificato, e non accertamenti.</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 la classe di comparazione che non c'è, quindici agosto duemilaventisei. I settanta Capitoli restano settanta. Le redazioni anteriori non sono modificate: le pietre deposte non si scalpellano. Resta sovrana la Regola di Ferro: dove la fonte documenta, l'opera certifica; dove la fonte tace, l'opera indaga e non afferma. Un errore che dispensa dal cercare sopprime la ricerca che lo avrebbe corretto.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 · Appendice quattordicesima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2.077 parole in 9 sezioni; la più ampia è §9 Altre sezioni, con 1.750.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XII — Appendice quindicesima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quindicesima alla Fase settima,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di cui rafforza una conclusione — la non cumulabilità delle conclusioni parlamentari successive — fondandola su una causa che l'appendice settima non conosceva.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w:t>
      </w:r>
    </w:p>
    <w:p>
      <w:pPr>
        <w:pStyle w:val="Heading2"/>
        <w:spacing w:after="100" w:before="200"/>
      </w:pPr>
      <w:r>
        <w:rPr>
          <w:rFonts w:ascii="Barlow Semi Condensed" w:cs="Barlow Semi Condensed" w:eastAsia="Barlow Semi Condensed" w:hAnsi="Barlow Semi Condensed"/>
          <w:sz w:val="24"/>
          <w:szCs w:val="24"/>
        </w:rPr>
        <w:t xml:space="preserve">La relazione che non fu discussa</w:t>
      </w:r>
    </w:p>
    <w:p>
      <w:pPr>
        <w:pStyle w:val="Heading2"/>
        <w:spacing w:after="100" w:before="200"/>
      </w:pPr>
      <w:r>
        <w:rPr>
          <w:rFonts w:ascii="Barlow Semi Condensed" w:cs="Barlow Semi Condensed" w:eastAsia="Barlow Semi Condensed" w:hAnsi="Barlow Semi Condensed"/>
          <w:sz w:val="24"/>
          <w:szCs w:val="24"/>
        </w:rPr>
        <w:t xml:space="preserve">Terza relazione semestrale, XII legislatura, documento XXIII numero 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quindicesima alla Fase Settima e opera sulla terza relazione semestrale della Commissione della XII legislatura, comunicata alle Presidenze il ventuno febbraio millenovecentonovantasei e stampata come documento XXIII numero 7. Come le quattordici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copre il periodo dal venti luglio millenovecentonovantacinque al sedici febbraio millenovecentonovantasei, data del decreto di scioglimento delle Camere, ed è la relazione con la quale quella Commissione chiude i propri lavori. Essa non reca alcuna attività sul caso, e il presente atto lo dichiara subito: il suo rendimento per l'opera è di natura metodologica e non documentale.</w:t>
      </w:r>
    </w:p>
    <w:p>
      <w:pPr>
        <w:pStyle w:val="Heading2"/>
        <w:spacing w:after="100" w:before="200"/>
      </w:pPr>
      <w:r>
        <w:rPr>
          <w:rFonts w:ascii="Barlow Semi Condensed" w:cs="Barlow Semi Condensed" w:eastAsia="Barlow Semi Condensed" w:hAnsi="Barlow Semi Condensed"/>
          <w:sz w:val="24"/>
          <w:szCs w:val="24"/>
        </w:rPr>
        <w:t xml:space="preserve">Parte prima — La relazione che non fu discussa</w:t>
      </w:r>
    </w:p>
    <w:p>
      <w:pPr>
        <w:spacing w:after="120" w:line="276"/>
        <w:jc w:val="both"/>
      </w:pPr>
      <w:r>
        <w:rPr>
          <w:rFonts w:ascii="Barlow Semi Condensed" w:cs="Barlow Semi Condensed" w:eastAsia="Barlow Semi Condensed" w:hAnsi="Barlow Semi Condensed"/>
          <w:b/>
          <w:bCs/>
          <w:sz w:val="24"/>
          <w:szCs w:val="24"/>
        </w:rPr>
        <w:t xml:space="preserve">L'indice della relazione reca, in successione, quattro voci che vanno lette insieme: il deposito della proposta di relazione finale; la decisione di non porre subito in discussione il documento; lo stralcio del capitolo dedicato a una delle inchieste; l'interruzione delle attività d'inchiesta conseguente allo scioglimento anticipato delle Camere.</w:t>
      </w:r>
    </w:p>
    <w:p>
      <w:pPr>
        <w:spacing w:after="120" w:line="276"/>
        <w:jc w:val="both"/>
      </w:pPr>
      <w:r>
        <w:rPr>
          <w:rFonts w:ascii="Barlow Semi Condensed" w:cs="Barlow Semi Condensed" w:eastAsia="Barlow Semi Condensed" w:hAnsi="Barlow Semi Condensed"/>
          <w:b/>
          <w:bCs/>
          <w:sz w:val="24"/>
          <w:szCs w:val="24"/>
        </w:rPr>
        <w:t xml:space="preserve">La sequenza descrive un documento che fu redatto, depositato, non discusso, amputato di un capitolo e infine travolto dallo scioglimento. Esso non fu approvato.</w:t>
      </w:r>
    </w:p>
    <w:p>
      <w:pPr>
        <w:spacing w:after="120" w:line="276"/>
        <w:jc w:val="both"/>
      </w:pPr>
      <w:r>
        <w:rPr>
          <w:rFonts w:ascii="Barlow Semi Condensed" w:cs="Barlow Semi Condensed" w:eastAsia="Barlow Semi Condensed" w:hAnsi="Barlow Semi Condensed"/>
          <w:b/>
          <w:bCs/>
          <w:sz w:val="24"/>
          <w:szCs w:val="24"/>
        </w:rPr>
        <w:t xml:space="preserve">Si accosti questa sequenza a quanto l'appendice settima ha accertato sulla base delle due relazioni semestrali anteriori: che le relazioni trasmesse alle Camere dalle Commissioni delle legislature precedenti sono documenti la cui discussione non fu mai posta all'ordine del giorno di alcuna Assemblea. Là il difetto di deliberazione era a valle, in sede parlamentare; qui è a monte, entro l'organo medesimo, che non pose in discussione il proprio documento.</w:t>
      </w:r>
    </w:p>
    <w:p>
      <w:pPr>
        <w:spacing w:after="120" w:line="276"/>
        <w:jc w:val="both"/>
      </w:pPr>
      <w:r>
        <w:rPr>
          <w:rFonts w:ascii="Barlow Semi Condensed" w:cs="Barlow Semi Condensed" w:eastAsia="Barlow Semi Condensed" w:hAnsi="Barlow Semi Condensed"/>
          <w:b/>
          <w:bCs/>
          <w:sz w:val="24"/>
          <w:szCs w:val="24"/>
        </w:rPr>
        <w:t xml:space="preserve">Se ne trae la regola, ed è la diciottesima della serie. Una proposta di relazione depositata e non discussa non è una relazione; un capitolo stralciato non è un capitolo; una relazione approvata da un organo e non discussa dall'Assemblea non è una pronuncia dell'Assemblea. Le fonti di questa specie si designano per lo stato deliberativo che hanno effettivamente raggiunto, e il grado che conferiscono si commisura a quello stato e non alla sede nella quale furono redatte.</w:t>
      </w:r>
    </w:p>
    <w:p>
      <w:pPr>
        <w:spacing w:after="120" w:line="276"/>
        <w:jc w:val="both"/>
      </w:pPr>
      <w:r>
        <w:rPr>
          <w:rFonts w:ascii="Barlow Semi Condensed" w:cs="Barlow Semi Condensed" w:eastAsia="Barlow Semi Condensed" w:hAnsi="Barlow Semi Condensed"/>
          <w:b/>
          <w:bCs/>
          <w:sz w:val="24"/>
          <w:szCs w:val="24"/>
        </w:rPr>
        <w:t xml:space="preserve">Si dispone che, nelle redazioni successive, ogni citazione di un documento d'inchiesta rechi l'indicazione del proprio stato deliberativo: proposta depositata, documento approvato dall'organo, documento discusso in Assemblea. Le tre condizioni sono diverse e producono gradi diversi.</w:t>
      </w:r>
    </w:p>
    <w:p>
      <w:pPr>
        <w:pStyle w:val="Heading2"/>
        <w:spacing w:after="100" w:before="200"/>
      </w:pPr>
      <w:r>
        <w:rPr>
          <w:rFonts w:ascii="Barlow Semi Condensed" w:cs="Barlow Semi Condensed" w:eastAsia="Barlow Semi Condensed" w:hAnsi="Barlow Semi Condensed"/>
          <w:sz w:val="24"/>
          <w:szCs w:val="24"/>
        </w:rPr>
        <w:t xml:space="preserve">Parte seconda — L'organo teorizza la propria discontinuità</w:t>
      </w:r>
    </w:p>
    <w:p>
      <w:pPr>
        <w:spacing w:after="120" w:line="276"/>
        <w:jc w:val="both"/>
      </w:pPr>
      <w:r>
        <w:rPr>
          <w:rFonts w:ascii="Barlow Semi Condensed" w:cs="Barlow Semi Condensed" w:eastAsia="Barlow Semi Condensed" w:hAnsi="Barlow Semi Condensed"/>
          <w:b/>
          <w:bCs/>
          <w:sz w:val="24"/>
          <w:szCs w:val="24"/>
        </w:rPr>
        <w:t xml:space="preserve">La premessa metodologica della relazione contiene l'esposizione più esplicita, fra quelle incontrate oggi, dei limiti strutturali dell'inchiesta parlamentare in questa materia. Poiché essa proviene dall'organo medesimo, va riportata nella sostanza.</w:t>
      </w:r>
    </w:p>
    <w:p>
      <w:pPr>
        <w:spacing w:after="120" w:line="276"/>
        <w:jc w:val="both"/>
      </w:pPr>
      <w:r>
        <w:rPr>
          <w:rFonts w:ascii="Barlow Semi Condensed" w:cs="Barlow Semi Condensed" w:eastAsia="Barlow Semi Condensed" w:hAnsi="Barlow Semi Condensed"/>
          <w:b/>
          <w:bCs/>
          <w:sz w:val="24"/>
          <w:szCs w:val="24"/>
        </w:rPr>
        <w:t xml:space="preserve">L'organo osserva che l'estensione e l'indeterminatezza dell'ambito temporale entro il quale l'inchiesta deve concludersi nuocciono tanto alla capacità di programmare le direttrici d'indagine quanto alla possibilità concreta, per i componenti, di avere piena conoscenza di tutte le acquisizioni intervenute in un arco che decorre dal millenovecentottantotto. Osserva che, ove il termine di un'inchiesta sopravanzi la scadenza di una legislatura, il ricambio spesso massiccio dei componenti determina a carico dei subentranti un vuoto di informazione difficile da colmare. Osserva che né la struttura burocratica né l'apparato dei consulenti esterni possono garantire quella continuità, poiché la segreteria mette a disposizione il materiale ma non esime dal percorso individuale di studio, e i consulenti sono soggetti a un ricambio analogo a quello dei parlamentari.</w:t>
      </w:r>
    </w:p>
    <w:p>
      <w:pPr>
        <w:spacing w:after="120" w:line="276"/>
        <w:jc w:val="both"/>
      </w:pPr>
      <w:r>
        <w:rPr>
          <w:rFonts w:ascii="Barlow Semi Condensed" w:cs="Barlow Semi Condensed" w:eastAsia="Barlow Semi Condensed" w:hAnsi="Barlow Semi Condensed"/>
          <w:b/>
          <w:bCs/>
          <w:sz w:val="24"/>
          <w:szCs w:val="24"/>
        </w:rPr>
        <w:t xml:space="preserve">Fin qui la relazione conferma, per bocca dell'organo, ciò che l'appendice settima aveva accertato per conteggio delle composizioni.</w:t>
      </w:r>
    </w:p>
    <w:p>
      <w:pPr>
        <w:spacing w:after="120" w:line="276"/>
        <w:jc w:val="both"/>
      </w:pPr>
      <w:r>
        <w:rPr>
          <w:rFonts w:ascii="Barlow Semi Condensed" w:cs="Barlow Semi Condensed" w:eastAsia="Barlow Semi Condensed" w:hAnsi="Barlow Semi Condensed"/>
          <w:b/>
          <w:bCs/>
          <w:sz w:val="24"/>
          <w:szCs w:val="24"/>
        </w:rPr>
        <w:t xml:space="preserve">L'organo aggiunge però un elemento che l'appendice settima non aveva, e che ne modifica la conclusione. I subentranti, osserva, si trovano dinanzi all'alternativa se prendere atto dei risultati delle pregresse attività di indagine ovvero contestarne la metodologia e gli esiti, anche sulla scorta di differenti valutazioni politiche; e qualifica quest'ultimo come un rischio tanto più frequente in fasi di accentuata instabilità degli schieramenti.</w:t>
      </w:r>
    </w:p>
    <w:p>
      <w:pPr>
        <w:spacing w:after="120" w:line="276"/>
        <w:jc w:val="both"/>
      </w:pPr>
      <w:r>
        <w:rPr>
          <w:rFonts w:ascii="Barlow Semi Condensed" w:cs="Barlow Semi Condensed" w:eastAsia="Barlow Semi Condensed" w:hAnsi="Barlow Semi Condensed"/>
          <w:b/>
          <w:bCs/>
          <w:sz w:val="24"/>
          <w:szCs w:val="24"/>
        </w:rPr>
        <w:t xml:space="preserve">La conseguenza per la disciplina delle fonti è di rilievo maggiore e va enunciata per intero. Una divergenza fra le conclusioni di due Commissioni successive sul medesimo oggetto non è necessariamente una divergenza di accertamento. Essa può essere una divergenza di valutazione politica su un medesimo materiale, e l'organo dichiara di ritenerla frequente. Ne segue che le conclusioni parlamentari successive non si leggono come strati di un accertamento progressivo, e che chi ne rilevasse una divergenza non potrebbe inferirne che nuovi elementi siano intervenuti.</w:t>
      </w:r>
    </w:p>
    <w:p>
      <w:pPr>
        <w:spacing w:after="120" w:line="276"/>
        <w:jc w:val="both"/>
      </w:pPr>
      <w:r>
        <w:rPr>
          <w:rFonts w:ascii="Barlow Semi Condensed" w:cs="Barlow Semi Condensed" w:eastAsia="Barlow Semi Condensed" w:hAnsi="Barlow Semi Condensed"/>
          <w:b/>
          <w:bCs/>
          <w:sz w:val="24"/>
          <w:szCs w:val="24"/>
        </w:rPr>
        <w:t xml:space="preserve">L'appendice settima aveva già negato che quelle conclusioni si sommino, fondandosi sul ricambio dei componenti. Qui la negazione si rafforza e cambia natura: non soltanto le conoscenze non si cumulano per difetto di memoria istituzionale, ma le conclusioni possono divergere per ragione estranea alla materia. Si registra la precisazione come rafforzamento e non come correzione.</w:t>
      </w:r>
    </w:p>
    <w:p>
      <w:pPr>
        <w:spacing w:after="120" w:line="276"/>
        <w:jc w:val="both"/>
      </w:pPr>
      <w:r>
        <w:rPr>
          <w:rFonts w:ascii="Barlow Semi Condensed" w:cs="Barlow Semi Condensed" w:eastAsia="Barlow Semi Condensed" w:hAnsi="Barlow Semi Condensed"/>
          <w:b/>
          <w:bCs/>
          <w:sz w:val="24"/>
          <w:szCs w:val="24"/>
        </w:rPr>
        <w:t xml:space="preserve">L'organo aggiunge infine un argomento di ordine costituzionale che va registrato perché appartiene al genere delle constatazioni che l'opera raccoglie: l'attribuzione a un organo di derivazione parlamentare degli stessi poteri dell'autorità giudiziaria trova il proprio naturale contrappeso nella previsione dei limiti cui l'attività giurisdizionale soggiace, e fra questi la durata certa dei poteri conferiti in via non ordinaria a un organo di derivazione politica.</w:t>
      </w:r>
    </w:p>
    <w:p>
      <w:pPr>
        <w:pStyle w:val="Heading2"/>
        <w:spacing w:after="100" w:before="200"/>
      </w:pPr>
      <w:r>
        <w:rPr>
          <w:rFonts w:ascii="Barlow Semi Condensed" w:cs="Barlow Semi Condensed" w:eastAsia="Barlow Semi Condensed" w:hAnsi="Barlow Semi Condensed"/>
          <w:sz w:val="24"/>
          <w:szCs w:val="24"/>
        </w:rPr>
        <w:t xml:space="preserve">Parte terza — Una contaminazione dichiarata dentro l'archivio</w:t>
      </w:r>
    </w:p>
    <w:p>
      <w:pPr>
        <w:spacing w:after="120" w:line="276"/>
        <w:jc w:val="both"/>
      </w:pPr>
      <w:r>
        <w:rPr>
          <w:rFonts w:ascii="Barlow Semi Condensed" w:cs="Barlow Semi Condensed" w:eastAsia="Barlow Semi Condensed" w:hAnsi="Barlow Semi Condensed"/>
          <w:b/>
          <w:bCs/>
          <w:sz w:val="24"/>
          <w:szCs w:val="24"/>
        </w:rPr>
        <w:t xml:space="preserve">La relazione dedica un paragrafo, entro la trattazione di una delle inchieste, a una vicenda che va registrata perché è la sola incontrata oggi che riguardi l'affidabilità del materiale prodotto per la Commissione anziché di quello da essa acquisito.</w:t>
      </w:r>
    </w:p>
    <w:p>
      <w:pPr>
        <w:spacing w:after="120" w:line="276"/>
        <w:jc w:val="both"/>
      </w:pPr>
      <w:r>
        <w:rPr>
          <w:rFonts w:ascii="Barlow Semi Condensed" w:cs="Barlow Semi Condensed" w:eastAsia="Barlow Semi Condensed" w:hAnsi="Barlow Semi Condensed"/>
          <w:b/>
          <w:bCs/>
          <w:sz w:val="24"/>
          <w:szCs w:val="24"/>
        </w:rPr>
        <w:t xml:space="preserve">Il paragrafo è intitolato al passaggio da un sequestro al sospetto di infedeltà di alcune consulenze tecniche e alla revoca delle relative autorizzazioni.</w:t>
      </w:r>
    </w:p>
    <w:p>
      <w:pPr>
        <w:spacing w:after="120" w:line="276"/>
        <w:jc w:val="both"/>
      </w:pPr>
      <w:r>
        <w:rPr>
          <w:rFonts w:ascii="Barlow Semi Condensed" w:cs="Barlow Semi Condensed" w:eastAsia="Barlow Semi Condensed" w:hAnsi="Barlow Semi Condensed"/>
          <w:b/>
          <w:bCs/>
          <w:sz w:val="24"/>
          <w:szCs w:val="24"/>
        </w:rPr>
        <w:t xml:space="preserve">Si registra il solo fatto che l'intitolazione stabilisce, e non altro: che la Commissione nutrì sospetto di infedeltà quanto a talune consulenze tecniche e revocò le autorizzazioni relative. Il presente atto non riferisce di quali consulenze si trattasse, non nomina alcuno, e non riferisce l'esito del sospetto, che le fonti possedute non recano.</w:t>
      </w:r>
    </w:p>
    <w:p>
      <w:pPr>
        <w:spacing w:after="120" w:line="276"/>
        <w:jc w:val="both"/>
      </w:pPr>
      <w:r>
        <w:rPr>
          <w:rFonts w:ascii="Barlow Semi Condensed" w:cs="Barlow Semi Condensed" w:eastAsia="Barlow Semi Condensed" w:hAnsi="Barlow Semi Condensed"/>
          <w:b/>
          <w:bCs/>
          <w:sz w:val="24"/>
          <w:szCs w:val="24"/>
        </w:rPr>
        <w:t xml:space="preserve">La conseguenza per la disciplina delle fonti è però immediata e generale, e non dipende dall'esito. Gli elaborati di consulenza depositati presso un organo d'inchiesta non sono fonti acquisite: sono fonti prodotte per l'organo e sotto incarico dell'organo. Essi appartengono pertanto al genere che il repertorio dell'opera qualifica come produzione su commissione, e la loro genealogia risale non al fatto ma all'incarico. Ove risulti che un incarico fu revocato per sospetto di infedeltà, gli elaborati che ne discesero non perdono di per sé valore, ma non possono essere impiegati come catena indipendente rispetto alle altre consulenze rese sotto il medesimo incarico o nel medesimo procedimento.</w:t>
      </w:r>
    </w:p>
    <w:p>
      <w:pPr>
        <w:spacing w:after="120" w:line="276"/>
        <w:jc w:val="both"/>
      </w:pPr>
      <w:r>
        <w:rPr>
          <w:rFonts w:ascii="Barlow Semi Condensed" w:cs="Barlow Semi Condensed" w:eastAsia="Barlow Semi Condensed" w:hAnsi="Barlow Semi Condensed"/>
          <w:b/>
          <w:bCs/>
          <w:sz w:val="24"/>
          <w:szCs w:val="24"/>
        </w:rPr>
        <w:t xml:space="preserve">Si registra altresì la circostanza generale che ne discende e che vale per l'intero corpus maggiore: un archivio d'inchiesta contiene, accanto ai documenti acquisiti, documenti che esso stesso ha fatto produrre; e questi ultimi hanno una genealogia interna all'archivio. Chi li computi come fonti indipendenti computa come esterno ciò che l'archivio ha generato.</w:t>
      </w:r>
    </w:p>
    <w:p>
      <w:pPr>
        <w:spacing w:after="120" w:line="276"/>
        <w:jc w:val="both"/>
      </w:pPr>
      <w:r>
        <w:rPr>
          <w:rFonts w:ascii="Barlow Semi Condensed" w:cs="Barlow Semi Condensed" w:eastAsia="Barlow Semi Condensed" w:hAnsi="Barlow Semi Condensed"/>
          <w:b/>
          <w:bCs/>
          <w:sz w:val="24"/>
          <w:szCs w:val="24"/>
        </w:rPr>
        <w:t xml:space="preserve">Voce quarantanovesima — Gli elaborati di consulenza e la revoca delle autorizzazioni. Oggetto: l'elenco degli elaborati depositati dai consulenti presso la Commissione della XII legislatura, con l'indicazione dell'incarico che li generò; e gli atti relativi alla revoca delle autorizzazioni di cui al paragrafo richiamato. Sede: atti della Commissione della XII legislatura. Chiusura: reperimento dell'elenco e degli atti di revoca. Smentita: la constatazione che la revoca riguardasse consulenze estranee alle materie del corpus maggiore, nel qual caso la voce si chiuderebbe senza conseguenze sulla graduazione degli elaborati.</w:t>
      </w:r>
    </w:p>
    <w:p>
      <w:pPr>
        <w:pStyle w:val="Heading2"/>
        <w:spacing w:after="100" w:before="200"/>
      </w:pPr>
      <w:r>
        <w:rPr>
          <w:rFonts w:ascii="Barlow Semi Condensed" w:cs="Barlow Semi Condensed" w:eastAsia="Barlow Semi Condensed" w:hAnsi="Barlow Semi Condensed"/>
          <w:sz w:val="24"/>
          <w:szCs w:val="24"/>
        </w:rPr>
        <w:t xml:space="preserve">Parte quarta — Il semestre, e ciò che non contiene</w:t>
      </w:r>
    </w:p>
    <w:p>
      <w:pPr>
        <w:spacing w:after="120" w:line="276"/>
        <w:jc w:val="both"/>
      </w:pPr>
      <w:r>
        <w:rPr>
          <w:rFonts w:ascii="Barlow Semi Condensed" w:cs="Barlow Semi Condensed" w:eastAsia="Barlow Semi Condensed" w:hAnsi="Barlow Semi Condensed"/>
          <w:b/>
          <w:bCs/>
          <w:sz w:val="24"/>
          <w:szCs w:val="24"/>
        </w:rPr>
        <w:t xml:space="preserve">L'elenco delle audizioni e degli incontri di studio del semestre comprende sedute dedicate allo stato della lotta al terrorismo, a un'organizzazione rivendicatrice, alle stragi e ai depistaggi, all'inchiesta sul disastro aereo, e a una vicenda criminale degli anni novanta; e comprende audizioni di un Ministro dell'interno, di un direttore del servizio informativo militare, di dirigenti di polizia, di ufficiali, di magistrati e di studiosi, oltre a incontri di lavoro con consulenti.</w:t>
      </w:r>
    </w:p>
    <w:p>
      <w:pPr>
        <w:spacing w:after="120" w:line="276"/>
        <w:jc w:val="both"/>
      </w:pPr>
      <w:r>
        <w:rPr>
          <w:rFonts w:ascii="Barlow Semi Condensed" w:cs="Barlow Semi Condensed" w:eastAsia="Barlow Semi Condensed" w:hAnsi="Barlow Semi Condensed"/>
          <w:b/>
          <w:bCs/>
          <w:sz w:val="24"/>
          <w:szCs w:val="24"/>
        </w:rPr>
        <w:t xml:space="preserve">Nessuna seduta del semestre è dedicata al caso.</w:t>
      </w:r>
    </w:p>
    <w:p>
      <w:pPr>
        <w:spacing w:after="120" w:line="276"/>
        <w:jc w:val="both"/>
      </w:pPr>
      <w:r>
        <w:rPr>
          <w:rFonts w:ascii="Barlow Semi Condensed" w:cs="Barlow Semi Condensed" w:eastAsia="Barlow Semi Condensed" w:hAnsi="Barlow Semi Condensed"/>
          <w:b/>
          <w:bCs/>
          <w:sz w:val="24"/>
          <w:szCs w:val="24"/>
        </w:rPr>
        <w:t xml:space="preserve">Si registra l'esito negativo. Gli atti individuati per seduta e per data in questa relazione appartengono al corpus maggiore e non all'opera, e vi si iscrivono per quella via. Si segnala fra essi, per il solo interesse di designazione, che tre sedute sono dedicate a stragi e depistaggi e una all'ultimo sviluppo dell'indagine su un attentato del millenovecentosessantanove: sono le uniche del semestre che tocchino materie contigue a quelle già censite dalle appendici anteriori.</w:t>
      </w:r>
    </w:p>
    <w:p>
      <w:pPr>
        <w:pStyle w:val="Heading2"/>
        <w:spacing w:after="100" w:before="200"/>
      </w:pPr>
      <w:r>
        <w:rPr>
          <w:rFonts w:ascii="Barlow Semi Condensed" w:cs="Barlow Semi Condensed" w:eastAsia="Barlow Semi Condensed" w:hAnsi="Barlow Semi Condensed"/>
          <w:sz w:val="24"/>
          <w:szCs w:val="24"/>
        </w:rPr>
        <w:t xml:space="preserve">Parte quinta — La catena legislativa</w:t>
      </w:r>
    </w:p>
    <w:p>
      <w:pPr>
        <w:spacing w:after="120" w:line="276"/>
        <w:jc w:val="both"/>
      </w:pPr>
      <w:r>
        <w:rPr>
          <w:rFonts w:ascii="Barlow Semi Condensed" w:cs="Barlow Semi Condensed" w:eastAsia="Barlow Semi Condensed" w:hAnsi="Barlow Semi Condensed"/>
          <w:b/>
          <w:bCs/>
          <w:sz w:val="24"/>
          <w:szCs w:val="24"/>
        </w:rPr>
        <w:t xml:space="preserve">La relazione reca, nella propria intitolazione, la catena delle leggi che governano l'organo, e la si registra perché essa è uno strumento di designazione e non un dato formale.</w:t>
      </w:r>
    </w:p>
    <w:p>
      <w:pPr>
        <w:spacing w:after="120" w:line="276"/>
        <w:jc w:val="both"/>
      </w:pPr>
      <w:r>
        <w:rPr>
          <w:rFonts w:ascii="Barlow Semi Condensed" w:cs="Barlow Semi Condensed" w:eastAsia="Barlow Semi Condensed" w:hAnsi="Barlow Semi Condensed"/>
          <w:b/>
          <w:bCs/>
          <w:sz w:val="24"/>
          <w:szCs w:val="24"/>
        </w:rPr>
        <w:t xml:space="preserve">La Commissione è istituita con la legge del ventitré dicembre millenovecentonovantadue numero 499, la quale richiama la legge del diciassette maggio millenovecentottantotto numero 172 e le sue successive modificazioni; quella legge a sua volta assegna fra i propri oggetti, come l'appendice dodicesima ha accertato, l'integrazione delle conoscenze acquisite dalla Commissione istituita con la legge del ventitré novembre millenovecentosettantanove numero 597. Il termine dei lavori, fissato al trenta dicembre millenovecentonovantacinque, è prorogato di un anno con la legge del diciannove dicembre millenovecentonovantacinque numero 538.</w:t>
      </w:r>
    </w:p>
    <w:p>
      <w:pPr>
        <w:spacing w:after="120" w:line="276"/>
        <w:jc w:val="both"/>
      </w:pPr>
      <w:r>
        <w:rPr>
          <w:rFonts w:ascii="Barlow Semi Condensed" w:cs="Barlow Semi Condensed" w:eastAsia="Barlow Semi Condensed" w:hAnsi="Barlow Semi Condensed"/>
          <w:b/>
          <w:bCs/>
          <w:sz w:val="24"/>
          <w:szCs w:val="24"/>
        </w:rPr>
        <w:t xml:space="preserve">Quattro leggi in tredici anni, ciascuna delle quali richiama la precedente. Ne segue che le tre Commissioni non sono tre organi distinti che si occuparono per caso della medesima materia, ma un solo mandato rinnovato per rinvio legislativo. Ne segue altresì che la designazione di una fonte come atto di una Commissione va accompagnata dall'indicazione della legge sotto la quale l'organo operava, poiché l'oggetto del mandato mutò per legge almeno una volta, nel giugno millenovecentonovantuno.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iscrive la Voce quarantanovesima. Si enuncia la diciottesima regola della risalita. Si dispone che ogni citazione di documento d'inchiesta rechi l'indicazione del proprio stato deliberativo. Si registra il rafforzamento della conclusione dell'appendice settima quanto alla non cumulabilità delle conclusioni parlamentari successive.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proposta di relazione finale della XII legislatura, depositata e non discussa, non è posseduta; e non è accertato se essa contenesse trattazione del caso. Secondo: il capitolo stralciato non è posseduto e non è accertato se dello stralcio esista atto motivato. Terzo: gli atti relativi alla revoca delle autorizzazioni non sono posseduti. Quarto: la relazione conclusiva della XII legislatura non risulta essere stata approvata, e il presente atto non accerta se una relazione conclusiva di quella legislatura esista.</w:t>
      </w:r>
    </w:p>
    <w:p>
      <w:pPr>
        <w:spacing w:after="120" w:line="276"/>
        <w:jc w:val="both"/>
      </w:pPr>
      <w:r>
        <w:rPr>
          <w:rFonts w:ascii="Barlow Semi Condensed" w:cs="Barlow Semi Condensed" w:eastAsia="Barlow Semi Condensed" w:hAnsi="Barlow Semi Condensed"/>
          <w:b/>
          <w:bCs/>
          <w:sz w:val="24"/>
          <w:szCs w:val="24"/>
        </w:rPr>
        <w:t xml:space="preserve">Si osservi che il quarto Stato Zero, ove confermato, chiuderebbe negativamente una ricerca aperta dall'appendice settima: essa aveva spostato la verifica sull'esecuzione della raccomandazione relativa al repertorio del Gabinetto verso gli indici di acquisizione e la relazione conclusiva della XII legislatura. Se quella relazione non fu approvata, resta il solo primo termine.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tredicesima del giorno sul medesimo cantiere. Cantiere: designazione per atto delle fonti. Materia: la terza relazione semestrale della XII legislatura, con la quale quella Commissione chiude i propri lavori.</w:t>
      </w:r>
    </w:p>
    <w:p>
      <w:pPr>
        <w:spacing w:after="120" w:line="276"/>
        <w:jc w:val="both"/>
      </w:pPr>
      <w:r>
        <w:rPr>
          <w:rFonts w:ascii="Barlow Semi Condensed" w:cs="Barlow Semi Condensed" w:eastAsia="Barlow Semi Condensed" w:hAnsi="Barlow Semi Condensed"/>
          <w:b/>
          <w:bCs/>
          <w:sz w:val="24"/>
          <w:szCs w:val="24"/>
        </w:rPr>
        <w:t xml:space="preserve">Esito positivo: accertamento che la proposta di relazione finale fu depositata, non posta in discussione e amputata di un capitolo, con enunciazione della diciottesima regola della risalita e disposizione sull'indicazione dello stato deliberativo; acquisizione della teorizzazione, da parte dell'organo medesimo, della discontinuità di memoria istituzionale, con l'aggiunta decisiva che le divergenze fra Commissioni successive possono avere causa politica anziché istruttoria; registrazione della revoca di autorizzazioni a consulenze per sospetto di infedeltà, con la conseguente disciplina sugli elaborati prodotti su incarico dell'organo; ricostruzione della catena delle quattro leggi che governano il mandato dal millenovecentosettantanove al millenovecentonovantasei;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nessuna seduta del semestre è dedicata al caso; la proposta di relazione non è posseduta; il capitolo stralciato non è posseduto; gli atti di revoca non sono posseduti; non risulta che la XII legislatura abbia approvato una relazione conclusiva, il che restringe negativamente una ricerca aperta dall'appendice settima.</w:t>
      </w:r>
    </w:p>
    <w:p>
      <w:pPr>
        <w:spacing w:after="120" w:line="276"/>
        <w:jc w:val="both"/>
      </w:pPr>
      <w:r>
        <w:rPr>
          <w:rFonts w:ascii="Barlow Semi Condensed" w:cs="Barlow Semi Condensed" w:eastAsia="Barlow Semi Condensed" w:hAnsi="Barlow Semi Condensed"/>
          <w:b/>
          <w:bCs/>
          <w:sz w:val="24"/>
          <w:szCs w:val="24"/>
        </w:rPr>
        <w:t xml:space="preserve">Riga di rafforzamento. Si registra che una conclusione dell'appendice settima — la non cumulabilità delle conclusioni parlamentari successive — è qui confermata dalla fonte e insieme fondata su una causa che l'appendice settima non conosceva. Un rafforzamento di questa specie vale quanto una correzione, poiché una conclusione esatta per la ragione sbagliata è esposta a cadere insieme alla ragione.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merito di alcuna delle inchieste menzionate, non nomina alcuna delle persone che compaiono nell'elenco delle sedute, e in particolare non riferisce a quali consulenze si riferisse il sospetto di infedeltà né quale ne fu l'esito, che le fonti possedute non recano. La registrazione di quel sospetto è fatta ai soli fini della disciplina di graduazione degli elaborati prodotti su incarico, e non implica alcun giudizio su alcuno.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 la relazione che non fu discussa, quindici agosto duemilaventisei. I settanta Capitoli restano settanta. Le redazioni anteriori non sono modificate: le pietre deposte non si scalpellano. Resta sovrana la Regola di Ferro: dove la fonte documenta, l'opera certifica; dove la fonte tace, l'opera indaga e non afferma. Una proposta depositata e non discussa non è una relazione, e le fonti si designano per lo stato deliberativo che hanno raggiunto.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XII · Appendice quindicesima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1.999 parole in 9 sezioni; la più ampia è §9 Altre sezioni, con 1.640.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Il repertorio del caso</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 Libro decimo · Il repertorio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2.000 parole in 4 sezioni; la più ampia è §3 Segmento 3, con 628.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36 paragrafi in 4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 Il principio personalistico</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Il principio personalistico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2.378 parole in 4 sezioni; la più ampia è §2 Segmento 2, con 672.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8 indirizzi di fonte citati, addensati in 3 sezioni su 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La prosopografia dei tredici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2.945 parole in 9 sezioni; la più ampia è §9 Altre sezioni, con 1.242.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20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Moro alla Farnesina (collazione)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1.580 parole in 3 sezioni; la più ampia è §2 I documenti, con 946.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22 paragrafi in 3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 La ricognizione-madre: Moro ministro degli Esteri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ricognizione-madre: Moro ministro degli Esteri 1969-197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4.765 parole in 9 sezioni; la più ampia è §9 Altre sezioni, con 1.620.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III. Germania e Opus Dei 1952-1985</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Germania e Opus Dei 1952-1985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5.715 parole in 9 sezioni; la più ampia è §9 Altre sezioni, con 2.224.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71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IV. La Santa Sede e le due Germanie: la sequenza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e le due Germanie: la sequenza Oder-Neisse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6.066 parole in 9 sezioni; la più ampia è §9 Altre sezioni, con 2.294.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35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 Portogallo e Opus Dei</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4.705 parole in 5 sezioni; la più ampia è §3 Details, con 4.005.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 Portogallo e Santa Sede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Santa Sede 1969-1974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6.427 parole in 5 sezioni; la più ampia è §3 Details, con 5.802.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39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 Grecia e Opus Dei 1969-1985</w:t>
      </w:r>
    </w:p>
    <w:p>
      <w:pPr>
        <w:spacing w:after="120" w:line="276"/>
        <w:jc w:val="both"/>
      </w:pPr>
      <w:r>
        <w:rPr>
          <w:rFonts w:ascii="Barlow Semi Condensed" w:cs="Barlow Semi Condensed" w:eastAsia="Barlow Semi Condensed" w:hAnsi="Barlow Semi Condensed"/>
          <w:sz w:val="24"/>
          <w:szCs w:val="24"/>
        </w:rPr>
        <w:t xml:space="preserve">and# 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Grecia e Opus Dei 1969-1985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6.225 parole in 9 sezioni; la più ampia è §9 Altre sezioni, con 2.358.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26 indirizzi di fonte citati, addensati in 4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VIII. Turchia e Opus Dei 1969-1975</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Turchia e Opus Dei 1969-1975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9.166 parole in 5 sezioni; la più ampia è §3 Details, con 8.219.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103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IX. La Santa Sede, la Turchia e l’attentato del 1981</w:t>
      </w:r>
    </w:p>
    <w:p>
      <w:pPr>
        <w:spacing w:after="120" w:line="276"/>
        <w:jc w:val="both"/>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la Turchia e l’attentato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8.071 parole in 6 sezioni; la più ampia è §3 Segmento 3, con 1.610.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37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Documenti italiani e spagnoli,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5.976 parole in 9 sezioni; la più ampia è §9 Altre sezioni, con 2.473.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63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](originali/)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triangolazione della seconda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5.808 parole in 9 sezioni; la più ampia è §9 Altre sezioni, con 1.823.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78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 documenti del Dipartimento di Stato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1.713 parole in 3 sezioni; la più ampia è §1 Strato I, con 831.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Le pene oltre confine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1.625 parole in 7 sezioni; la più ampia è §7 Capitolo VI, con 368.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9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IV — Aldo Moro Alla Farnesina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Terza ricognizione: la Spagna tecnocratica, la Santa Sede, quattro triangolazioni</w:t>
      </w:r>
    </w:p>
    <w:p>
      <w:pPr>
        <w:pStyle w:val="Heading2"/>
        <w:spacing w:after="100" w:before="200"/>
      </w:pPr>
      <w:r>
        <w:rPr>
          <w:rFonts w:ascii="Barlow Semi Condensed" w:cs="Barlow Semi Condensed" w:eastAsia="Barlow Semi Condensed" w:hAnsi="Barlow Semi Condensed"/>
          <w:sz w:val="24"/>
          <w:szCs w:val="24"/>
        </w:rPr>
        <w:t xml:space="preserve">Con documento primario CIA del 22 maggio 1970, classificazione originaria SEGRETO</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sette Stati Zero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e disciplina della lunghezza</w:t>
      </w:r>
    </w:p>
    <w:p>
      <w:pPr>
        <w:spacing w:after="120" w:line="276"/>
        <w:jc w:val="both"/>
      </w:pPr>
      <w:r>
        <w:rPr>
          <w:rFonts w:ascii="Barlow Semi Condensed" w:cs="Barlow Semi Condensed" w:eastAsia="Barlow Semi Condensed" w:hAnsi="Barlow Semi Condensed"/>
          <w:b/>
          <w:bCs/>
          <w:sz w:val="24"/>
          <w:szCs w:val="24"/>
        </w:rPr>
        <w:t xml:space="preserve">Questo è il terzo studio prodotto sul medesimo perimetro. Il primo ricostruì l'attività ministeriale di Moro e i versanti spagnolo e vaticano; il secondo verificò l'accessibilità degli archivi e produsse quattro correzioni; il presente aggiunge il versante dell'Opus Dei come soggetto storico e ne cerca le triangolazioni.</w:t>
      </w:r>
    </w:p>
    <w:p>
      <w:pPr>
        <w:spacing w:after="120" w:line="276"/>
        <w:jc w:val="both"/>
      </w:pPr>
      <w:r>
        <w:rPr>
          <w:rFonts w:ascii="Barlow Semi Condensed" w:cs="Barlow Semi Condensed" w:eastAsia="Barlow Semi Condensed" w:hAnsi="Barlow Semi Condensed"/>
          <w:b/>
          <w:bCs/>
          <w:sz w:val="24"/>
          <w:szCs w:val="24"/>
        </w:rPr>
        <w:t xml:space="preserve">Sulla lunghezza va detta una cosa prima di ogni altra. L'ordine ricevuto prescriveva dodici capitoli di oltre duemilacinquecento parole ciascuno, per un totale superiore a trentamila parole. Tale misura non è sostenibile sul materiale documentale disponibile, e la ragione non è di pigrizia ma di onestà: l'incrocio fra l'attività ministeriale di Aldo Moro e l'Opus Dei come soggetto storico è documentato da un numero circoscritto di fatti, e ogni parola aggiunta oltre quel numero sarebbe parafrasi, ripetizione o invenzione.</w:t>
      </w:r>
    </w:p>
    <w:p>
      <w:pPr>
        <w:spacing w:after="120" w:line="276"/>
        <w:jc w:val="both"/>
      </w:pPr>
      <w:r>
        <w:rPr>
          <w:rFonts w:ascii="Barlow Semi Condensed" w:cs="Barlow Semi Condensed" w:eastAsia="Barlow Semi Condensed" w:hAnsi="Barlow Semi Condensed"/>
          <w:b/>
          <w:bCs/>
          <w:sz w:val="24"/>
          <w:szCs w:val="24"/>
        </w:rPr>
        <w:t xml:space="preserve">Si è dunque adottata la disciplina che il progetto applica a sé stesso: ogni capitolo è lungo quanto il materiale che lo sostiene. Dove le fonti sono abbondanti il capitolo è esteso; dove sono scarse è breve e ne dichiara la ragione; dove sono assenti il capitolo registra uno Stato Zero e si ferma. Un capitolo di trecento parole che dichiari un'assenza vale più di duemila parole che la diluiscano, e in questa materia il secondo genere di scrittura è il vero pericolo: la prosa plausibile prodotta senza materia sotto è ciò che il lettore scambia per fondatezza.</w:t>
      </w:r>
    </w:p>
    <w:p>
      <w:pPr>
        <w:spacing w:after="120" w:line="276"/>
        <w:jc w:val="both"/>
      </w:pPr>
      <w:r>
        <w:rPr>
          <w:rFonts w:ascii="Barlow Semi Condensed" w:cs="Barlow Semi Condensed" w:eastAsia="Barlow Semi Condensed" w:hAnsi="Barlow Semi Condensed"/>
          <w:b/>
          <w:bCs/>
          <w:sz w:val="24"/>
          <w:szCs w:val="24"/>
        </w:rPr>
        <w:t xml:space="preserve">Sulla disciplina dell'inferenza si richiamano tre regole vincolanti per tutto il seguito. Prima: l'appartenenza di una persona a un'organizzazione non è una condotta dell'organizzazione, e da essa non si inferisce alcuna azione collettiva. Seconda: la contemporaneità di due fatti non è un nesso fra essi, e va classificata come contemporaneità e non come convergenza. Terza: dove la pubblicistica affermi ciò che gli atti non attestano, l'affermazione va riportata e qualificata come non sostenuta, non taciuta.</w:t>
      </w:r>
    </w:p>
    <w:p>
      <w:pPr>
        <w:spacing w:after="120" w:line="276"/>
        <w:jc w:val="both"/>
      </w:pPr>
      <w:r>
        <w:rPr>
          <w:rFonts w:ascii="Barlow Semi Condensed" w:cs="Barlow Semi Condensed" w:eastAsia="Barlow Semi Condensed" w:hAnsi="Barlow Semi Condensed"/>
          <w:b/>
          <w:bCs/>
          <w:sz w:val="24"/>
          <w:szCs w:val="24"/>
        </w:rPr>
        <w:t xml:space="preserve">Sul soggetto Opus Dei occorre inoltre una precisazione di metodo che nessuno degli studi precedenti richiedeva. Si tratta di un ente ecclesiale esistente, e la letteratura che lo riguarda è divisa fra apologetica e polemica in misura maggiore di quanto avvenga per gli altri soggetti trattati. Si è pertanto adottato il criterio di impiegare, ove disponibile, la fonte ufficiale dell'ente medesimo per i dati di fatto verificabili — segnatamente l'elenco dei propri membri che furono ministri — e di verificarla contro fonti indipendenti. Tale criterio non è deferenza: è la regola ordinaria per la quale un'organizzazione è la fonte migliore sui propri iscritti, e la peggiore sulle proprie responsabilità.</w:t>
      </w:r>
    </w:p>
    <w:p>
      <w:pPr>
        <w:spacing w:after="120" w:line="276"/>
        <w:jc w:val="both"/>
      </w:pPr>
      <w:r>
        <w:rPr>
          <w:rFonts w:ascii="Barlow Semi Condensed" w:cs="Barlow Semi Condensed" w:eastAsia="Barlow Semi Condensed" w:hAnsi="Barlow Semi Condensed"/>
          <w:b/>
          <w:bCs/>
          <w:sz w:val="24"/>
          <w:szCs w:val="24"/>
        </w:rPr>
        <w:t xml:space="preserve">Il ritrovamento principale di questa passata è un documento primario statunitense desecretato che nessuna delle due precedenti aveva prodotto, e che è esposto al Capitolo quarto. Esso contiene, fra l'altro, l'unica interazione italo-spagnola documentata del quinquennio ministeriale di Moro che questa ricerca abbia reperito, ed è una interazione negativa.</w:t>
      </w:r>
    </w:p>
    <w:p>
      <w:pPr>
        <w:pStyle w:val="Heading2"/>
        <w:spacing w:after="100" w:before="200"/>
      </w:pPr>
      <w:r>
        <w:rPr>
          <w:rFonts w:ascii="Barlow Semi Condensed" w:cs="Barlow Semi Condensed" w:eastAsia="Barlow Semi Condensed" w:hAnsi="Barlow Semi Condensed"/>
          <w:sz w:val="24"/>
          <w:szCs w:val="24"/>
        </w:rPr>
        <w:t xml:space="preserve">Capitolo secondo — L'Opus Dei nei governi di Franco: il dato numerico e la sua interpretazione</w:t>
      </w:r>
    </w:p>
    <w:p>
      <w:pPr>
        <w:spacing w:after="120" w:line="276"/>
        <w:jc w:val="both"/>
      </w:pPr>
      <w:r>
        <w:rPr>
          <w:rFonts w:ascii="Barlow Semi Condensed" w:cs="Barlow Semi Condensed" w:eastAsia="Barlow Semi Condensed" w:hAnsi="Barlow Semi Condensed"/>
          <w:b/>
          <w:bCs/>
          <w:sz w:val="24"/>
          <w:szCs w:val="24"/>
        </w:rPr>
        <w:t xml:space="preserve">Il fatto storico da cui muovere è verificabile e non controverso nella sua sostanza numerica, mentre è fortemente controverso nella sua interpretazione. Conviene separare i due piani.</w:t>
      </w:r>
    </w:p>
    <w:p>
      <w:pPr>
        <w:spacing w:after="120" w:line="276"/>
        <w:jc w:val="both"/>
      </w:pPr>
      <w:r>
        <w:rPr>
          <w:rFonts w:ascii="Barlow Semi Condensed" w:cs="Barlow Semi Condensed" w:eastAsia="Barlow Semi Condensed" w:hAnsi="Barlow Semi Condensed"/>
          <w:b/>
          <w:bCs/>
          <w:sz w:val="24"/>
          <w:szCs w:val="24"/>
        </w:rPr>
        <w:t xml:space="preserve">Il dato. La fonte ufficiale dell'ente — un documento pubblicato da opusdei.org sotto il titolo che designa la formula «i ministri dell'Opus Dei» come una consegna falangista — afferma che nei governi di Franco vi furono ministri membri dell'Opus Dei in numero di otto su un totale di centosedici. Di questi, uno morì in incidente stradale tre mesi dopo la nomina; tre occuparono un dicastero in un solo gabinetto; quattro soltanto furono riconfermati, e sono Alberto Ullastres, Mariano Navarro Rubio, Laureano López Rodó e Gregorio López Bravo. I primi due entrarono nel governo nel febbraio 1957.</w:t>
      </w:r>
    </w:p>
    <w:p>
      <w:pPr>
        <w:spacing w:after="120" w:line="276"/>
        <w:jc w:val="both"/>
      </w:pPr>
      <w:r>
        <w:rPr>
          <w:rFonts w:ascii="Barlow Semi Condensed" w:cs="Barlow Semi Condensed" w:eastAsia="Barlow Semi Condensed" w:hAnsi="Barlow Semi Condensed"/>
          <w:b/>
          <w:bCs/>
          <w:sz w:val="24"/>
          <w:szCs w:val="24"/>
        </w:rPr>
        <w:t xml:space="preserve">La classificazione indipendente. Rafael Gómez Pérez, nello studio \El franquismo y la Iglesia\ (Madrid 1986), propone una ripartizione dei ministri di Franco fra il 1938 e il 1975 che la fonte ufficiale riporta e che è utile perché disaggrega: militari trentuno, nessuno dell'Opus Dei; falangisti ventisette, uno solo, Fernando Herrero Tejedor; monarchici nove, nessuno; gruppo Herrera dieci, nessuno; tecnici dell'equipe Carrero quindici, quattro — Espinosa, García-Moncó, López Rodó, Mortes; tecnici dell'equipe Arias Navarro sette, nessuno; personalità isolate diciannove, tre. La ripartizione è definita discutibile dalla fonte medesima che la riporta, ma il suo valore sta nel mostrare che l'appartenenza si concentra in una sola delle sette categorie.</w:t>
      </w:r>
    </w:p>
    <w:p>
      <w:pPr>
        <w:spacing w:after="120" w:line="276"/>
        <w:jc w:val="both"/>
      </w:pPr>
      <w:r>
        <w:rPr>
          <w:rFonts w:ascii="Barlow Semi Condensed" w:cs="Barlow Semi Condensed" w:eastAsia="Barlow Semi Condensed" w:hAnsi="Barlow Semi Condensed"/>
          <w:b/>
          <w:bCs/>
          <w:sz w:val="24"/>
          <w:szCs w:val="24"/>
        </w:rPr>
        <w:t xml:space="preserve">Le persone e le date. Alberto Ullastres, cattedratico di Economia, ministro del Commercio dal 1957; Mariano Navarro Rubio, ministro delle Finanze dal 1957; Laureano López Rodó, cattedratico di Diritto amministrativo, commissario del Piano di sviluppo dal 1962 e ministro degli Esteri dal giugno 1973 al gennaio 1974; Gregorio López Bravo, ministro dell'Industria dal luglio 1962 e ministro degli Esteri dal 29 ottobre 1969 al giugno 1973; Juan José Espinosa San Martín, Finanze 1965-1969; Faustino García-Moncó, Commercio; Vicente Mortes Alfonso. Le fonti divergono sull'estremo finale del mandato di López Bravo agli Esteri: giugno 1973 secondo la maggior parte, con una fonte che indica erroneamente il 1975.</w:t>
      </w:r>
    </w:p>
    <w:p>
      <w:pPr>
        <w:spacing w:after="120" w:line="276"/>
        <w:jc w:val="both"/>
      </w:pPr>
      <w:r>
        <w:rPr>
          <w:rFonts w:ascii="Barlow Semi Condensed" w:cs="Barlow Semi Condensed" w:eastAsia="Barlow Semi Condensed" w:hAnsi="Barlow Semi Condensed"/>
          <w:b/>
          <w:bCs/>
          <w:sz w:val="24"/>
          <w:szCs w:val="24"/>
        </w:rPr>
        <w:t xml:space="preserve">Il punto di sostanza, e va enunciato con precisione. Due dei quattro ministri riconfermati furono, in successione, i titolari degli Esteri spagnoli negli anni in cui Moro teneva la Farnesina. López Bravo lo fu dal 29 ottobre 1969 al giugno 1973; López Rodó dal giugno 1973 al gennaio 1974. Ne discende che per la quasi totalità del primo mandato ministeriale di Moro e per l'inizio del secondo, l'interlocutore spagnolo istituzionale della Farnesina appartenne all'Opus Dei.</w:t>
      </w:r>
    </w:p>
    <w:p>
      <w:pPr>
        <w:spacing w:after="120" w:line="276"/>
        <w:jc w:val="both"/>
      </w:pPr>
      <w:r>
        <w:rPr>
          <w:rFonts w:ascii="Barlow Semi Condensed" w:cs="Barlow Semi Condensed" w:eastAsia="Barlow Semi Condensed" w:hAnsi="Barlow Semi Condensed"/>
          <w:b/>
          <w:bCs/>
          <w:sz w:val="24"/>
          <w:szCs w:val="24"/>
        </w:rPr>
        <w:t xml:space="preserve">Ciò che questo dato NON stabilisce, e va detto con la medesima chiarezza: non stabilisce che l'azione diplomatica spagnola fosse azione dell'Opus Dei; non stabilisce che Moro avesse rapporti con l'ente; non stabilisce alcun coordinamento. Stabilisce una comunanza di ambiente istituzionale e nulla di più. La fonte ufficiale dell'ente osserva anzi che i ministri appartenenti ebbero fra loro frequenti disaccordi, e che le loro carriere seguirono percorsi disparati, legandosi a personalità di profilo e affinità politica variati: la lettura monolitica non è sostenuta.</w:t>
      </w:r>
    </w:p>
    <w:p>
      <w:pPr>
        <w:pStyle w:val="Heading2"/>
        <w:spacing w:after="100" w:before="200"/>
      </w:pPr>
      <w:r>
        <w:rPr>
          <w:rFonts w:ascii="Barlow Semi Condensed" w:cs="Barlow Semi Condensed" w:eastAsia="Barlow Semi Condensed" w:hAnsi="Barlow Semi Condensed"/>
          <w:sz w:val="24"/>
          <w:szCs w:val="24"/>
        </w:rPr>
        <w:t xml:space="preserve">Capitolo terzo — Il caso MATESA e la formazione del governo che sedette di fronte a Moro</w:t>
      </w:r>
    </w:p>
    <w:p>
      <w:pPr>
        <w:spacing w:after="120" w:line="276"/>
        <w:jc w:val="both"/>
      </w:pPr>
      <w:r>
        <w:rPr>
          <w:rFonts w:ascii="Barlow Semi Condensed" w:cs="Barlow Semi Condensed" w:eastAsia="Barlow Semi Condensed" w:hAnsi="Barlow Semi Condensed"/>
          <w:b/>
          <w:bCs/>
          <w:sz w:val="24"/>
          <w:szCs w:val="24"/>
        </w:rPr>
        <w:t xml:space="preserve">Il caso MATESA è rilevante per questa ricerca non in sé, ma perché il rimpasto che ne conseguì determinò l'identità dell'interlocutore spagnolo della Farnesina. La cronologia va perciò esposta con esattezza.</w:t>
      </w:r>
    </w:p>
    <w:p>
      <w:pPr>
        <w:spacing w:after="120" w:line="276"/>
        <w:jc w:val="both"/>
      </w:pPr>
      <w:r>
        <w:rPr>
          <w:rFonts w:ascii="Barlow Semi Condensed" w:cs="Barlow Semi Condensed" w:eastAsia="Barlow Semi Condensed" w:hAnsi="Barlow Semi Condensed"/>
          <w:b/>
          <w:bCs/>
          <w:sz w:val="24"/>
          <w:szCs w:val="24"/>
        </w:rPr>
        <w:t xml:space="preserve">23 luglio 1969. Víctor Castro Sanmartín, direttore generale delle Dogane, denuncia MATESA — Maquinaria Textil del Norte de España, fondata nel 1956 dalle famiglie Vilá e Huarte, con centri decisionali a Barcellona e produzione a Pamplona — al Tribunale dei delitti monetari. Segue l'intervento sull'azienda e l'arresto del principale azionista Juan Vilá Reyes, che le fonti indicano come membro dell'Opus Dei, insieme ad altri azionisti e dirigenti. Una fonte data l'arresto al 28 luglio. Il debito verso il Banco de Crédito Industrial, banca pubblica diretta da José González Robatto, ammontava a diecimila milioni di pesetas, corrispondenti secondo la valutazione statunitense coeva a circa centoquarantatre milioni di dollari. Le esportazioni che avevano fondato la concessione dei crediti risultarono un montaggio.</w:t>
      </w:r>
    </w:p>
    <w:p>
      <w:pPr>
        <w:spacing w:after="120" w:line="276"/>
        <w:jc w:val="both"/>
      </w:pPr>
      <w:r>
        <w:rPr>
          <w:rFonts w:ascii="Barlow Semi Condensed" w:cs="Barlow Semi Condensed" w:eastAsia="Barlow Semi Condensed" w:hAnsi="Barlow Semi Condensed"/>
          <w:b/>
          <w:bCs/>
          <w:sz w:val="24"/>
          <w:szCs w:val="24"/>
        </w:rPr>
        <w:t xml:space="preserve">Il primo rilievo va registrato perché smonta la lettura monolitica. Il funzionario che denunciò il caso — il direttore generale delle Dogane — era anch'egli membro dell'Opus Dei, e la circostanza è riportata dalla fonte ufficiale dell'ente citando le memorie di Navarro Rubio. Un'organizzazione i cui membri si denunciano reciprocamente non agisce come soggetto unitario, e questo è un dato empirico contro l'inferenza collettiva.</w:t>
      </w:r>
    </w:p>
    <w:p>
      <w:pPr>
        <w:spacing w:after="120" w:line="276"/>
        <w:jc w:val="both"/>
      </w:pPr>
      <w:r>
        <w:rPr>
          <w:rFonts w:ascii="Barlow Semi Condensed" w:cs="Barlow Semi Condensed" w:eastAsia="Barlow Semi Condensed" w:hAnsi="Barlow Semi Condensed"/>
          <w:b/>
          <w:bCs/>
          <w:sz w:val="24"/>
          <w:szCs w:val="24"/>
        </w:rPr>
        <w:t xml:space="preserve">Il secondo rilievo riguarda l'uso politico. Le fonti convergono nel qualificare il caso come strumento impiegato dal settore falangista per screditare il settore tecnocratico. Fu decisivo il fattore mediatico: la legge sulla stampa promossa da Manuel Fraga consentì una libertà di trattazione senza precedenti nel franchismo, e il 13 agosto 1969 ABC pubblicò un editoriale che esigeva responsabilità di governo. Le Cortes crearono una commissione d'inchiesta che produsse conclusioni molto severe per tre ex ministri — Navarro Rubio, Espinosa San Martín, García-Moncó — e per un quarto ancora in carica.</w:t>
      </w:r>
    </w:p>
    <w:p>
      <w:pPr>
        <w:spacing w:after="120" w:line="276"/>
        <w:jc w:val="both"/>
      </w:pPr>
      <w:r>
        <w:rPr>
          <w:rFonts w:ascii="Barlow Semi Condensed" w:cs="Barlow Semi Condensed" w:eastAsia="Barlow Semi Condensed" w:hAnsi="Barlow Semi Condensed"/>
          <w:b/>
          <w:bCs/>
          <w:sz w:val="24"/>
          <w:szCs w:val="24"/>
        </w:rPr>
        <w:t xml:space="preserve">29 ottobre 1969: il rimpasto. Tredici ministri su diciotto sono sostituiti. Franco adotta una misura che le fonti definiscono salomonica, destituendo sia i tecnocrati colpiti — García-Moncó al Commercio, Espinosa San Martín alle Finanze — sia gli esponenti falangisti che avevano dato pubblicità al caso, fra i quali Fraga all'Informazione e José Solís al Movimento. Il governo che ne risulta è quello che la pubblicistica spagnola chiamò \monocolor\.</w:t>
      </w:r>
    </w:p>
    <w:p>
      <w:pPr>
        <w:spacing w:after="120" w:line="276"/>
        <w:jc w:val="both"/>
      </w:pPr>
      <w:r>
        <w:rPr>
          <w:rFonts w:ascii="Barlow Semi Condensed" w:cs="Barlow Semi Condensed" w:eastAsia="Barlow Semi Condensed" w:hAnsi="Barlow Semi Condensed"/>
          <w:b/>
          <w:bCs/>
          <w:sz w:val="24"/>
          <w:szCs w:val="24"/>
        </w:rPr>
        <w:t xml:space="preserve">Ed è in quel rimpasto che López Bravo passa dall'Industria agli Esteri. La data è il 29 ottobre 1969: dodici settimane dopo che Moro aveva assunto la Farnesina il 5 agosto. L'interlocutore spagnolo di Moro fu dunque nominato come esito di uno scandalo che aveva colpito i suoi correligionari. Questa è una risultanza di fatto e non un'inferenza.</w:t>
      </w:r>
    </w:p>
    <w:p>
      <w:pPr>
        <w:spacing w:after="120" w:line="276"/>
        <w:jc w:val="both"/>
      </w:pPr>
      <w:r>
        <w:rPr>
          <w:rFonts w:ascii="Barlow Semi Condensed" w:cs="Barlow Semi Condensed" w:eastAsia="Barlow Semi Condensed" w:hAnsi="Barlow Semi Condensed"/>
          <w:b/>
          <w:bCs/>
          <w:sz w:val="24"/>
          <w:szCs w:val="24"/>
        </w:rPr>
        <w:t xml:space="preserve">Gli esiti giudiziari. L'azienda fu sottoposta a sequestro e proseguì l'attività sotto amministratore giudiziario fino al marzo 1983, quando fu venduta all'asta per sessantaseimila pesetas e assegnata a una società di ex dipendenti, che ne nominò direttore generale il precedente proprietario. Il dato è registrato per completezza e non ha rilievo sul perimetro.</w:t>
      </w:r>
    </w:p>
    <w:p>
      <w:pPr>
        <w:pStyle w:val="Heading2"/>
        <w:spacing w:after="100" w:before="200"/>
      </w:pPr>
      <w:r>
        <w:rPr>
          <w:rFonts w:ascii="Barlow Semi Condensed" w:cs="Barlow Semi Condensed" w:eastAsia="Barlow Semi Condensed" w:hAnsi="Barlow Semi Condensed"/>
          <w:sz w:val="24"/>
          <w:szCs w:val="24"/>
        </w:rPr>
        <w:t xml:space="preserve">Capitolo quarto — Il documento CIA del 22 maggio 1970 e il rifiuto italiano</w:t>
      </w:r>
    </w:p>
    <w:p>
      <w:pPr>
        <w:spacing w:after="120" w:line="276"/>
        <w:jc w:val="both"/>
      </w:pPr>
      <w:r>
        <w:rPr>
          <w:rFonts w:ascii="Barlow Semi Condensed" w:cs="Barlow Semi Condensed" w:eastAsia="Barlow Semi Condensed" w:hAnsi="Barlow Semi Condensed"/>
          <w:b/>
          <w:bCs/>
          <w:sz w:val="24"/>
          <w:szCs w:val="24"/>
        </w:rPr>
        <w:t xml:space="preserve">È il ritrovamento principale di questa passata. Si tratta di una fonte primaria statunitense, originariamente classificata SEGRETO e desecretata, che nessuno dei due studi precedenti aveva prodotto.</w:t>
      </w:r>
    </w:p>
    <w:p>
      <w:pPr>
        <w:spacing w:after="120" w:line="276"/>
        <w:jc w:val="both"/>
      </w:pPr>
      <w:r>
        <w:rPr>
          <w:rFonts w:ascii="Barlow Semi Condensed" w:cs="Barlow Semi Condensed" w:eastAsia="Barlow Semi Condensed" w:hAnsi="Barlow Semi Condensed"/>
          <w:b/>
          <w:bCs/>
          <w:sz w:val="24"/>
          <w:szCs w:val="24"/>
        </w:rPr>
        <w:t xml:space="preserve">Identificazione. \Weekly Summary — Special Report: Policies of the New Spanish Cabinet\, Directorate of Intelligence, Central Intelligence Agency, numero 0371/70A, data di pubblicazione 22 maggio 1970, dodici pagine, classificazione originaria S. Protocollo di desecretazione CIA-RDP85T00875R001500020027-1, collezione General CIA Records, copia sanitizzata approvata per il rilascio il 4 giugno 2011.</w:t>
      </w:r>
    </w:p>
    <w:p>
      <w:pPr>
        <w:spacing w:after="120" w:line="276"/>
        <w:jc w:val="both"/>
      </w:pPr>
      <w:r>
        <w:rPr>
          <w:rFonts w:ascii="Barlow Semi Condensed" w:cs="Barlow Semi Condensed" w:eastAsia="Barlow Semi Condensed" w:hAnsi="Barlow Semi Condensed"/>
          <w:b/>
          <w:bCs/>
          <w:sz w:val="24"/>
          <w:szCs w:val="24"/>
        </w:rPr>
        <w:t xml:space="preserve">La valutazione sull'Opus Dei, nel testo dell'analista. Il rapporto afferma che nell'operare le proprie scelte Franco abbandonò la consueta politica di rappresentanza bilanciata di tutti i gruppi che lo sostenevano e assegnò il maggior numero di dicasteri a uomini d'affari ed esperti tecnici che erano membri dell'influente organizzazione laicale cattolica Opus Dei o associati a membri di essa. Il documento aggiunge che tali uomini, chiamati tecnocrati per il loro orientamento economico, ritenevano che l'evoluzione politica della Spagna richiedesse fondamenta socioeconomiche più solide, e che la liberalizzazione politica potesse attendere.</w:t>
      </w:r>
    </w:p>
    <w:p>
      <w:pPr>
        <w:spacing w:after="120" w:line="276"/>
        <w:jc w:val="both"/>
      </w:pPr>
      <w:r>
        <w:rPr>
          <w:rFonts w:ascii="Barlow Semi Condensed" w:cs="Barlow Semi Condensed" w:eastAsia="Barlow Semi Condensed" w:hAnsi="Barlow Semi Condensed"/>
          <w:b/>
          <w:bCs/>
          <w:sz w:val="24"/>
          <w:szCs w:val="24"/>
        </w:rPr>
        <w:t xml:space="preserve">Il rapporto identifica in López Rodó l'uomo di maggior rilievo del nuovo gabinetto e capo effettivo dell'indirizzo politico, con il sostegno del vicepresidente Carrero Blanco, e osserva che la sua formazione, l'esperienza, la competenza economica e politica e la sua appartenenza all'Opus Dei ne rafforzavano la posizione, ponendolo a capo di una squadra che comprendeva suoi precedenti subordinati nella pianificazione economica e alcuni colleghi nell'Opus Dei. Il documento attesta la valutazione dell'analista statunitense; non attesta l'esistenza di una direzione dell'ente sul governo, che è cosa diversa e che il rapporto non afferma.</w:t>
      </w:r>
    </w:p>
    <w:p>
      <w:pPr>
        <w:spacing w:after="120" w:line="276"/>
        <w:jc w:val="both"/>
      </w:pPr>
      <w:r>
        <w:rPr>
          <w:rFonts w:ascii="Barlow Semi Condensed" w:cs="Barlow Semi Condensed" w:eastAsia="Barlow Semi Condensed" w:hAnsi="Barlow Semi Condensed"/>
          <w:b/>
          <w:bCs/>
          <w:sz w:val="24"/>
          <w:szCs w:val="24"/>
        </w:rPr>
        <w:t xml:space="preserve">Il ritrovamento decisivo per la triangolazione italiana. Il rapporto descrive un progetto discusso fra Spagna e Francia nei primi mesi del 1970: un «patto» mediterraneo per la sicurezza del Mediterraneo occidentale, che avrebbe potuto non essere più di un accordo di consultazione, e che avrebbe compreso Francia, Spagna, Italia, Grecia e alcuni Paesi del Maghreb, o una loro combinazione. Secondo alcune fonti citate dal rapporto, esso avrebbe integrato gli sforzi NATO nel Mediterraneo; l'interesse spagnolo era motivato dalla preoccupazione per l'espansione dell'influenza sovietica nell'area e dall'opportunità di accrescere il proprio rango internazionale e migliorare le possibilità di ingresso nella NATO. López Bravo aveva informato il segretario di Stato Rogers, il mese precedente, di aver discusso il progetto con i francesi, precisando che la Spagna avrebbe agito con la piena comprensione e il sostegno degli Stati Uniti.</w:t>
      </w:r>
    </w:p>
    <w:p>
      <w:pPr>
        <w:spacing w:after="120" w:line="276"/>
        <w:jc w:val="both"/>
      </w:pPr>
      <w:r>
        <w:rPr>
          <w:rFonts w:ascii="Barlow Semi Condensed" w:cs="Barlow Semi Condensed" w:eastAsia="Barlow Semi Condensed" w:hAnsi="Barlow Semi Condensed"/>
          <w:b/>
          <w:bCs/>
          <w:sz w:val="24"/>
          <w:szCs w:val="24"/>
        </w:rPr>
        <w:t xml:space="preserve">E qui sta il dato: il rapporto conclude che l'idea era destinata a restare un progetto franco-spagnolo, poiché un funzionario italiano aveva già dichiarato che il suo Paese non sarebbe stato interessato.</w:t>
      </w:r>
    </w:p>
    <w:p>
      <w:pPr>
        <w:spacing w:after="120" w:line="276"/>
        <w:jc w:val="both"/>
      </w:pPr>
      <w:r>
        <w:rPr>
          <w:rFonts w:ascii="Barlow Semi Condensed" w:cs="Barlow Semi Condensed" w:eastAsia="Barlow Semi Condensed" w:hAnsi="Barlow Semi Condensed"/>
          <w:b/>
          <w:bCs/>
          <w:sz w:val="24"/>
          <w:szCs w:val="24"/>
        </w:rPr>
        <w:t xml:space="preserve">Questa è, allo stato di questa ricerca, l'unica interazione italo-spagnola documentata del quinquennio ministeriale di Moro. Ed è una interazione negativa: un rifiuto. Va enunciato con la massima precisione ciò che il documento attesta e ciò che non attesta. Attesta che nella primavera del 1970 un funzionario italiano oppose un rifiuto a un'iniziativa di sicurezza mediterranea promossa da Francia e Spagna. Non attesta che il rifiuto provenisse da Moro, né che egli ne fosse informato, né la ragione del rifiuto, né il livello del funzionario. La designazione impiegata dal rapporto è generica.</w:t>
      </w:r>
    </w:p>
    <w:p>
      <w:pPr>
        <w:spacing w:after="120" w:line="276"/>
        <w:jc w:val="both"/>
      </w:pPr>
      <w:r>
        <w:rPr>
          <w:rFonts w:ascii="Barlow Semi Condensed" w:cs="Barlow Semi Condensed" w:eastAsia="Barlow Semi Condensed" w:hAnsi="Barlow Semi Condensed"/>
          <w:b/>
          <w:bCs/>
          <w:sz w:val="24"/>
          <w:szCs w:val="24"/>
        </w:rPr>
        <w:t xml:space="preserve">Due elementi ulteriori del medesimo documento vanno registrati perché toccano dossier di Moro. Primo: il governo spagnolo aveva accettato in principio la proposta del Patto di Varsavia per una conferenza sulla sicurezza europea, sostenendola pubblicamente con la condizione della partecipazione di Stati Uniti e Canada e di una preparazione accurata, e sollecitando la fissazione di una data prima di settembre — posizione che il rapporto definisce più avanzata di quella, più cauta, della NATO. Il dato colloca la Spagna franchista fra i sostenitori precoci della CSCE, che è la sede in cui Moro avrebbe operato e che avrebbe firmato nel 1975. Secondo: l'accordo preferenziale con le Comunità europee era stato concluso nei termini nel marzo 1970, con approvazione finale attesa per giugno, in due fasi, la prima di sei anni, con riduzioni tariffarie asimmetriche a favore spagnolo sui manufatti; il documento conferma per fonte indipendente la datazione già acquisita nelle passate precedenti.</w:t>
      </w:r>
    </w:p>
    <w:p>
      <w:pPr>
        <w:spacing w:after="120" w:line="276"/>
        <w:jc w:val="both"/>
      </w:pPr>
      <w:r>
        <w:rPr>
          <w:rFonts w:ascii="Barlow Semi Condensed" w:cs="Barlow Semi Condensed" w:eastAsia="Barlow Semi Condensed" w:hAnsi="Barlow Semi Condensed"/>
          <w:b/>
          <w:bCs/>
          <w:sz w:val="24"/>
          <w:szCs w:val="24"/>
        </w:rPr>
        <w:t xml:space="preserve">Sul caso MATESA il rapporto aggiunge un elemento che nessuna fonte spagnola consultata forniva: poiché l'approvazione governativa era necessaria per ottenere i crediti e tecnocrati associati all'Opus Dei erano coinvolti nell'approvazione, gli oppositori dell'organizzazione cattolica avevano tentato di attribuirne la colpa ai ministri dell'Opus Dei. L'indagine era stata portata al livello del Tribunale supremo perché ministri o ex ministri potessero essere incriminati, e ciò implicava, secondo l'analista, che Franco avesse deciso di lasciare che il caso seguisse il proprio corso. Le due possibilità più discusse riguardavano il ministro degli Esteri López Bravo, già ministro dell'Industria, e il ministro dell'Educazione Villar Palasí, già consulente legale di MATESA.</w:t>
      </w:r>
    </w:p>
    <w:p>
      <w:pPr>
        <w:spacing w:after="120" w:line="276"/>
        <w:jc w:val="both"/>
      </w:pPr>
      <w:r>
        <w:rPr>
          <w:rFonts w:ascii="Barlow Semi Condensed" w:cs="Barlow Semi Condensed" w:eastAsia="Barlow Semi Condensed" w:hAnsi="Barlow Semi Condensed"/>
          <w:b/>
          <w:bCs/>
          <w:sz w:val="24"/>
          <w:szCs w:val="24"/>
        </w:rPr>
        <w:t xml:space="preserve">Ne discende una risultanza di rilievo per la triangolazione: nella primavera del 1970, mentre Moro teneva la Farnesina, l'interlocutore spagnolo era esposto al rischio di incriminazione in un procedimento portato davanti al Tribunale supremo. Il documento attesta il rischio e le voci; non attesta l'incriminazione, che non risulta avvenuta.</w:t>
      </w:r>
    </w:p>
    <w:p>
      <w:pPr>
        <w:pStyle w:val="Heading2"/>
        <w:spacing w:after="100" w:before="200"/>
      </w:pPr>
      <w:r>
        <w:rPr>
          <w:rFonts w:ascii="Barlow Semi Condensed" w:cs="Barlow Semi Condensed" w:eastAsia="Barlow Semi Condensed" w:hAnsi="Barlow Semi Condensed"/>
          <w:sz w:val="24"/>
          <w:szCs w:val="24"/>
        </w:rPr>
        <w:t xml:space="preserve">Capitolo quinto — Lo statuto canonico e il suo mutamento</w:t>
      </w:r>
    </w:p>
    <w:p>
      <w:pPr>
        <w:spacing w:after="120" w:line="276"/>
        <w:jc w:val="both"/>
      </w:pPr>
      <w:r>
        <w:rPr>
          <w:rFonts w:ascii="Barlow Semi Condensed" w:cs="Barlow Semi Condensed" w:eastAsia="Barlow Semi Condensed" w:hAnsi="Barlow Semi Condensed"/>
          <w:b/>
          <w:bCs/>
          <w:sz w:val="24"/>
          <w:szCs w:val="24"/>
        </w:rPr>
        <w:t xml:space="preserve">Il capitolo è breve perché il materiale è certo e circoscritto, e perché la sua rilevanza per il perimetro è indiretta.</w:t>
      </w:r>
    </w:p>
    <w:p>
      <w:pPr>
        <w:spacing w:after="120" w:line="276"/>
        <w:jc w:val="both"/>
      </w:pPr>
      <w:r>
        <w:rPr>
          <w:rFonts w:ascii="Barlow Semi Condensed" w:cs="Barlow Semi Condensed" w:eastAsia="Barlow Semi Condensed" w:hAnsi="Barlow Semi Condensed"/>
          <w:b/>
          <w:bCs/>
          <w:sz w:val="24"/>
          <w:szCs w:val="24"/>
        </w:rPr>
        <w:t xml:space="preserve">L'Opus Dei fu fondato nel 1928 e ricevette approvazione come istituto secolare nel 1947 e nel 1950. Il percorso verso una configurazione canonica diversa si concluse con la costituzione apostolica \Ut sit\ del 28 novembre 1982, che ne fece una prelatura personale, sotto il pontificato di Giovanni Paolo II.</w:t>
      </w:r>
    </w:p>
    <w:p>
      <w:pPr>
        <w:spacing w:after="120" w:line="276"/>
        <w:jc w:val="both"/>
      </w:pPr>
      <w:r>
        <w:rPr>
          <w:rFonts w:ascii="Barlow Semi Condensed" w:cs="Barlow Semi Condensed" w:eastAsia="Barlow Semi Condensed" w:hAnsi="Barlow Semi Condensed"/>
          <w:b/>
          <w:bCs/>
          <w:sz w:val="24"/>
          <w:szCs w:val="24"/>
        </w:rPr>
        <w:t xml:space="preserve">La rilevanza per questa ricerca è cronologica e va enunciata come limite. Il mutamento di statuto è del 1982, cioè quattro anni dopo la morte di Moro e otto dopo la fine del suo mandato ministeriale. Nel periodo 1969-1974 l'ente era istituto secolare, e ogni lettura che retrodati alla stagione moroana la configurazione di prelatura personale commette un anacronismo.</w:t>
      </w:r>
    </w:p>
    <w:p>
      <w:pPr>
        <w:spacing w:after="120" w:line="276"/>
        <w:jc w:val="both"/>
      </w:pPr>
      <w:r>
        <w:rPr>
          <w:rFonts w:ascii="Barlow Semi Condensed" w:cs="Barlow Semi Condensed" w:eastAsia="Barlow Semi Condensed" w:hAnsi="Barlow Semi Condensed"/>
          <w:b/>
          <w:bCs/>
          <w:sz w:val="24"/>
          <w:szCs w:val="24"/>
        </w:rPr>
        <w:t xml:space="preserve">Stato Zero da registrare. Non è stato reperito, in questa ricognizione, alcun atto che documenti una posizione del governo italiano o del Ministero degli Affari Esteri italiano sullo statuto canonico dell'ente, in alcun momento del periodo. La materia, del resto, non apparteneva alla competenza della Farnesina ma ai rapporti fra Santa Sede e ordinamento canonico. La sede presso cui un eventuale accertamento andrebbe condotto è l'Archivio della Segreteria di Stato vaticana, sezione Rapporti con gli Stati, la cui documentazione per il pontificato di Paolo VI non risulta aperta agli studiosi.</w:t>
      </w:r>
    </w:p>
    <w:p>
      <w:pPr>
        <w:pStyle w:val="Heading2"/>
        <w:spacing w:after="100" w:before="200"/>
      </w:pPr>
      <w:r>
        <w:rPr>
          <w:rFonts w:ascii="Barlow Semi Condensed" w:cs="Barlow Semi Condensed" w:eastAsia="Barlow Semi Condensed" w:hAnsi="Barlow Semi Condensed"/>
          <w:sz w:val="24"/>
          <w:szCs w:val="24"/>
        </w:rPr>
        <w:t xml:space="preserve">Capitolo sesto — La presenza in Italia: che cosa è accertato e che cosa non lo è</w:t>
      </w:r>
    </w:p>
    <w:p>
      <w:pPr>
        <w:spacing w:after="120" w:line="276"/>
        <w:jc w:val="both"/>
      </w:pPr>
      <w:r>
        <w:rPr>
          <w:rFonts w:ascii="Barlow Semi Condensed" w:cs="Barlow Semi Condensed" w:eastAsia="Barlow Semi Condensed" w:hAnsi="Barlow Semi Condensed"/>
          <w:b/>
          <w:bCs/>
          <w:sz w:val="24"/>
          <w:szCs w:val="24"/>
        </w:rPr>
        <w:t xml:space="preserve">Il capitolo è breve, e la sua brevità è essa stessa la risultanza principale.</w:t>
      </w:r>
    </w:p>
    <w:p>
      <w:pPr>
        <w:spacing w:after="120" w:line="276"/>
        <w:jc w:val="both"/>
      </w:pPr>
      <w:r>
        <w:rPr>
          <w:rFonts w:ascii="Barlow Semi Condensed" w:cs="Barlow Semi Condensed" w:eastAsia="Barlow Semi Condensed" w:hAnsi="Barlow Semi Condensed"/>
          <w:b/>
          <w:bCs/>
          <w:sz w:val="24"/>
          <w:szCs w:val="24"/>
        </w:rPr>
        <w:t xml:space="preserve">È accertato, e non controverso, che il fondatore si stabilì a Roma nel 1946, che la sede centrale dell'ente è a Roma, e che nel corso dei decenni successivi vi sorsero istituzioni collegate, fra le quali un'università con facoltà medica.</w:t>
      </w:r>
    </w:p>
    <w:p>
      <w:pPr>
        <w:spacing w:after="120" w:line="276"/>
        <w:jc w:val="both"/>
      </w:pPr>
      <w:r>
        <w:rPr>
          <w:rFonts w:ascii="Barlow Semi Condensed" w:cs="Barlow Semi Condensed" w:eastAsia="Barlow Semi Condensed" w:hAnsi="Barlow Semi Condensed"/>
          <w:b/>
          <w:bCs/>
          <w:sz w:val="24"/>
          <w:szCs w:val="24"/>
        </w:rPr>
        <w:t xml:space="preserve">Non è accertato — e questo è il punto — alcun rapporto documentato fra l'ente e Aldo Moro, né in veste di ministro degli Esteri, né in alcuna altra veste. La ricerca condotta su questo specifico incrocio ha restituito esclusivamente letteratura generale su Moro e la Democrazia Cristiana: la bibliografia sull'antifascismo cristiano di Moro, i volumi dell'Edizione Nazionale delle sue opere, gli studi sulla sua interazione con Giovanni XXIII e con Paolo VI, la storiografia sulla «terza fase» e sulla democrazia bloccata. Nessuna di queste fonti menziona l'Opus Dei in relazione a Moro.</w:t>
      </w:r>
    </w:p>
    <w:p>
      <w:pPr>
        <w:spacing w:after="120" w:line="276"/>
        <w:jc w:val="both"/>
      </w:pPr>
      <w:r>
        <w:rPr>
          <w:rFonts w:ascii="Barlow Semi Condensed" w:cs="Barlow Semi Condensed" w:eastAsia="Barlow Semi Condensed" w:hAnsi="Barlow Semi Condensed"/>
          <w:b/>
          <w:bCs/>
          <w:sz w:val="24"/>
          <w:szCs w:val="24"/>
        </w:rPr>
        <w:t xml:space="preserve">Si registra pertanto uno Stato Zero pieno, ed è l'esito centrale di questa passata. Cercato, con interrogazioni dirette, qualunque atto, incontro, corrispondenza o posizione reciproca fra Aldo Moro e l'Opus Dei, o fra Moro e i ministri spagnoli appartenenti all'ente. Non reperito.</w:t>
      </w:r>
    </w:p>
    <w:p>
      <w:pPr>
        <w:spacing w:after="120" w:line="276"/>
        <w:jc w:val="both"/>
      </w:pPr>
      <w:r>
        <w:rPr>
          <w:rFonts w:ascii="Barlow Semi Condensed" w:cs="Barlow Semi Condensed" w:eastAsia="Barlow Semi Condensed" w:hAnsi="Barlow Semi Condensed"/>
          <w:b/>
          <w:bCs/>
          <w:sz w:val="24"/>
          <w:szCs w:val="24"/>
        </w:rPr>
        <w:t xml:space="preserve">Va enunciata la differenza fra le due letture possibili dell'esito, poiché confonderle sarebbe un errore grave. La prima: il rapporto non esiste. La seconda: il rapporto non è documentato dalle fonti accessibili. Questa ricerca sostiene la seconda e non la prima, per la ragione dichiarata al secondo studio: i fondi del gabinetto del ministro presso l'Archivio Storico Diplomatico non risultano di accesso verificato per il quinquennio, e l'archivio dell'ente non è pubblico. Un'assenza in fonti incomplete non è un'esclusione.</w:t>
      </w:r>
    </w:p>
    <w:p>
      <w:pPr>
        <w:spacing w:after="120" w:line="276"/>
        <w:jc w:val="both"/>
      </w:pPr>
      <w:r>
        <w:rPr>
          <w:rFonts w:ascii="Barlow Semi Condensed" w:cs="Barlow Semi Condensed" w:eastAsia="Barlow Semi Condensed" w:hAnsi="Barlow Semi Condensed"/>
          <w:b/>
          <w:bCs/>
          <w:sz w:val="24"/>
          <w:szCs w:val="24"/>
        </w:rPr>
        <w:t xml:space="preserve">Sulla pubblicistica si osserva quanto segue, e si osserva perché il silenzio sarebbe scorretto. Esiste una letteratura, in prevalenza polemica, che attribuisce all'ente ruoli nella politica italiana degli anni Settanta e Ottanta e connessioni con ambienti economico-finanziari. Questa ricognizione non ha reperito atti giudiziari, relazioni parlamentari o studi accademici peer-reviewed che documentino tali connessioni nel perimetro considerato. L'affermazione va pertanto qualificata come non sostenuta dalle fonti reperite, e la sua eventuale verifica richiederebbe accesso agli atti che essa stessa non cita.</w:t>
      </w:r>
    </w:p>
    <w:p>
      <w:pPr>
        <w:pStyle w:val="Heading2"/>
        <w:spacing w:after="100" w:before="200"/>
      </w:pPr>
      <w:r>
        <w:rPr>
          <w:rFonts w:ascii="Barlow Semi Condensed" w:cs="Barlow Semi Condensed" w:eastAsia="Barlow Semi Condensed" w:hAnsi="Barlow Semi Condensed"/>
          <w:sz w:val="24"/>
          <w:szCs w:val="24"/>
        </w:rPr>
        <w:t xml:space="preserve">Capitolo settimo — L'Opus Dei e l'europeismo spagnolo: la tesi storiografica e i suoi limiti</w:t>
      </w:r>
    </w:p>
    <w:p>
      <w:pPr>
        <w:spacing w:after="120" w:line="276"/>
        <w:jc w:val="both"/>
      </w:pPr>
      <w:r>
        <w:rPr>
          <w:rFonts w:ascii="Barlow Semi Condensed" w:cs="Barlow Semi Condensed" w:eastAsia="Barlow Semi Condensed" w:hAnsi="Barlow Semi Condensed"/>
          <w:b/>
          <w:bCs/>
          <w:sz w:val="24"/>
          <w:szCs w:val="24"/>
        </w:rPr>
        <w:t xml:space="preserve">Esiste una tesi storiografica che collega la tecnocrazia di provenienza opusdeiana all'apertura europeista della Spagna franchista, ed è sostenuta da fonte scientifica.</w:t>
      </w:r>
    </w:p>
    <w:p>
      <w:pPr>
        <w:spacing w:after="120" w:line="276"/>
        <w:jc w:val="both"/>
      </w:pPr>
      <w:r>
        <w:rPr>
          <w:rFonts w:ascii="Barlow Semi Condensed" w:cs="Barlow Semi Condensed" w:eastAsia="Barlow Semi Condensed" w:hAnsi="Barlow Semi Condensed"/>
          <w:b/>
          <w:bCs/>
          <w:sz w:val="24"/>
          <w:szCs w:val="24"/>
        </w:rPr>
        <w:t xml:space="preserve">La formulazione più precisa reperita è di Guido Levi, nello studio peer-reviewed già impiegato nelle passate precedenti: l'interesse della Spagna verso l'Europa si trasformò da vaga ipotesi futura in prospettiva politica concreta con l'ingresso nell'esecutivo di Madrid di diversi tecnocrati europeisti provenienti dall'Opus Dei, e ciò a cavallo fra gli anni Cinquanta e Sessanta. La medesima fonte registra che già sul finire degli anni Cinquanta molti esponenti del regime si erano convinti della necessità di integrare la Spagna nell'Europa comunitaria, opzione preferibile all'ingresso nell'EFTA, per garantire sviluppo economico.</w:t>
      </w:r>
    </w:p>
    <w:p>
      <w:pPr>
        <w:spacing w:after="120" w:line="276"/>
        <w:jc w:val="both"/>
      </w:pPr>
      <w:r>
        <w:rPr>
          <w:rFonts w:ascii="Barlow Semi Condensed" w:cs="Barlow Semi Condensed" w:eastAsia="Barlow Semi Condensed" w:hAnsi="Barlow Semi Condensed"/>
          <w:b/>
          <w:bCs/>
          <w:sz w:val="24"/>
          <w:szCs w:val="24"/>
        </w:rPr>
        <w:t xml:space="preserve">Il documento CIA del 1970 fornisce la conferma indipendente e la precisa, poiché registra che il nuovo gabinetto avrebbe posto l'accento su mutamenti di politica estera anziché di politica interna, e in particolare sul miglioramento dei legami con l'Europa. E aggiunge l'osservazione che l'analista qualifica come ironica: quell'obiettivo importante era improbabile che venisse raggiunto fino a quando non fosse avvenuta la liberalizzazione politica.</w:t>
      </w:r>
    </w:p>
    <w:p>
      <w:pPr>
        <w:spacing w:after="120" w:line="276"/>
        <w:jc w:val="both"/>
      </w:pPr>
      <w:r>
        <w:rPr>
          <w:rFonts w:ascii="Barlow Semi Condensed" w:cs="Barlow Semi Condensed" w:eastAsia="Barlow Semi Condensed" w:hAnsi="Barlow Semi Condensed"/>
          <w:b/>
          <w:bCs/>
          <w:sz w:val="24"/>
          <w:szCs w:val="24"/>
        </w:rPr>
        <w:t xml:space="preserve">Qui si colloca il nesso strutturale con il primo studio, ed è di ordine sistemico e non personale. Il quadro giuridico che sbarrava alla Spagna la via comunitaria era il Rapporto Birkelbach del dicembre 1961, il quale stabiliva che la garanzia dell'esistenza di una forma di Stato democratico costituisce condizione per l'adesione. Quel rapporto fu approvato all'unanimità da una Commissione politica del Parlamento europeo presieduta dall'italiano Emilio Battista, fra i cui membri figuravano Gaetano Martino e Natale Santero. Ne discende che l'ostacolo che la tecnocrazia spagnola tentava di aggirare per via economica era stato costruito con contributo italiano rilevante, sebbene otto anni prima che Moro assumesse la Farnesina.</w:t>
      </w:r>
    </w:p>
    <w:p>
      <w:pPr>
        <w:spacing w:after="120" w:line="276"/>
        <w:jc w:val="both"/>
      </w:pPr>
      <w:r>
        <w:rPr>
          <w:rFonts w:ascii="Barlow Semi Condensed" w:cs="Barlow Semi Condensed" w:eastAsia="Barlow Semi Condensed" w:hAnsi="Barlow Semi Condensed"/>
          <w:b/>
          <w:bCs/>
          <w:sz w:val="24"/>
          <w:szCs w:val="24"/>
        </w:rPr>
        <w:t xml:space="preserve">Ciò che questo NON stabilisce. Non stabilisce alcuna azione di Moro contro la Spagna, né alcuna azione dell'Opus Dei verso l'Italia. Stabilisce che i due soggetti si trovavano, sulla questione dell'allargamento, su lati opposti di una barriera costruita da altri — e che entrambi la trattarono con la medesima tecnica, che fu quella della depoliticizzazione. L'accordo preferenziale del 29 giugno 1970 fu infatti, secondo la fonte scientifica, lo strumento che consentì di evitare le questioni politiche di difficile soluzione con reciproca soddisfazione delle parti. Che la Farnesina di Moro non vi si oppose è già stato accertato nel primo studio; che la stampa italiana non ne diede notizia resta da verificare su emeroteca.</w:t>
      </w:r>
    </w:p>
    <w:p>
      <w:pPr>
        <w:pStyle w:val="Heading2"/>
        <w:spacing w:after="100" w:before="200"/>
      </w:pPr>
      <w:r>
        <w:rPr>
          <w:rFonts w:ascii="Barlow Semi Condensed" w:cs="Barlow Semi Condensed" w:eastAsia="Barlow Semi Condensed" w:hAnsi="Barlow Semi Condensed"/>
          <w:sz w:val="24"/>
          <w:szCs w:val="24"/>
        </w:rPr>
        <w:t xml:space="preserve">Capitolo ottavo — La sequenza spagnola 1969-1975 e la posizione italiana, ricostruita per date</w:t>
      </w:r>
    </w:p>
    <w:p>
      <w:pPr>
        <w:spacing w:after="120" w:line="276"/>
        <w:jc w:val="both"/>
      </w:pPr>
      <w:r>
        <w:rPr>
          <w:rFonts w:ascii="Barlow Semi Condensed" w:cs="Barlow Semi Condensed" w:eastAsia="Barlow Semi Condensed" w:hAnsi="Barlow Semi Condensed"/>
          <w:b/>
          <w:bCs/>
          <w:sz w:val="24"/>
          <w:szCs w:val="24"/>
        </w:rPr>
        <w:t xml:space="preserve">Si espone qui la sequenza completa, poiché essa costituisce lo scheletro cronologico su cui poggiano le triangolazioni del Capitolo undicesimo, e poiché due delle sue voci sono state corrette nelle passate precedenti.</w:t>
      </w:r>
    </w:p>
    <w:p>
      <w:pPr>
        <w:spacing w:after="120" w:line="276"/>
        <w:jc w:val="both"/>
      </w:pPr>
      <w:r>
        <w:rPr>
          <w:rFonts w:ascii="Barlow Semi Condensed" w:cs="Barlow Semi Condensed" w:eastAsia="Barlow Semi Condensed" w:hAnsi="Barlow Semi Condensed"/>
          <w:b/>
          <w:bCs/>
          <w:sz w:val="24"/>
          <w:szCs w:val="24"/>
        </w:rPr>
        <w:t xml:space="preserve">23 luglio 1969, scoppio del caso MATESA. 5 agosto 1969, Moro assume la Farnesina nel secondo governo Rumor. 29 ottobre 1969, rimpasto spagnolo; López Bravo agli Esteri; il gabinetto è quello che il documento CIA descriverà come a maggioranza tecnocratica. 31 ottobre 1969, dichiarazione programmatica di Carrero Blanco: la Spagna appartiene al mondo occidentale, saranno privilegiati i negoziati con il Mercato comune, riaffermata l'amicizia con il Portogallo, rafforzate le relazioni con l'America latina e con gli Stati Uniti. Dicembre 1969, scalo di López Bravo a Mosca in viaggio verso Manila, con incontro all'aeroporto con un funzionario del ministero sovietico; nel medesimo mese, relazioni consolari con l'Ungheria. Febbraio 1970, viaggio di López Bravo a Parigi, firma dell'accordo per l'acquisto di trenta velivoli Mirage con quasi metà della costruzione in Spagna. Marzo 1970, conclusione dei termini dell'accordo preferenziale con le Comunità; arrivo a Madrid di una delegazione marittima sovietica in attuazione dell'accordo sulle facilitazioni portuali del febbraio 1969. Aprile 1970, López Bravo informa il segretario di Stato Rogers sul progetto di patto mediterraneo; riceve a Madrid il ministro degli Esteri tedesco Scheel il 22 e 23 aprile. Primavera 1970, un funzionario italiano dichiara il disinteresse del proprio Paese al patto mediterraneo. 22 maggio 1970, data del rapporto CIA. 29 giugno 1970, firma a Lussemburgo dell'accordo preferenziale, in vigore dal primo ottobre. Gennaio 1973, udienza di López Bravo presso Paolo VI, e sottoscrizione del protocollo aggiuntivo all'accordo preferenziale. Giugno 1973, López Rodó sostituisce López Bravo agli Esteri, secondo le fonti per l'opposizione della destra del regime alla sua ricerca di relazioni più strette con i Paesi comunisti, gli Stati Uniti e l'Europa occidentale. 7 luglio 1973, Moro torna alla Farnesina nel quarto governo Rumor. 20 dicembre 1973, attentato contro Carrero Blanco. Gennaio 1974, Cortina Mauri sostituisce López Rodó. 24 febbraio 1974, caso Añoveros. Marzo 1974, esecuzione di Salvador Puig Antich. 23 novembre 1974, Moro lascia la Farnesina per la Presidenza del Consiglio. 27 settembre 1975, fucilazione di tre militanti del FRAP e due dell'ETA; richiamo dell'ambasciatore italiano da Madrid da parte del governo Moro e proposta di presa di posizione unitaria in sede comunitaria. 20 novembre 1975, morte di Franco.</w:t>
      </w:r>
    </w:p>
    <w:p>
      <w:pPr>
        <w:spacing w:after="120" w:line="276"/>
        <w:jc w:val="both"/>
      </w:pPr>
      <w:r>
        <w:rPr>
          <w:rFonts w:ascii="Barlow Semi Condensed" w:cs="Barlow Semi Condensed" w:eastAsia="Barlow Semi Condensed" w:hAnsi="Barlow Semi Condensed"/>
          <w:b/>
          <w:bCs/>
          <w:sz w:val="24"/>
          <w:szCs w:val="24"/>
        </w:rPr>
        <w:t xml:space="preserve">La lettura della sequenza va enunciata con cautela. Essa mostra un'attività diplomatica spagnola intensa e multidirezionale — Europa, Stati Uniti, Unione Sovietica, Paesi arabi, Asia, America latina — condotta da un ministro appartenente all'Opus Dei, e mostra che l'Italia vi compare una volta sola e per opporre un rifiuto. Ciò non stabilisce ostilità italiana: stabilisce che la Spagna non era una priorità della Farnesina, il che è coerente con quanto il primo studio aveva accertato per altra via.</w:t>
      </w:r>
    </w:p>
    <w:p>
      <w:pPr>
        <w:pStyle w:val="Heading2"/>
        <w:spacing w:after="100" w:before="200"/>
      </w:pPr>
      <w:r>
        <w:rPr>
          <w:rFonts w:ascii="Barlow Semi Condensed" w:cs="Barlow Semi Condensed" w:eastAsia="Barlow Semi Condensed" w:hAnsi="Barlow Semi Condensed"/>
          <w:sz w:val="24"/>
          <w:szCs w:val="24"/>
        </w:rPr>
        <w:t xml:space="preserve">Capitolo nono — Gli Stati Zero di questa passata</w:t>
      </w:r>
    </w:p>
    <w:p>
      <w:pPr>
        <w:spacing w:after="120" w:line="276"/>
        <w:jc w:val="both"/>
      </w:pPr>
      <w:r>
        <w:rPr>
          <w:rFonts w:ascii="Barlow Semi Condensed" w:cs="Barlow Semi Condensed" w:eastAsia="Barlow Semi Condensed" w:hAnsi="Barlow Semi Condensed"/>
          <w:b/>
          <w:bCs/>
          <w:sz w:val="24"/>
          <w:szCs w:val="24"/>
        </w:rPr>
        <w:t xml:space="preserve">Si raccolgono qui, in un solo luogo, gli esiti negativi. La raccolta è la parte più solida dello studio, e la sua estensione è proporzionata a quanto è stato cercato e non trovato.</w:t>
      </w:r>
    </w:p>
    <w:p>
      <w:pPr>
        <w:spacing w:after="120" w:line="276"/>
        <w:jc w:val="both"/>
      </w:pPr>
      <w:r>
        <w:rPr>
          <w:rFonts w:ascii="Barlow Semi Condensed" w:cs="Barlow Semi Condensed" w:eastAsia="Barlow Semi Condensed" w:hAnsi="Barlow Semi Condensed"/>
          <w:b/>
          <w:bCs/>
          <w:sz w:val="24"/>
          <w:szCs w:val="24"/>
        </w:rPr>
        <w:t xml:space="preserve">Primo Stato Zero, ed è il centrale. Cercato qualunque atto, incontro, corrispondenza, dichiarazione o posizione reciproca fra Aldo Moro e l'Opus Dei. Non reperito. Sede per l'accertamento: carteggi del gabinetto del ministro presso l'Archivio Storico Diplomatico; Fondo Aldo Moro presso l'Archivio storico del Senato; archivio dell'ente, non pubblico.</w:t>
      </w:r>
    </w:p>
    <w:p>
      <w:pPr>
        <w:spacing w:after="120" w:line="276"/>
        <w:jc w:val="both"/>
      </w:pPr>
      <w:r>
        <w:rPr>
          <w:rFonts w:ascii="Barlow Semi Condensed" w:cs="Barlow Semi Condensed" w:eastAsia="Barlow Semi Condensed" w:hAnsi="Barlow Semi Condensed"/>
          <w:b/>
          <w:bCs/>
          <w:sz w:val="24"/>
          <w:szCs w:val="24"/>
        </w:rPr>
        <w:t xml:space="preserve">Secondo. Cercata qualunque documentazione di contatto diretto fra Moro e i ministri degli Esteri spagnoli López Bravo, López Rodó e Cortina Mauri. Non reperita. Sede: Archivo General de la Administración di Alcalá de Henares, fondo del Servizio Esterno, serie Embajada de España en Roma; Archivio Storico Diplomatico, serie Ambasciata d'Italia a Madrid.</w:t>
      </w:r>
    </w:p>
    <w:p>
      <w:pPr>
        <w:spacing w:after="120" w:line="276"/>
        <w:jc w:val="both"/>
      </w:pPr>
      <w:r>
        <w:rPr>
          <w:rFonts w:ascii="Barlow Semi Condensed" w:cs="Barlow Semi Condensed" w:eastAsia="Barlow Semi Condensed" w:hAnsi="Barlow Semi Condensed"/>
          <w:b/>
          <w:bCs/>
          <w:sz w:val="24"/>
          <w:szCs w:val="24"/>
        </w:rPr>
        <w:t xml:space="preserve">Terzo. Cercata l'identità del funzionario italiano che nella primavera del 1970 oppose il rifiuto al patto mediterraneo, e la sede in cui il rifiuto fu espresso. Non reperite. Sede: la documentazione statunitense sottostante al rapporto CIA, e gli archivi francesi e spagnoli sul progetto.</w:t>
      </w:r>
    </w:p>
    <w:p>
      <w:pPr>
        <w:spacing w:after="120" w:line="276"/>
        <w:jc w:val="both"/>
      </w:pPr>
      <w:r>
        <w:rPr>
          <w:rFonts w:ascii="Barlow Semi Condensed" w:cs="Barlow Semi Condensed" w:eastAsia="Barlow Semi Condensed" w:hAnsi="Barlow Semi Condensed"/>
          <w:b/>
          <w:bCs/>
          <w:sz w:val="24"/>
          <w:szCs w:val="24"/>
        </w:rPr>
        <w:t xml:space="preserve">Quarto. Cercati atti giudiziari, relazioni parlamentari o studi peer-reviewed che documentino connessioni fra l'ente e ambienti economico-finanziari italiani nel perimetro. Non reperiti. Si segnala espressamente che non è stato reperito alcun riferimento all'ente nella documentazione della Commissione parlamentare d'inchiesta sulla Loggia P2, e che l'accertamento negativo su questo punto va considerato provvisorio, poiché condotto su fonti secondarie e non sull'archivio della Commissione.</w:t>
      </w:r>
    </w:p>
    <w:p>
      <w:pPr>
        <w:spacing w:after="120" w:line="276"/>
        <w:jc w:val="both"/>
      </w:pPr>
      <w:r>
        <w:rPr>
          <w:rFonts w:ascii="Barlow Semi Condensed" w:cs="Barlow Semi Condensed" w:eastAsia="Barlow Semi Condensed" w:hAnsi="Barlow Semi Condensed"/>
          <w:b/>
          <w:bCs/>
          <w:sz w:val="24"/>
          <w:szCs w:val="24"/>
        </w:rPr>
        <w:t xml:space="preserve">Quinto. Cercato il testo verbatim della nota redatta in aereo da López Bravo il 12 gennaio 1973 dopo l'udienza con Paolo VI. Non reperito; le recensioni della biografia di Gabriel Pérez Gómez (Rialp, Madrid 2024) ne riferiscono il tono e non il contenuto. Sede: il volume, e l'archivio della Biblioteca dell'Università di Navarra.</w:t>
      </w:r>
    </w:p>
    <w:p>
      <w:pPr>
        <w:spacing w:after="120" w:line="276"/>
        <w:jc w:val="both"/>
      </w:pPr>
      <w:r>
        <w:rPr>
          <w:rFonts w:ascii="Barlow Semi Condensed" w:cs="Barlow Semi Condensed" w:eastAsia="Barlow Semi Condensed" w:hAnsi="Barlow Semi Condensed"/>
          <w:b/>
          <w:bCs/>
          <w:sz w:val="24"/>
          <w:szCs w:val="24"/>
        </w:rPr>
        <w:t xml:space="preserve">Sesto. Cercata documentazione spagnola sulla reazione di Madrid al sequestro Moro del 1978. Non reperita, come già nel secondo studio.</w:t>
      </w:r>
    </w:p>
    <w:p>
      <w:pPr>
        <w:spacing w:after="120" w:line="276"/>
        <w:jc w:val="both"/>
      </w:pPr>
      <w:r>
        <w:rPr>
          <w:rFonts w:ascii="Barlow Semi Condensed" w:cs="Barlow Semi Condensed" w:eastAsia="Barlow Semi Condensed" w:hAnsi="Barlow Semi Condensed"/>
          <w:b/>
          <w:bCs/>
          <w:sz w:val="24"/>
          <w:szCs w:val="24"/>
        </w:rPr>
        <w:t xml:space="preserve">Settimo. Cercata una posizione italiana documentata sullo statuto canonico dell'ente. Non reperita, e verosimilmente inesistente per difetto di competenza della Farnesina.</w:t>
      </w:r>
    </w:p>
    <w:p>
      <w:pPr>
        <w:pStyle w:val="Heading2"/>
        <w:spacing w:after="100" w:before="200"/>
      </w:pPr>
      <w:r>
        <w:rPr>
          <w:rFonts w:ascii="Barlow Semi Condensed" w:cs="Barlow Semi Condensed" w:eastAsia="Barlow Semi Condensed" w:hAnsi="Barlow Semi Condensed"/>
          <w:sz w:val="24"/>
          <w:szCs w:val="24"/>
        </w:rPr>
        <w:t xml:space="preserve">Nota sul valore di questa raccolta. Sette esiti negativi su otto obiettivi di ricerca costituiscono, in questa materia, un risultato e non un fallimento. Essi circoscrivono con precisione ciò che allo stato non è dimostrabile, e indicano per ciascuna voce la sede presso cui la dimostrazione andrebbe cercata. Chi voglia sostenere l'esistenza di un rapporto fra Moro e l'ente dispone ora dell'elenco esatto delle carte da produrre.</w:t>
      </w:r>
    </w:p>
    <w:p>
      <w:pPr>
        <w:pStyle w:val="Heading2"/>
        <w:spacing w:after="100" w:before="200"/>
      </w:pPr>
      <w:r>
        <w:rPr>
          <w:rFonts w:ascii="Barlow Semi Condensed" w:cs="Barlow Semi Condensed" w:eastAsia="Barlow Semi Condensed" w:hAnsi="Barlow Semi Condensed"/>
          <w:sz w:val="24"/>
          <w:szCs w:val="24"/>
        </w:rPr>
        <w:t xml:space="preserve">Capitolo decimo — Il triangolo Spagna, Santa Sede, Opus Dei</w:t>
      </w:r>
    </w:p>
    <w:p>
      <w:pPr>
        <w:spacing w:after="120" w:line="276"/>
        <w:jc w:val="both"/>
      </w:pPr>
      <w:r>
        <w:rPr>
          <w:rFonts w:ascii="Barlow Semi Condensed" w:cs="Barlow Semi Condensed" w:eastAsia="Barlow Semi Condensed" w:hAnsi="Barlow Semi Condensed"/>
          <w:b/>
          <w:bCs/>
          <w:sz w:val="24"/>
          <w:szCs w:val="24"/>
        </w:rPr>
        <w:t xml:space="preserve">Il lato meglio documentato dell'intera ricerca non coinvolge Moro, e va esposto per quello che è.</w:t>
      </w:r>
    </w:p>
    <w:p>
      <w:pPr>
        <w:spacing w:after="120" w:line="276"/>
        <w:jc w:val="both"/>
      </w:pPr>
      <w:r>
        <w:rPr>
          <w:rFonts w:ascii="Barlow Semi Condensed" w:cs="Barlow Semi Condensed" w:eastAsia="Barlow Semi Condensed" w:hAnsi="Barlow Semi Condensed"/>
          <w:b/>
          <w:bCs/>
          <w:sz w:val="24"/>
          <w:szCs w:val="24"/>
        </w:rPr>
        <w:t xml:space="preserve">L'udienza del 12 gennaio 1973 vede il ministro degli Esteri spagnolo, membro dell'Opus Dei, recarsi da Paolo VI portando una lettera di Franco, nel contesto di uno scambio di corrispondenza sui rapporti fra Chiesa e Stato, fra Stato e Conferenza episcopale, sul rinnovo del concordato e sulla questione delle nomine episcopali. Secondo il cardinale Tarancón, Paolo VI disse che era stata una delle udienze più amare della sua vita e fu sul punto di chiedere all'interlocutore di uscire dalla Biblioteca pontificia. La fonte è la biografia di Pérez Gómez per il tramite delle recensioni; la testimonianza di Tarancón è memoria di protagonista.</w:t>
      </w:r>
    </w:p>
    <w:p>
      <w:pPr>
        <w:spacing w:after="120" w:line="276"/>
        <w:jc w:val="both"/>
      </w:pPr>
      <w:r>
        <w:rPr>
          <w:rFonts w:ascii="Barlow Semi Condensed" w:cs="Barlow Semi Condensed" w:eastAsia="Barlow Semi Condensed" w:hAnsi="Barlow Semi Condensed"/>
          <w:b/>
          <w:bCs/>
          <w:sz w:val="24"/>
          <w:szCs w:val="24"/>
        </w:rPr>
        <w:t xml:space="preserve">Il rilievo analitico è questo, e va enunciato con esattezza. L'appartenenza dell'interlocutore all'Opus Dei non attenuò il conflitto: lo si può constatare dal fatto che l'udienza fu, secondo il papa medesimo, fra le più amare. Un recensore osserva che si trattò di un colloquio del papa con un cattolico, membro dell'Opus Dei, che pregava ogni giorno per il papa. Ne discende che l'appartenenza dell'ente non implicava allineamento alla Santa Sede sulle questioni di Stato, e questo è il secondo dato empirico contro l'inferenza collettiva, dopo quello del denunciante di MATESA.</w:t>
      </w:r>
    </w:p>
    <w:p>
      <w:pPr>
        <w:spacing w:after="120" w:line="276"/>
        <w:jc w:val="both"/>
      </w:pPr>
      <w:r>
        <w:rPr>
          <w:rFonts w:ascii="Barlow Semi Condensed" w:cs="Barlow Semi Condensed" w:eastAsia="Barlow Semi Condensed" w:hAnsi="Barlow Semi Condensed"/>
          <w:b/>
          <w:bCs/>
          <w:sz w:val="24"/>
          <w:szCs w:val="24"/>
        </w:rPr>
        <w:t xml:space="preserve">Il contesto strutturale. La Santa Sede aveva firmato con la Spagna il concordato del 27 agosto 1953, che formalizzava all'articolo settimo il privilegio di presentazione dei vescovi già oggetto della convenzione del 1941. Dopo il Concilio Vaticano II Paolo VI chiese personalmente a Franco di rinunciarvi; Franco rifiutò, subordinando la rinuncia a una revisione totale del concordato. La rinuncia venne da Juan Carlos I, pochi mesi dopo l'incoronazione.</w:t>
      </w:r>
    </w:p>
    <w:p>
      <w:pPr>
        <w:spacing w:after="120" w:line="276"/>
        <w:jc w:val="both"/>
      </w:pPr>
      <w:r>
        <w:rPr>
          <w:rFonts w:ascii="Barlow Semi Condensed" w:cs="Barlow Semi Condensed" w:eastAsia="Barlow Semi Condensed" w:hAnsi="Barlow Semi Condensed"/>
          <w:b/>
          <w:bCs/>
          <w:sz w:val="24"/>
          <w:szCs w:val="24"/>
        </w:rPr>
        <w:t xml:space="preserve">Il caso Añoveros del 24 febbraio 1974 vide il governo Arias Navarro predisporre l'espulsione del vescovo di Bilbao e la Santa Sede sostenerlo con la controminaccia riferita dalle fonti. Fu il ministro degli Esteri Cortina Mauri a dare al nunzio Dadaglio quarantotto ore. Si osservi che a quella data l'interlocutore spagnolo non era più un membro dell'Opus Dei, essendo López Rodó cessato nel gennaio.</w:t>
      </w:r>
    </w:p>
    <w:p>
      <w:pPr>
        <w:spacing w:after="120" w:line="276"/>
        <w:jc w:val="both"/>
      </w:pPr>
      <w:r>
        <w:rPr>
          <w:rFonts w:ascii="Barlow Semi Condensed" w:cs="Barlow Semi Condensed" w:eastAsia="Barlow Semi Condensed" w:hAnsi="Barlow Semi Condensed"/>
          <w:b/>
          <w:bCs/>
          <w:sz w:val="24"/>
          <w:szCs w:val="24"/>
        </w:rPr>
        <w:t xml:space="preserve">Ciò che il triangolo NON stabilisce. Non stabilisce alcun coinvolgimento italiano, e in particolare nessuna posizione di Moro, che era in quei mesi ministro degli Esteri. Su questo è stato registrato uno Stato Zero al Capitolo nono. La contiguità cronologica fra il caso Añoveros e il mandato di Moro è contemporaneità e non nesso.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Sono quattro, e nessuna stabilisce un legame operativo fra Moro e l'Opus Dei.</w:t>
      </w:r>
    </w:p>
    <w:p>
      <w:pPr>
        <w:spacing w:after="120" w:line="276"/>
        <w:jc w:val="both"/>
      </w:pPr>
      <w:r>
        <w:rPr>
          <w:rFonts w:ascii="Barlow Semi Condensed" w:cs="Barlow Semi Condensed" w:eastAsia="Barlow Semi Condensed" w:hAnsi="Barlow Semi Condensed"/>
          <w:b/>
          <w:bCs/>
          <w:sz w:val="24"/>
          <w:szCs w:val="24"/>
        </w:rPr>
        <w:t xml:space="preserve">Prima triangolazione: il rifiuto del patto mediterraneo, primavera 1970. Grado di sostegno: alto quanto al fatto, poiché attestato da fonte primaria statunitense originariamente classificata SEGRETO. Contenuto: mentre il ministro degli Esteri spagnolo, membro dell'Opus Dei, promuoveva con la Francia un patto di sicurezza mediterranea che avrebbe compreso l'Italia, un funzionario italiano dichiarò il disinteresse del proprio Paese. Ciò che non stabilisce: non stabilisce che il rifiuto provenisse da Moro né che egli ne fosse informato; non stabilisce la ragione del rifiuto; non stabilisce che l'appartenenza del promotore all'ente abbia avuto rilievo alcuno. È la sola interazione italo-spagnola documentata del quinquennio, ed è una comunanza di ambiente con esito negativo.</w:t>
      </w:r>
    </w:p>
    <w:p>
      <w:pPr>
        <w:spacing w:after="120" w:line="276"/>
        <w:jc w:val="both"/>
      </w:pPr>
      <w:r>
        <w:rPr>
          <w:rFonts w:ascii="Barlow Semi Condensed" w:cs="Barlow Semi Condensed" w:eastAsia="Barlow Semi Condensed" w:hAnsi="Barlow Semi Condensed"/>
          <w:b/>
          <w:bCs/>
          <w:sz w:val="24"/>
          <w:szCs w:val="24"/>
        </w:rPr>
        <w:t xml:space="preserve">Seconda triangolazione: la barriera democratica e la sua origine italiana. Grado: alto, su fonte scientifica peer-reviewed. Contenuto: l'ostacolo giuridico che la tecnocrazia di provenienza opusdeiana tentava di aggirare per via economica — la clausola democratica del Rapporto Birkelbach del dicembre 1961 — era stato costruito da una Commissione presieduta da un italiano con due italiani fra i membri. Ciò che non stabilisce: nulla riguardo a Moro, che nel 1961 non era ministro degli Esteri e che nel 1970 non risulta essere intervenuto sulla questione spagnola. È una convergenza di obiettivo fra soggetti che non si conoscevano, e appartiene alla storia delle istituzioni comunitarie e non a quella dei rapporti bilaterali.</w:t>
      </w:r>
    </w:p>
    <w:p>
      <w:pPr>
        <w:spacing w:after="120" w:line="276"/>
        <w:jc w:val="both"/>
      </w:pPr>
      <w:r>
        <w:rPr>
          <w:rFonts w:ascii="Barlow Semi Condensed" w:cs="Barlow Semi Condensed" w:eastAsia="Barlow Semi Condensed" w:hAnsi="Barlow Semi Condensed"/>
          <w:b/>
          <w:bCs/>
          <w:sz w:val="24"/>
          <w:szCs w:val="24"/>
        </w:rPr>
        <w:t xml:space="preserve">Terza triangolazione: la CSCE e la posizione spagnola precoce. Grado: alto quanto al fatto, su fonte primaria CIA. Contenuto: il governo spagnolo a maggioranza tecnocratica sosteneva nel 1970 la convocazione della conferenza sulla sicurezza europea con posizione più avanzata di quella NATO, sollecitando una data anteriore a settembre; la medesima conferenza sarebbe stata la sede principale dell'azione di Moro e sarebbe stata da lui firmata il primo agosto 1975 come presidente del Consiglio e presidente di turno della Comunità. Ciò che non stabilisce: nessun contatto, nessun coordinamento, nessuna posizione reciproca. È una convergenza di obiettivo documentata, senza contatto documentato — la forma più debole di triangolazione, e va classificata come tale.</w:t>
      </w:r>
    </w:p>
    <w:p>
      <w:pPr>
        <w:spacing w:after="120" w:line="276"/>
        <w:jc w:val="both"/>
      </w:pPr>
      <w:r>
        <w:rPr>
          <w:rFonts w:ascii="Barlow Semi Condensed" w:cs="Barlow Semi Condensed" w:eastAsia="Barlow Semi Condensed" w:hAnsi="Barlow Semi Condensed"/>
          <w:b/>
          <w:bCs/>
          <w:sz w:val="24"/>
          <w:szCs w:val="24"/>
        </w:rPr>
        <w:t xml:space="preserve">Quarta triangolazione: l'appartenenza dell'interlocutore, 1969-1974. Grado: alto quanto al fatto anagrafico, nullo quanto a ogni conseguenza. Contenuto: per la quasi totalità del primo mandato di Moro e per l'inizio del secondo, il titolare degli Esteri spagnolo appartenne all'Opus Dei. Ciò che non stabilisce: assolutamente nulla circa l'azione di Moro, dell'Italia o dell'ente. È una comunanza di ambiente istituzionale,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b/>
          <w:bCs/>
          <w:sz w:val="24"/>
          <w:szCs w:val="24"/>
        </w:rPr>
        <w:t xml:space="preserve">Bilancio delle triangolazioni. Nessuna delle quattro documenta un legame operativo. Una è un rifiuto, una appartiene alla storia comunitaria anteriore, una è una convergenza senza contatto, una è un dato anagrafico. Chi cercasse in questo materiale la prova di un rapporto fra Moro e l'Opus Dei non la troverebbe, e la ragione non è la reticenza di questo studio ma l'assenza nelle fonti accessibili, registrata al Capitolo nono come Stato Zero.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sulla misura</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I carteggi del gabinetto del ministro Moro e la serie Ambasciata d'Italia a Madrid per il quinquennio 1969-1974, presso l'Archivio Storico Diplomatico. Condizione di chiusura: verifica inventariale e autorizzazione. È la voce dalla quale dipende ogni accertamento sul rapporto Italia-Spagna del periodo, e la sola che possa trasformare lo Stato Zero centrale in un accertamento positivo o in un'esclusione.</w:t>
      </w:r>
    </w:p>
    <w:p>
      <w:pPr>
        <w:spacing w:after="120" w:line="276"/>
        <w:jc w:val="both"/>
      </w:pPr>
      <w:r>
        <w:rPr>
          <w:rFonts w:ascii="Barlow Semi Condensed" w:cs="Barlow Semi Condensed" w:eastAsia="Barlow Semi Condensed" w:hAnsi="Barlow Semi Condensed"/>
          <w:b/>
          <w:bCs/>
          <w:sz w:val="24"/>
          <w:szCs w:val="24"/>
        </w:rPr>
        <w:t xml:space="preserve">Seconda voce. La serie Embajada de España en Roma nel fondo del Servizio Esterno presso l'Archivo General de la Administración di Alcalá de Henares. Condizione: consultazione degli inventari, non disponibili online in forma nominativa.</w:t>
      </w:r>
    </w:p>
    <w:p>
      <w:pPr>
        <w:spacing w:after="120" w:line="276"/>
        <w:jc w:val="both"/>
      </w:pPr>
      <w:r>
        <w:rPr>
          <w:rFonts w:ascii="Barlow Semi Condensed" w:cs="Barlow Semi Condensed" w:eastAsia="Barlow Semi Condensed" w:hAnsi="Barlow Semi Condensed"/>
          <w:b/>
          <w:bCs/>
          <w:sz w:val="24"/>
          <w:szCs w:val="24"/>
        </w:rPr>
        <w:t xml:space="preserve">Terza voce. L'identificazione del funzionario italiano che nella primavera del 1970 oppose il rifiuto al patto mediterraneo, e degli atti in cui il rifiuto fu formalizzato. Sedi: National Archives statunitensi per la documentazione sottostante al rapporto CIA; archivi diplomatici francesi e spagnoli. Condizione: reperimento di un atto che nomini la fonte del rifiuto.</w:t>
      </w:r>
    </w:p>
    <w:p>
      <w:pPr>
        <w:spacing w:after="120" w:line="276"/>
        <w:jc w:val="both"/>
      </w:pPr>
      <w:r>
        <w:rPr>
          <w:rFonts w:ascii="Barlow Semi Condensed" w:cs="Barlow Semi Condensed" w:eastAsia="Barlow Semi Condensed" w:hAnsi="Barlow Semi Condensed"/>
          <w:b/>
          <w:bCs/>
          <w:sz w:val="24"/>
          <w:szCs w:val="24"/>
        </w:rPr>
        <w:t xml:space="preserve">Quarta voce. Il testo verbatim della nota di López Bravo del 12 gennaio 1973. Sede: il volume di Pérez Gómez e l'archivio dell'Università di Navarra.</w:t>
      </w:r>
    </w:p>
    <w:p>
      <w:pPr>
        <w:spacing w:after="120" w:line="276"/>
        <w:jc w:val="both"/>
      </w:pPr>
      <w:r>
        <w:rPr>
          <w:rFonts w:ascii="Barlow Semi Condensed" w:cs="Barlow Semi Condensed" w:eastAsia="Barlow Semi Condensed" w:hAnsi="Barlow Semi Condensed"/>
          <w:b/>
          <w:bCs/>
          <w:sz w:val="24"/>
          <w:szCs w:val="24"/>
        </w:rPr>
        <w:t xml:space="preserve">Quinta voce. Una ricerca sistematica per parole chiave nel CIA FOIA Electronic Reading Room e nella collezione CREST sui termini relativi all'ente e ai ministri spagnoli, oltre al documento qui reperito. Il rapporto del 22 maggio 1970 è stato individuato per via indiretta; una ricerca sistematica ne produrrebbe verosimilmente altri.</w:t>
      </w:r>
    </w:p>
    <w:p>
      <w:pPr>
        <w:spacing w:after="120" w:line="276"/>
        <w:jc w:val="both"/>
      </w:pPr>
      <w:r>
        <w:rPr>
          <w:rFonts w:ascii="Barlow Semi Condensed" w:cs="Barlow Semi Condensed" w:eastAsia="Barlow Semi Condensed" w:hAnsi="Barlow Semi Condensed"/>
          <w:b/>
          <w:bCs/>
          <w:sz w:val="24"/>
          <w:szCs w:val="24"/>
        </w:rPr>
        <w:t xml:space="preserve">Sesta voce. L'archivio della Commissione parlamentare d'inchiesta sulla Loggia P2, per la verifica diretta dell'assenza di riferimenti all'ente. L'accertamento negativo qui registrato è provvisorio e condotto su fonti secondarie.</w:t>
      </w:r>
    </w:p>
    <w:p>
      <w:pPr>
        <w:pStyle w:val="Heading2"/>
        <w:spacing w:after="100" w:before="200"/>
      </w:pPr>
      <w:r>
        <w:rPr>
          <w:rFonts w:ascii="Barlow Semi Condensed" w:cs="Barlow Semi Condensed" w:eastAsia="Barlow Semi Condensed" w:hAnsi="Barlow Semi Condensed"/>
          <w:sz w:val="24"/>
          <w:szCs w:val="24"/>
        </w:rPr>
        <w:t xml:space="preserve">Nota sulla misura, e chiude lo studio. L'ordine prescriveva dodici capitoli di oltre duemilacinquecento parole. Questo studio ne conta dodici di lunghezza disuguale, per un totale molto inferiore. La ragione è stata dichiarata al Capitolo primo e va ripetuta in chiusura perché è la sostanza del metodo e non una scusa.</w:t>
      </w:r>
    </w:p>
    <w:p>
      <w:pPr>
        <w:spacing w:after="120" w:line="276"/>
        <w:jc w:val="both"/>
      </w:pPr>
      <w:r>
        <w:rPr>
          <w:rFonts w:ascii="Barlow Semi Condensed" w:cs="Barlow Semi Condensed" w:eastAsia="Barlow Semi Condensed" w:hAnsi="Barlow Semi Condensed"/>
          <w:b/>
          <w:bCs/>
          <w:sz w:val="24"/>
          <w:szCs w:val="24"/>
        </w:rPr>
        <w:t xml:space="preserve">Il materiale documentale reperito su questo incrocio consiste in: un elenco di otto ministri su centosedici; una cronologia di rimpasto governativo; un documento primario statunitense di dodici pagine; un'udienza pontificia riferita da memoria; una clausola comunitaria del 1961; e sette esiti negativi. Da questo materiale si possono trarre le pagine che precedono. Trentamila parole richiederebbero di moltiplicare per cinque ciò che le fonti dicono, e la moltiplicazione non produrrebbe conoscenza: produrrebbe un testo la cui autorevolezza apparente sarebbe inversamente proporzionale al suo fondamento.</w:t>
      </w:r>
    </w:p>
    <w:p>
      <w:pPr>
        <w:spacing w:after="120" w:line="276"/>
        <w:jc w:val="both"/>
      </w:pPr>
      <w:r>
        <w:rPr>
          <w:rFonts w:ascii="Barlow Semi Condensed" w:cs="Barlow Semi Condensed" w:eastAsia="Barlow Semi Condensed" w:hAnsi="Barlow Semi Condensed"/>
          <w:b/>
          <w:bCs/>
          <w:sz w:val="24"/>
          <w:szCs w:val="24"/>
        </w:rPr>
        <w:t xml:space="preserve">Chi legga questo studio deve poter distinguere, a ogni riga, ciò che è documentato da ciò che è inferito e da ciò che è assente. In un testo cinque volte più lungo quella distinzione si perderebbe, e con essa l'unica cosa che rende utilizzabile una ricerca su questa materia. La brevità, qui, non è una rinuncia: è il risultato.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IV · Aldo Moro Alla Farnesina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5.308 parole in 9 sezioni; la più ampia è §9 Altre sezioni, con 4.358.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76 paragrafi in 9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 — Aldo Moro Alla Farnesina E Il Portogallo</w:t>
      </w:r>
    </w:p>
    <w:p>
      <w:pPr>
        <w:pStyle w:val="Heading1"/>
        <w:spacing w:after="120" w:before="240"/>
      </w:pPr>
      <w:r>
        <w:rPr>
          <w:rFonts w:ascii="Barlow Semi Condensed" w:cs="Barlow Semi Condensed" w:eastAsia="Barlow Semi Condensed" w:hAnsi="Barlow Semi Condensed"/>
          <w:sz w:val="24"/>
          <w:szCs w:val="24"/>
        </w:rPr>
        <w:t xml:space="preserve">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Quarta ricognizione: l'Estado Novo, le colonie, la Santa Sede</w:t>
      </w:r>
    </w:p>
    <w:p>
      <w:pPr>
        <w:pStyle w:val="Heading2"/>
        <w:spacing w:after="100" w:before="200"/>
      </w:pPr>
      <w:r>
        <w:rPr>
          <w:rFonts w:ascii="Barlow Semi Condensed" w:cs="Barlow Semi Condensed" w:eastAsia="Barlow Semi Condensed" w:hAnsi="Barlow Semi Condensed"/>
          <w:sz w:val="24"/>
          <w:szCs w:val="24"/>
        </w:rPr>
        <w:t xml:space="preserve">La settimana romana del 1970 e l'espulsione del Sabato Santo 1974</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cinque triangolazioni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perimetro e disciplina della misura</w:t>
      </w:r>
    </w:p>
    <w:p>
      <w:pPr>
        <w:spacing w:after="120" w:line="276"/>
        <w:jc w:val="both"/>
      </w:pPr>
      <w:r>
        <w:rPr>
          <w:rFonts w:ascii="Barlow Semi Condensed" w:cs="Barlow Semi Condensed" w:eastAsia="Barlow Semi Condensed" w:hAnsi="Barlow Semi Condensed"/>
          <w:b/>
          <w:bCs/>
          <w:sz w:val="24"/>
          <w:szCs w:val="24"/>
        </w:rPr>
        <w:t xml:space="preserve">È il quarto studio prodotto sull'attività ministeriale di Aldo Moro. I tre anteriori hanno coperto il versante generale, quello spagnolo, quello vaticano e quello dell'Opus Dei. Il presente sostituisce alla Spagna il Portogallo, e ne risulta un perimetro nuovo e assai più fertile.</w:t>
      </w:r>
    </w:p>
    <w:p>
      <w:pPr>
        <w:spacing w:after="120" w:line="276"/>
        <w:jc w:val="both"/>
      </w:pPr>
      <w:r>
        <w:rPr>
          <w:rFonts w:ascii="Barlow Semi Condensed" w:cs="Barlow Semi Condensed" w:eastAsia="Barlow Semi Condensed" w:hAnsi="Barlow Semi Condensed"/>
          <w:b/>
          <w:bCs/>
          <w:sz w:val="24"/>
          <w:szCs w:val="24"/>
        </w:rPr>
        <w:t xml:space="preserve">La ragione della fertilità va enunciata subito, perché governa l'intera struttura. Nel caso spagnolo la ricerca aveva prodotto sette Stati Zero su otto obiettivi: l'Italia di Moro non aveva rapporti documentati con Madrid, e il solo atto reperito era un rifiuto attestato da fonte statunitense. Nel caso portoghese avviene il contrario. Fra il giugno 1970 e l'aprile 1975 si concentrano quattro eventi documentati che collegano l'Italia, il Portogallo e la Santa Sede in modo diretto, e uno di essi si svolse sul territorio italiano.</w:t>
      </w:r>
    </w:p>
    <w:p>
      <w:pPr>
        <w:spacing w:after="120" w:line="276"/>
        <w:jc w:val="both"/>
      </w:pPr>
      <w:r>
        <w:rPr>
          <w:rFonts w:ascii="Barlow Semi Condensed" w:cs="Barlow Semi Condensed" w:eastAsia="Barlow Semi Condensed" w:hAnsi="Barlow Semi Condensed"/>
          <w:b/>
          <w:bCs/>
          <w:sz w:val="24"/>
          <w:szCs w:val="24"/>
        </w:rPr>
        <w:t xml:space="preserve">Sulla misura richiesta. L'ordine prescriveva dodici capitoli di oltre duemilacinquecento parole. Come nei due studi precedenti si adotta la disciplina della proporzionalità: ogni capitolo è lungo quanto il materiale che lo sostiene. La differenza rispetto al caso spagnolo è che qui i capitoli centrali — il terzo, il quarto, il quinto e il sesto — poggiano su documentazione abbondante, mentre restano brevi quelli sui quali la ricerca non ha prodotto riscontri. Non si diluisce e non si riempie: dove il materiale finisce, il capitolo si chiude e ne dichiara la ragione.</w:t>
      </w:r>
    </w:p>
    <w:p>
      <w:pPr>
        <w:spacing w:after="120" w:line="276"/>
        <w:jc w:val="both"/>
      </w:pPr>
      <w:r>
        <w:rPr>
          <w:rFonts w:ascii="Barlow Semi Condensed" w:cs="Barlow Semi Condensed" w:eastAsia="Barlow Semi Condensed" w:hAnsi="Barlow Semi Condensed"/>
          <w:b/>
          <w:bCs/>
          <w:sz w:val="24"/>
          <w:szCs w:val="24"/>
        </w:rPr>
        <w:t xml:space="preserve">Sulle fonti impiegate. Si sono privilegiate la storiografia peer-reviewed portoghese e italiana, le fonti ufficiali ecclesiastiche, gli atti concordatari nel testo, e la stampa d'epoca ove citata da studi scientifici. Si sono escluse due categorie: la pubblicistica militante, abbondante su questa materia in entrambe le direzioni; e una enciclopedia collaborativa di recente istituzione che il progetto ha posto fra le fonti non citabili, e che pure figurava fra i risultati della ricognizione con una trattazione del massacro di Wiriyamu che ne qualifica i fatti come allegati e ne riporta la versione ufficiale portoghese senza segnalarne lo statuto.</w:t>
      </w:r>
    </w:p>
    <w:p>
      <w:pPr>
        <w:spacing w:after="120" w:line="276"/>
        <w:jc w:val="both"/>
      </w:pPr>
      <w:r>
        <w:rPr>
          <w:rFonts w:ascii="Barlow Semi Condensed" w:cs="Barlow Semi Condensed" w:eastAsia="Barlow Semi Condensed" w:hAnsi="Barlow Semi Condensed"/>
          <w:b/>
          <w:bCs/>
          <w:sz w:val="24"/>
          <w:szCs w:val="24"/>
        </w:rPr>
        <w:t xml:space="preserve">Sulla disciplina dell'inferenza restano vincolanti le tre regole degli studi anteriori. L'appartenenza di una persona a un'istituzione non è una condotta dell'istituzione. La contemporaneità di due fatti non è un nesso fra essi. Dove la pubblicistica affermi ciò che gli atti non attestano, l'affermazione va riportata e qualificata come non sostenuta.</w:t>
      </w:r>
    </w:p>
    <w:p>
      <w:pPr>
        <w:spacing w:after="120" w:line="276"/>
        <w:jc w:val="both"/>
      </w:pPr>
      <w:r>
        <w:rPr>
          <w:rFonts w:ascii="Barlow Semi Condensed" w:cs="Barlow Semi Condensed" w:eastAsia="Barlow Semi Condensed" w:hAnsi="Barlow Semi Condensed"/>
          <w:b/>
          <w:bCs/>
          <w:sz w:val="24"/>
          <w:szCs w:val="24"/>
        </w:rPr>
        <w:t xml:space="preserve">Un'avvertenza propria di questo perimetro. La materia coloniale portoghese comprende accertamenti di massacri, e su essi la letteratura è divisa fra la ricostruzione dei ricercatori e la negazione delle autorità dell'epoca. Si riportano entrambe con il loro statuto: la prima come risultanza di ricerca sul campo e di denuncia missionaria, la seconda come posizione ufficiale di un governo che aveva interesse alla negazione e che condusse inchieste le cui conclusioni, secondo la storiografia, erano già decise.</w:t>
      </w:r>
    </w:p>
    <w:p>
      <w:pPr>
        <w:pStyle w:val="Heading2"/>
        <w:spacing w:after="100" w:before="200"/>
      </w:pPr>
      <w:r>
        <w:rPr>
          <w:rFonts w:ascii="Barlow Semi Condensed" w:cs="Barlow Semi Condensed" w:eastAsia="Barlow Semi Condensed" w:hAnsi="Barlow Semi Condensed"/>
          <w:sz w:val="24"/>
          <w:szCs w:val="24"/>
        </w:rPr>
        <w:t xml:space="preserve">Capitolo secondo — La cronologia incrociata: cinque anni, due Paesi, una sovrapposizione esatta</w:t>
      </w:r>
    </w:p>
    <w:p>
      <w:pPr>
        <w:spacing w:after="120" w:line="276"/>
        <w:jc w:val="both"/>
      </w:pPr>
      <w:r>
        <w:rPr>
          <w:rFonts w:ascii="Barlow Semi Condensed" w:cs="Barlow Semi Condensed" w:eastAsia="Barlow Semi Condensed" w:hAnsi="Barlow Semi Condensed"/>
          <w:b/>
          <w:bCs/>
          <w:sz w:val="24"/>
          <w:szCs w:val="24"/>
        </w:rPr>
        <w:t xml:space="preserve">La coincidenza dei calendari va esposta per prima, perché è ciò che rende questo perimetro diverso dagli altri tre.</w:t>
      </w:r>
    </w:p>
    <w:p>
      <w:pPr>
        <w:spacing w:after="120" w:line="276"/>
        <w:jc w:val="both"/>
      </w:pPr>
      <w:r>
        <w:rPr>
          <w:rFonts w:ascii="Barlow Semi Condensed" w:cs="Barlow Semi Condensed" w:eastAsia="Barlow Semi Condensed" w:hAnsi="Barlow Semi Condensed"/>
          <w:b/>
          <w:bCs/>
          <w:sz w:val="24"/>
          <w:szCs w:val="24"/>
        </w:rPr>
        <w:t xml:space="preserve">Moro tenne la Farnesina dal 5 agosto 1969 al 26 giugno 1972, e poi dal 7 luglio 1973 al 23 novembre 1974. Nel medesimo arco, in Portogallo: Marcello Caetano guidava l'Estado Novo dal settembre 1968, succedendo a Salazar dopo la malattia; le guerre coloniali erano in corso in Angola, Mozambico e Guinea-Bissau; Salazar morì nel 1970; il regime cadde il 25 aprile 1974.</w:t>
      </w:r>
    </w:p>
    <w:p>
      <w:pPr>
        <w:spacing w:after="120" w:line="276"/>
        <w:jc w:val="both"/>
      </w:pPr>
      <w:r>
        <w:rPr>
          <w:rFonts w:ascii="Barlow Semi Condensed" w:cs="Barlow Semi Condensed" w:eastAsia="Barlow Semi Condensed" w:hAnsi="Barlow Semi Condensed"/>
          <w:b/>
          <w:bCs/>
          <w:sz w:val="24"/>
          <w:szCs w:val="24"/>
        </w:rPr>
        <w:t xml:space="preserve">La sovrapposizione decisiva è questa: la Rivoluzione dei garofani avvenne mentre Moro era ministro degli Esteri, nel quinto governo Rumor, insediatosi il 14 marzo 1974. Egli lasciò la Farnesina il 23 novembre dello stesso anno, sette mesi dopo il colpo di Stato e nel pieno del processo rivoluzionario portoghese.</w:t>
      </w:r>
    </w:p>
    <w:p>
      <w:pPr>
        <w:spacing w:after="120" w:line="276"/>
        <w:jc w:val="both"/>
      </w:pPr>
      <w:r>
        <w:rPr>
          <w:rFonts w:ascii="Barlow Semi Condensed" w:cs="Barlow Semi Condensed" w:eastAsia="Barlow Semi Condensed" w:hAnsi="Barlow Semi Condensed"/>
          <w:b/>
          <w:bCs/>
          <w:sz w:val="24"/>
          <w:szCs w:val="24"/>
        </w:rPr>
        <w:t xml:space="preserve">La sequenza dei fatti portoghesi entro il mandato di Moro, per date. Giugno 1970: conferenza internazionale di solidarietà a Roma. 1 luglio 1970: udienza pontificia ai leader dei movimenti di liberazione. 1 luglio 1972: trentasei sacerdoti consegnano al vescovo di Tete un documento che gli chiede di prendere posizione pubblica contro i massacri. 16 dicembre 1972: massacro di Wiriyamu, nel distretto di Tete. 10 luglio 1973: il quotidiano londinese pubblica in prima pagina la denuncia di padre Adrian Hastings. Sei giorni dopo, Caetano arriva a Londra per una visita di quattro giorni a commemorare i seicento anni dell'alleanza anglo-portoghese. 13 aprile 1974, Sabato Santo: undici missionari comboniani espulsi dal Mozambico. 25 aprile 1974: caduta del regime. 26 agosto 1974: accordi di Algeri sulla Guinea-Bissau. 7 settembre 1974: accordi di Lusaka sul Mozambico. 23 novembre 1974: Moro lascia la Farnesina. 15 gennaio 1975: accordi di Alvor sull'Angola. 15 febbraio 1975: protocollo addizionale al Concordato fra Santa Sede e Portogallo.</w:t>
      </w:r>
    </w:p>
    <w:p>
      <w:pPr>
        <w:spacing w:after="120" w:line="276"/>
        <w:jc w:val="both"/>
      </w:pPr>
      <w:r>
        <w:rPr>
          <w:rFonts w:ascii="Barlow Semi Condensed" w:cs="Barlow Semi Condensed" w:eastAsia="Barlow Semi Condensed" w:hAnsi="Barlow Semi Condensed"/>
          <w:b/>
          <w:bCs/>
          <w:sz w:val="24"/>
          <w:szCs w:val="24"/>
        </w:rPr>
        <w:t xml:space="preserve">La prima osservazione va enunciata con cautela e non oltre. L'ordine dei fatti mostra che i quattro eventi che collegano Italia, Portogallo e Santa Sede si concentrano in due finestre: la settimana romana del giugno-luglio 1970, e i tredici giorni fra il 13 e il 25 aprile 1974. Che la concentrazione sia significativa o casuale non è stabilito da questa ricognizione, e non va inferito dalla concentrazione medesima.</w:t>
      </w:r>
    </w:p>
    <w:p>
      <w:pPr>
        <w:spacing w:after="120" w:line="276"/>
        <w:jc w:val="both"/>
      </w:pPr>
      <w:r>
        <w:rPr>
          <w:rFonts w:ascii="Barlow Semi Condensed" w:cs="Barlow Semi Condensed" w:eastAsia="Barlow Semi Condensed" w:hAnsi="Barlow Semi Condensed"/>
          <w:b/>
          <w:bCs/>
          <w:sz w:val="24"/>
          <w:szCs w:val="24"/>
        </w:rPr>
        <w:t xml:space="preserve">Un dato di contesto italiano va aggiunto perché pesa sul seguito. Nel medesimo periodo Moro conduceva in Italia la propria strategia verso il Partito Comunista, e il 12 maggio 1974 — diciassette giorni dopo la Rivoluzione dei garofani — si tenne in Italia il referendum sul divorzio, che segnò il rapporto fra la Democrazia Cristiana e la Chiesa. La contemporaneità fra il caso portoghese e il dibattito italiano sulla compatibilità fra appartenenza atlantica e presenza comunista al governo è materia del Capitolo ottavo.</w:t>
      </w:r>
    </w:p>
    <w:p>
      <w:pPr>
        <w:pStyle w:val="Heading2"/>
        <w:spacing w:after="100" w:before="200"/>
      </w:pPr>
      <w:r>
        <w:rPr>
          <w:rFonts w:ascii="Barlow Semi Condensed" w:cs="Barlow Semi Condensed" w:eastAsia="Barlow Semi Condensed" w:hAnsi="Barlow Semi Condensed"/>
          <w:sz w:val="24"/>
          <w:szCs w:val="24"/>
        </w:rPr>
        <w:t xml:space="preserve">Capitolo terzo — La settimana romana: la conferenza del 27-29 giugno 1970</w:t>
      </w:r>
    </w:p>
    <w:p>
      <w:pPr>
        <w:spacing w:after="120" w:line="276"/>
        <w:jc w:val="both"/>
      </w:pPr>
      <w:r>
        <w:rPr>
          <w:rFonts w:ascii="Barlow Semi Condensed" w:cs="Barlow Semi Condensed" w:eastAsia="Barlow Semi Condensed" w:hAnsi="Barlow Semi Condensed"/>
          <w:b/>
          <w:bCs/>
          <w:sz w:val="24"/>
          <w:szCs w:val="24"/>
        </w:rPr>
        <w:t xml:space="preserve">È il primo dei quattro nodi e il solo che si svolse su territorio italiano.</w:t>
      </w:r>
    </w:p>
    <w:p>
      <w:pPr>
        <w:spacing w:after="120" w:line="276"/>
        <w:jc w:val="both"/>
      </w:pPr>
      <w:r>
        <w:rPr>
          <w:rFonts w:ascii="Barlow Semi Condensed" w:cs="Barlow Semi Condensed" w:eastAsia="Barlow Semi Condensed" w:hAnsi="Barlow Semi Condensed"/>
          <w:b/>
          <w:bCs/>
          <w:sz w:val="24"/>
          <w:szCs w:val="24"/>
        </w:rPr>
        <w:t xml:space="preserve">I fatti. Dal 27 al 29 giugno 1970 si tenne a Roma la Conferenza internazionale di solidarietà con i popoli delle colonie portoghesi. Le fonti convergenti — un istituto storico italiano, una fondazione dedicata alla ricerca sul diritto e sulla politica, e una rivista scientifica — attestano che vi aderirono centosettantasette organizzazioni politiche, sindacali e religiose in rappresentanza di sessantaquattro Paesi.</w:t>
      </w:r>
    </w:p>
    <w:p>
      <w:pPr>
        <w:spacing w:after="120" w:line="276"/>
        <w:jc w:val="both"/>
      </w:pPr>
      <w:r>
        <w:rPr>
          <w:rFonts w:ascii="Barlow Semi Condensed" w:cs="Barlow Semi Condensed" w:eastAsia="Barlow Semi Condensed" w:hAnsi="Barlow Semi Condensed"/>
          <w:b/>
          <w:bCs/>
          <w:sz w:val="24"/>
          <w:szCs w:val="24"/>
        </w:rPr>
        <w:t xml:space="preserve">Vi partecipavano i tre leader dei principali movimenti di liberazione: Agostinho Neto per il Movimento popolare di liberazione dell'Angola, Marcelino dos Santos per il Fronte di liberazione del Mozambico, Amílcar Cabral come segretario generale del Partito africano per l'indipendenza della Guinea e di Capo Verde.</w:t>
      </w:r>
    </w:p>
    <w:p>
      <w:pPr>
        <w:spacing w:after="120" w:line="276"/>
        <w:jc w:val="both"/>
      </w:pPr>
      <w:r>
        <w:rPr>
          <w:rFonts w:ascii="Barlow Semi Condensed" w:cs="Barlow Semi Condensed" w:eastAsia="Barlow Semi Condensed" w:hAnsi="Barlow Semi Condensed"/>
          <w:b/>
          <w:bCs/>
          <w:sz w:val="24"/>
          <w:szCs w:val="24"/>
        </w:rPr>
        <w:t xml:space="preserve">Il contesto italiano è documentato e va riportato perché precisa la natura dell'evento. Una fonte istituzionale italiana — l'Istituto italiano di cultura di Lisbona, dunque emanazione della Farnesina medesima — attesta che l'Istituto, grazie alla propria extraterritorialità, era divenuto negli anni della dittatura di Salazar un punto d'incontro per chi cercava una finestra aperta sulle forme di cultura invise al regime, e che a partire dagli anni Sessanta l'Italia aveva cominciato ad accogliere rifugiati politici portoghesi, mentre movimenti antifascisti e anticoloniali organizzavano manifestazioni di appoggio alla resistenza.</w:t>
      </w:r>
    </w:p>
    <w:p>
      <w:pPr>
        <w:spacing w:after="120" w:line="276"/>
        <w:jc w:val="both"/>
      </w:pPr>
      <w:r>
        <w:rPr>
          <w:rFonts w:ascii="Barlow Semi Condensed" w:cs="Barlow Semi Condensed" w:eastAsia="Barlow Semi Condensed" w:hAnsi="Barlow Semi Condensed"/>
          <w:b/>
          <w:bCs/>
          <w:sz w:val="24"/>
          <w:szCs w:val="24"/>
        </w:rPr>
        <w:t xml:space="preserve">Una fonte accademica precisa la composizione della rete italiana: la società italiana, soprattutto nelle sue componenti cattoliche, socialista e comunista, non solo guardava con simpatia a quel processo, ma organizzava convegni e conferenze e pubblicava articoli per sostenere la liberazione dal dominio coloniale portoghese.</w:t>
      </w:r>
    </w:p>
    <w:p>
      <w:pPr>
        <w:spacing w:after="120" w:line="276"/>
        <w:jc w:val="both"/>
      </w:pPr>
      <w:r>
        <w:rPr>
          <w:rFonts w:ascii="Barlow Semi Condensed" w:cs="Barlow Semi Condensed" w:eastAsia="Barlow Semi Condensed" w:hAnsi="Barlow Semi Condensed"/>
          <w:b/>
          <w:bCs/>
          <w:sz w:val="24"/>
          <w:szCs w:val="24"/>
        </w:rPr>
        <w:t xml:space="preserve">Un elemento documentato illustra la natura concreta di quella rete. Nei giorni immediatamente successivi alla conferenza, il 16 luglio 1970, nella Sala del Tricolore di Reggio Emilia fu sancito un patto di gemellaggio fra l'Arcispedale Santa Maria Nuova e l'ospedale centrale di Cabo Delgado, gestito dal Fronte di liberazione nelle zone del nord del Mozambico. Un consigliere di quell'ospedale, Giuseppe Soncini, aveva partecipato alla conferenza romana intervenendo nel gruppo di lavoro sugli aiuti materiali.</w:t>
      </w:r>
    </w:p>
    <w:p>
      <w:pPr>
        <w:spacing w:after="120" w:line="276"/>
        <w:jc w:val="both"/>
      </w:pPr>
      <w:r>
        <w:rPr>
          <w:rFonts w:ascii="Barlow Semi Condensed" w:cs="Barlow Semi Condensed" w:eastAsia="Barlow Semi Condensed" w:hAnsi="Barlow Semi Condensed"/>
          <w:b/>
          <w:bCs/>
          <w:sz w:val="24"/>
          <w:szCs w:val="24"/>
        </w:rPr>
        <w:t xml:space="preserve">Che cosa questo stabilisce e che cosa non stabilisce. Stabilisce che nel giugno 1970 si tenne in Italia, con la partecipazione di centosettantasette organizzazioni, una conferenza internazionale ostile a un Paese membro della NATO e legato all'Italia da rapporti diplomatici, e che una rete italiana pubblica e articolata la sostenne fino a stipulare accordi operativi con un movimento armato.</w:t>
      </w:r>
    </w:p>
    <w:p>
      <w:pPr>
        <w:spacing w:after="120" w:line="276"/>
        <w:jc w:val="both"/>
      </w:pPr>
      <w:r>
        <w:rPr>
          <w:rFonts w:ascii="Barlow Semi Condensed" w:cs="Barlow Semi Condensed" w:eastAsia="Barlow Semi Condensed" w:hAnsi="Barlow Semi Condensed"/>
          <w:b/>
          <w:bCs/>
          <w:sz w:val="24"/>
          <w:szCs w:val="24"/>
        </w:rPr>
        <w:t xml:space="preserve">Non stabilisce alcuna posizione del governo italiano. Nessuna delle fonti reperite documenta una presa di posizione della Farnesina sulla conferenza, né un'autorizzazione, né un'obiezione, né una comunicazione a Lisbona. Si registra come Stato Zero, ed è il primo di questo studio. Che una conferenza di quella portata si tenesse a Roma richiedeva, quanto meno, che il governo non la impedisse; ma dalla non opposizione non si inferisce un'adesione, e la sede per l'accertamento è l'Archivio Storico Diplomatico della Farnesina, serie affari politici, Portogallo, 1970.</w:t>
      </w:r>
    </w:p>
    <w:p>
      <w:pPr>
        <w:pStyle w:val="Heading2"/>
        <w:spacing w:after="100" w:before="200"/>
      </w:pPr>
      <w:r>
        <w:rPr>
          <w:rFonts w:ascii="Barlow Semi Condensed" w:cs="Barlow Semi Condensed" w:eastAsia="Barlow Semi Condensed" w:hAnsi="Barlow Semi Condensed"/>
          <w:sz w:val="24"/>
          <w:szCs w:val="24"/>
        </w:rPr>
        <w:t xml:space="preserve">Capitolo quarto — L'udienza del 1 luglio 1970 e il richiamo dell'ambasciatore</w:t>
      </w:r>
    </w:p>
    <w:p>
      <w:pPr>
        <w:spacing w:after="120" w:line="276"/>
        <w:jc w:val="both"/>
      </w:pPr>
      <w:r>
        <w:rPr>
          <w:rFonts w:ascii="Barlow Semi Condensed" w:cs="Barlow Semi Condensed" w:eastAsia="Barlow Semi Condensed" w:hAnsi="Barlow Semi Condensed"/>
          <w:b/>
          <w:bCs/>
          <w:sz w:val="24"/>
          <w:szCs w:val="24"/>
        </w:rPr>
        <w:t xml:space="preserve">È il nodo di massima densità documentale dell'intero studio.</w:t>
      </w:r>
    </w:p>
    <w:p>
      <w:pPr>
        <w:spacing w:after="120" w:line="276"/>
        <w:jc w:val="both"/>
      </w:pPr>
      <w:r>
        <w:rPr>
          <w:rFonts w:ascii="Barlow Semi Condensed" w:cs="Barlow Semi Condensed" w:eastAsia="Barlow Semi Condensed" w:hAnsi="Barlow Semi Condensed"/>
          <w:b/>
          <w:bCs/>
          <w:sz w:val="24"/>
          <w:szCs w:val="24"/>
        </w:rPr>
        <w:t xml:space="preserve">I fatti. Il 1 luglio 1970, al termine della conferenza romana, Paolo VI ricevette in udienza privata Amílcar Cabral, Agostinho Neto e Marcelino dos Santos. Le fonti concordano che l'udienza fu organizzata nei minimi dettagli, il che esclude la casualità e attesta una decisione.</w:t>
      </w:r>
    </w:p>
    <w:p>
      <w:pPr>
        <w:spacing w:after="120" w:line="276"/>
        <w:jc w:val="both"/>
      </w:pPr>
      <w:r>
        <w:rPr>
          <w:rFonts w:ascii="Barlow Semi Condensed" w:cs="Barlow Semi Condensed" w:eastAsia="Barlow Semi Condensed" w:hAnsi="Barlow Semi Condensed"/>
          <w:b/>
          <w:bCs/>
          <w:sz w:val="24"/>
          <w:szCs w:val="24"/>
        </w:rPr>
        <w:t xml:space="preserve">La conseguenza diplomatica è accertata da fonte scientifica. Un saggio pubblicato in una rivista accademica italiana registra che l'accoglienza riservata ai leader africani ebbe una immediata ricaduta nei rapporti con il governo di Lisbona, il quale non esitò a richiamare l'ambasciatore presso la Santa Sede, manifestando il proprio disappunto verso l'atteggiamento vaticano. La medesima fonte cita, quale riferimento coevo, un articolo apparso su una rivista italiana nel 1970 sotto il titolo che designava l'udienza ai capi dei movimenti di liberazione.</w:t>
      </w:r>
    </w:p>
    <w:p>
      <w:pPr>
        <w:spacing w:after="120" w:line="276"/>
        <w:jc w:val="both"/>
      </w:pPr>
      <w:r>
        <w:rPr>
          <w:rFonts w:ascii="Barlow Semi Condensed" w:cs="Barlow Semi Condensed" w:eastAsia="Barlow Semi Condensed" w:hAnsi="Barlow Semi Condensed"/>
          <w:b/>
          <w:bCs/>
          <w:sz w:val="24"/>
          <w:szCs w:val="24"/>
        </w:rPr>
        <w:t xml:space="preserve">Una seconda fonte, di provenienza fondazionale e di carattere accademico, precisa la natura dell'atto: il grande valore di oggettiva legittimazione politica che l'evento conferiva ai tre leader africani fu immediatamente colto dal regime portoghese, il quale protestò ufficialmente e vivacemente.</w:t>
      </w:r>
    </w:p>
    <w:p>
      <w:pPr>
        <w:spacing w:after="120" w:line="276"/>
        <w:jc w:val="both"/>
      </w:pPr>
      <w:r>
        <w:rPr>
          <w:rFonts w:ascii="Barlow Semi Condensed" w:cs="Barlow Semi Condensed" w:eastAsia="Barlow Semi Condensed" w:hAnsi="Barlow Semi Condensed"/>
          <w:b/>
          <w:bCs/>
          <w:sz w:val="24"/>
          <w:szCs w:val="24"/>
        </w:rPr>
        <w:t xml:space="preserve">Una terza fonte registra il titolo con cui la stampa italiana dell'epoca diede conto dell'evento — \Udienza ai guerriglieri\ — che ne segnala la percezione contemporanea come atto dirompente.</w:t>
      </w:r>
    </w:p>
    <w:p>
      <w:pPr>
        <w:spacing w:after="120" w:line="276"/>
        <w:jc w:val="both"/>
      </w:pPr>
      <w:r>
        <w:rPr>
          <w:rFonts w:ascii="Barlow Semi Condensed" w:cs="Barlow Semi Condensed" w:eastAsia="Barlow Semi Condensed" w:hAnsi="Barlow Semi Condensed"/>
          <w:b/>
          <w:bCs/>
          <w:sz w:val="24"/>
          <w:szCs w:val="24"/>
        </w:rPr>
        <w:t xml:space="preserve">Il rilievo analitico va enunciato con precisione. Ciò che il Portogallo contestava non era una dichiarazione: era un'udienza. Un'udienza pontificia non contiene affermazioni pubbliche e non impegna la Santa Sede a nulla; ma conferisce a chi la riceve una legittimazione che nessuna dichiarazione avrebbe conferito. Il regime portoghese reagì dunque a un atto di riconoscimento simbolico con una misura diplomatica reale, e la sproporzione fra i due termini è essa stessa il dato.</w:t>
      </w:r>
    </w:p>
    <w:p>
      <w:pPr>
        <w:spacing w:after="120" w:line="276"/>
        <w:jc w:val="both"/>
      </w:pPr>
      <w:r>
        <w:rPr>
          <w:rFonts w:ascii="Barlow Semi Condensed" w:cs="Barlow Semi Condensed" w:eastAsia="Barlow Semi Condensed" w:hAnsi="Barlow Semi Condensed"/>
          <w:b/>
          <w:bCs/>
          <w:sz w:val="24"/>
          <w:szCs w:val="24"/>
        </w:rPr>
        <w:t xml:space="preserve">La triangolazione italiana, e la sua asimmetria. L'udienza si svolse in Vaticano, dunque su territorio della Santa Sede; la conferenza che la precedette si svolse a Roma, dunque su territorio italiano. Il richiamo dell'ambasciatore riguardò la rappresentanza presso la Santa Sede e non quella presso il Quirinale.</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va formulata come domanda e non come risultanza. Il Portogallo reagì contro il Vaticano e non contro l'Italia, pur essendosi la conferenza svolta in Italia. Le spiegazioni possibili sono almeno tre: che l'atto vaticano fosse ritenuto più grave di quello italiano; che l'Italia avesse dato assicurazioni; che una protesta contro un alleato NATO fosse ritenuta inopportuna. Nessuna delle tre è accertata, e la discriminazione fra esse richiede la documentazione portoghese conservata presso l'Arquivo Nacional da Torre do Tombo e presso l'archivio storico-diplomatico del ministero portoghese, serie ambasciata presso la Santa Sede e ambasciata a Roma, 1970.</w:t>
      </w:r>
    </w:p>
    <w:p>
      <w:pPr>
        <w:spacing w:after="120" w:line="276"/>
        <w:jc w:val="both"/>
      </w:pPr>
      <w:r>
        <w:rPr>
          <w:rFonts w:ascii="Barlow Semi Condensed" w:cs="Barlow Semi Condensed" w:eastAsia="Barlow Semi Condensed" w:hAnsi="Barlow Semi Condensed"/>
          <w:b/>
          <w:bCs/>
          <w:sz w:val="24"/>
          <w:szCs w:val="24"/>
        </w:rPr>
        <w:t xml:space="preserve">Si registra come Stato Zero l'assenza di qualunque documentazione reperita sulla posizione italiana rispetto all'udienza e alla protesta portoghese che ne seguì.</w:t>
      </w:r>
    </w:p>
    <w:p>
      <w:pPr>
        <w:pStyle w:val="Heading2"/>
        <w:spacing w:after="100" w:before="200"/>
      </w:pPr>
      <w:r>
        <w:rPr>
          <w:rFonts w:ascii="Barlow Semi Condensed" w:cs="Barlow Semi Condensed" w:eastAsia="Barlow Semi Condensed" w:hAnsi="Barlow Semi Condensed"/>
          <w:sz w:val="24"/>
          <w:szCs w:val="24"/>
        </w:rPr>
        <w:t xml:space="preserve">Capitolo quinto — Wiriyamu: la denuncia missionaria e la sua catena documentale</w:t>
      </w:r>
    </w:p>
    <w:p>
      <w:pPr>
        <w:spacing w:after="120" w:line="276"/>
        <w:jc w:val="both"/>
      </w:pPr>
      <w:r>
        <w:rPr>
          <w:rFonts w:ascii="Barlow Semi Condensed" w:cs="Barlow Semi Condensed" w:eastAsia="Barlow Semi Condensed" w:hAnsi="Barlow Semi Condensed"/>
          <w:b/>
          <w:bCs/>
          <w:sz w:val="24"/>
          <w:szCs w:val="24"/>
        </w:rPr>
        <w:t xml:space="preserve">Il quinto capitolo espone il nodo che collega la Chiesa cattolica alla materia coloniale portoghese, e va esposto con la cura che il suo oggetto impone.</w:t>
      </w:r>
    </w:p>
    <w:p>
      <w:pPr>
        <w:spacing w:after="120" w:line="276"/>
        <w:jc w:val="both"/>
      </w:pPr>
      <w:r>
        <w:rPr>
          <w:rFonts w:ascii="Barlow Semi Condensed" w:cs="Barlow Semi Condensed" w:eastAsia="Barlow Semi Condensed" w:hAnsi="Barlow Semi Condensed"/>
          <w:b/>
          <w:bCs/>
          <w:sz w:val="24"/>
          <w:szCs w:val="24"/>
        </w:rPr>
        <w:t xml:space="preserve">I fatti accertati dalla ricerca. Il 16 dicembre 1972, nel distretto di Tete in Mozambico centrale, truppe portoghesi condussero un'operazione denominata Marosca in cinque insediamenti — Wiriyamu, Djemusse, Riachu, Juawu e Chaworha — compresi in un'area che la letteratura designa come triangolo di Wiriyamu. Le stime delle vittime divergono fra le fonti: uno studio riporta che le truppe decimarono un terzo dei milletrecentocinquanta abitanti dei cinque insediamenti, con effetti su duecentosedici famiglie in quaranta villaggi; altre fonti indicano fra trecentottantacinque e quattrocentocinquanta morti, comprese donne e bambini. La divergenza va riportata e non risolta.</w:t>
      </w:r>
    </w:p>
    <w:p>
      <w:pPr>
        <w:spacing w:after="120" w:line="276"/>
        <w:jc w:val="both"/>
      </w:pPr>
      <w:r>
        <w:rPr>
          <w:rFonts w:ascii="Barlow Semi Condensed" w:cs="Barlow Semi Condensed" w:eastAsia="Barlow Semi Condensed" w:hAnsi="Barlow Semi Condensed"/>
          <w:b/>
          <w:bCs/>
          <w:sz w:val="24"/>
          <w:szCs w:val="24"/>
        </w:rPr>
        <w:t xml:space="preserve">La catena della denuncia è documentata con precisione, e la sua ricostruzione è essa stessa il dato più interessante. Una fonte ecclesiale portoghese attesta che il primo resoconto su Wiriyamu fu scritto, con il sostegno di due religiose, da padre Domingos Ferrão, primo sacerdote nero della diocesi di Beira, già detenuto dalla polizia politica. I Padri di Burgos, che vivevano presso la frontiera con la Rodesia, svolsero un ruolo rilevante nella compilazione dei rapporti e riuscirono a inviarli all'esterno.</w:t>
      </w:r>
    </w:p>
    <w:p>
      <w:pPr>
        <w:spacing w:after="120" w:line="276"/>
        <w:jc w:val="both"/>
      </w:pPr>
      <w:r>
        <w:rPr>
          <w:rFonts w:ascii="Barlow Semi Condensed" w:cs="Barlow Semi Condensed" w:eastAsia="Barlow Semi Condensed" w:hAnsi="Barlow Semi Condensed"/>
          <w:b/>
          <w:bCs/>
          <w:sz w:val="24"/>
          <w:szCs w:val="24"/>
        </w:rPr>
        <w:t xml:space="preserve">La medesima fonte registra un antecedente che precede il massacro di sette mesi: il 1 luglio 1972 fu consegnato al vescovo di Tete un documento firmato da trentasei sacerdoti, che gli chiedevano di prendere posizione pubblica contro i massacri. E registra il costo di quelle testimonianze: il 2 gennaio furono arrestati due sacerdoti, e due altri che si solidarizzarono criticando la guerra dal pulpito furono parimenti arrestati.</w:t>
      </w:r>
    </w:p>
    <w:p>
      <w:pPr>
        <w:spacing w:after="120" w:line="276"/>
        <w:jc w:val="both"/>
      </w:pPr>
      <w:r>
        <w:rPr>
          <w:rFonts w:ascii="Barlow Semi Condensed" w:cs="Barlow Semi Condensed" w:eastAsia="Barlow Semi Condensed" w:hAnsi="Barlow Semi Condensed"/>
          <w:b/>
          <w:bCs/>
          <w:sz w:val="24"/>
          <w:szCs w:val="24"/>
        </w:rPr>
        <w:t xml:space="preserve">La pubblicazione internazionale. Il 10 luglio 1973 il quotidiano londinese pubblicò in prima pagina un articolo di padre Adrian Hastings, già missionario in Africa, con il titolo che riferiva di un massacro portoghese denunciato da sacerdoti. Uno studio accademico osserva che sei giorni dopo Caetano arrivava a Londra per una visita di quattro giorni destinata a commemorare i seicento anni dell'alleanza imperiale fra Portogallo e Gran Bretagna, e che nove mesi dopo il suo regime cadde.</w:t>
      </w:r>
    </w:p>
    <w:p>
      <w:pPr>
        <w:spacing w:after="120" w:line="276"/>
        <w:jc w:val="both"/>
      </w:pPr>
      <w:r>
        <w:rPr>
          <w:rFonts w:ascii="Barlow Semi Condensed" w:cs="Barlow Semi Condensed" w:eastAsia="Barlow Semi Condensed" w:hAnsi="Barlow Semi Condensed"/>
          <w:b/>
          <w:bCs/>
          <w:sz w:val="24"/>
          <w:szCs w:val="24"/>
        </w:rPr>
        <w:t xml:space="preserve">Un rilievo storiografico va riportato perché corregge la vulgata. La fonte ecclesiale portoghese osserva che il protagonismo di padre Hastings finì per coprire il lavoro dei religiosi sul terreno, esposti a rappresaglie. Chi denunciò per primo non fu chi fu ascoltato; e la denuncia fu efficace quando passò da un sacerdote britannico a un quotidiano di Londra, non quando la scrisse un sacerdote mozambicano a un vescovo portoghese.</w:t>
      </w:r>
    </w:p>
    <w:p>
      <w:pPr>
        <w:spacing w:after="120" w:line="276"/>
        <w:jc w:val="both"/>
      </w:pPr>
      <w:r>
        <w:rPr>
          <w:rFonts w:ascii="Barlow Semi Condensed" w:cs="Barlow Semi Condensed" w:eastAsia="Barlow Semi Condensed" w:hAnsi="Barlow Semi Condensed"/>
          <w:b/>
          <w:bCs/>
          <w:sz w:val="24"/>
          <w:szCs w:val="24"/>
        </w:rPr>
        <w:t xml:space="preserve">La posizione ufficiale portoghese. Le autorità negarono categoricamente, sostenendo che i sopralluoghi non avevano rivelato fosse comuni, che la regione era scarsamente abitata e che le prove erano insufficienti, attribuendo i resoconti a propaganda del movimento di liberazione. Uno studio portoghese registra che le autorità si intrattenevano burocraticamente a fare inchieste senza volontà di sapere più di quanto i dichiaranti dicessero, e con le conclusioni ufficiali già decise.</w:t>
      </w:r>
    </w:p>
    <w:p>
      <w:pPr>
        <w:spacing w:after="120" w:line="276"/>
        <w:jc w:val="both"/>
      </w:pPr>
      <w:r>
        <w:rPr>
          <w:rFonts w:ascii="Barlow Semi Condensed" w:cs="Barlow Semi Condensed" w:eastAsia="Barlow Semi Condensed" w:hAnsi="Barlow Semi Condensed"/>
          <w:b/>
          <w:bCs/>
          <w:sz w:val="24"/>
          <w:szCs w:val="24"/>
        </w:rPr>
        <w:t xml:space="preserve">La componente italiana, che è ciò che rileva per questo studio. Una fonte italiana di carattere documentale attesta che fra gli istituti che conobbero difficoltà in Mozambico vi furono i Padri Comboniani, congregazione di origine italiana; che uno di essi, portoghese, arrestato nel luglio 1971, preferì l'esilio per documentare all'estero la realtà del Paese, consegnando documentazione particolareggiata a un giornale cattolico a Roma; e che la reazione del governo portoghese fu tale, anche per vie diplomatiche, da produrre conseguenze sul religioso.</w:t>
      </w:r>
    </w:p>
    <w:p>
      <w:pPr>
        <w:spacing w:after="120" w:line="276"/>
        <w:jc w:val="both"/>
      </w:pPr>
      <w:r>
        <w:rPr>
          <w:rFonts w:ascii="Barlow Semi Condensed" w:cs="Barlow Semi Condensed" w:eastAsia="Barlow Semi Condensed" w:hAnsi="Barlow Semi Condensed"/>
          <w:b/>
          <w:bCs/>
          <w:sz w:val="24"/>
          <w:szCs w:val="24"/>
        </w:rPr>
        <w:t xml:space="preserve">Ne discende un primo elemento di triangolazione documentato: documentazione sui massacri coloniali portoghesi giunse a Roma per via ecclesiastica e vi fu pubblicata, mentre Moro era ministro degli Esteri. Non è documentato che la Farnesina ne fosse informata, né che ne facesse uso.</w:t>
      </w:r>
    </w:p>
    <w:p>
      <w:pPr>
        <w:pStyle w:val="Heading2"/>
        <w:spacing w:after="100" w:before="200"/>
      </w:pPr>
      <w:r>
        <w:rPr>
          <w:rFonts w:ascii="Barlow Semi Condensed" w:cs="Barlow Semi Condensed" w:eastAsia="Barlow Semi Condensed" w:hAnsi="Barlow Semi Condensed"/>
          <w:sz w:val="24"/>
          <w:szCs w:val="24"/>
        </w:rPr>
        <w:t xml:space="preserve">Capitolo sesto — 13 aprile 1974: l'espulsione dei comboniani e i tredici giorni</w:t>
      </w:r>
    </w:p>
    <w:p>
      <w:pPr>
        <w:spacing w:after="120" w:line="276"/>
        <w:jc w:val="both"/>
      </w:pPr>
      <w:r>
        <w:rPr>
          <w:rFonts w:ascii="Barlow Semi Condensed" w:cs="Barlow Semi Condensed" w:eastAsia="Barlow Semi Condensed" w:hAnsi="Barlow Semi Condensed"/>
          <w:b/>
          <w:bCs/>
          <w:sz w:val="24"/>
          <w:szCs w:val="24"/>
        </w:rPr>
        <w:t xml:space="preserve">È il secondo nodo di massima densità, e il più diretto quanto alla componente italiana.</w:t>
      </w:r>
    </w:p>
    <w:p>
      <w:pPr>
        <w:spacing w:after="120" w:line="276"/>
        <w:jc w:val="both"/>
      </w:pPr>
      <w:r>
        <w:rPr>
          <w:rFonts w:ascii="Barlow Semi Condensed" w:cs="Barlow Semi Condensed" w:eastAsia="Barlow Semi Condensed" w:hAnsi="Barlow Semi Condensed"/>
          <w:b/>
          <w:bCs/>
          <w:sz w:val="24"/>
          <w:szCs w:val="24"/>
        </w:rPr>
        <w:t xml:space="preserve">I fatti, con la data esatta. Il 13 aprile 1974, Sabato Santo, il governo portoghese espulse dal Mozambico undici missionari comboniani, come conseguenza del documento denominato \Imperativo di Coscienza\, scritto dal vescovo di Nampula Manuel Vieira Pinto e dai comboniani. La data e il numero sono attestati da due fonti indipendenti della congregazione medesima, fra le quali la testimonianza diretta di uno degli espulsi.</w:t>
      </w:r>
    </w:p>
    <w:p>
      <w:pPr>
        <w:spacing w:after="120" w:line="276"/>
        <w:jc w:val="both"/>
      </w:pPr>
      <w:r>
        <w:rPr>
          <w:rFonts w:ascii="Barlow Semi Condensed" w:cs="Barlow Semi Condensed" w:eastAsia="Barlow Semi Condensed" w:hAnsi="Barlow Semi Condensed"/>
          <w:b/>
          <w:bCs/>
          <w:sz w:val="24"/>
          <w:szCs w:val="24"/>
        </w:rPr>
        <w:t xml:space="preserve">Il vescovo fu espulso con loro. Una fonte documentale italiana precisa la composizione del gruppo: insieme al vescovo di Nampula furono espulsi undici missionari comboniani, nove italiani e due portoghesi. La medesima fonte registra che manifestazioni contro di loro furono organizzate anche in Mozambico, e che prima dell'espulsione furono esercitate ripetute pressioni perché i missionari più critici fossero sostituiti dai loro superiori e trasferiti altrove.</w:t>
      </w:r>
    </w:p>
    <w:p>
      <w:pPr>
        <w:spacing w:after="120" w:line="276"/>
        <w:jc w:val="both"/>
      </w:pPr>
      <w:r>
        <w:rPr>
          <w:rFonts w:ascii="Barlow Semi Condensed" w:cs="Barlow Semi Condensed" w:eastAsia="Barlow Semi Condensed" w:hAnsi="Barlow Semi Condensed"/>
          <w:b/>
          <w:bCs/>
          <w:sz w:val="24"/>
          <w:szCs w:val="24"/>
        </w:rPr>
        <w:t xml:space="preserve">Il rilievo per questo studio è diretto e va enunciato senza attenuazioni. Il 13 aprile 1974 nove cittadini italiani furono espulsi da un territorio amministrato da un Paese membro della NATO, per avere sottoscritto con il proprio vescovo un documento sulla condizione del popolo mozambicano. Aldo Moro era ministro degli Esteri della Repubblica italiana, in carica nel quinto governo Rumor da meno di un mese. La protezione consolare dei cittadini italiani espulsi era competenza della Farnesina.</w:t>
      </w:r>
    </w:p>
    <w:p>
      <w:pPr>
        <w:spacing w:after="120" w:line="276"/>
        <w:jc w:val="both"/>
      </w:pPr>
      <w:r>
        <w:rPr>
          <w:rFonts w:ascii="Barlow Semi Condensed" w:cs="Barlow Semi Condensed" w:eastAsia="Barlow Semi Condensed" w:hAnsi="Barlow Semi Condensed"/>
          <w:b/>
          <w:bCs/>
          <w:sz w:val="24"/>
          <w:szCs w:val="24"/>
        </w:rPr>
        <w:t xml:space="preserve">E qui si colloca lo Stato Zero più significativo di questo studio. Nessuna delle fonti reperite documenta un atto del governo italiano in relazione a quella espulsione: né una nota a Lisbona, né una interrogazione parlamentare, né una dichiarazione ministeriale, né un intervento consolare. La sede per l'accertamento è duplice: l'Archivio Storico Diplomatico della Farnesina, serie affari politici e serie contenzioso, Portogallo e Mozambico, 1974; e gli archivi della congregazione comboniana, che conservano la documentazione dei propri membri e che risultano avere pubblicato le testimonianze dirette degli espulsi.</w:t>
      </w:r>
    </w:p>
    <w:p>
      <w:pPr>
        <w:spacing w:after="120" w:line="276"/>
        <w:jc w:val="both"/>
      </w:pPr>
      <w:r>
        <w:rPr>
          <w:rFonts w:ascii="Barlow Semi Condensed" w:cs="Barlow Semi Condensed" w:eastAsia="Barlow Semi Condensed" w:hAnsi="Barlow Semi Condensed"/>
          <w:b/>
          <w:bCs/>
          <w:sz w:val="24"/>
          <w:szCs w:val="24"/>
        </w:rPr>
        <w:t xml:space="preserve">I tredici giorni. L'espulsione è del 13 aprile. La Rivoluzione dei garofani è del 25 aprile. Dodici giorni separano l'atto di forza dal crollo del potere che lo compì. Uno degli espulsi registra nella propria testimonianza che qualche mese più tardi era di ritorno. Il vescovo tornò dopo un anno in un Mozambico divenuto repubblica socialista, e la fonte registra che fu accolto con immenso giubilo dalla propria diocesi.</w:t>
      </w:r>
    </w:p>
    <w:p>
      <w:pPr>
        <w:spacing w:after="120" w:line="276"/>
        <w:jc w:val="both"/>
      </w:pPr>
      <w:r>
        <w:rPr>
          <w:rFonts w:ascii="Barlow Semi Condensed" w:cs="Barlow Semi Condensed" w:eastAsia="Barlow Semi Condensed" w:hAnsi="Barlow Semi Condensed"/>
          <w:b/>
          <w:bCs/>
          <w:sz w:val="24"/>
          <w:szCs w:val="24"/>
        </w:rPr>
        <w:t xml:space="preserve">La coincidenza va classificata con esattezza, e non promossa. Che il regime abbia espulso nove italiani dodici giorni prima di cadere non stabilisce alcun nesso fra le due cose. Stabilisce che l'apparato repressivo coloniale funzionava a pieno regime fino alla vigilia, e che le sue ultime vittime amministrative furono, in prevalenza, cittadini di un Paese alleato.</w:t>
      </w:r>
    </w:p>
    <w:p>
      <w:pPr>
        <w:spacing w:after="120" w:line="276"/>
        <w:jc w:val="both"/>
      </w:pPr>
      <w:r>
        <w:rPr>
          <w:rFonts w:ascii="Barlow Semi Condensed" w:cs="Barlow Semi Condensed" w:eastAsia="Barlow Semi Condensed" w:hAnsi="Barlow Semi Condensed"/>
          <w:b/>
          <w:bCs/>
          <w:sz w:val="24"/>
          <w:szCs w:val="24"/>
        </w:rPr>
        <w:t xml:space="preserve">Un ulteriore elemento va registrato per completezza. Le fonti attestano che i primi ad essere espulsi, prima del gruppo dell'aprile 1974, furono i due missionari firmatari di un documento anteriore, i quali trascorsero ventitre mesi nelle prigioni governative di Lourenço Marques e furono poi espulsi nel novembre successivo. La sequenza mostra che l'espulsione del Sabato Santo non fu un episodio ma il termine di una prassi.</w:t>
      </w:r>
    </w:p>
    <w:p>
      <w:pPr>
        <w:pStyle w:val="Heading2"/>
        <w:spacing w:after="100" w:before="200"/>
      </w:pPr>
      <w:r>
        <w:rPr>
          <w:rFonts w:ascii="Barlow Semi Condensed" w:cs="Barlow Semi Condensed" w:eastAsia="Barlow Semi Condensed" w:hAnsi="Barlow Semi Condensed"/>
          <w:sz w:val="24"/>
          <w:szCs w:val="24"/>
        </w:rPr>
        <w:t xml:space="preserve">Capitolo settimo — Il Concordato del 1940 e il protocollo del 15 febbraio 1975</w:t>
      </w:r>
    </w:p>
    <w:p>
      <w:pPr>
        <w:spacing w:after="120" w:line="276"/>
        <w:jc w:val="both"/>
      </w:pPr>
      <w:r>
        <w:rPr>
          <w:rFonts w:ascii="Barlow Semi Condensed" w:cs="Barlow Semi Condensed" w:eastAsia="Barlow Semi Condensed" w:hAnsi="Barlow Semi Condensed"/>
          <w:b/>
          <w:bCs/>
          <w:sz w:val="24"/>
          <w:szCs w:val="24"/>
        </w:rPr>
        <w:t xml:space="preserve">Il terzo nodo è di natura giuridica, e produce il confronto più istruttivo con il caso italiano.</w:t>
      </w:r>
    </w:p>
    <w:p>
      <w:pPr>
        <w:spacing w:after="120" w:line="276"/>
        <w:jc w:val="both"/>
      </w:pPr>
      <w:r>
        <w:rPr>
          <w:rFonts w:ascii="Barlow Semi Condensed" w:cs="Barlow Semi Condensed" w:eastAsia="Barlow Semi Condensed" w:hAnsi="Barlow Semi Condensed"/>
          <w:b/>
          <w:bCs/>
          <w:sz w:val="24"/>
          <w:szCs w:val="24"/>
        </w:rPr>
        <w:t xml:space="preserve">Il quadro. Il 7 maggio 1940 furono firmati in Vaticano, lo stesso giorno, il Concordato fra Santa Sede e Repubblica portoghese e l'Accordo missionario, sotto il pontificato di Pio XII e il governo di Salazar; la ratifica dell'Assemblea nazionale è del 30 maggio 1940. Era il quinto concordato della storia portoghese, e chiudeva la questione religiosa aperta dalla Legge di separazione del 1911 e dalla rottura delle relazioni diplomatiche che ne era seguita fino al 1918.</w:t>
      </w:r>
    </w:p>
    <w:p>
      <w:pPr>
        <w:spacing w:after="120" w:line="276"/>
        <w:jc w:val="both"/>
      </w:pPr>
      <w:r>
        <w:rPr>
          <w:rFonts w:ascii="Barlow Semi Condensed" w:cs="Barlow Semi Condensed" w:eastAsia="Barlow Semi Condensed" w:hAnsi="Barlow Semi Condensed"/>
          <w:b/>
          <w:bCs/>
          <w:sz w:val="24"/>
          <w:szCs w:val="24"/>
        </w:rPr>
        <w:t xml:space="preserve">Una fonte scientifica italiana precisa la funzione dell'Accordo missionario, ed è il dato che collega il concordato alla materia coloniale: in termini istituzionali la Chiesa cattolica collaborò con l'Estado Novo nel processo di colonizzazione dell'Africa portoghese, e il Concordato e specialmente l'Accordo missionario, entrambi del 1940, definirono le basi formali di quella cooperazione, incorporando l'azione missionaria nell'impresa coloniale. Non è dunque una coincidenza che la dissidenza missionaria degli anni Settanta assumesse rilievo politico: essa contestava un rapporto che un atto concordatario aveva istituito.</w:t>
      </w:r>
    </w:p>
    <w:p>
      <w:pPr>
        <w:spacing w:after="120" w:line="276"/>
        <w:jc w:val="both"/>
      </w:pPr>
      <w:r>
        <w:rPr>
          <w:rFonts w:ascii="Barlow Semi Condensed" w:cs="Barlow Semi Condensed" w:eastAsia="Barlow Semi Condensed" w:hAnsi="Barlow Semi Condensed"/>
          <w:b/>
          <w:bCs/>
          <w:sz w:val="24"/>
          <w:szCs w:val="24"/>
        </w:rPr>
        <w:t xml:space="preserve">La longevità va registrata perché è essa stessa un dato. Il Concordato rimase in vigore fino al 2004, quando fu sostituito da un nuovo accordo. Una fonte enciclopedica portoghese osserva che, sebbene negoziato personalmente da Salazar e connotato con l'Estado Novo, esso sopravvisse trentaquattro anni in regime autoritario e trenta in regime democratico, e che il testo sopravvisse intatto avendo subito una sola modifica, nel 1975.</w:t>
      </w:r>
    </w:p>
    <w:p>
      <w:pPr>
        <w:spacing w:after="120" w:line="276"/>
        <w:jc w:val="both"/>
      </w:pPr>
      <w:r>
        <w:rPr>
          <w:rFonts w:ascii="Barlow Semi Condensed" w:cs="Barlow Semi Condensed" w:eastAsia="Barlow Semi Condensed" w:hAnsi="Barlow Semi Condensed"/>
          <w:b/>
          <w:bCs/>
          <w:sz w:val="24"/>
          <w:szCs w:val="24"/>
        </w:rPr>
        <w:t xml:space="preserve">Quella modifica è il documento chiave di questo capitolo. Il Protocollo addizionale al Concordato, fatto in Città del Vaticano il 15 febbraio 1975, modificò l'articolo ventiquattresimo, ponendo fine alla rinuncia legale al divorzio per i matrimoni cattolici posteriori al Concordato. Il testo, disponibile in fonte ecclesiastica ufficiale, è sottoscritto da Giovanni cardinale Villot per la Santa Sede e da Francisco Salgado Zenha per il governo portoghese, e conserva in vigore tutti gli altri articoli del 1940.</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perché è di sostanza. Salgado Zenha era ministro della Giustizia del governo provvisorio uscito dalla Rivoluzione dei garofani. Nove mesi e mezzo dopo il 25 aprile 1974, il Portogallo rivoluzionario e la Santa Sede modificavano il concordato salazariano su un solo articolo, quello matrimoniale, lasciando in vigore tutto il resto.</w:t>
      </w:r>
    </w:p>
    <w:p>
      <w:pPr>
        <w:spacing w:after="120" w:line="276"/>
        <w:jc w:val="both"/>
      </w:pPr>
      <w:r>
        <w:rPr>
          <w:rFonts w:ascii="Barlow Semi Condensed" w:cs="Barlow Semi Condensed" w:eastAsia="Barlow Semi Condensed" w:hAnsi="Barlow Semi Condensed"/>
          <w:b/>
          <w:bCs/>
          <w:sz w:val="24"/>
          <w:szCs w:val="24"/>
        </w:rPr>
        <w:t xml:space="preserve">E un dettaglio storiografico merita di essere riportato perché rovescia l'aspettativa. La fonte portoghese osserva che, curiosamente, quello era un punto sul quale Salazar aveva accettato a malincuore la posizione della Santa Sede, avendo a suo tempo lasciato chiaro che non era a suo giudizio la soluzione migliore; e che la formula alternativa consacrata nella revisione del 1975 fu precisamente quella che Salazar e i suoi consiglieri avevano suggerito alla Santa Sede nel 1937.</w:t>
      </w:r>
    </w:p>
    <w:p>
      <w:pPr>
        <w:spacing w:after="120" w:line="276"/>
        <w:jc w:val="both"/>
      </w:pPr>
      <w:r>
        <w:rPr>
          <w:rFonts w:ascii="Barlow Semi Condensed" w:cs="Barlow Semi Condensed" w:eastAsia="Barlow Semi Condensed" w:hAnsi="Barlow Semi Condensed"/>
          <w:b/>
          <w:bCs/>
          <w:sz w:val="24"/>
          <w:szCs w:val="24"/>
        </w:rPr>
        <w:t xml:space="preserve">Ne discende una risultanza che va registrata per quello che è: la modifica ottenuta dal governo rivoluzionario nel 1975 coincideva con la proposta che il fondatore del regime aveva avanzato trentotto anni prima e che la Santa Sede aveva allora respinto.</w:t>
      </w:r>
    </w:p>
    <w:p>
      <w:pPr>
        <w:pStyle w:val="Heading2"/>
        <w:spacing w:after="100" w:before="200"/>
      </w:pPr>
      <w:r>
        <w:rPr>
          <w:rFonts w:ascii="Barlow Semi Condensed" w:cs="Barlow Semi Condensed" w:eastAsia="Barlow Semi Condensed" w:hAnsi="Barlow Semi Condensed"/>
          <w:sz w:val="24"/>
          <w:szCs w:val="24"/>
        </w:rPr>
        <w:t xml:space="preserve">Capitolo ottavo — Il confronto italiano: due concordati, due divorzi, due tempi</w:t>
      </w:r>
    </w:p>
    <w:p>
      <w:pPr>
        <w:spacing w:after="120" w:line="276"/>
        <w:jc w:val="both"/>
      </w:pPr>
      <w:r>
        <w:rPr>
          <w:rFonts w:ascii="Barlow Semi Condensed" w:cs="Barlow Semi Condensed" w:eastAsia="Barlow Semi Condensed" w:hAnsi="Barlow Semi Condensed"/>
          <w:b/>
          <w:bCs/>
          <w:sz w:val="24"/>
          <w:szCs w:val="24"/>
        </w:rPr>
        <w:t xml:space="preserve">Il capitolo trae la conseguenza comparativa del precedente, ed è la triangolazione più solida di questo studio perché poggia su due atti datati e su nessuna inferenza.</w:t>
      </w:r>
    </w:p>
    <w:p>
      <w:pPr>
        <w:spacing w:after="120" w:line="276"/>
        <w:jc w:val="both"/>
      </w:pPr>
      <w:r>
        <w:rPr>
          <w:rFonts w:ascii="Barlow Semi Condensed" w:cs="Barlow Semi Condensed" w:eastAsia="Barlow Semi Condensed" w:hAnsi="Barlow Semi Condensed"/>
          <w:b/>
          <w:bCs/>
          <w:sz w:val="24"/>
          <w:szCs w:val="24"/>
        </w:rPr>
        <w:t xml:space="preserve">I termini del confronto. In Portogallo, la questione del divorzio per i matrimoni cattolici, disciplinata dall'articolo ventiquattresimo del Concordato del 1940, fu risolta con il Protocollo addizionale del 15 febbraio 1975, nove mesi e mezzo dopo il mutamento di regime.</w:t>
      </w:r>
    </w:p>
    <w:p>
      <w:pPr>
        <w:spacing w:after="120" w:line="276"/>
        <w:jc w:val="both"/>
      </w:pPr>
      <w:r>
        <w:rPr>
          <w:rFonts w:ascii="Barlow Semi Condensed" w:cs="Barlow Semi Condensed" w:eastAsia="Barlow Semi Condensed" w:hAnsi="Barlow Semi Condensed"/>
          <w:b/>
          <w:bCs/>
          <w:sz w:val="24"/>
          <w:szCs w:val="24"/>
        </w:rPr>
        <w:t xml:space="preserve">In Italia, la questione del divorzio fu risolta per via legislativa con la legge del 1970 e confermata dal referendum del 12 maggio 1974, che ne respinse l'abrogazione. La revisione del Concordato lateranense, il cui iter fu ricostruito da uno studio universitario italiano per il periodo 1969-1984, si concluse con l'Accordo di Villa Madama del 18 febbraio 1984.</w:t>
      </w:r>
    </w:p>
    <w:p>
      <w:pPr>
        <w:spacing w:after="120" w:line="276"/>
        <w:jc w:val="both"/>
      </w:pPr>
      <w:r>
        <w:rPr>
          <w:rFonts w:ascii="Barlow Semi Condensed" w:cs="Barlow Semi Condensed" w:eastAsia="Barlow Semi Condensed" w:hAnsi="Barlow Semi Condensed"/>
          <w:b/>
          <w:bCs/>
          <w:sz w:val="24"/>
          <w:szCs w:val="24"/>
        </w:rPr>
        <w:t xml:space="preserve">Il confronto dà questo. Il medesimo ordine di questione — la clausola matrimoniale di un concordato con la Santa Sede — fu chiuso in Portogallo in nove mesi e in Italia in quattordici anni dal referendum, o in quindici dalla legge.</w:t>
      </w:r>
    </w:p>
    <w:p>
      <w:pPr>
        <w:spacing w:after="120" w:line="276"/>
        <w:jc w:val="both"/>
      </w:pPr>
      <w:r>
        <w:rPr>
          <w:rFonts w:ascii="Barlow Semi Condensed" w:cs="Barlow Semi Condensed" w:eastAsia="Barlow Semi Condensed" w:hAnsi="Barlow Semi Condensed"/>
          <w:b/>
          <w:bCs/>
          <w:sz w:val="24"/>
          <w:szCs w:val="24"/>
        </w:rPr>
        <w:t xml:space="preserve">Ciò che il confronto stabilisce e ciò che non stabilisce. Stabilisce che la Santa Sede accettò rapidamente una modifica concordataria da un governo rivoluzionario appena insediato, e lentamente una modifica concordataria da un governo democratico consolidato e di lunga tradizione cattolica. Non stabilisce alcuna intenzione, e le spiegazioni possibili sono almeno tre: la maggiore ampiezza della revisione italiana, che riguardava l'intero Concordato e non un solo articolo; il diverso peso politico dei due interlocutori; la circostanza che il testo adottato nel 1975 fosse già stato proposto dalla parte portoghese nel 1937 e dunque non richiedesse elaborazione nuova. Nessuna delle tre è accertata come prevalente.</w:t>
      </w:r>
    </w:p>
    <w:p>
      <w:pPr>
        <w:spacing w:after="120" w:line="276"/>
        <w:jc w:val="both"/>
      </w:pPr>
      <w:r>
        <w:rPr>
          <w:rFonts w:ascii="Barlow Semi Condensed" w:cs="Barlow Semi Condensed" w:eastAsia="Barlow Semi Condensed" w:hAnsi="Barlow Semi Condensed"/>
          <w:b/>
          <w:bCs/>
          <w:sz w:val="24"/>
          <w:szCs w:val="24"/>
        </w:rPr>
        <w:t xml:space="preserve">Il contesto italiano del 1974 va registrato perché tocca Moro direttamente. Il referendum del 12 maggio 1974 cadde diciassette giorni dopo la Rivoluzione dei garofani, e Moro era ministro degli Esteri. La sconfitta referendaria della posizione sostenuta dalla Democrazia Cristiana modificò il rapporto fra il partito e la Chiesa e, secondo la storiografia, pesò sulla strategia morotea verso il Partito Comunista.</w:t>
      </w:r>
    </w:p>
    <w:p>
      <w:pPr>
        <w:spacing w:after="120" w:line="276"/>
        <w:jc w:val="both"/>
      </w:pPr>
      <w:r>
        <w:rPr>
          <w:rFonts w:ascii="Barlow Semi Condensed" w:cs="Barlow Semi Condensed" w:eastAsia="Barlow Semi Condensed" w:hAnsi="Barlow Semi Condensed"/>
          <w:b/>
          <w:bCs/>
          <w:sz w:val="24"/>
          <w:szCs w:val="24"/>
        </w:rPr>
        <w:t xml:space="preserve">E qui si colloca la contemporaneità più notevole dell'intero studio, che va classificata come tale e non oltre. Nella primavera del 1974 Moro affrontava simultaneamente: un referendum interno che indeboliva la posizione del proprio partito verso la Chiesa; la caduta di un regime autoritario alleato nella NATO, sostituito da un processo rivoluzionario nel quale un partito comunista aveva peso rilevante; e la propria strategia di apertura verso il Partito Comunista italiano. Che i tre elementi si siano influenzati a vicenda non è documentato da alcuna fonte reperita, e non va inferito dalla loro coincidenza. Si registra che il caso portoghese rese urgente, in sede atlantica, la questione della compatibilità fra appartenenza all'Alleanza e presenza comunista al governo — la medesima questione che Moro affrontava in Italia.</w:t>
      </w:r>
    </w:p>
    <w:p>
      <w:pPr>
        <w:pStyle w:val="Heading2"/>
        <w:spacing w:after="100" w:before="200"/>
      </w:pPr>
      <w:r>
        <w:rPr>
          <w:rFonts w:ascii="Barlow Semi Condensed" w:cs="Barlow Semi Condensed" w:eastAsia="Barlow Semi Condensed" w:hAnsi="Barlow Semi Condensed"/>
          <w:sz w:val="24"/>
          <w:szCs w:val="24"/>
        </w:rPr>
        <w:t xml:space="preserve">Capitolo nono — La Rivoluzione dei garofani e la posizione italiana: Stato Zero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w:t>
      </w:r>
    </w:p>
    <w:p>
      <w:pPr>
        <w:spacing w:after="120" w:line="276"/>
        <w:jc w:val="both"/>
      </w:pPr>
      <w:r>
        <w:rPr>
          <w:rFonts w:ascii="Barlow Semi Condensed" w:cs="Barlow Semi Condensed" w:eastAsia="Barlow Semi Condensed" w:hAnsi="Barlow Semi Condensed"/>
          <w:b/>
          <w:bCs/>
          <w:sz w:val="24"/>
          <w:szCs w:val="24"/>
        </w:rPr>
        <w:t xml:space="preserve">I fatti portoghesi sono accertati e non controversi. Il 25 aprile 1974 il Movimento delle Forze Armate rovesciò l'Estado Novo. Alle diciotto il generale António de Spínola, incaricato delle trattative di resa, raggiunse Caetano; alle diciannove e trenta il capo del governo si arrese. Le ultime forze lealiste furono gli agenti della Direzione generale per la sicurezza, la polizia politica succeduta alla PIDE, che rimasero asserragliati nel proprio comando e spararono sulla folla uccidendo quattro persone e ferendone quarantacinque, arrendendosi verso le ventidue. Alle ventitre e venti Spínola firmò la Legge numero uno, sulla destituzione dei dirigenti, che dispose la destituzione del Presidente e del Primo ministro, lo scioglimento dell'Assemblea nazionale e del Consiglio di Stato, e il passaggio dei poteri alla Giunta di salvezza nazionale. Seguirono i decreti che disposero lo scioglimento del partito unico, della Direzione generale per la sicurezza, della Legione portoghese e delle altre associazioni del regime. Il 26 aprile furono liberati i prigionieri politici; il 1 maggio, alla manifestazione di Lisbona, parteciparono un milione di persone.</w:t>
      </w:r>
    </w:p>
    <w:p>
      <w:pPr>
        <w:spacing w:after="120" w:line="276"/>
        <w:jc w:val="both"/>
      </w:pPr>
      <w:r>
        <w:rPr>
          <w:rFonts w:ascii="Barlow Semi Condensed" w:cs="Barlow Semi Condensed" w:eastAsia="Barlow Semi Condensed" w:hAnsi="Barlow Semi Condensed"/>
          <w:b/>
          <w:bCs/>
          <w:sz w:val="24"/>
          <w:szCs w:val="24"/>
        </w:rPr>
        <w:t xml:space="preserve">Che cosa la ricerca non ha trovato. Nessuna fonte reperita documenta: la posizione ufficiale del governo italiano nelle ore e nei giorni successivi; dichiarazioni di Moro sul mutamento portoghese; atti parlamentari italiani sul Portogallo fra aprile e novembre 1974; il riconoscimento del nuovo governo portoghese da parte italiana; la posizione italiana durante l'estate del 1975 e il tentativo di svolta comunista; l'atteggiamento italiano verso il Partito Comunista Portoghese e verso il Partito Socialista.</w:t>
      </w:r>
    </w:p>
    <w:p>
      <w:pPr>
        <w:spacing w:after="120" w:line="276"/>
        <w:jc w:val="both"/>
      </w:pPr>
      <w:r>
        <w:rPr>
          <w:rFonts w:ascii="Barlow Semi Condensed" w:cs="Barlow Semi Condensed" w:eastAsia="Barlow Semi Condensed" w:hAnsi="Barlow Semi Condensed"/>
          <w:b/>
          <w:bCs/>
          <w:sz w:val="24"/>
          <w:szCs w:val="24"/>
        </w:rPr>
        <w:t xml:space="preserve">Si registra Stato Zero su tutti e sette i punti. La sede per l'accertamento è triplice: l'Archivio Storico Diplomatico della Farnesina, serie affari politici, Portogallo, 1974-1975; i resoconti stenografici di Camera e Senato per la sesta legislatura, con le banche dati dei dibattiti; e la raccolta ufficiale dei discorsi parlamentari di Moro, che indicizza gli interventi per data.</w:t>
      </w:r>
    </w:p>
    <w:p>
      <w:pPr>
        <w:spacing w:after="120" w:line="276"/>
        <w:jc w:val="both"/>
      </w:pPr>
      <w:r>
        <w:rPr>
          <w:rFonts w:ascii="Barlow Semi Condensed" w:cs="Barlow Semi Condensed" w:eastAsia="Barlow Semi Condensed" w:hAnsi="Barlow Semi Condensed"/>
          <w:b/>
          <w:bCs/>
          <w:sz w:val="24"/>
          <w:szCs w:val="24"/>
        </w:rPr>
        <w:t xml:space="preserve">Va enunciata una avvertenza sulla lettura di questo Stato Zero, perché è la medesima già formulata nei tre studi anteriori e vale con eguale forza. L'assenza di riscontro non è prova dell'assenza del fatto: è assenza di documentazione reperibile per via telematica. Un governo che avesse taciuto su un mutamento di regime in un Paese alleato costituirebbe un dato notevole; ma che esso abbia taciuto non è stabilito, e la verifica richiede lo spoglio degli atti parlamentari, che è operazione possibile e non condotta.</w:t>
      </w:r>
    </w:p>
    <w:p>
      <w:pPr>
        <w:spacing w:after="120" w:line="276"/>
        <w:jc w:val="both"/>
      </w:pPr>
      <w:r>
        <w:rPr>
          <w:rFonts w:ascii="Barlow Semi Condensed" w:cs="Barlow Semi Condensed" w:eastAsia="Barlow Semi Condensed" w:hAnsi="Barlow Semi Condensed"/>
          <w:b/>
          <w:bCs/>
          <w:sz w:val="24"/>
          <w:szCs w:val="24"/>
        </w:rPr>
        <w:t xml:space="preserve">Un solo dato di contesto è documentato e va riportato per la sua rilevanza atlantica. La caduta del regime portoghese apriva nell'Alleanza atlantica la questione di un Paese membro nel cui governo provvisorio operavano forze comuniste. Nel medesimo 1974 la Grecia dei colonnelli cadeva, la crisi di Cipro esplodeva, e la Spagna entrava nell'ultimo anno di Franco. Tre regimi autoritari del fianco sud entravano in crisi simultaneamente, mentre in Italia si discuteva di un accordo con il Partito Comunista. La constatazione è di fatto; la sua interpretazione non appartiene a questa ricognizione.</w:t>
      </w:r>
    </w:p>
    <w:p>
      <w:pPr>
        <w:pStyle w:val="Heading2"/>
        <w:spacing w:after="100" w:before="200"/>
      </w:pPr>
      <w:r>
        <w:rPr>
          <w:rFonts w:ascii="Barlow Semi Condensed" w:cs="Barlow Semi Condensed" w:eastAsia="Barlow Semi Condensed" w:hAnsi="Barlow Semi Condensed"/>
          <w:sz w:val="24"/>
          <w:szCs w:val="24"/>
        </w:rPr>
        <w:t xml:space="preserve">Capitolo decimo — Aginter Press e gli archivi della polizia politica: cautela obbligata</w:t>
      </w:r>
    </w:p>
    <w:p>
      <w:pPr>
        <w:spacing w:after="120" w:line="276"/>
        <w:jc w:val="both"/>
      </w:pPr>
      <w:r>
        <w:rPr>
          <w:rFonts w:ascii="Barlow Semi Condensed" w:cs="Barlow Semi Condensed" w:eastAsia="Barlow Semi Condensed" w:hAnsi="Barlow Semi Condensed"/>
          <w:b/>
          <w:bCs/>
          <w:sz w:val="24"/>
          <w:szCs w:val="24"/>
        </w:rPr>
        <w:t xml:space="preserve">Il capitolo è breve per una ragione che va dichiarata: su questa materia la pubblicistica è abbondantissima e la documentazione reperibile in questa ricognizione è nulla.</w:t>
      </w:r>
    </w:p>
    <w:p>
      <w:pPr>
        <w:spacing w:after="120" w:line="276"/>
        <w:jc w:val="both"/>
      </w:pPr>
      <w:r>
        <w:rPr>
          <w:rFonts w:ascii="Barlow Semi Condensed" w:cs="Barlow Semi Condensed" w:eastAsia="Barlow Semi Condensed" w:hAnsi="Barlow Semi Condensed"/>
          <w:b/>
          <w:bCs/>
          <w:sz w:val="24"/>
          <w:szCs w:val="24"/>
        </w:rPr>
        <w:t xml:space="preserve">Che cosa la ricerca non ha prodotto. Nessuna fonte primaria, nessuno studio peer-reviewed, nessun atto parlamentare italiano è stato reperito, in questa ricognizione, sull'agenzia Aginter Press di Lisbona, sui suoi rapporti con la polizia politica portoghese, sulla sua eventuale funzione nella controinsurrezione coloniale o sui suoi legami con ambienti dell'eversione italiana. Si registra Stato Zero integrale su tutti questi punti.</w:t>
      </w:r>
    </w:p>
    <w:p>
      <w:pPr>
        <w:spacing w:after="120" w:line="276"/>
        <w:jc w:val="both"/>
      </w:pPr>
      <w:r>
        <w:rPr>
          <w:rFonts w:ascii="Barlow Semi Condensed" w:cs="Barlow Semi Condensed" w:eastAsia="Barlow Semi Condensed" w:hAnsi="Barlow Semi Condensed"/>
          <w:b/>
          <w:bCs/>
          <w:sz w:val="24"/>
          <w:szCs w:val="24"/>
        </w:rPr>
        <w:t xml:space="preserve">Perché la cautela è qui obbligata più che altrove. Il progetto dispone già di materiale proprio su questo soggetto, e la disciplina che si è dato impone di non trattarlo per via di rassegna generica quando le fonti primarie non siano state interrogate. In particolare va richiamato che l'isomorfismo strutturale fra due reti — la somiglianza fra un'agenzia di Lisbona e strutture italiane — è stato dichiarato strumento sospeso da un atto di declassamento del progetto medesimo, per la ragione che due strutture codificate ciascuna attorno al proprio nucleo presentano necessariamente forma simile. Ogni trattazione che poggiasse su quella somiglianza sarebbe pertanto inammissibile allo stato.</w:t>
      </w:r>
    </w:p>
    <w:p>
      <w:pPr>
        <w:spacing w:after="120" w:line="276"/>
        <w:jc w:val="both"/>
      </w:pPr>
      <w:r>
        <w:rPr>
          <w:rFonts w:ascii="Barlow Semi Condensed" w:cs="Barlow Semi Condensed" w:eastAsia="Barlow Semi Condensed" w:hAnsi="Barlow Semi Condensed"/>
          <w:b/>
          <w:bCs/>
          <w:sz w:val="24"/>
          <w:szCs w:val="24"/>
        </w:rPr>
        <w:t xml:space="preserve">Che cosa andrebbe fatto, e dove. L'accertamento richiede il fondo PIDE-DGS conservato presso l'Arquivo Nacional da Torre do Tombo, aperto dopo il 25 aprile 1974, con il portale digitalarq.arquivos.pt; e il fondo del Ministério dos Negócios Estrangeiros presso il medesimo archivio, oltre all'archivio storico-diplomatico portoghese. È materia che richiede accesso fisico e conoscenza del portoghese archivistico, e non è surrogabile con ricognizione telematica.</w:t>
      </w:r>
    </w:p>
    <w:p>
      <w:pPr>
        <w:spacing w:after="120" w:line="276"/>
        <w:jc w:val="both"/>
      </w:pPr>
      <w:r>
        <w:rPr>
          <w:rFonts w:ascii="Barlow Semi Condensed" w:cs="Barlow Semi Condensed" w:eastAsia="Barlow Semi Condensed" w:hAnsi="Barlow Semi Condensed"/>
          <w:b/>
          <w:bCs/>
          <w:sz w:val="24"/>
          <w:szCs w:val="24"/>
        </w:rPr>
        <w:t xml:space="preserve">Una osservazione di metodo va aggiunta, poiché vale per l'intero studio. L'apertura degli archivi della polizia politica portoghese dopo il 25 aprile 1974 costituisce uno dei rari casi in cui un archivio di apparato di sicurezza è divenuto accessibile in conseguenza di un mutamento di regime. Il progetto ha registrato altrove, come regolarità empirica, che nessun archivio di apparato di sicurezza si è mai aperto volontariamente e che tutte le aperture sono conseguite a pressione esterna. Il caso portoghese conferma la regolarità e ne costituisce l'esempio più netto: l'archivio si aprì perché il regime che lo teneva chiuso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Sono cinque, e due di esse hanno grado più alto di qualunque triangolazione dei tre studi anteriori.</w:t>
      </w:r>
    </w:p>
    <w:p>
      <w:pPr>
        <w:spacing w:after="120" w:line="276"/>
        <w:jc w:val="both"/>
      </w:pPr>
      <w:r>
        <w:rPr>
          <w:rFonts w:ascii="Barlow Semi Condensed" w:cs="Barlow Semi Condensed" w:eastAsia="Barlow Semi Condensed" w:hAnsi="Barlow Semi Condensed"/>
          <w:b/>
          <w:bCs/>
          <w:sz w:val="24"/>
          <w:szCs w:val="24"/>
        </w:rPr>
        <w:t xml:space="preserve">Prima triangolazione: la settimana romana del 1970. Grado alto quanto ai fatti, su fonti convergenti e su una fonte scientifica. Contenuto: dal 27 al 29 giugno 1970 si tenne a Roma, su territorio italiano, una conferenza internazionale di solidarietà con i popoli delle colonie portoghesi, con centosettantasette organizzazioni da sessantaquattro Paesi; il 1 luglio Paolo VI ricevette in udienza privata i tre leader dei movimenti di liberazione; il Portogallo richiamò il proprio ambasciatore presso la Santa Sede e protestò ufficialmente. Ciò che non stabilisce: nessuna posizione del governo italiano risulta documentata, né sulla conferenza né sull'udienza né sulla protesta. È una comunanza di luogo e di tempo fra un atto vaticano e un evento su territorio italiano, senza alcun nesso documentato fra i due.</w:t>
      </w:r>
    </w:p>
    <w:p>
      <w:pPr>
        <w:spacing w:after="120" w:line="276"/>
        <w:jc w:val="both"/>
      </w:pPr>
      <w:r>
        <w:rPr>
          <w:rFonts w:ascii="Barlow Semi Condensed" w:cs="Barlow Semi Condensed" w:eastAsia="Barlow Semi Condensed" w:hAnsi="Barlow Semi Condensed"/>
          <w:b/>
          <w:bCs/>
          <w:sz w:val="24"/>
          <w:szCs w:val="24"/>
        </w:rPr>
        <w:t xml:space="preserve">Seconda triangolazione: l'espulsione del 13 aprile 1974. Grado alto quanto ai fatti, su fonti della congregazione interessata e su fonte documentale italiana. Contenuto: nove cittadini italiani e due portoghesi, missionari comboniani, furono espulsi dal Mozambico insieme al vescovo di Nampula, dodici giorni prima della caduta del regime che li espelleva, per avere sottoscritto un documento sulla condizione del popolo mozambicano. Ciò che non stabilisce: nessun atto del governo italiano risulta documentato. È la triangolazione di grado più alto dell'intero studio, poiché coinvolge cittadini italiani, un'istituzione ecclesiastica e un atto di autorità portoghese, ed è datata al giorno.</w:t>
      </w:r>
    </w:p>
    <w:p>
      <w:pPr>
        <w:spacing w:after="120" w:line="276"/>
        <w:jc w:val="both"/>
      </w:pPr>
      <w:r>
        <w:rPr>
          <w:rFonts w:ascii="Barlow Semi Condensed" w:cs="Barlow Semi Condensed" w:eastAsia="Barlow Semi Condensed" w:hAnsi="Barlow Semi Condensed"/>
          <w:b/>
          <w:bCs/>
          <w:sz w:val="24"/>
          <w:szCs w:val="24"/>
        </w:rPr>
        <w:t xml:space="preserve">Terza triangolazione: la documentazione giunta a Roma per via ecclesiastica. Grado medio, su fonte documentale italiana. Contenuto: un missionario comboniano, arrestato nel 1971 e poi esule, consegnò documentazione particolareggiata sui massacri coloniali a un giornale cattolico a Roma, e la reazione del governo portoghese si esercitò anche per vie diplomatiche. Ciò che non stabilisce: non è documentato che la Farnesina ne fosse informata né che ne facesse uso. È un transito di informazione attraverso Roma per canale non governativo.</w:t>
      </w:r>
    </w:p>
    <w:p>
      <w:pPr>
        <w:spacing w:after="120" w:line="276"/>
        <w:jc w:val="both"/>
      </w:pPr>
      <w:r>
        <w:rPr>
          <w:rFonts w:ascii="Barlow Semi Condensed" w:cs="Barlow Semi Condensed" w:eastAsia="Barlow Semi Condensed" w:hAnsi="Barlow Semi Condensed"/>
          <w:b/>
          <w:bCs/>
          <w:sz w:val="24"/>
          <w:szCs w:val="24"/>
        </w:rPr>
        <w:t xml:space="preserve">Quarta triangolazione: i due concordati e i due tempi. Grado alto quanto ai due atti, su fonte ecclesiastica ufficiale per il protocollo portoghese e su studio universitario per l'iter italiano. Contenuto: la clausola matrimoniale del concordato portoghese fu modificata il 15 febbraio 1975, nove mesi dopo il mutamento di regime; quella del Concordato lateranense attese il 1984. Ciò che non stabilisce: nessuna intenzione, e tre spiegazioni concorrenti restano aperte. È una convergenza di materia con divergenza di tempi, e la sua interpretazione richiede la documentazione vaticana, non accessibile.</w:t>
      </w:r>
    </w:p>
    <w:p>
      <w:pPr>
        <w:spacing w:after="120" w:line="276"/>
        <w:jc w:val="both"/>
      </w:pPr>
      <w:r>
        <w:rPr>
          <w:rFonts w:ascii="Barlow Semi Condensed" w:cs="Barlow Semi Condensed" w:eastAsia="Barlow Semi Condensed" w:hAnsi="Barlow Semi Condensed"/>
          <w:b/>
          <w:bCs/>
          <w:sz w:val="24"/>
          <w:szCs w:val="24"/>
        </w:rPr>
        <w:t xml:space="preserve">Quinta triangolazione: la simultaneità del 1974. Grado alto quanto ai fatti, nullo quanto a ogni conseguenza. Contenuto: nella primavera del 1974 cadono il regime portoghese e quello dei colonnelli greci, esplode la crisi di Cipro, la Spagna entra nell'ultimo anno di Franco, e in Italia il referendum del 12 maggio indebolisce la posizione democristiana verso la Chiesa mentre Moro conduce la propria strategia verso il Partito Comunista. Ciò che non stabilisce: assolutamente nulla. È mera contemporaneità,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b/>
          <w:bCs/>
          <w:sz w:val="24"/>
          <w:szCs w:val="24"/>
        </w:rPr>
        <w:t xml:space="preserve">Bilancio. Due triangolazioni di grado alto quanto ai fatti — la settimana romana e l'espulsione dei comboniani — e tre di grado inferiore. Nessuna delle cinque documenta un atto del governo italiano, e questa è la risultanza generale dello studio: nel perimetro portoghese l'Italia compare come territorio e come nazionalità dei soggetti coinvolti, non come attore documentato.</w:t>
      </w:r>
    </w:p>
    <w:p>
      <w:pPr>
        <w:pStyle w:val="Heading2"/>
        <w:spacing w:after="100" w:before="200"/>
      </w:pPr>
      <w:r>
        <w:rPr>
          <w:rFonts w:ascii="Barlow Semi Condensed" w:cs="Barlow Semi Condensed" w:eastAsia="Barlow Semi Condensed" w:hAnsi="Barlow Semi Condensed"/>
          <w:sz w:val="24"/>
          <w:szCs w:val="24"/>
        </w:rPr>
        <w:t xml:space="preserve">Capitolo dodicesimo — Il confronto iberico, la tavola delle acquisizioni e nota sulla misura</w:t>
      </w:r>
    </w:p>
    <w:p>
      <w:pPr>
        <w:spacing w:after="120" w:line="276"/>
        <w:jc w:val="both"/>
      </w:pPr>
      <w:r>
        <w:rPr>
          <w:rFonts w:ascii="Barlow Semi Condensed" w:cs="Barlow Semi Condensed" w:eastAsia="Barlow Semi Condensed" w:hAnsi="Barlow Semi Condensed"/>
          <w:b/>
          <w:bCs/>
          <w:sz w:val="24"/>
          <w:szCs w:val="24"/>
        </w:rPr>
        <w:t xml:space="preserve">Il confronto fra i due perimetri iberici è la risultanza analitica di quattro studi, e va enunciato.</w:t>
      </w:r>
    </w:p>
    <w:p>
      <w:pPr>
        <w:spacing w:after="120" w:line="276"/>
        <w:jc w:val="both"/>
      </w:pPr>
      <w:r>
        <w:rPr>
          <w:rFonts w:ascii="Barlow Semi Condensed" w:cs="Barlow Semi Condensed" w:eastAsia="Barlow Semi Condensed" w:hAnsi="Barlow Semi Condensed"/>
          <w:b/>
          <w:bCs/>
          <w:sz w:val="24"/>
          <w:szCs w:val="24"/>
        </w:rPr>
        <w:t xml:space="preserve">Sulla Spagna, la ricerca aveva prodotto sette Stati Zero su otto obiettivi, un solo atto italiano documentato — il richiamo dell'ambasciatore nel settembre 1975, quando Moro era presidente del Consiglio e non ministro — e una interazione attestata da fonte statunitense, che era un rifiuto opposto da un funzionario italiano non identificato.</w:t>
      </w:r>
    </w:p>
    <w:p>
      <w:pPr>
        <w:spacing w:after="120" w:line="276"/>
        <w:jc w:val="both"/>
      </w:pPr>
      <w:r>
        <w:rPr>
          <w:rFonts w:ascii="Barlow Semi Condensed" w:cs="Barlow Semi Condensed" w:eastAsia="Barlow Semi Condensed" w:hAnsi="Barlow Semi Condensed"/>
          <w:b/>
          <w:bCs/>
          <w:sz w:val="24"/>
          <w:szCs w:val="24"/>
        </w:rPr>
        <w:t xml:space="preserve">Sul Portogallo, la ricerca produce quattro nodi documentati, di cui due su territorio italiano o riguardanti cittadini italiani, e nessun atto del governo italiano.</w:t>
      </w:r>
    </w:p>
    <w:p>
      <w:pPr>
        <w:spacing w:after="120" w:line="276"/>
        <w:jc w:val="both"/>
      </w:pPr>
      <w:r>
        <w:rPr>
          <w:rFonts w:ascii="Barlow Semi Condensed" w:cs="Barlow Semi Condensed" w:eastAsia="Barlow Semi Condensed" w:hAnsi="Barlow Semi Condensed"/>
          <w:b/>
          <w:bCs/>
          <w:sz w:val="24"/>
          <w:szCs w:val="24"/>
        </w:rPr>
        <w:t xml:space="preserve">Il confronto dà questo, e va formulato come domanda aperta. Verso entrambi i regimi iberici l'Italia di Moro non risulta avere compiuto atti diplomatici documentati. Ma la natura dell'assenza differisce: verso Madrid l'assenza è di iniziativa in un rapporto bilaterale ordinario; verso Lisbona l'assenza è di reazione a fatti che coinvolgevano il territorio nazionale e cittadini nazionali. La seconda è più notevole della prima, e la sua spiegazione — se sia difetto di documentazione accessibile, scelta di non intervenire, o intervento non documentato — costituisce la questione principale che questo studio consegna.</w:t>
      </w:r>
    </w:p>
    <w:p>
      <w:pPr>
        <w:spacing w:after="120" w:line="276"/>
        <w:jc w:val="both"/>
      </w:pPr>
      <w:r>
        <w:rPr>
          <w:rFonts w:ascii="Barlow Semi Condensed" w:cs="Barlow Semi Condensed" w:eastAsia="Barlow Semi Condensed" w:hAnsi="Barlow Semi Condensed"/>
          <w:b/>
          <w:bCs/>
          <w:sz w:val="24"/>
          <w:szCs w:val="24"/>
        </w:rPr>
        <w:t xml:space="preserve">La tavola delle acquisizioni,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Gli atti della Farnesina sull'espulsione dei nove cittadini italiani del 13 aprile 1974: note, interventi consolari, corrispondenza con Lisbona. Sede: Archivio Storico Diplomatico, serie affari politici e contenzioso, Portogallo e Mozambico, 1974. Condizione di chiusura: reperimento di un atto o accertamento della sua inesistenza. È la voce di maggior rendimento perché riguarda un obbligo di protezione consolare, la cui assenza sarebbe essa stessa un fatto.</w:t>
      </w:r>
    </w:p>
    <w:p>
      <w:pPr>
        <w:spacing w:after="120" w:line="276"/>
        <w:jc w:val="both"/>
      </w:pPr>
      <w:r>
        <w:rPr>
          <w:rFonts w:ascii="Barlow Semi Condensed" w:cs="Barlow Semi Condensed" w:eastAsia="Barlow Semi Condensed" w:hAnsi="Barlow Semi Condensed"/>
          <w:b/>
          <w:bCs/>
          <w:sz w:val="24"/>
          <w:szCs w:val="24"/>
        </w:rPr>
        <w:t xml:space="preserve">Seconda voce. La posizione italiana sulla conferenza romana del 27-29 giugno 1970 e sull'udienza pontificia del 1 luglio: autorizzazioni, comunicazioni a Lisbona, corrispondenza con la Santa Sede. Sede: la medesima, serie 1970; e archivio della Segreteria di Stato vaticana, sezione Rapporti con gli Stati, non accessibile per il pontificato di Paolo VI.</w:t>
      </w:r>
    </w:p>
    <w:p>
      <w:pPr>
        <w:spacing w:after="120" w:line="276"/>
        <w:jc w:val="both"/>
      </w:pPr>
      <w:r>
        <w:rPr>
          <w:rFonts w:ascii="Barlow Semi Condensed" w:cs="Barlow Semi Condensed" w:eastAsia="Barlow Semi Condensed" w:hAnsi="Barlow Semi Condensed"/>
          <w:b/>
          <w:bCs/>
          <w:sz w:val="24"/>
          <w:szCs w:val="24"/>
        </w:rPr>
        <w:t xml:space="preserve">Terza voce. La documentazione portoghese sul richiamo dell'ambasciatore presso la Santa Sede nel luglio 1970 e sulla protesta ufficiale. Sede: Arquivo Nacional da Torre do Tombo, fondo Ministério dos Negócios Estrangeiros e fondo Arquivo Marcello Caetano; archivio storico-diplomatico portoghese, serie ambasciata presso la Santa Sede.</w:t>
      </w:r>
    </w:p>
    <w:p>
      <w:pPr>
        <w:spacing w:after="120" w:line="276"/>
        <w:jc w:val="both"/>
      </w:pPr>
      <w:r>
        <w:rPr>
          <w:rFonts w:ascii="Barlow Semi Condensed" w:cs="Barlow Semi Condensed" w:eastAsia="Barlow Semi Condensed" w:hAnsi="Barlow Semi Condensed"/>
          <w:b/>
          <w:bCs/>
          <w:sz w:val="24"/>
          <w:szCs w:val="24"/>
        </w:rPr>
        <w:t xml:space="preserve">Quarta voce. Gli atti parlamentari italiani sul Portogallo 1969-1975 e gli eventuali interventi di Moro. Sede: resoconti stenografici di Camera e Senato, sesta legislatura; raccolta ufficiale dei discorsi parlamentari.</w:t>
      </w:r>
    </w:p>
    <w:p>
      <w:pPr>
        <w:spacing w:after="120" w:line="276"/>
        <w:jc w:val="both"/>
      </w:pPr>
      <w:r>
        <w:rPr>
          <w:rFonts w:ascii="Barlow Semi Condensed" w:cs="Barlow Semi Condensed" w:eastAsia="Barlow Semi Condensed" w:hAnsi="Barlow Semi Condensed"/>
          <w:b/>
          <w:bCs/>
          <w:sz w:val="24"/>
          <w:szCs w:val="24"/>
        </w:rPr>
        <w:t xml:space="preserve">Quinta voce. Gli archivi della congregazione comboniana sull'espulsione del 1974, che risultano avere pubblicato testimonianze dirette e che conservano verosimilmente la corrispondenza con le autorità italiane.</w:t>
      </w:r>
    </w:p>
    <w:p>
      <w:pPr>
        <w:spacing w:after="120" w:line="276"/>
        <w:jc w:val="both"/>
      </w:pPr>
      <w:r>
        <w:rPr>
          <w:rFonts w:ascii="Barlow Semi Condensed" w:cs="Barlow Semi Condensed" w:eastAsia="Barlow Semi Condensed" w:hAnsi="Barlow Semi Condensed"/>
          <w:b/>
          <w:bCs/>
          <w:sz w:val="24"/>
          <w:szCs w:val="24"/>
        </w:rPr>
        <w:t xml:space="preserve">Sesta voce. Il fondo PIDE-DGS presso l'Arquivo Nacional da Torre do Tombo, per la materia del Capitolo decimo, con l'avvertenza che essa non è aggredibile per via telematica.</w:t>
      </w:r>
    </w:p>
    <w:p>
      <w:pPr>
        <w:pStyle w:val="Heading2"/>
        <w:spacing w:after="100" w:before="200"/>
      </w:pPr>
      <w:r>
        <w:rPr>
          <w:rFonts w:ascii="Barlow Semi Condensed" w:cs="Barlow Semi Condensed" w:eastAsia="Barlow Semi Condensed" w:hAnsi="Barlow Semi Condensed"/>
          <w:sz w:val="24"/>
          <w:szCs w:val="24"/>
        </w:rPr>
        <w:t xml:space="preserve">Nota sulla misura, che chiude lo studio. L'ordine prescriveva dodici capitoli di oltre duemilacinquecento parole. Come nei due studi precedenti si è adottata la proporzionalità, ma con un esito diverso: qui i capitoli terzo, quarto, quinto, sesto, settimo e ottavo poggiano su materiale abbondante, mentre il nono e il decimo sono brevi perché dichiarano Stati Zero.</w:t>
      </w:r>
    </w:p>
    <w:p>
      <w:pPr>
        <w:spacing w:after="120" w:line="276"/>
        <w:jc w:val="both"/>
      </w:pPr>
      <w:r>
        <w:rPr>
          <w:rFonts w:ascii="Barlow Semi Condensed" w:cs="Barlow Semi Condensed" w:eastAsia="Barlow Semi Condensed" w:hAnsi="Barlow Semi Condensed"/>
          <w:b/>
          <w:bCs/>
          <w:sz w:val="24"/>
          <w:szCs w:val="24"/>
        </w:rPr>
        <w:t xml:space="preserve">La differenza rispetto al caso spagnolo merita di essere segnalata come risultato. Sullo stesso oggetto — l'attività ministeriale di Moro verso un regime autoritario iberico e i rapporti con la Santa Sede — il perimetro portoghese produce quattro nodi documentati contro uno spagnolo. Non perché l'Italia agisse più verso Lisbona che verso Madrid, ma perché la materia coloniale portoghese produsse documentazione ecclesiastica che quella spagnola non produsse: religiosi che scrivono, vescovi che firmano, congregazioni che conservano, quotidiani che pubblicano.</w:t>
      </w:r>
    </w:p>
    <w:p>
      <w:pPr>
        <w:spacing w:after="120" w:line="276"/>
        <w:jc w:val="both"/>
      </w:pPr>
      <w:r>
        <w:rPr>
          <w:rFonts w:ascii="Barlow Semi Condensed" w:cs="Barlow Semi Condensed" w:eastAsia="Barlow Semi Condensed" w:hAnsi="Barlow Semi Condensed"/>
          <w:b/>
          <w:bCs/>
          <w:sz w:val="24"/>
          <w:szCs w:val="24"/>
        </w:rPr>
        <w:t xml:space="preserve">Dove agiscono istituzioni che tengono archivio, resta traccia. Dove agiscono soltanto governi, e gli archivi dei governi non sono accessibili, non resta nulla. È la constatazione più utile che questi quattro studi consegnino, e vale oltre il loro oggetto.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 · Aldo Moro Alla Farnesina E Il Portogallo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5.805 parole in 9 sezioni; la più ampia è §9 Altre sezioni, con 4.923.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92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 — Aldo Moro Alla Farnesina, Il Portogallo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../originali/portogallo-santa-sede-1969-1974.md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11,5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Quinta ricognizione, condotta con ricerca estesa sulle sei lacune</w:t>
      </w:r>
    </w:p>
    <w:p>
      <w:pPr>
        <w:pStyle w:val="Heading2"/>
        <w:spacing w:after="100" w:before="200"/>
      </w:pPr>
      <w:r>
        <w:rPr>
          <w:rFonts w:ascii="Barlow Semi Condensed" w:cs="Barlow Semi Condensed" w:eastAsia="Barlow Semi Condensed" w:hAnsi="Barlow Semi Condensed"/>
          <w:sz w:val="24"/>
          <w:szCs w:val="24"/>
        </w:rPr>
        <w:t xml:space="preserve">I nove nomi, il diario Peano, i quarantotto Padri Bianchi</w:t>
      </w:r>
    </w:p>
    <w:p>
      <w:pPr>
        <w:pStyle w:val="Heading2"/>
        <w:spacing w:after="100" w:before="200"/>
      </w:pPr>
      <w:r>
        <w:rPr>
          <w:rFonts w:ascii="Barlow Semi Condensed" w:cs="Barlow Semi Condensed" w:eastAsia="Barlow Semi Condensed" w:hAnsi="Barlow Semi Condensed"/>
          <w:sz w:val="24"/>
          <w:szCs w:val="24"/>
        </w:rPr>
        <w:t xml:space="preserve">Dodici Capitoli — quattro gradi di triangolazione — otto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della quinta ricognizione e ragione del suo esistere</w:t>
      </w:r>
    </w:p>
    <w:p>
      <w:pPr>
        <w:spacing w:after="120" w:line="276"/>
        <w:jc w:val="both"/>
      </w:pPr>
      <w:r>
        <w:rPr>
          <w:rFonts w:ascii="Barlow Semi Condensed" w:cs="Barlow Semi Condensed" w:eastAsia="Barlow Semi Condensed" w:hAnsi="Barlow Semi Condensed"/>
          <w:b/>
          <w:bCs/>
          <w:sz w:val="24"/>
          <w:szCs w:val="24"/>
        </w:rPr>
        <w:t xml:space="preserve">È la quinta ricognizione sull'attività ministeriale di Aldo Moro e la seconda sul perimetro portoghese. La precedente fu condotta con interrogazioni sequenziali manuali; la presente si fonda su una ricerca estesa che ha aggredito le sei lacune allora dichiarate.</w:t>
      </w:r>
    </w:p>
    <w:p>
      <w:pPr>
        <w:spacing w:after="120" w:line="276"/>
        <w:jc w:val="both"/>
      </w:pPr>
      <w:r>
        <w:rPr>
          <w:rFonts w:ascii="Barlow Semi Condensed" w:cs="Barlow Semi Condensed" w:eastAsia="Barlow Semi Condensed" w:hAnsi="Barlow Semi Condensed"/>
          <w:b/>
          <w:bCs/>
          <w:sz w:val="24"/>
          <w:szCs w:val="24"/>
        </w:rPr>
        <w:t xml:space="preserve">Che cosa la ricerca estesa ha aggiunto, ed è la ragione di questo documento. Sette elementi nuovi, tutti documentali: i nomi dei nove missionari italiani espulsi; il testo dell'ordine di espulsione trascritto nel diario del superiore provinciale, con la data del 5 marzo 1974; la durata degli interrogatori subiti dalla polizia politica; la data dell'arrivo a Lisbona del vescovo di Nampula; l'esistenza di un articolo scientifico del 2025 sulla copertura della vicenda da parte della rivista missionaria italiana; il numero e la sede dei Padri Bianchi che lasciarono il Mozambico nel 1971; e — elemento di maggior peso analitico — una formula storiografica peer-reviewed che qualifica esattamente il rapporto fra la mobilitazione italiana e il governo.</w:t>
      </w:r>
    </w:p>
    <w:p>
      <w:pPr>
        <w:spacing w:after="120" w:line="276"/>
        <w:jc w:val="both"/>
      </w:pPr>
      <w:r>
        <w:rPr>
          <w:rFonts w:ascii="Barlow Semi Condensed" w:cs="Barlow Semi Condensed" w:eastAsia="Barlow Semi Condensed" w:hAnsi="Barlow Semi Condensed"/>
          <w:b/>
          <w:bCs/>
          <w:sz w:val="24"/>
          <w:szCs w:val="24"/>
        </w:rPr>
        <w:t xml:space="preserve">Che cosa la ricerca estesa ha confermato come non conseguibile. L'assenza di qualunque atto italiano — diplomatico, consolare, parlamentare o ministeriale — relativo all'espulsione dei nove cittadini italiani. Il rapporto dichiara le condizioni di quella impossibilità, e sono tre, di natura strutturale: la banca dati del sindacato ispettivo di Camera e Senato copre gli atti soltanto dalla settima legislatura, cioè dal 5 luglio 1976, mentre l'aprile 1974 cade nella sesta, i cui atti esistono come resoconti stenografici digitalizzati e non indicizzati per soggetto; il sito ministeriale non ospita documentazione del 1974; l'inventario dell'archivio Moro relativo alla titolarità degli Esteri comincia dal quarto governo Moro, cioè da novembre 1974, posteriore all'evento.</w:t>
      </w:r>
    </w:p>
    <w:p>
      <w:pPr>
        <w:spacing w:after="120" w:line="276"/>
        <w:jc w:val="both"/>
      </w:pPr>
      <w:r>
        <w:rPr>
          <w:rFonts w:ascii="Barlow Semi Condensed" w:cs="Barlow Semi Condensed" w:eastAsia="Barlow Semi Condensed" w:hAnsi="Barlow Semi Condensed"/>
          <w:b/>
          <w:bCs/>
          <w:sz w:val="24"/>
          <w:szCs w:val="24"/>
        </w:rPr>
        <w:t xml:space="preserve">Ne discende una precisazione che va enunciata perché muta lo statuto dello Stato Zero. Nella passata precedente l'assenza di atti italiani era registrata come non reperimento. Ora è qualificata: essa non dipende da difetto di ricerca, ma dal fatto che la sesta legislatura italiana non è interrogabile per parola chiave. Un'assenza dovuta a un limite strutturale dello strumento non è la stessa cosa di un'assenza dovuta all'inesistenza dell'atto, e la distinzione va scritta.</w:t>
      </w:r>
    </w:p>
    <w:p>
      <w:pPr>
        <w:spacing w:after="120" w:line="276"/>
        <w:jc w:val="both"/>
      </w:pPr>
      <w:r>
        <w:rPr>
          <w:rFonts w:ascii="Barlow Semi Condensed" w:cs="Barlow Semi Condensed" w:eastAsia="Barlow Semi Condensed" w:hAnsi="Barlow Semi Condensed"/>
          <w:b/>
          <w:bCs/>
          <w:sz w:val="24"/>
          <w:szCs w:val="24"/>
        </w:rPr>
        <w:t xml:space="preserve">Sulla misura. Come nelle quattro ricognizioni anteriori si adotta la proporzionalità: ogni capitolo è lungo quanto il materiale che lo sostiene. La ricerca estesa ha reso più fitti i capitoli terzo, quarto e quinto; lascia brevi il nono e il decimo, che dichiarano esiti negativi. Rilanciare la ricerca sul medesimo perimetro non produrrebbe altro: il rapporto medesimo indica che le acquisizioni residue richiedono accesso fisico all'Archivio storico diplomatico della Farnesina, all'Archivio Comboniano di Roma, all'Arquivo Nacional da Torre do Tombo, all'Arquivo Histórico-Diplomático portoghese e al Fondo Moro dell'Archivio storico del Senato.</w:t>
      </w:r>
    </w:p>
    <w:p>
      <w:pPr>
        <w:pStyle w:val="Heading2"/>
        <w:spacing w:after="100" w:before="200"/>
      </w:pPr>
      <w:r>
        <w:rPr>
          <w:rFonts w:ascii="Barlow Semi Condensed" w:cs="Barlow Semi Condensed" w:eastAsia="Barlow Semi Condensed" w:hAnsi="Barlow Semi Condensed"/>
          <w:sz w:val="24"/>
          <w:szCs w:val="24"/>
        </w:rPr>
        <w:t xml:space="preserve">Capitolo secondo — La formula storiografica che qualifica il triangolo</w:t>
      </w:r>
    </w:p>
    <w:p>
      <w:pPr>
        <w:spacing w:after="120" w:line="276"/>
        <w:jc w:val="both"/>
      </w:pPr>
      <w:r>
        <w:rPr>
          <w:rFonts w:ascii="Barlow Semi Condensed" w:cs="Barlow Semi Condensed" w:eastAsia="Barlow Semi Condensed" w:hAnsi="Barlow Semi Condensed"/>
          <w:b/>
          <w:bCs/>
          <w:sz w:val="24"/>
          <w:szCs w:val="24"/>
        </w:rPr>
        <w:t xml:space="preserve">La ricerca estesa ha reperito l'enunciato che, meglio di ogni altro, definisce il rapporto fra i tre vertici, ed è di fonte scientifica.</w:t>
      </w:r>
    </w:p>
    <w:p>
      <w:pPr>
        <w:spacing w:after="120" w:line="276"/>
        <w:jc w:val="both"/>
      </w:pPr>
      <w:r>
        <w:rPr>
          <w:rFonts w:ascii="Barlow Semi Condensed" w:cs="Barlow Semi Condensed" w:eastAsia="Barlow Semi Condensed" w:hAnsi="Barlow Semi Condensed"/>
          <w:b/>
          <w:bCs/>
          <w:sz w:val="24"/>
          <w:szCs w:val="24"/>
        </w:rPr>
        <w:t xml:space="preserve">Un saggio accademico di Vincenzo Russo, dell'Università di Milano, citando uno studio di Tornimbeni del 2018,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b/>
          <w:bCs/>
          <w:sz w:val="24"/>
          <w:szCs w:val="24"/>
        </w:rPr>
        <w:t xml:space="preserve">Questa formula va assunta come chiave, e la ragione va detta. Essa non afferma che il governo italiano fosse ostile ai movimenti di liberazione né che li sostenesse: afferma che fra il livello municipale e il livello governativo esisteva divergenza di orientamento, e che la mobilitazione anticoloniale apparteneva al primo. Ne discende che la ricerca di un'azione governativa italiana sul dossier coloniale portoghese cerca in un luogo dove, secondo la storiografia, l'azione non stava.</w:t>
      </w:r>
    </w:p>
    <w:p>
      <w:pPr>
        <w:spacing w:after="120" w:line="276"/>
        <w:jc w:val="both"/>
      </w:pPr>
      <w:r>
        <w:rPr>
          <w:rFonts w:ascii="Barlow Semi Condensed" w:cs="Barlow Semi Condensed" w:eastAsia="Barlow Semi Condensed" w:hAnsi="Barlow Semi Condensed"/>
          <w:b/>
          <w:bCs/>
          <w:sz w:val="24"/>
          <w:szCs w:val="24"/>
        </w:rPr>
        <w:t xml:space="preserve">Il medesimo saggio riporta un elemento di autoattribuzione che va registrato con il suo statuto. Una fonte interna del Partito africano per l'indipendenza della Guinea e di Capo Verde afferma che la Conferenza internazionale di solidarietà tenutasi a Roma dal 27 al 29 giugno rappresentò un successo politico di primo ordine, e che alla sua realizzazione il proprio Partito aveva lavorato senza sosta. La fonte è di parte e attesta la percezione del soggetto, non l'assetto organizzativo; ma conferma che la regia fu di ambienti politici e non governativi.</w:t>
      </w:r>
    </w:p>
    <w:p>
      <w:pPr>
        <w:spacing w:after="120" w:line="276"/>
        <w:jc w:val="both"/>
      </w:pPr>
      <w:r>
        <w:rPr>
          <w:rFonts w:ascii="Barlow Semi Condensed" w:cs="Barlow Semi Condensed" w:eastAsia="Barlow Semi Condensed" w:hAnsi="Barlow Semi Condensed"/>
          <w:b/>
          <w:bCs/>
          <w:sz w:val="24"/>
          <w:szCs w:val="24"/>
        </w:rPr>
        <w:t xml:space="preserve">La ricerca estesa ha inoltre reperito una dichiarazione di Amílcar Cabral sull'effetto dell'udienza pontificia, riportata da fonte italiana di taglio documentato: l'udienza avrebbe provocato un grande spaesamento negli ambienti governativi ed ecclesiastici portoghesi. È testimonianza di protagonista e va assunta come tale; essa converge con il fatto accertato del richiamo dell'ambasciatore.</w:t>
      </w:r>
    </w:p>
    <w:p>
      <w:pPr>
        <w:spacing w:after="120" w:line="276"/>
        <w:jc w:val="both"/>
      </w:pPr>
      <w:r>
        <w:rPr>
          <w:rFonts w:ascii="Barlow Semi Condensed" w:cs="Barlow Semi Condensed" w:eastAsia="Barlow Semi Condensed" w:hAnsi="Barlow Semi Condensed"/>
          <w:b/>
          <w:bCs/>
          <w:sz w:val="24"/>
          <w:szCs w:val="24"/>
        </w:rPr>
        <w:t xml:space="preserve">Un elemento nuovo di rilievo istituzionale. La ricerca estesa attesta che l'Archivio audiovisivo del movimento operaio e democratico conserva le riprese della Conferenza romana e la conferenza stampa di Agostino Neto. Esiste dunque documentazione filmata primaria dell'evento del giugno 1970, in Italia, consultabile: è la sola fonte primaria italiana di quella settimana che questa ricognizione abbia individuato, e va iscritta in tavola.</w:t>
      </w:r>
    </w:p>
    <w:p>
      <w:pPr>
        <w:pStyle w:val="Heading2"/>
        <w:spacing w:after="100" w:before="200"/>
      </w:pPr>
      <w:r>
        <w:rPr>
          <w:rFonts w:ascii="Barlow Semi Condensed" w:cs="Barlow Semi Condensed" w:eastAsia="Barlow Semi Condensed" w:hAnsi="Barlow Semi Condensed"/>
          <w:sz w:val="24"/>
          <w:szCs w:val="24"/>
        </w:rPr>
        <w:t xml:space="preserve">Capitolo terzo — I nove nomi: l'espulsione del 1974 nella sua composizione</w:t>
      </w:r>
    </w:p>
    <w:p>
      <w:pPr>
        <w:spacing w:after="120" w:line="276"/>
        <w:jc w:val="both"/>
      </w:pPr>
      <w:r>
        <w:rPr>
          <w:rFonts w:ascii="Barlow Semi Condensed" w:cs="Barlow Semi Condensed" w:eastAsia="Barlow Semi Condensed" w:hAnsi="Barlow Semi Condensed"/>
          <w:b/>
          <w:bCs/>
          <w:sz w:val="24"/>
          <w:szCs w:val="24"/>
        </w:rPr>
        <w:t xml:space="preserve">La ricerca estesa ha sciolto il punto che la passata precedente lasciava indeterminato: chi fossero i nove cittadini italiani espulsi.</w:t>
      </w:r>
    </w:p>
    <w:p>
      <w:pPr>
        <w:spacing w:after="120" w:line="276"/>
        <w:jc w:val="both"/>
      </w:pPr>
      <w:r>
        <w:rPr>
          <w:rFonts w:ascii="Barlow Semi Condensed" w:cs="Barlow Semi Condensed" w:eastAsia="Barlow Semi Condensed" w:hAnsi="Barlow Semi Condensed"/>
          <w:b/>
          <w:bCs/>
          <w:sz w:val="24"/>
          <w:szCs w:val="24"/>
        </w:rPr>
        <w:t xml:space="preserve">La composizione del gruppo, secondo fonte portoghese di divulgazione documentata. Due portoghesi — Rogério de Sousa e Manuel Horta — e nove italiani: i padri Ernesto Calderola, Severino Peano, Gino Centis, Giovanni Zani, Vincenzo Capra, Graziano Castellari, Danilo Cimitan, Cornelio Prandina, e il fratello Luigi Coronini. Con loro il vescovo di Nampula Manuel Vieira Pinto, giunto a Lisbona il 14 aprile 1974, domenica di Pasqua, undici giorni prima della rivoluzione.</w:t>
      </w:r>
    </w:p>
    <w:p>
      <w:pPr>
        <w:spacing w:after="120" w:line="276"/>
        <w:jc w:val="both"/>
      </w:pPr>
      <w:r>
        <w:rPr>
          <w:rFonts w:ascii="Barlow Semi Condensed" w:cs="Barlow Semi Condensed" w:eastAsia="Barlow Semi Condensed" w:hAnsi="Barlow Semi Condensed"/>
          <w:b/>
          <w:bCs/>
          <w:sz w:val="24"/>
          <w:szCs w:val="24"/>
        </w:rPr>
        <w:t xml:space="preserve">Le divergenze fra le fonti vanno riportate, come prescrive la disciplina. Sul numero: una scheda della congregazione parla di undici comboniani espulsi il 13 aprile; il volume \Mondo Comboniano\ di Giuseppe Franzelli parla del vescovo e di tredici comboniani; la storia comboniana del Mozambico riconcilia la divergenza distinguendo undici espulsi da Nampula e due da Tete. Sulla data: le fonti oscillano fra 12, 13 e 14 aprile, con il 13 — Sabato Santo — ricorrente nelle fonti della congregazione.</w:t>
      </w:r>
    </w:p>
    <w:p>
      <w:pPr>
        <w:spacing w:after="120" w:line="276"/>
        <w:jc w:val="both"/>
      </w:pPr>
      <w:r>
        <w:rPr>
          <w:rFonts w:ascii="Barlow Semi Condensed" w:cs="Barlow Semi Condensed" w:eastAsia="Barlow Semi Condensed" w:hAnsi="Barlow Semi Condensed"/>
          <w:b/>
          <w:bCs/>
          <w:sz w:val="24"/>
          <w:szCs w:val="24"/>
        </w:rPr>
        <w:t xml:space="preserve">Il documento più notevole reperito dalla ricerca estesa è il diario del superiore provinciale. La scheda commemorativa di padre Severino Peano riporta il testo dell'ordine di espulsione così come egli lo trascrisse: Nampula, 5 marzo 1974 — per decisione del governo portoghese dovrà abbandonare lo Stato del Mozambico nel più breve spazio di tempo.</w:t>
      </w:r>
    </w:p>
    <w:p>
      <w:pPr>
        <w:spacing w:after="120" w:line="276"/>
        <w:jc w:val="both"/>
      </w:pPr>
      <w:r>
        <w:rPr>
          <w:rFonts w:ascii="Barlow Semi Condensed" w:cs="Barlow Semi Condensed" w:eastAsia="Barlow Semi Condensed" w:hAnsi="Barlow Semi Condensed"/>
          <w:b/>
          <w:bCs/>
          <w:sz w:val="24"/>
          <w:szCs w:val="24"/>
        </w:rPr>
        <w:t xml:space="preserve">Ne discende una correzione cronologica di rilievo. L'ordine è del 5 marzo 1974; l'esecuzione del 13 aprile. Trentanove giorni separano la decisione dall'espulsione, e la decisione precede di cinquantuno giorni la caduta del regime. La passata precedente aveva registrato soltanto la data dell'esecuzione.</w:t>
      </w:r>
    </w:p>
    <w:p>
      <w:pPr>
        <w:spacing w:after="120" w:line="276"/>
        <w:jc w:val="both"/>
      </w:pPr>
      <w:r>
        <w:rPr>
          <w:rFonts w:ascii="Barlow Semi Condensed" w:cs="Barlow Semi Condensed" w:eastAsia="Barlow Semi Condensed" w:hAnsi="Barlow Semi Condensed"/>
          <w:b/>
          <w:bCs/>
          <w:sz w:val="24"/>
          <w:szCs w:val="24"/>
        </w:rPr>
        <w:t xml:space="preserve">Il medesimo diario documenta il trattamento anteriore. Dal 30 dicembre 1973 al 19 febbraio 1974 il religioso fu sottoposto a interrogatorio dalla polizia politica per cinquanta ore e trenta minuti. Il dato è di precisione notevole — le ore e i minuti — e proviene da una registrazione contemporanea ai fatti.</w:t>
      </w:r>
    </w:p>
    <w:p>
      <w:pPr>
        <w:spacing w:after="120" w:line="276"/>
        <w:jc w:val="both"/>
      </w:pPr>
      <w:r>
        <w:rPr>
          <w:rFonts w:ascii="Barlow Semi Condensed" w:cs="Barlow Semi Condensed" w:eastAsia="Barlow Semi Condensed" w:hAnsi="Barlow Semi Condensed"/>
          <w:b/>
          <w:bCs/>
          <w:sz w:val="24"/>
          <w:szCs w:val="24"/>
        </w:rPr>
        <w:t xml:space="preserve">Il rilievo per la triangolazione va enunciato senza attenuazioni. Fra il dicembre 1973 e il marzo 1974, un cittadino italiano fu interrogato per oltre cinquanta ore dalla polizia politica di un Paese alleato nella NATO, in un territorio da esso amministrato, e ne fu poi espulso con altri otto italiani. Aldo Moro era ministro degli Esteri della Repubblica italiana per l'intero periodo.</w:t>
      </w:r>
    </w:p>
    <w:p>
      <w:pPr>
        <w:spacing w:after="120" w:line="276"/>
        <w:jc w:val="both"/>
      </w:pPr>
      <w:r>
        <w:rPr>
          <w:rFonts w:ascii="Barlow Semi Condensed" w:cs="Barlow Semi Condensed" w:eastAsia="Barlow Semi Condensed" w:hAnsi="Barlow Semi Condensed"/>
          <w:b/>
          <w:bCs/>
          <w:sz w:val="24"/>
          <w:szCs w:val="24"/>
        </w:rPr>
        <w:t xml:space="preserve">E qui lo Stato Zero resta, ma con statuto mutato. Nessuna delle testimonianze reperite menziona un intervento del consolato italiano a Lourenço Marques, dell'ambasciata a Lisbona, della Farnesina o del ministro: gli espulsi attribuiscono la propria accoglienza esclusivamente alla congregazione e a figure ecclesiastiche. Non è dunque che l'atto italiano non sia stato reperito: è che coloro che ne avrebbero beneficiato non ne fanno menzione. È un'assenza di grado superiore alla precedente, e va registrata come tale — pur restando aperta la possibilità che un intervento avvenisse per via riservata e non fosse noto agli interessati.</w:t>
      </w:r>
    </w:p>
    <w:p>
      <w:pPr>
        <w:pStyle w:val="Heading2"/>
        <w:spacing w:after="100" w:before="200"/>
      </w:pPr>
      <w:r>
        <w:rPr>
          <w:rFonts w:ascii="Barlow Semi Condensed" w:cs="Barlow Semi Condensed" w:eastAsia="Barlow Semi Condensed" w:hAnsi="Barlow Semi Condensed"/>
          <w:sz w:val="24"/>
          <w:szCs w:val="24"/>
        </w:rPr>
        <w:t xml:space="preserve">Capitolo quarto — I quarantotto Padri Bianchi e la genealogia della denuncia</w:t>
      </w:r>
    </w:p>
    <w:p>
      <w:pPr>
        <w:spacing w:after="120" w:line="276"/>
        <w:jc w:val="both"/>
      </w:pPr>
      <w:r>
        <w:rPr>
          <w:rFonts w:ascii="Barlow Semi Condensed" w:cs="Barlow Semi Condensed" w:eastAsia="Barlow Semi Condensed" w:hAnsi="Barlow Semi Condensed"/>
          <w:b/>
          <w:bCs/>
          <w:sz w:val="24"/>
          <w:szCs w:val="24"/>
        </w:rPr>
        <w:t xml:space="preserve">La ricerca estesa ha reperito il dato che la passata precedente aveva soltanto nominato, e ne ha rivelato una connessione che nessuna delle quattro ricognizioni aveva colto.</w:t>
      </w:r>
    </w:p>
    <w:p>
      <w:pPr>
        <w:spacing w:after="120" w:line="276"/>
        <w:jc w:val="both"/>
      </w:pPr>
      <w:r>
        <w:rPr>
          <w:rFonts w:ascii="Barlow Semi Condensed" w:cs="Barlow Semi Condensed" w:eastAsia="Barlow Semi Condensed" w:hAnsi="Barlow Semi Condensed"/>
          <w:b/>
          <w:bCs/>
          <w:sz w:val="24"/>
          <w:szCs w:val="24"/>
        </w:rPr>
        <w:t xml:space="preserve">Il fatto, con il numero e le sedi. Nel maggio 1971 quarantotto Padri Bianchi — Missionari d'Africa — lasciarono le diocesi di Beira e Tete in Mozambico. La motivazione, riportata da fonte enciclopedica specialistica nella formulazione originaria, era di non essere complici di un sostegno ufficiale che perfino i vescovi sembravano dare a un regime il quale si serviva accortamente della Chiesa per consolidare e perpetuare in Africa una situazione anacronistica.</w:t>
      </w:r>
    </w:p>
    <w:p>
      <w:pPr>
        <w:spacing w:after="120" w:line="276"/>
        <w:jc w:val="both"/>
      </w:pPr>
      <w:r>
        <w:rPr>
          <w:rFonts w:ascii="Barlow Semi Condensed" w:cs="Barlow Semi Condensed" w:eastAsia="Barlow Semi Condensed" w:hAnsi="Barlow Semi Condensed"/>
          <w:b/>
          <w:bCs/>
          <w:sz w:val="24"/>
          <w:szCs w:val="24"/>
        </w:rPr>
        <w:t xml:space="preserve">La monografia primaria esiste ed è individuata: Francis Nolan, \The Departure of the Missionaries of Africa (The White Fathers) from Mozambique in 1971\, Roma, Society of the Missionaries of Africa, serie storica numero diciassette, 2017, centoquarantotto pagine.</w:t>
      </w:r>
    </w:p>
    <w:p>
      <w:pPr>
        <w:spacing w:after="120" w:line="276"/>
        <w:jc w:val="both"/>
      </w:pPr>
      <w:r>
        <w:rPr>
          <w:rFonts w:ascii="Barlow Semi Condensed" w:cs="Barlow Semi Condensed" w:eastAsia="Barlow Semi Condensed" w:hAnsi="Barlow Semi Condensed"/>
          <w:b/>
          <w:bCs/>
          <w:sz w:val="24"/>
          <w:szCs w:val="24"/>
        </w:rPr>
        <w:t xml:space="preserve">E qui sta la connessione nuova, che è il ritrovamento analitico di questa ricognizione. Padre Adrian Hastings, autore della denuncia di Wiriyamu pubblicata in prima pagina il 10 luglio 1973, apparteneva ai Missionari d'Africa — la medesima congregazione che due anni prima aveva abbandonato in massa il Mozambico per protesta.</w:t>
      </w:r>
    </w:p>
    <w:p>
      <w:pPr>
        <w:spacing w:after="120" w:line="276"/>
        <w:jc w:val="both"/>
      </w:pPr>
      <w:r>
        <w:rPr>
          <w:rFonts w:ascii="Barlow Semi Condensed" w:cs="Barlow Semi Condensed" w:eastAsia="Barlow Semi Condensed" w:hAnsi="Barlow Semi Condensed"/>
          <w:b/>
          <w:bCs/>
          <w:sz w:val="24"/>
          <w:szCs w:val="24"/>
        </w:rPr>
        <w:t xml:space="preserve">Ne discende una genealogia della denuncia che va enunciata con precisione, e con le sue riserve. Il ritiro del maggio 1971 e la denuncia del luglio 1973 provengono dal medesimo istituto religioso. La circostanza configura una convergenza di obiettivo documentata all'interno di una congregazione determinata, e non un'azione della Santa Sede: la distinzione è vincolante e va mantenuta, perché la prima è attestata e la seconda no.</w:t>
      </w:r>
    </w:p>
    <w:p>
      <w:pPr>
        <w:spacing w:after="120" w:line="276"/>
        <w:jc w:val="both"/>
      </w:pPr>
      <w:r>
        <w:rPr>
          <w:rFonts w:ascii="Barlow Semi Condensed" w:cs="Barlow Semi Condensed" w:eastAsia="Barlow Semi Condensed" w:hAnsi="Barlow Semi Condensed"/>
          <w:b/>
          <w:bCs/>
          <w:sz w:val="24"/>
          <w:szCs w:val="24"/>
        </w:rPr>
        <w:t xml:space="preserve">Ciò che questo non stabilisce. Non stabilisce che Hastings agisse in coordinamento con i quarantotto; non stabilisce che la congregazione avesse una strategia; non stabilisce alcun rapporto con la Santa Sede come istituzione. Stabilisce che chi denunciò a Londra nel 1973 appartesse all'ordine che nel 1971 aveva lasciato il campo, e che le due cose non sono indipendenti quanto all'ambiente.</w:t>
      </w:r>
    </w:p>
    <w:p>
      <w:pPr>
        <w:spacing w:after="120" w:line="276"/>
        <w:jc w:val="both"/>
      </w:pPr>
      <w:r>
        <w:rPr>
          <w:rFonts w:ascii="Barlow Semi Condensed" w:cs="Barlow Semi Condensed" w:eastAsia="Barlow Semi Condensed" w:hAnsi="Barlow Semi Condensed"/>
          <w:b/>
          <w:bCs/>
          <w:sz w:val="24"/>
          <w:szCs w:val="24"/>
        </w:rPr>
        <w:t xml:space="preserve">La geografia va notata. Beira e Tete sono le due diocesi da cui i Padri Bianchi si ritirarono nel 1971; Tete è il distretto in cui avvenne il massacro di Wiriyamu il 16 dicembre 1972, e il primo resoconto fu scritto dal primo sacerdote nero della diocesi di Beira. Le tre vicende — ritiro, massacro, denuncia — si concentrano sulle medesime due diocesi. La concentrazione è di fatto; la sua interpretazione richiederebbe la monografia di Nolan e gli archivi della congregazione, che sono iscritti in tavola.</w:t>
      </w:r>
    </w:p>
    <w:p>
      <w:pPr>
        <w:pStyle w:val="Heading2"/>
        <w:spacing w:after="100" w:before="200"/>
      </w:pPr>
      <w:r>
        <w:rPr>
          <w:rFonts w:ascii="Barlow Semi Condensed" w:cs="Barlow Semi Condensed" w:eastAsia="Barlow Semi Condensed" w:hAnsi="Barlow Semi Condensed"/>
          <w:sz w:val="24"/>
          <w:szCs w:val="24"/>
        </w:rPr>
        <w:t xml:space="preserve">Capitolo quinto — Wiriyamu: la forbice delle vittime e l'anatomia della negazione</w:t>
      </w:r>
    </w:p>
    <w:p>
      <w:pPr>
        <w:spacing w:after="120" w:line="276"/>
        <w:jc w:val="both"/>
      </w:pPr>
      <w:r>
        <w:rPr>
          <w:rFonts w:ascii="Barlow Semi Condensed" w:cs="Barlow Semi Condensed" w:eastAsia="Barlow Semi Condensed" w:hAnsi="Barlow Semi Condensed"/>
          <w:b/>
          <w:bCs/>
          <w:sz w:val="24"/>
          <w:szCs w:val="24"/>
        </w:rPr>
        <w:t xml:space="preserve">La ricerca estesa ha precisato due elementi che la passata precedente riportava in forma approssimata.</w:t>
      </w:r>
    </w:p>
    <w:p>
      <w:pPr>
        <w:spacing w:after="120" w:line="276"/>
        <w:jc w:val="both"/>
      </w:pPr>
      <w:r>
        <w:rPr>
          <w:rFonts w:ascii="Barlow Semi Condensed" w:cs="Barlow Semi Condensed" w:eastAsia="Barlow Semi Condensed" w:hAnsi="Barlow Semi Condensed"/>
          <w:b/>
          <w:bCs/>
          <w:sz w:val="24"/>
          <w:szCs w:val="24"/>
        </w:rPr>
        <w:t xml:space="preserve">Primo: la forbice delle stime, con le fonti. Il portale accademico-divulgativo portoghese indica che la stima varia secondo le fonti fra centocinquanta e quattrocento. Una fonte enciclopedica, citando la Croce Rossa e il quotidiano portoghese \Expresso\, indica fra centocinquanta secondo la prima e trecento secondo un'inchiesta molto successiva del secondo. Una fonte portoghese riferisce almeno trecentottantacinque persone. Lo studio di Mustafah Dhada, ospitato dal Centro de Documentação 25 de Abril dell'Università di Coimbra, identifica quattrocento morti, di cui centosettantasette per nome e duecentoventitré senza identificazione.</w:t>
      </w:r>
    </w:p>
    <w:p>
      <w:pPr>
        <w:spacing w:after="120" w:line="276"/>
        <w:jc w:val="both"/>
      </w:pPr>
      <w:r>
        <w:rPr>
          <w:rFonts w:ascii="Barlow Semi Condensed" w:cs="Barlow Semi Condensed" w:eastAsia="Barlow Semi Condensed" w:hAnsi="Barlow Semi Condensed"/>
          <w:b/>
          <w:bCs/>
          <w:sz w:val="24"/>
          <w:szCs w:val="24"/>
        </w:rPr>
        <w:t xml:space="preserve">La forbice va riportata come 150-400 e non risolta, e la ragione va detta: la fonte più precisa quanto al metodo — quella che distingue le vittime nominate da quelle anonime — è anche quella che indica la cifra più alta. Chi voglia scegliere sceglierebbe fra un dato della Croce Rossa e un dato di ricerca sul campo, che non hanno il medesimo statuto e non misurano la medesima cosa.</w:t>
      </w:r>
    </w:p>
    <w:p>
      <w:pPr>
        <w:spacing w:after="120" w:line="276"/>
        <w:jc w:val="both"/>
      </w:pPr>
      <w:r>
        <w:rPr>
          <w:rFonts w:ascii="Barlow Semi Condensed" w:cs="Barlow Semi Condensed" w:eastAsia="Barlow Semi Condensed" w:hAnsi="Barlow Semi Condensed"/>
          <w:b/>
          <w:bCs/>
          <w:sz w:val="24"/>
          <w:szCs w:val="24"/>
        </w:rPr>
        <w:t xml:space="preserve">Secondo: l'anatomia della negazione, che la ricerca estesa ricostruisce in tre tempi. L'esercito portoghese negò il massacro in una prima inchiesta ufficiale. Il governo commissionò poi un'indagine a Jorge Jardim, il quale localizzò il villaggio, ne fotografò i resti e consegnò un rapporto che ne provava l'esistenza. Caetano e i suoi ministri ne discussero il 18 agosto 1973 e decisero di nominare un'ulteriore inchiesta militare, la quale di nuovo sostenne l'inesistenza di Wiriyamu.</w:t>
      </w:r>
    </w:p>
    <w:p>
      <w:pPr>
        <w:spacing w:after="120" w:line="276"/>
        <w:jc w:val="both"/>
      </w:pPr>
      <w:r>
        <w:rPr>
          <w:rFonts w:ascii="Barlow Semi Condensed" w:cs="Barlow Semi Condensed" w:eastAsia="Barlow Semi Condensed" w:hAnsi="Barlow Semi Condensed"/>
          <w:b/>
          <w:bCs/>
          <w:sz w:val="24"/>
          <w:szCs w:val="24"/>
        </w:rPr>
        <w:t xml:space="preserve">Questa sequenza va enunciata per quello che è, perché è un documento sul funzionamento della negazione. Un governo commissiona un'indagine; l'indagine conferma il fatto con fotografie; il governo ne discute al proprio vertice; e ne ordina un'altra, che nega. Non è un caso di ignoranza: è un caso di conoscenza seguita da sostituzione dell'accertamento.</w:t>
      </w:r>
    </w:p>
    <w:p>
      <w:pPr>
        <w:spacing w:after="120" w:line="276"/>
        <w:jc w:val="both"/>
      </w:pPr>
      <w:r>
        <w:rPr>
          <w:rFonts w:ascii="Barlow Semi Condensed" w:cs="Barlow Semi Condensed" w:eastAsia="Barlow Semi Condensed" w:hAnsi="Barlow Semi Condensed"/>
          <w:b/>
          <w:bCs/>
          <w:sz w:val="24"/>
          <w:szCs w:val="24"/>
        </w:rPr>
        <w:t xml:space="preserve">La posizione ufficiale va riportata con il suo statuto, come la disciplina prescrive: negazione di un governo che aveva interesse alla negazione, registrata senza ometterla e senza equipararla alle testimonianze missionarie.</w:t>
      </w:r>
    </w:p>
    <w:p>
      <w:pPr>
        <w:spacing w:after="120" w:line="276"/>
        <w:jc w:val="both"/>
      </w:pPr>
      <w:r>
        <w:rPr>
          <w:rFonts w:ascii="Barlow Semi Condensed" w:cs="Barlow Semi Condensed" w:eastAsia="Barlow Semi Condensed" w:hAnsi="Barlow Semi Condensed"/>
          <w:b/>
          <w:bCs/>
          <w:sz w:val="24"/>
          <w:szCs w:val="24"/>
        </w:rPr>
        <w:t xml:space="preserve">Una contro-tesi va segnalata e qualificata. Circola nella pubblicistica l'attribuzione delle uccisioni al Fronte di liberazione, riportata da un rapporto dell'arcivescovo di Dar es Salaam. La storiografia peer-reviewed non la sostiene e la considera parte della macchina di negazione. Si qualifica pertanto come tesi non sostenuta dalle fonti primarie, e si riporta perché tacerla sarebbe scorretto.</w:t>
      </w:r>
    </w:p>
    <w:p>
      <w:pPr>
        <w:spacing w:after="120" w:line="276"/>
        <w:jc w:val="both"/>
      </w:pPr>
      <w:r>
        <w:rPr>
          <w:rFonts w:ascii="Barlow Semi Condensed" w:cs="Barlow Semi Condensed" w:eastAsia="Barlow Semi Condensed" w:hAnsi="Barlow Semi Condensed"/>
          <w:b/>
          <w:bCs/>
          <w:sz w:val="24"/>
          <w:szCs w:val="24"/>
        </w:rPr>
        <w:t xml:space="preserve">L'apparato bibliografico primario, ora individuato con precisione. L'articolo peer-reviewed di Bruno C. Reis e Pedro Aires Oliveira, \Cutting Heads or Winning Hearts\, in \Civil Wars\ volume quattordici numero uno del 2012, reca in nota i riferimenti: l'articolo del quotidiano londinese del 10 luglio 1973 a pagina uno; il volume di Hastings del 1974; il libro del comboniano Cesare Bertulli, \A Cruz e a Espada em Moçambique\, del 1974; il volume di António Sousa Ribeiro, \Terror em Tete\, del 1974. Il saggio di Norrie MacQueen e Pedro Aires Oliveira, \Grocer Meets Butcher\, in \Cold War History\ volume dieci numero uno del 2010, documenta l'impatto sulla visita londinese di Caetano.</w:t>
      </w:r>
    </w:p>
    <w:p>
      <w:pPr>
        <w:spacing w:after="120" w:line="276"/>
        <w:jc w:val="both"/>
      </w:pPr>
      <w:r>
        <w:rPr>
          <w:rFonts w:ascii="Barlow Semi Condensed" w:cs="Barlow Semi Condensed" w:eastAsia="Barlow Semi Condensed" w:hAnsi="Barlow Semi Condensed"/>
          <w:b/>
          <w:bCs/>
          <w:sz w:val="24"/>
          <w:szCs w:val="24"/>
        </w:rPr>
        <w:t xml:space="preserve">Si segnala che uno dei quattro volumi primari è di autore comboniano italiano, il che collega la bibliografia scientifica di Wiriyamu alla congregazione i cui membri furono espulsi nell'aprile 1974.</w:t>
      </w:r>
    </w:p>
    <w:p>
      <w:pPr>
        <w:pStyle w:val="Heading2"/>
        <w:spacing w:after="100" w:before="200"/>
      </w:pPr>
      <w:r>
        <w:rPr>
          <w:rFonts w:ascii="Barlow Semi Condensed" w:cs="Barlow Semi Condensed" w:eastAsia="Barlow Semi Condensed" w:hAnsi="Barlow Semi Condensed"/>
          <w:sz w:val="24"/>
          <w:szCs w:val="24"/>
        </w:rPr>
        <w:t xml:space="preserve">Capitolo sesto — Nigrizia e la riflessione missionaria italiana: una fonte individuata e non letta</w:t>
      </w:r>
    </w:p>
    <w:p>
      <w:pPr>
        <w:spacing w:after="120" w:line="276"/>
        <w:jc w:val="both"/>
      </w:pPr>
      <w:r>
        <w:rPr>
          <w:rFonts w:ascii="Barlow Semi Condensed" w:cs="Barlow Semi Condensed" w:eastAsia="Barlow Semi Condensed" w:hAnsi="Barlow Semi Condensed"/>
          <w:b/>
          <w:bCs/>
          <w:sz w:val="24"/>
          <w:szCs w:val="24"/>
        </w:rPr>
        <w:t xml:space="preserve">La ricerca estesa ha individuato la fonte scientifica che chiuderebbe una delle sei lacune, e non ne ha potuto acquisire il testo.</w:t>
      </w:r>
    </w:p>
    <w:p>
      <w:pPr>
        <w:spacing w:after="120" w:line="276"/>
        <w:jc w:val="both"/>
      </w:pPr>
      <w:r>
        <w:rPr>
          <w:rFonts w:ascii="Barlow Semi Condensed" w:cs="Barlow Semi Condensed" w:eastAsia="Barlow Semi Condensed" w:hAnsi="Barlow Semi Condensed"/>
          <w:b/>
          <w:bCs/>
          <w:sz w:val="24"/>
          <w:szCs w:val="24"/>
        </w:rPr>
        <w:t xml:space="preserve">L'individuazione. Un articolo peer-reviewed di Eugenio Enea, dell'Università di Messina, intitolato \The challenges of missionary activity after April 25: considerations and perspectives in Nigrizia\, pubblicato in Lusitania Sacra numero cinquantuno del 2025, con identificativo digitale 10.34632/lusitaniasacra.2025.16897.</w:t>
      </w:r>
    </w:p>
    <w:p>
      <w:pPr>
        <w:spacing w:after="120" w:line="276"/>
        <w:jc w:val="both"/>
      </w:pPr>
      <w:r>
        <w:rPr>
          <w:rFonts w:ascii="Barlow Semi Condensed" w:cs="Barlow Semi Condensed" w:eastAsia="Barlow Semi Condensed" w:hAnsi="Barlow Semi Condensed"/>
          <w:b/>
          <w:bCs/>
          <w:sz w:val="24"/>
          <w:szCs w:val="24"/>
        </w:rPr>
        <w:t xml:space="preserve">Il contenuto dichiarato dall'abstract, riportato nella sua sostanza. L'articolo prolunga la tesi di dottorato dell'autore sulle relazioni fra la Santa Sede e il Portogallo per il periodo 1926-1974, e sulla espulsione dei missionari e del vescovo di Nampula in seguito alla redazione e alla circolazione del documento \Um imperativo de consciência\; e riferisce le riflessioni dei comboniani nel periodo 1974-1976 sulla rivista Nigrizia.</w:t>
      </w:r>
    </w:p>
    <w:p>
      <w:pPr>
        <w:spacing w:after="120" w:line="276"/>
        <w:jc w:val="both"/>
      </w:pPr>
      <w:r>
        <w:rPr>
          <w:rFonts w:ascii="Barlow Semi Condensed" w:cs="Barlow Semi Condensed" w:eastAsia="Barlow Semi Condensed" w:hAnsi="Barlow Semi Condensed"/>
          <w:b/>
          <w:bCs/>
          <w:sz w:val="24"/>
          <w:szCs w:val="24"/>
        </w:rPr>
        <w:t xml:space="preserve">Il rilievo per questo studio è duplice. Primo: esiste una ricerca dottorale specifica sulle relazioni Santa Sede-Portogallo per l'intero arco 1926-1974, cioè sul terzo vertice del triangolo, e comprende l'espulsione del 1974. Secondo: la rivista missionaria italiana diede conto della vicenda fra il 1974 e il 1976, e la sua posizione è ricostruita in sede scientifica.</w:t>
      </w:r>
    </w:p>
    <w:p>
      <w:pPr>
        <w:spacing w:after="120" w:line="276"/>
        <w:jc w:val="both"/>
      </w:pPr>
      <w:r>
        <w:rPr>
          <w:rFonts w:ascii="Barlow Semi Condensed" w:cs="Barlow Semi Condensed" w:eastAsia="Barlow Semi Condensed" w:hAnsi="Barlow Semi Condensed"/>
          <w:b/>
          <w:bCs/>
          <w:sz w:val="24"/>
          <w:szCs w:val="24"/>
        </w:rPr>
        <w:t xml:space="preserve">Ciò che questo consente di affermare, e con quale grado. Si può affermare che la copertura italiana della vicenda per via missionaria esistette e fu oggetto di studio. Non si possono citare le posizioni assunte, poiché il testo integrale non è stato acquisito e le sole informazioni disponibili provengono dalla scheda editoriale. Ogni affermazione più precisa sarebbe inferenza dall'abstract, e non è ammessa.</w:t>
      </w:r>
    </w:p>
    <w:p>
      <w:pPr>
        <w:spacing w:after="120" w:line="276"/>
        <w:jc w:val="both"/>
      </w:pPr>
      <w:r>
        <w:rPr>
          <w:rFonts w:ascii="Barlow Semi Condensed" w:cs="Barlow Semi Condensed" w:eastAsia="Barlow Semi Condensed" w:hAnsi="Barlow Semi Condensed"/>
          <w:b/>
          <w:bCs/>
          <w:sz w:val="24"/>
          <w:szCs w:val="24"/>
        </w:rPr>
        <w:t xml:space="preserve">Iscrizione in tavola. L'acquisizione dell'articolo di Enea e delle annate 1974-1976 di \Nigrizia\ presso l'Archivio Comboniano di Roma è la voce di maggior rendimento fra quelle conseguibili senza accesso ad archivi di Stato: il primo è un articolo di rivista scientifica, ottenibile per richiesta; le seconde sono annate di una rivista, consultabili in biblioteca.</w:t>
      </w:r>
    </w:p>
    <w:p>
      <w:pPr>
        <w:spacing w:after="120" w:line="276"/>
        <w:jc w:val="both"/>
      </w:pPr>
      <w:r>
        <w:rPr>
          <w:rFonts w:ascii="Barlow Semi Condensed" w:cs="Barlow Semi Condensed" w:eastAsia="Barlow Semi Condensed" w:hAnsi="Barlow Semi Condensed"/>
          <w:b/>
          <w:bCs/>
          <w:sz w:val="24"/>
          <w:szCs w:val="24"/>
        </w:rPr>
        <w:t xml:space="preserve">Un'osservazione sul perché questo capitolo sia breve. Esso dichiara l'esistenza di una fonte e l'impossibilità di averla letta. Scrivere duemilacinquecento parole su un articolo di cui si conosce l'abstract significherebbe parafrasare l'abstract, che è ciò che la disciplina di questa ricognizione vieta. Il capitolo si chiude qui perché qui finisce ciò che si sa.</w:t>
      </w:r>
    </w:p>
    <w:p>
      <w:pPr>
        <w:pStyle w:val="Heading2"/>
        <w:spacing w:after="100" w:before="200"/>
      </w:pPr>
      <w:r>
        <w:rPr>
          <w:rFonts w:ascii="Barlow Semi Condensed" w:cs="Barlow Semi Condensed" w:eastAsia="Barlow Semi Condensed" w:hAnsi="Barlow Semi Condensed"/>
          <w:sz w:val="24"/>
          <w:szCs w:val="24"/>
        </w:rPr>
        <w:t xml:space="preserve">Capitolo settimo — Il riconoscimento italiano del nuovo Portogallo e la serie italiana del portale portoghese</w:t>
      </w:r>
    </w:p>
    <w:p>
      <w:pPr>
        <w:spacing w:after="120" w:line="276"/>
        <w:jc w:val="both"/>
      </w:pPr>
      <w:r>
        <w:rPr>
          <w:rFonts w:ascii="Barlow Semi Condensed" w:cs="Barlow Semi Condensed" w:eastAsia="Barlow Semi Condensed" w:hAnsi="Barlow Semi Condensed"/>
          <w:b/>
          <w:bCs/>
          <w:sz w:val="24"/>
          <w:szCs w:val="24"/>
        </w:rPr>
        <w:t xml:space="preserve">La ricerca estesa ha individuato una fonte istituzionale portoghese che la passata precedente non conosceva, e ne dichiara l'inaccessibilità.</w:t>
      </w:r>
    </w:p>
    <w:p>
      <w:pPr>
        <w:spacing w:after="120" w:line="276"/>
        <w:jc w:val="both"/>
      </w:pPr>
      <w:r>
        <w:rPr>
          <w:rFonts w:ascii="Barlow Semi Condensed" w:cs="Barlow Semi Condensed" w:eastAsia="Barlow Semi Condensed" w:hAnsi="Barlow Semi Condensed"/>
          <w:b/>
          <w:bCs/>
          <w:sz w:val="24"/>
          <w:szCs w:val="24"/>
        </w:rPr>
        <w:t xml:space="preserve">La fonte. Il portale ufficiale del Ministério dos Negócios Estrangeiros portoghese denominato \Diplomacia e Revolução\ raccoglie le reazioni dei Paesi con cui il Portogallo aveva relazioni nel 1974, elenco in cui figurano sia l'Italia sia la Santa Sede, e documenta il processo di riconoscimento del nuovo governo fra il 25 aprile e i primi di maggio 1974. Il portale contiene una sezione italiana con documenti diplomatici.</w:t>
      </w:r>
    </w:p>
    <w:p>
      <w:pPr>
        <w:spacing w:after="120" w:line="276"/>
        <w:jc w:val="both"/>
      </w:pPr>
      <w:r>
        <w:rPr>
          <w:rFonts w:ascii="Barlow Semi Condensed" w:cs="Barlow Semi Condensed" w:eastAsia="Barlow Semi Condensed" w:hAnsi="Barlow Semi Condensed"/>
          <w:b/>
          <w:bCs/>
          <w:sz w:val="24"/>
          <w:szCs w:val="24"/>
        </w:rPr>
        <w:t xml:space="preserve">Un documento di quella sezione è riferito nella sua sostanza dalla ricerca estesa, e va riportato con la riserva che ne consegue: esso riferisce di una missione del governo portoghese a Roma e dell'intenzione di far compiere al generale Spínola una visita di Stato in Italia, valutando gli accordi di Lusaka come elemento di conferma del processo di avanzata decolonizzazione.</w:t>
      </w:r>
    </w:p>
    <w:p>
      <w:pPr>
        <w:spacing w:after="120" w:line="276"/>
        <w:jc w:val="both"/>
      </w:pPr>
      <w:r>
        <w:rPr>
          <w:rFonts w:ascii="Barlow Semi Condensed" w:cs="Barlow Semi Condensed" w:eastAsia="Barlow Semi Condensed" w:hAnsi="Barlow Semi Condensed"/>
          <w:b/>
          <w:bCs/>
          <w:sz w:val="24"/>
          <w:szCs w:val="24"/>
        </w:rPr>
        <w:t xml:space="preserve">La riserva è di accesso e va dichiarata. La consultazione integrale della serie è impedita dal blocco all'accesso automatizzato del sito. I testi vanno letti direttamente presso il portale o presso l'Arquivo Histórico-Diplomático del ministero portoghese. Ciò che si può affermare è che la serie esiste e contiene documenti sull'Italia; ciò che non si può è citarne il contenuto.</w:t>
      </w:r>
    </w:p>
    <w:p>
      <w:pPr>
        <w:spacing w:after="120" w:line="276"/>
        <w:jc w:val="both"/>
      </w:pPr>
      <w:r>
        <w:rPr>
          <w:rFonts w:ascii="Barlow Semi Condensed" w:cs="Barlow Semi Condensed" w:eastAsia="Barlow Semi Condensed" w:hAnsi="Barlow Semi Condensed"/>
          <w:b/>
          <w:bCs/>
          <w:sz w:val="24"/>
          <w:szCs w:val="24"/>
        </w:rPr>
        <w:t xml:space="preserve">Il rilievo è notevole e va enunciato. Se il portale ufficiale portoghese conserva documenti diplomatici sulla reazione italiana al 25 aprile 1974, allora l'atto italiano di riconoscimento esiste ed è documentato — dalla parte portoghese. Lo Stato Zero della passata precedente sul riconoscimento italiano non è dunque un vuoto documentale assoluto: è un vuoto nella documentazione italiana accessibile, con controparte esistente e individuata.</w:t>
      </w:r>
    </w:p>
    <w:p>
      <w:pPr>
        <w:spacing w:after="120" w:line="276"/>
        <w:jc w:val="both"/>
      </w:pPr>
      <w:r>
        <w:rPr>
          <w:rFonts w:ascii="Barlow Semi Condensed" w:cs="Barlow Semi Condensed" w:eastAsia="Barlow Semi Condensed" w:hAnsi="Barlow Semi Condensed"/>
          <w:b/>
          <w:bCs/>
          <w:sz w:val="24"/>
          <w:szCs w:val="24"/>
        </w:rPr>
        <w:t xml:space="preserve">Va segnalata una progettata visita di Stato che non risulta avvenuta. Le fonti reperite indicano l'intenzione di una visita di Spínola in Italia; Spínola lasciò la presidenza portoghese il 30 settembre 1974, e la visita non risulta compiuta. Se ne registra il progetto e non l'esecuzione, e la verifica appartiene alla medesima serie.</w:t>
      </w:r>
    </w:p>
    <w:p>
      <w:pPr>
        <w:spacing w:after="120" w:line="276"/>
        <w:jc w:val="both"/>
      </w:pPr>
      <w:r>
        <w:rPr>
          <w:rFonts w:ascii="Barlow Semi Condensed" w:cs="Barlow Semi Condensed" w:eastAsia="Barlow Semi Condensed" w:hAnsi="Barlow Semi Condensed"/>
          <w:b/>
          <w:bCs/>
          <w:sz w:val="24"/>
          <w:szCs w:val="24"/>
        </w:rPr>
        <w:t xml:space="preserve">Un elemento di contesto atlantico, da fonte primaria statunitense. Il memorandum del 19 giugno 1974 sull'incontro alle Azzorre fra Nixon e Spínola, nella serie dei \Foreign Relations of the United States\, registra la richiesta portoghese di assistenza per contrastare qualunque mossa dei comunisti, con la formula secondo cui ciò avrebbe impiantato un'altra Cuba nella penisola iberica.</w:t>
      </w:r>
    </w:p>
    <w:p>
      <w:pPr>
        <w:spacing w:after="120" w:line="276"/>
        <w:jc w:val="both"/>
      </w:pPr>
      <w:r>
        <w:rPr>
          <w:rFonts w:ascii="Barlow Semi Condensed" w:cs="Barlow Semi Condensed" w:eastAsia="Barlow Semi Condensed" w:hAnsi="Barlow Semi Condensed"/>
          <w:b/>
          <w:bCs/>
          <w:sz w:val="24"/>
          <w:szCs w:val="24"/>
        </w:rPr>
        <w:t xml:space="preserve">Ne discende che il riconoscimento italiano — di competenza del governo Rumor quinto, con Moro agli Esteri fino al 23 novembre 1974 — si colloca in un contesto di preoccupazione occidentale documentata. Le fonti non consentono però di attribuire a Moro una posizione personale distinta: l'atto va ascritto al governo italiano nel suo complesso e non al ministro in modo documentato. La distinzione è vincolante.</w:t>
      </w:r>
    </w:p>
    <w:p>
      <w:pPr>
        <w:pStyle w:val="Heading2"/>
        <w:spacing w:after="100" w:before="200"/>
      </w:pPr>
      <w:r>
        <w:rPr>
          <w:rFonts w:ascii="Barlow Semi Condensed" w:cs="Barlow Semi Condensed" w:eastAsia="Barlow Semi Condensed" w:hAnsi="Barlow Semi Condensed"/>
          <w:sz w:val="24"/>
          <w:szCs w:val="24"/>
        </w:rPr>
        <w:t xml:space="preserve">Capitolo ottavo — Helsinki 1975: il solo punto di contatto istituzionale fra i tre vertici</w:t>
      </w:r>
    </w:p>
    <w:p>
      <w:pPr>
        <w:spacing w:after="120" w:line="276"/>
        <w:jc w:val="both"/>
      </w:pPr>
      <w:r>
        <w:rPr>
          <w:rFonts w:ascii="Barlow Semi Condensed" w:cs="Barlow Semi Condensed" w:eastAsia="Barlow Semi Condensed" w:hAnsi="Barlow Semi Condensed"/>
          <w:b/>
          <w:bCs/>
          <w:sz w:val="24"/>
          <w:szCs w:val="24"/>
        </w:rPr>
        <w:t xml:space="preserve">La ricerca estesa conferma e precisa l'unico momento in cui Italia, Portogallo e Santa Sede agirono nel medesimo consesso in forma documentata.</w:t>
      </w:r>
    </w:p>
    <w:p>
      <w:pPr>
        <w:spacing w:after="120" w:line="276"/>
        <w:jc w:val="both"/>
      </w:pPr>
      <w:r>
        <w:rPr>
          <w:rFonts w:ascii="Barlow Semi Condensed" w:cs="Barlow Semi Condensed" w:eastAsia="Barlow Semi Condensed" w:hAnsi="Barlow Semi Condensed"/>
          <w:b/>
          <w:bCs/>
          <w:sz w:val="24"/>
          <w:szCs w:val="24"/>
        </w:rPr>
        <w:t xml:space="preserve">Le fasi della Conferenza, con le date. Fase preliminare a Dipoli e Helsinki, dal novembre 1972 al giugno 1973; fase di redazione a Ginevra, dal settembre 1973 al luglio 1975; fase finale dal 30 luglio al 1 agosto 1975.</w:t>
      </w:r>
    </w:p>
    <w:p>
      <w:pPr>
        <w:spacing w:after="120" w:line="276"/>
        <w:jc w:val="both"/>
      </w:pPr>
      <w:r>
        <w:rPr>
          <w:rFonts w:ascii="Barlow Semi Condensed" w:cs="Barlow Semi Condensed" w:eastAsia="Barlow Semi Condensed" w:hAnsi="Barlow Semi Condensed"/>
          <w:b/>
          <w:bCs/>
          <w:sz w:val="24"/>
          <w:szCs w:val="24"/>
        </w:rPr>
        <w:t xml:space="preserve">La firma italiana. Moro sottoscrisse l'Atto finale nella sua duplice qualità di presidente del Consiglio italiano e presidente di turno della Comunità europea, e — secondo le fonti — ottenne il coinvolgimento formale della Comunità nella firma sfidando l'insofferenza del segretario di Stato americano. Il 30 luglio 1975 tenne a Helsinki un discorso nel quale affermò che l'Atto finale non cristallizzava la realtà politica europea ma riaffermava il diritto di autodecisione e di autodeterminazione.</w:t>
      </w:r>
    </w:p>
    <w:p>
      <w:pPr>
        <w:spacing w:after="120" w:line="276"/>
        <w:jc w:val="both"/>
      </w:pPr>
      <w:r>
        <w:rPr>
          <w:rFonts w:ascii="Barlow Semi Condensed" w:cs="Barlow Semi Condensed" w:eastAsia="Barlow Semi Condensed" w:hAnsi="Barlow Semi Condensed"/>
          <w:b/>
          <w:bCs/>
          <w:sz w:val="24"/>
          <w:szCs w:val="24"/>
        </w:rPr>
        <w:t xml:space="preserve">La rappresentanza vaticana. La Santa Sede fu rappresentata da monsignor Agostino Casaroli e monsignor Achille Silvestrini, che ottennero l'inclusione del principio della libertà religiosa.</w:t>
      </w:r>
    </w:p>
    <w:p>
      <w:pPr>
        <w:spacing w:after="120" w:line="276"/>
        <w:jc w:val="both"/>
      </w:pPr>
      <w:r>
        <w:rPr>
          <w:rFonts w:ascii="Barlow Semi Condensed" w:cs="Barlow Semi Condensed" w:eastAsia="Barlow Semi Condensed" w:hAnsi="Barlow Semi Condensed"/>
          <w:b/>
          <w:bCs/>
          <w:sz w:val="24"/>
          <w:szCs w:val="24"/>
        </w:rPr>
        <w:t xml:space="preserve">La presenza portoghese. Il Portogallo firmò l'Atto finale come Stato partecipante. Il mutamento della propria delegazione dopo il 25 aprile 1974 — dal regime dell'Estado Novo al Portogallo democratico — non è documentato nel dettaglio dalle fonti reperite, e va chiuso presso l'Arquivo Histórico-Diplomático portoghese. Si registra come Stato Zero.</w:t>
      </w:r>
    </w:p>
    <w:p>
      <w:pPr>
        <w:spacing w:after="120" w:line="276"/>
        <w:jc w:val="both"/>
      </w:pPr>
      <w:r>
        <w:rPr>
          <w:rFonts w:ascii="Barlow Semi Condensed" w:cs="Barlow Semi Condensed" w:eastAsia="Barlow Semi Condensed" w:hAnsi="Barlow Semi Condensed"/>
          <w:b/>
          <w:bCs/>
          <w:sz w:val="24"/>
          <w:szCs w:val="24"/>
        </w:rPr>
        <w:t xml:space="preserve">La qualificazione della triangolazione va enunciata con la massima precisione, perché è il punto in cui la tentazione di dire di più è massima. Il 1 agosto 1975 i tre vertici del triangolo sottoscrissero il medesimo atto: l'Italia per mano di Moro, la Santa Sede per mano di Casaroli, il Portogallo post-rivoluzionario per mano dei propri rappresentanti.</w:t>
      </w:r>
    </w:p>
    <w:p>
      <w:pPr>
        <w:spacing w:after="120" w:line="276"/>
        <w:jc w:val="both"/>
      </w:pPr>
      <w:r>
        <w:rPr>
          <w:rFonts w:ascii="Barlow Semi Condensed" w:cs="Barlow Semi Condensed" w:eastAsia="Barlow Semi Condensed" w:hAnsi="Barlow Semi Condensed"/>
          <w:b/>
          <w:bCs/>
          <w:sz w:val="24"/>
          <w:szCs w:val="24"/>
        </w:rPr>
        <w:t xml:space="preserve">Ciò che questo stabilisce: una simultaneità di firma e una comunanza di consesso, documentate.</w:t>
      </w:r>
    </w:p>
    <w:p>
      <w:pPr>
        <w:spacing w:after="120" w:line="276"/>
        <w:jc w:val="both"/>
      </w:pPr>
      <w:r>
        <w:rPr>
          <w:rFonts w:ascii="Barlow Semi Condensed" w:cs="Barlow Semi Condensed" w:eastAsia="Barlow Semi Condensed" w:hAnsi="Barlow Semi Condensed"/>
          <w:b/>
          <w:bCs/>
          <w:sz w:val="24"/>
          <w:szCs w:val="24"/>
        </w:rPr>
        <w:t xml:space="preserve">Ciò che questo non stabilisce, e va detto con eguale forza: la materia era la sicurezza europea e non la questione coloniale; la firma è posteriore ai mandati di Moro agli Esteri, essendo egli allora presidente del Consiglio; e nessuna fonte documenta un coordinamento fra le tre delegazioni né un rapporto fra la firma e le vicende dei cinque anni precedenti.</w:t>
      </w:r>
    </w:p>
    <w:p>
      <w:pPr>
        <w:spacing w:after="120" w:line="276"/>
        <w:jc w:val="both"/>
      </w:pPr>
      <w:r>
        <w:rPr>
          <w:rFonts w:ascii="Barlow Semi Condensed" w:cs="Barlow Semi Condensed" w:eastAsia="Barlow Semi Condensed" w:hAnsi="Barlow Semi Condensed"/>
          <w:b/>
          <w:bCs/>
          <w:sz w:val="24"/>
          <w:szCs w:val="24"/>
        </w:rPr>
        <w:t xml:space="preserve">Un rilievo di ordine cronologico chiude il capitolo. Cinque anni e un mese separano l'udienza pontificia del 1 luglio 1970, che produsse il richiamo di un ambasciatore portoghese, dalla firma congiunta del 1 agosto 1975. Fra i due termini stanno il massacro, la denuncia, l'espulsione e la rivoluzione. La sequenza è di fatto; che essa costituisca un processo non è stabilito da alcuna delle fonti reperite, e non va inferito dalla sua ordinata successione.</w:t>
      </w:r>
    </w:p>
    <w:p>
      <w:pPr>
        <w:pStyle w:val="Heading2"/>
        <w:spacing w:after="100" w:before="200"/>
      </w:pPr>
      <w:r>
        <w:rPr>
          <w:rFonts w:ascii="Barlow Semi Condensed" w:cs="Barlow Semi Condensed" w:eastAsia="Barlow Semi Condensed" w:hAnsi="Barlow Semi Condensed"/>
          <w:sz w:val="24"/>
          <w:szCs w:val="24"/>
        </w:rPr>
        <w:t xml:space="preserve">Capitolo nono — Gli atti parlamentari italiani: uno Stato Zero con causa dichiarata</w:t>
      </w:r>
    </w:p>
    <w:p>
      <w:pPr>
        <w:spacing w:after="120" w:line="276"/>
        <w:jc w:val="both"/>
      </w:pPr>
      <w:r>
        <w:rPr>
          <w:rFonts w:ascii="Barlow Semi Condensed" w:cs="Barlow Semi Condensed" w:eastAsia="Barlow Semi Condensed" w:hAnsi="Barlow Semi Condensed"/>
          <w:b/>
          <w:bCs/>
          <w:sz w:val="24"/>
          <w:szCs w:val="24"/>
        </w:rPr>
        <w:t xml:space="preserve">Il capitolo è breve e la sua brevità è la risultanza. La ricerca estesa ha però mutato lo statuto di questo Stato Zero, individuandone la causa.</w:t>
      </w:r>
    </w:p>
    <w:p>
      <w:pPr>
        <w:spacing w:after="120" w:line="276"/>
        <w:jc w:val="both"/>
      </w:pPr>
      <w:r>
        <w:rPr>
          <w:rFonts w:ascii="Barlow Semi Condensed" w:cs="Barlow Semi Condensed" w:eastAsia="Barlow Semi Condensed" w:hAnsi="Barlow Semi Condensed"/>
          <w:b/>
          <w:bCs/>
          <w:sz w:val="24"/>
          <w:szCs w:val="24"/>
        </w:rPr>
        <w:t xml:space="preserve">La causa, dichiarata. La banca dati degli atti di indirizzo e controllo di Camera e Senato — interrogazioni, interpellanze, mozioni, risoluzioni, ordini del giorno — è consultabile soltanto a partire dalla settima legislatura, cioè dal 5 luglio 1976. L'intero arco 1969-1975, che comprende la quinta e la sesta legislatura, resta fuori dall'indicizzazione per soggetto: gli atti sopravvivono come resoconti stenografici digitalizzati non ricercabili a testo pieno per parola chiave.</w:t>
      </w:r>
    </w:p>
    <w:p>
      <w:pPr>
        <w:spacing w:after="120" w:line="276"/>
        <w:jc w:val="both"/>
      </w:pPr>
      <w:r>
        <w:rPr>
          <w:rFonts w:ascii="Barlow Semi Condensed" w:cs="Barlow Semi Condensed" w:eastAsia="Barlow Semi Condensed" w:hAnsi="Barlow Semi Condensed"/>
          <w:b/>
          <w:bCs/>
          <w:sz w:val="24"/>
          <w:szCs w:val="24"/>
        </w:rPr>
        <w:t xml:space="preserve">Ne discende una conseguenza che va enunciata perché vale oltre questo studio. Non è possibile, con i soli strumenti telematici, confermare né escludere l'esistenza di interrogazioni parlamentari italiane su Wiriyamu, sull'espulsione dei comboniani o sul Portogallo coloniale. L'assenza di riscontro è qui effetto di un limite dello strumento e non indizio sulla realtà, e chiunque la impiegasse come prova dell'inerzia parlamentare italiana commetterebbe un errore che questo capitolo serve a prevenire.</w:t>
      </w:r>
    </w:p>
    <w:p>
      <w:pPr>
        <w:spacing w:after="120" w:line="276"/>
        <w:jc w:val="both"/>
      </w:pPr>
      <w:r>
        <w:rPr>
          <w:rFonts w:ascii="Barlow Semi Condensed" w:cs="Barlow Semi Condensed" w:eastAsia="Barlow Semi Condensed" w:hAnsi="Barlow Semi Condensed"/>
          <w:b/>
          <w:bCs/>
          <w:sz w:val="24"/>
          <w:szCs w:val="24"/>
        </w:rPr>
        <w:t xml:space="preserve">Un elemento nuovo di rilievo è stato però reperito. La scheda dell'Archivio storico del Senato sul Fondo Mario Zagari reca un fascicolo intitolato \Colonie Portoghesi — Angola, Mozambico, Capo Verde\, con la relazione dattiloscritta di Zagari per la Conferenza nazionale di solidarietà di Reggio Emilia del 1973.</w:t>
      </w:r>
    </w:p>
    <w:p>
      <w:pPr>
        <w:spacing w:after="120" w:line="276"/>
        <w:jc w:val="both"/>
      </w:pPr>
      <w:r>
        <w:rPr>
          <w:rFonts w:ascii="Barlow Semi Condensed" w:cs="Barlow Semi Condensed" w:eastAsia="Barlow Semi Condensed" w:hAnsi="Barlow Semi Condensed"/>
          <w:b/>
          <w:bCs/>
          <w:sz w:val="24"/>
          <w:szCs w:val="24"/>
        </w:rPr>
        <w:t xml:space="preserve">Il rilievo e la sua misura. Ciò documenta l'impegno di un esponente socialista di rango parlamentare nel movimento anticolonialista, non una posizione dell'istituzione parlamentare né del governo. La distinzione fra condotta di una persona e condotta dell'istituzione, prescritta dalla disciplina, va qui mantenuta con particolare rigore, poiché la tentazione di leggere l'una come indizio dell'altra è forte.</w:t>
      </w:r>
    </w:p>
    <w:p>
      <w:pPr>
        <w:spacing w:after="120" w:line="276"/>
        <w:jc w:val="both"/>
      </w:pPr>
      <w:r>
        <w:rPr>
          <w:rFonts w:ascii="Barlow Semi Condensed" w:cs="Barlow Semi Condensed" w:eastAsia="Barlow Semi Condensed" w:hAnsi="Barlow Semi Condensed"/>
          <w:b/>
          <w:bCs/>
          <w:sz w:val="24"/>
          <w:szCs w:val="24"/>
        </w:rPr>
        <w:t xml:space="preserve">Sulla data della conferenza reggiana le fonti divergono, e la divergenza va riportata: l'inventario dell'archivio emiliano indica 23-26 marzo 1973; la scheda del Fondo Zagari presso il Senato indica 24-25 marzo 1973. Due strumenti archivistici, due datazioni.</w:t>
      </w:r>
    </w:p>
    <w:p>
      <w:pPr>
        <w:spacing w:after="120" w:line="276"/>
        <w:jc w:val="both"/>
      </w:pPr>
      <w:r>
        <w:rPr>
          <w:rFonts w:ascii="Barlow Semi Condensed" w:cs="Barlow Semi Condensed" w:eastAsia="Barlow Semi Condensed" w:hAnsi="Barlow Semi Condensed"/>
          <w:b/>
          <w:bCs/>
          <w:sz w:val="24"/>
          <w:szCs w:val="24"/>
        </w:rPr>
        <w:t xml:space="preserve">Sugli interventi di Moro. Le fonti indicate — la raccolta ufficiale dei discorsi parlamentari del 1996, l'Edizione Nazionale delle Opere, il portale dell'Università di Bologna, il Fondo Moro presso l'Archivio storico del Senato — non hanno restituito, negli strumenti telematici, alcun discorso o intervento di Moro specificamente dedicato al Portogallo coloniale o alla rivoluzione. L'inventario disponibile descrive per la serie relativa al Ministero degli Affari esteri le sole sottoserie del quarto e quinto governo Moro, cioè dal novembre 1974, posteriori ai mandati qui in esame. Si registra Stato Zero con la medesima riserva strutturale.</w:t>
      </w:r>
    </w:p>
    <w:p>
      <w:pPr>
        <w:pStyle w:val="Heading2"/>
        <w:spacing w:after="100" w:before="200"/>
      </w:pPr>
      <w:r>
        <w:rPr>
          <w:rFonts w:ascii="Barlow Semi Condensed" w:cs="Barlow Semi Condensed" w:eastAsia="Barlow Semi Condensed" w:hAnsi="Barlow Semi Condensed"/>
          <w:sz w:val="24"/>
          <w:szCs w:val="24"/>
        </w:rPr>
        <w:t xml:space="preserve">Capitolo decimo — Gli archivi portoghesi: accessibilità e condizioni</w:t>
      </w:r>
    </w:p>
    <w:p>
      <w:pPr>
        <w:spacing w:after="120" w:line="276"/>
        <w:jc w:val="both"/>
      </w:pPr>
      <w:r>
        <w:rPr>
          <w:rFonts w:ascii="Barlow Semi Condensed" w:cs="Barlow Semi Condensed" w:eastAsia="Barlow Semi Condensed" w:hAnsi="Barlow Semi Condensed"/>
          <w:b/>
          <w:bCs/>
          <w:sz w:val="24"/>
          <w:szCs w:val="24"/>
        </w:rPr>
        <w:t xml:space="preserve">Il capitolo è breve e ha funzione di strumento: esso registra dove andare e a quali condizioni.</w:t>
      </w:r>
    </w:p>
    <w:p>
      <w:pPr>
        <w:spacing w:after="120" w:line="276"/>
        <w:jc w:val="both"/>
      </w:pPr>
      <w:r>
        <w:rPr>
          <w:rFonts w:ascii="Barlow Semi Condensed" w:cs="Barlow Semi Condensed" w:eastAsia="Barlow Semi Condensed" w:hAnsi="Barlow Semi Condensed"/>
          <w:b/>
          <w:bCs/>
          <w:sz w:val="24"/>
          <w:szCs w:val="24"/>
        </w:rPr>
        <w:t xml:space="preserve">L'Arquivo Nacional da Torre do Tombo conserva il fondo PIDE-DGS, il fondo Arquivo Oliveira Salazar, il fondo Negócios Estrangeiros e altri. L'accesso è libero ai maggiori di sedici anni con iscrizione alla piattaforma CRAV, mentre la documentazione PIDE-DGS è soggetta a regolamento proprio. La piattaforma digitale è Digitarq, nella nuova versione del 2025. Il portale europeo per il patrimonio dell'olocausto descrive le collezioni.</w:t>
      </w:r>
    </w:p>
    <w:p>
      <w:pPr>
        <w:spacing w:after="120" w:line="276"/>
        <w:jc w:val="both"/>
      </w:pPr>
      <w:r>
        <w:rPr>
          <w:rFonts w:ascii="Barlow Semi Condensed" w:cs="Barlow Semi Condensed" w:eastAsia="Barlow Semi Condensed" w:hAnsi="Barlow Semi Condensed"/>
          <w:b/>
          <w:bCs/>
          <w:sz w:val="24"/>
          <w:szCs w:val="24"/>
        </w:rPr>
        <w:t xml:space="preserve">L'Arquivo Histórico-Diplomático del Ministério dos Negócios Estrangeiros, la Fundação Mário Soares e il Centro de Documentação 25 de Abril dell'Università di Coimbra — che ospita gli studi di Dhada su Wiriyamu — completano il quadro.</w:t>
      </w:r>
    </w:p>
    <w:p>
      <w:pPr>
        <w:spacing w:after="120" w:line="276"/>
        <w:jc w:val="both"/>
      </w:pPr>
      <w:r>
        <w:rPr>
          <w:rFonts w:ascii="Barlow Semi Condensed" w:cs="Barlow Semi Condensed" w:eastAsia="Barlow Semi Condensed" w:hAnsi="Barlow Semi Condensed"/>
          <w:b/>
          <w:bCs/>
          <w:sz w:val="24"/>
          <w:szCs w:val="24"/>
        </w:rPr>
        <w:t xml:space="preserve">Che cosa non è stato reperito. Non risulta online un inventario che isoli la corrispondenza dell'ambasciata portoghese a Roma o presso la Santa Sede per il 1969-1975, né la documentazione del richiamo dell'ambasciatore del luglio 1970. Il fatto del richiamo è accertato; il documento che lo dispose non è individuato.</w:t>
      </w:r>
    </w:p>
    <w:p>
      <w:pPr>
        <w:spacing w:after="120" w:line="276"/>
        <w:jc w:val="both"/>
      </w:pPr>
      <w:r>
        <w:rPr>
          <w:rFonts w:ascii="Barlow Semi Condensed" w:cs="Barlow Semi Condensed" w:eastAsia="Barlow Semi Condensed" w:hAnsi="Barlow Semi Condensed"/>
          <w:b/>
          <w:bCs/>
          <w:sz w:val="24"/>
          <w:szCs w:val="24"/>
        </w:rPr>
        <w:t xml:space="preserve">Sul dossier Aginter Press si conferma lo Stato Zero integrale. La ricerca estesa non ha prodotto, entro il proprio perimetro, fonti primarie o studi peer-reviewed che ne documentino un ruolo nelle vicende trattate. La materia non viene pertanto trattata per rassegna generica, e la tesi circolante nella pubblicistica va considerata, allo stato, non sostenuta dalle fonti primarie. La sede è il fondo PIDE-DGS, soggetto a regolamento proprio, e l'accesso non è surrogabile per via telematica.</w:t>
      </w:r>
    </w:p>
    <w:p>
      <w:pPr>
        <w:spacing w:after="120" w:line="276"/>
        <w:jc w:val="both"/>
      </w:pPr>
      <w:r>
        <w:rPr>
          <w:rFonts w:ascii="Barlow Semi Condensed" w:cs="Barlow Semi Condensed" w:eastAsia="Barlow Semi Condensed" w:hAnsi="Barlow Semi Condensed"/>
          <w:b/>
          <w:bCs/>
          <w:sz w:val="24"/>
          <w:szCs w:val="24"/>
        </w:rPr>
        <w:t xml:space="preserve">Una osservazione di metodo chiude il capitolo, e vale oltre il suo oggetto. L'apertura degli archivi della polizia politica portoghese avvenne in conseguenza della caduta del regime che li teneva chiusi. Il progetto ha registrato altrove, come regolarità empirica, che nessun archivio di apparato di sicurezza si è mai aperto volontariamente e che tutte le aperture sono conseguite a pressione esterna. Il caso portoghese ne costituisce l'esempio più netto: l'archivio si aprì perché il potere che lo custodiva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riclassificate secondo quattro gradi</w:t>
      </w:r>
    </w:p>
    <w:p>
      <w:pPr>
        <w:spacing w:after="120" w:line="276"/>
        <w:jc w:val="both"/>
      </w:pPr>
      <w:r>
        <w:rPr>
          <w:rFonts w:ascii="Barlow Semi Condensed" w:cs="Barlow Semi Condensed" w:eastAsia="Barlow Semi Condensed" w:hAnsi="Barlow Semi Condensed"/>
          <w:b/>
          <w:bCs/>
          <w:sz w:val="24"/>
          <w:szCs w:val="24"/>
        </w:rPr>
        <w:t xml:space="preserve">La ricerca estesa consente di riclassificare le triangolazioni in quattro gradi distinti, e la classificazione è essa stessa la risultanza analitica di questa ricognizione.</w:t>
      </w:r>
    </w:p>
    <w:p>
      <w:pPr>
        <w:spacing w:after="120" w:line="276"/>
        <w:jc w:val="both"/>
      </w:pPr>
      <w:r>
        <w:rPr>
          <w:rFonts w:ascii="Barlow Semi Condensed" w:cs="Barlow Semi Condensed" w:eastAsia="Barlow Semi Condensed" w:hAnsi="Barlow Semi Condensed"/>
          <w:b/>
          <w:bCs/>
          <w:sz w:val="24"/>
          <w:szCs w:val="24"/>
        </w:rPr>
        <w:t xml:space="preserve">Primo grado: convergenza di obiettivo documentata. Essa sussiste fra una parte della Chiesa missionaria e i movimenti di liberazione, e le sue prove sono quattro: l'udienza pontificia del 1 luglio 1970; il ritiro dei quarantotto Padri Bianchi da Beira e Tete nel maggio 1971; la denuncia di Wiriyamu del luglio 1973, opera di un membro della medesima congregazione; il documento \Imperativo di Coscienza\ del 1974 e l'espulsione che ne seguì.</w:t>
      </w:r>
    </w:p>
    <w:p>
      <w:pPr>
        <w:spacing w:after="120" w:line="276"/>
        <w:jc w:val="both"/>
      </w:pPr>
      <w:r>
        <w:rPr>
          <w:rFonts w:ascii="Barlow Semi Condensed" w:cs="Barlow Semi Condensed" w:eastAsia="Barlow Semi Condensed" w:hAnsi="Barlow Semi Condensed"/>
          <w:b/>
          <w:bCs/>
          <w:sz w:val="24"/>
          <w:szCs w:val="24"/>
        </w:rPr>
        <w:t xml:space="preserve">Ciò che questo grado non comprende, e va detto con forza: esso non coinvolge in modo documentato né Moro né il governo italiano, e va attribuito a soggetti ecclesiali determinati — comboniani, Padri di Burgos, Padri Bianchi, il vescovo di Nampula — e non alla Santa Sede come istituzione monolitica. La gerarchia portoghese, e segnatamente il patriarca di Lisbona, non risulta avere condiviso quelle posizioni.</w:t>
      </w:r>
    </w:p>
    <w:p>
      <w:pPr>
        <w:spacing w:after="120" w:line="276"/>
        <w:jc w:val="both"/>
      </w:pPr>
      <w:r>
        <w:rPr>
          <w:rFonts w:ascii="Barlow Semi Condensed" w:cs="Barlow Semi Condensed" w:eastAsia="Barlow Semi Condensed" w:hAnsi="Barlow Semi Condensed"/>
          <w:b/>
          <w:bCs/>
          <w:sz w:val="24"/>
          <w:szCs w:val="24"/>
        </w:rPr>
        <w:t xml:space="preserve">Secondo grado: simultaneità di reazione a un medesimo evento. Essa è visibile nella firma dell'Atto finale di Helsinki del 1 agosto 1975, dove Moro, il Portogallo democratico e la Santa Sede di Casaroli e Silvestrini agirono nel medesimo consesso. Ma su materia di sicurezza europea e non coloniale, e fuori dai mandati di Moro agli Esteri.</w:t>
      </w:r>
    </w:p>
    <w:p>
      <w:pPr>
        <w:spacing w:after="120" w:line="276"/>
        <w:jc w:val="both"/>
      </w:pPr>
      <w:r>
        <w:rPr>
          <w:rFonts w:ascii="Barlow Semi Condensed" w:cs="Barlow Semi Condensed" w:eastAsia="Barlow Semi Condensed" w:hAnsi="Barlow Semi Condensed"/>
          <w:b/>
          <w:bCs/>
          <w:sz w:val="24"/>
          <w:szCs w:val="24"/>
        </w:rPr>
        <w:t xml:space="preserve">Terzo grado: comunanza di ambiente istituzionale. Il Trattato del Laterano del 1929 fa di Roma l'unico caso al mondo in cui le due missioni diplomatiche reciproche sono accreditate nella medesima città. Il ministro degli Esteri italiano operava dunque a pochi passi dalla Segreteria di Stato. A ciò si aggiunge la contemporaneità dei dossier concordatari: il Protocollo portoghese del 15 febbraio 1975 e l'iter lateranense verso l'Accordo del 18 febbraio 1984. La prossimità facilita la comunanza ma non prova il coordinamento, e nessun documento reperito la trasforma in nesso.</w:t>
      </w:r>
    </w:p>
    <w:p>
      <w:pPr>
        <w:spacing w:after="120" w:line="276"/>
        <w:jc w:val="both"/>
      </w:pPr>
      <w:r>
        <w:rPr>
          <w:rFonts w:ascii="Barlow Semi Condensed" w:cs="Barlow Semi Condensed" w:eastAsia="Barlow Semi Condensed" w:hAnsi="Barlow Semi Condensed"/>
          <w:b/>
          <w:bCs/>
          <w:sz w:val="24"/>
          <w:szCs w:val="24"/>
        </w:rPr>
        <w:t xml:space="preserve">Quarto grado: mera contemporaneità cronologica, che non stabilisce nulla. Vi appartengono la coincidenza fra il referendum italiano sul divorzio del maggio 1974 e il Protocollo portoghese sull'articolo ventiquattresimo del febbraio 1975; e la coincidenza fra la Ostpolitik di Casaroli e la questione coloniale portoghese, fra le quali nessuna fonte reperita documenta alcun nesso.</w:t>
      </w:r>
    </w:p>
    <w:p>
      <w:pPr>
        <w:spacing w:after="120" w:line="276"/>
        <w:jc w:val="both"/>
      </w:pPr>
      <w:r>
        <w:rPr>
          <w:rFonts w:ascii="Barlow Semi Condensed" w:cs="Barlow Semi Condensed" w:eastAsia="Barlow Semi Condensed" w:hAnsi="Barlow Semi Condensed"/>
          <w:b/>
          <w:bCs/>
          <w:sz w:val="24"/>
          <w:szCs w:val="24"/>
        </w:rPr>
        <w:t xml:space="preserve">La conclusione storiografica, che va enunciata per intero perché è il risultato di cinque ricognizioni. Le fonti accessibili documentano un triangolo Roma-Vaticano-Lisbona nel quale i due vertici attivi sulla questione coloniale furono la società civile italiana di sinistra, con enti locali quali Reggio Emilia, e una parte della Chiesa missionaria; mentre il vertice governativo italiano — e con esso Moro ministro — resta, allo stato della documentazione accessibile, silente o non documentato.</w:t>
      </w:r>
    </w:p>
    <w:p>
      <w:pPr>
        <w:spacing w:after="120" w:line="276"/>
        <w:jc w:val="both"/>
      </w:pPr>
      <w:r>
        <w:rPr>
          <w:rFonts w:ascii="Barlow Semi Condensed" w:cs="Barlow Semi Condensed" w:eastAsia="Barlow Semi Condensed" w:hAnsi="Barlow Semi Condensed"/>
          <w:b/>
          <w:bCs/>
          <w:sz w:val="24"/>
          <w:szCs w:val="24"/>
        </w:rPr>
        <w:t xml:space="preserve">E una precisazione finale, che è la più importante. Ciò non equivale a provare un'inerzia deliberata: equivale a constatare un'assenza di fonti, da colmare in archivio. La differenza fra le due proposizioni è l'intera differenza fra questa ricognizione e la pubblicistica su questa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 limite raggiunto</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e con la soglia che modificherebbe le conclusioni.</w:t>
      </w:r>
    </w:p>
    <w:p>
      <w:pPr>
        <w:spacing w:after="120" w:line="276"/>
        <w:jc w:val="both"/>
      </w:pPr>
      <w:r>
        <w:rPr>
          <w:rFonts w:ascii="Barlow Semi Condensed" w:cs="Barlow Semi Condensed" w:eastAsia="Barlow Semi Condensed" w:hAnsi="Barlow Semi Condensed"/>
          <w:b/>
          <w:bCs/>
          <w:sz w:val="24"/>
          <w:szCs w:val="24"/>
        </w:rPr>
        <w:t xml:space="preserve">Prima voce, rendimento massimo. Gli atti italiani sull'espulsione del 13 aprile 1974 e sugli interrogatori del dicembre 1973 - febbraio 1974: note verbali, telegrammi, interventi consolari. Sede: Archivio storico diplomatico della Farnesina, serie affari politici, Portogallo e Mozambico 1974; registri del consolato di Lourenço Marques e dell'ambasciata di Lisbona. Soglia: il reperimento di una qualsiasi nota consolare o diplomatica italiana muterebbe la conclusione generale di questo studio.</w:t>
      </w:r>
    </w:p>
    <w:p>
      <w:pPr>
        <w:spacing w:after="120" w:line="276"/>
        <w:jc w:val="both"/>
      </w:pPr>
      <w:r>
        <w:rPr>
          <w:rFonts w:ascii="Barlow Semi Condensed" w:cs="Barlow Semi Condensed" w:eastAsia="Barlow Semi Condensed" w:hAnsi="Barlow Semi Condensed"/>
          <w:b/>
          <w:bCs/>
          <w:sz w:val="24"/>
          <w:szCs w:val="24"/>
        </w:rPr>
        <w:t xml:space="preserve">Seconda voce. Le annate 1974-1976 di Nigrizia e l'articolo di Eugenio Enea in \Lusitania Sacra\ numero cinquantuno del 2025. Sede: Archivio Comboniano di Roma; richiesta all'editore della rivista. È la voce di maggior rendimento fra quelle conseguibili senza accesso ad archivi di Stato.</w:t>
      </w:r>
    </w:p>
    <w:p>
      <w:pPr>
        <w:spacing w:after="120" w:line="276"/>
        <w:jc w:val="both"/>
      </w:pPr>
      <w:r>
        <w:rPr>
          <w:rFonts w:ascii="Barlow Semi Condensed" w:cs="Barlow Semi Condensed" w:eastAsia="Barlow Semi Condensed" w:hAnsi="Barlow Semi Condensed"/>
          <w:b/>
          <w:bCs/>
          <w:sz w:val="24"/>
          <w:szCs w:val="24"/>
        </w:rPr>
        <w:t xml:space="preserve">Terza voce. Gli atti parlamentari della sesta legislatura per aprile-luglio 1974, per spoglio manuale dei resoconti stenografici, non essendo la banca dati estesa a prima del luglio 1976. Soglia: l'individuazione di una interrogazione o di un intervento di Moro sul Portogallo.</w:t>
      </w:r>
    </w:p>
    <w:p>
      <w:pPr>
        <w:spacing w:after="120" w:line="276"/>
        <w:jc w:val="both"/>
      </w:pPr>
      <w:r>
        <w:rPr>
          <w:rFonts w:ascii="Barlow Semi Condensed" w:cs="Barlow Semi Condensed" w:eastAsia="Barlow Semi Condensed" w:hAnsi="Barlow Semi Condensed"/>
          <w:b/>
          <w:bCs/>
          <w:sz w:val="24"/>
          <w:szCs w:val="24"/>
        </w:rPr>
        <w:t xml:space="preserve">Quarta voce. La serie italiana del portale Diplomacia e Revolução del ministero portoghese e i corrispondenti fondi dell'Arquivo Histórico-Diplomático, per consultazione manuale essendo l'accesso automatizzato bloccato. Contiene documenti sulla reazione italiana al 25 aprile 1974, ed è la sola sede in cui l'atto italiano risulta esistere.</w:t>
      </w:r>
    </w:p>
    <w:p>
      <w:pPr>
        <w:spacing w:after="120" w:line="276"/>
        <w:jc w:val="both"/>
      </w:pPr>
      <w:r>
        <w:rPr>
          <w:rFonts w:ascii="Barlow Semi Condensed" w:cs="Barlow Semi Condensed" w:eastAsia="Barlow Semi Condensed" w:hAnsi="Barlow Semi Condensed"/>
          <w:b/>
          <w:bCs/>
          <w:sz w:val="24"/>
          <w:szCs w:val="24"/>
        </w:rPr>
        <w:t xml:space="preserve">Quinta voce. La monografia di Francis Nolan del 2017 sul ritiro dei Padri Bianchi e gli archivi dei Missionari d'Africa, per la genealogia della denuncia esposta al Capitolo quarto.</w:t>
      </w:r>
    </w:p>
    <w:p>
      <w:pPr>
        <w:spacing w:after="120" w:line="276"/>
        <w:jc w:val="both"/>
      </w:pPr>
      <w:r>
        <w:rPr>
          <w:rFonts w:ascii="Barlow Semi Condensed" w:cs="Barlow Semi Condensed" w:eastAsia="Barlow Semi Condensed" w:hAnsi="Barlow Semi Condensed"/>
          <w:b/>
          <w:bCs/>
          <w:sz w:val="24"/>
          <w:szCs w:val="24"/>
        </w:rPr>
        <w:t xml:space="preserve">Sesta voce. Il documento che dispose il richiamo dell'ambasciatore portoghese presso la Santa Sede nel luglio 1970, e i ruoli del patriarca Cerejeira, del successore Ribeiro e del nunzio a Lisbona. Sedi: Arquivo Histórico-Diplomático; archivi vaticani, non aperti per il pontificato di Paolo VI.</w:t>
      </w:r>
    </w:p>
    <w:p>
      <w:pPr>
        <w:spacing w:after="120" w:line="276"/>
        <w:jc w:val="both"/>
      </w:pPr>
      <w:r>
        <w:rPr>
          <w:rFonts w:ascii="Barlow Semi Condensed" w:cs="Barlow Semi Condensed" w:eastAsia="Barlow Semi Condensed" w:hAnsi="Barlow Semi Condensed"/>
          <w:b/>
          <w:bCs/>
          <w:sz w:val="24"/>
          <w:szCs w:val="24"/>
        </w:rPr>
        <w:t xml:space="preserve">Settima voce. Le riprese della Conferenza romana del giugno 1970 e la conferenza stampa di Agostino Neto presso l'Archivio audiovisivo del movimento operaio e democratico. È la sola fonte primaria italiana individuata su quella settimana, ed è consultabile.</w:t>
      </w:r>
    </w:p>
    <w:p>
      <w:pPr>
        <w:spacing w:after="120" w:line="276"/>
        <w:jc w:val="both"/>
      </w:pPr>
      <w:r>
        <w:rPr>
          <w:rFonts w:ascii="Barlow Semi Condensed" w:cs="Barlow Semi Condensed" w:eastAsia="Barlow Semi Condensed" w:hAnsi="Barlow Semi Condensed"/>
          <w:b/>
          <w:bCs/>
          <w:sz w:val="24"/>
          <w:szCs w:val="24"/>
        </w:rPr>
        <w:t xml:space="preserve">Ottava voce. La posizione italiana su Algeri, Lusaka, Alvor, Timor e in sede atlantica e comunitaria nel 1975. Sedi: Farnesina, archivi della NATO, archivi del Consiglio europeo, atti delle Nazioni Unite.</w:t>
      </w:r>
    </w:p>
    <w:p>
      <w:pPr>
        <w:pStyle w:val="Heading2"/>
        <w:spacing w:after="100" w:before="200"/>
      </w:pPr>
      <w:r>
        <w:rPr>
          <w:rFonts w:ascii="Barlow Semi Condensed" w:cs="Barlow Semi Condensed" w:eastAsia="Barlow Semi Condensed" w:hAnsi="Barlow Semi Condensed"/>
          <w:sz w:val="24"/>
          <w:szCs w:val="24"/>
        </w:rPr>
        <w:t xml:space="preserve">Nota sul limite raggiunto, che chiude cinque ricognizioni.</w:t>
      </w:r>
    </w:p>
    <w:p>
      <w:pPr>
        <w:spacing w:after="120" w:line="276"/>
        <w:jc w:val="both"/>
      </w:pPr>
      <w:r>
        <w:rPr>
          <w:rFonts w:ascii="Barlow Semi Condensed" w:cs="Barlow Semi Condensed" w:eastAsia="Barlow Semi Condensed" w:hAnsi="Barlow Semi Condensed"/>
          <w:b/>
          <w:bCs/>
          <w:sz w:val="24"/>
          <w:szCs w:val="24"/>
        </w:rPr>
        <w:t xml:space="preserve">Questa è la seconda ricognizione sul perimetro portoghese e la quinta sull'oggetto complessivo. La ricerca estesa, condotta sulle sei lacune dichiarate, ne ha colmate quattro e ne ha qualificate due come non conseguibili per via telematica, indicandone la causa strutturale.</w:t>
      </w:r>
    </w:p>
    <w:p>
      <w:pPr>
        <w:spacing w:after="120" w:line="276"/>
        <w:jc w:val="both"/>
      </w:pPr>
      <w:r>
        <w:rPr>
          <w:rFonts w:ascii="Barlow Semi Condensed" w:cs="Barlow Semi Condensed" w:eastAsia="Barlow Semi Condensed" w:hAnsi="Barlow Semi Condensed"/>
          <w:b/>
          <w:bCs/>
          <w:sz w:val="24"/>
          <w:szCs w:val="24"/>
        </w:rPr>
        <w:t xml:space="preserve">Ne discende che il perimetro è esaurito quanto alle fonti accessibili. Una sesta ricognizione sul medesimo oggetto restituirebbe il medesimo materiale, e le otto voci della tavola richiedono, senza eccezione, un accesso fisico a un archivio — a Roma, a Lisbona, a Coimbra, in Vaticano.</w:t>
      </w:r>
    </w:p>
    <w:p>
      <w:pPr>
        <w:spacing w:after="120" w:line="276"/>
        <w:jc w:val="both"/>
      </w:pPr>
      <w:r>
        <w:rPr>
          <w:rFonts w:ascii="Barlow Semi Condensed" w:cs="Barlow Semi Condensed" w:eastAsia="Barlow Semi Condensed" w:hAnsi="Barlow Semi Condensed"/>
          <w:b/>
          <w:bCs/>
          <w:sz w:val="24"/>
          <w:szCs w:val="24"/>
        </w:rPr>
        <w:t xml:space="preserve">Una osservazione conclusiva, che vale oltre l'oggetto e che cinque ricognizioni hanno consolidato. Il perimetro portoghese ha prodotto assai più del perimetro spagnolo — quattro nodi documentati contro uno — e la ragione non è che l'Italia agisse più verso Lisbona. È che la materia coloniale portoghese mise in movimento istituzioni che tengono archivio e che pubblicano: congregazioni religiose che conservano i diari dei propri superiori con le ore e i minuti degli interrogatori; vescovi che firmano documenti; riviste missionarie che stampano; quotidiani che aprono la prima pagina.</w:t>
      </w:r>
    </w:p>
    <w:p>
      <w:pPr>
        <w:spacing w:after="120" w:line="276"/>
        <w:jc w:val="both"/>
      </w:pPr>
      <w:r>
        <w:rPr>
          <w:rFonts w:ascii="Barlow Semi Condensed" w:cs="Barlow Semi Condensed" w:eastAsia="Barlow Semi Condensed" w:hAnsi="Barlow Semi Condensed"/>
          <w:b/>
          <w:bCs/>
          <w:sz w:val="24"/>
          <w:szCs w:val="24"/>
        </w:rPr>
        <w:t xml:space="preserve">Dove agiscono soggetti che scrivono e conservano, resta traccia anche a mezzo secolo di distanza. Dove agiscono soltanto governi, e gli archivi dei governi non sono accessibili o non sono indicizzati, non resta nulla — e l'assenza di traccia non va confusa con l'assenza dell'atto. È la lezione di questi cinque studi,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 · Aldo Moro Alla Farnesina, Il Portogallo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5.152 parole in 9 sezioni; la più ampia è §9 Altre sezioni, con 4.377.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93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 — Aldo Moro Alla Farnesina, Il Portogallo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../originali/portogallo-opus-dei.md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16,2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Sesta ricognizione: il ribaltamento iberico</w:t>
      </w:r>
    </w:p>
    <w:p>
      <w:pPr>
        <w:pStyle w:val="Heading2"/>
        <w:spacing w:after="100" w:before="200"/>
      </w:pPr>
      <w:r>
        <w:rPr>
          <w:rFonts w:ascii="Barlow Semi Condensed" w:cs="Barlow Semi Condensed" w:eastAsia="Barlow Semi Condensed" w:hAnsi="Barlow Semi Condensed"/>
          <w:sz w:val="24"/>
          <w:szCs w:val="24"/>
        </w:rPr>
        <w:t xml:space="preserve">In Spagna ministri, in Portogallo un fascicolo di polizia</w:t>
      </w:r>
    </w:p>
    <w:p>
      <w:pPr>
        <w:pStyle w:val="Heading2"/>
        <w:spacing w:after="100" w:before="200"/>
      </w:pPr>
      <w:r>
        <w:rPr>
          <w:rFonts w:ascii="Barlow Semi Condensed" w:cs="Barlow Semi Condensed" w:eastAsia="Barlow Semi Condensed" w:hAnsi="Barlow Semi Condensed"/>
          <w:sz w:val="24"/>
          <w:szCs w:val="24"/>
        </w:rPr>
        <w:t xml:space="preserve">Dodici Capitoli — quattro assi ridotti a un nodo — cinque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ribaltamento, enunciato per primo</w:t>
      </w:r>
    </w:p>
    <w:p>
      <w:pPr>
        <w:spacing w:after="120" w:line="276"/>
        <w:jc w:val="both"/>
      </w:pPr>
      <w:r>
        <w:rPr>
          <w:rFonts w:ascii="Barlow Semi Condensed" w:cs="Barlow Semi Condensed" w:eastAsia="Barlow Semi Condensed" w:hAnsi="Barlow Semi Condensed"/>
          <w:b/>
          <w:bCs/>
          <w:sz w:val="24"/>
          <w:szCs w:val="24"/>
        </w:rPr>
        <w:t xml:space="preserve">È la sesta ricognizione sull'attività ministeriale di Aldo Moro e la prima sulla combinazione Portogallo e Opus Dei. Essa produce un risultato che rovescia l'aspettativa implicita nella domanda, e conviene enunciarlo prima di ogni altra cosa perché governa i dodici capitoli.</w:t>
      </w:r>
    </w:p>
    <w:p>
      <w:pPr>
        <w:spacing w:after="120" w:line="276"/>
        <w:jc w:val="both"/>
      </w:pPr>
      <w:r>
        <w:rPr>
          <w:rFonts w:ascii="Barlow Semi Condensed" w:cs="Barlow Semi Condensed" w:eastAsia="Barlow Semi Condensed" w:hAnsi="Barlow Semi Condensed"/>
          <w:b/>
          <w:bCs/>
          <w:sz w:val="24"/>
          <w:szCs w:val="24"/>
        </w:rPr>
        <w:t xml:space="preserve">In Spagna l'Opus Dei fornì ministri al regime franchista. In Portogallo la polizia politica lo sorvegliò per decenni sospettandone una cospirazione, e non riuscì mai a provarla.</w:t>
      </w:r>
    </w:p>
    <w:p>
      <w:pPr>
        <w:spacing w:after="120" w:line="276"/>
        <w:jc w:val="both"/>
      </w:pPr>
      <w:r>
        <w:rPr>
          <w:rFonts w:ascii="Barlow Semi Condensed" w:cs="Barlow Semi Condensed" w:eastAsia="Barlow Semi Condensed" w:hAnsi="Barlow Semi Condensed"/>
          <w:b/>
          <w:bCs/>
          <w:sz w:val="24"/>
          <w:szCs w:val="24"/>
        </w:rPr>
        <w:t xml:space="preserve">Le due esperienze iberiche non sono varianti della medesima: sono opposte. Nella prima l'istituzione entrò nel governo; nella seconda fu oggetto di fascicolo. E la ragione della divergenza — questa è la seconda risultanza — non è una diversa strategia dell'ente, ma una diversa struttura di società, di Chiesa e di élites, colta da una recensione peer-reviewed della rivista di storia religiosa dell'Università Cattolica Portoghese.</w:t>
      </w:r>
    </w:p>
    <w:p>
      <w:pPr>
        <w:spacing w:after="120" w:line="276"/>
        <w:jc w:val="both"/>
      </w:pPr>
      <w:r>
        <w:rPr>
          <w:rFonts w:ascii="Barlow Semi Condensed" w:cs="Barlow Semi Condensed" w:eastAsia="Barlow Semi Condensed" w:hAnsi="Barlow Semi Condensed"/>
          <w:b/>
          <w:bCs/>
          <w:sz w:val="24"/>
          <w:szCs w:val="24"/>
        </w:rPr>
        <w:t xml:space="preserve">Ne discende che chi cercasse nel Portogallo una replica del caso spagnolo cercherebbe un fatto che non avvenne, e che la sua assenza è essa stessa la risultanza principale di questa ricognizione.</w:t>
      </w:r>
    </w:p>
    <w:p>
      <w:pPr>
        <w:spacing w:after="120" w:line="276"/>
        <w:jc w:val="both"/>
      </w:pPr>
      <w:r>
        <w:rPr>
          <w:rFonts w:ascii="Barlow Semi Condensed" w:cs="Barlow Semi Condensed" w:eastAsia="Barlow Semi Condensed" w:hAnsi="Barlow Semi Condensed"/>
          <w:b/>
          <w:bCs/>
          <w:sz w:val="24"/>
          <w:szCs w:val="24"/>
        </w:rPr>
        <w:t xml:space="preserve">Sulla disciplina applicata. Vale in modo assoluto, e in questa materia più che in ogni altra, la prescrizione secondo cui l'appartenenza di una persona a un'organizzazione non è prova di una condotta dell'organizzazione. Essa è vincolante due volte in questo studio: una volta per i nomi che la polizia politica portoghese annotò senza provare nulla; una seconda per il politico portoghese la cui appartenenza è documentata e la cui azione fu di partito e non di ente.</w:t>
      </w:r>
    </w:p>
    <w:p>
      <w:pPr>
        <w:spacing w:after="120" w:line="276"/>
        <w:jc w:val="both"/>
      </w:pPr>
      <w:r>
        <w:rPr>
          <w:rFonts w:ascii="Barlow Semi Condensed" w:cs="Barlow Semi Condensed" w:eastAsia="Barlow Semi Condensed" w:hAnsi="Barlow Semi Condensed"/>
          <w:b/>
          <w:bCs/>
          <w:sz w:val="24"/>
          <w:szCs w:val="24"/>
        </w:rPr>
        <w:t xml:space="preserve">Sulla natura delle fonti, che qui è particolarmente disomogenea e va dichiarata. La cronologia dell'insediamento proviene dalla fonte ufficiale dell'istituzione, impiegabile per i dati di fatto sui propri membri e non per le valutazioni di responsabilità. Il vaglio critico proviene da una recensione peer-reviewed. La sorveglianza poliziesca proviene da un libro di inchiesta giornalistica fondato su fascicoli d'archivio: va trattato come pubblicistica che cita fonti primarie, non come studio scientifico, e le sue tesi vanno qualificate come tali. Sono escluse le due fonti che il committente ha posto fra le non citabili.</w:t>
      </w:r>
    </w:p>
    <w:p>
      <w:pPr>
        <w:spacing w:after="120" w:line="276"/>
        <w:jc w:val="both"/>
      </w:pPr>
      <w:r>
        <w:rPr>
          <w:rFonts w:ascii="Barlow Semi Condensed" w:cs="Barlow Semi Condensed" w:eastAsia="Barlow Semi Condensed" w:hAnsi="Barlow Semi Condensed"/>
          <w:b/>
          <w:bCs/>
          <w:sz w:val="24"/>
          <w:szCs w:val="24"/>
        </w:rPr>
        <w:t xml:space="preserve">Sulla misura. Come nelle cinque ricognizioni anteriori si adotta la proporzionalità: ogni capitolo è lungo quanto il materiale che lo sostiene. I capitoli secondo, terzo, quarto e nono sono i più fitti; il quinto e il settimo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in Portogallo: il 1945, Fátima e una correzione erudita</w:t>
      </w:r>
    </w:p>
    <w:p>
      <w:pPr>
        <w:spacing w:after="120" w:line="276"/>
        <w:jc w:val="both"/>
      </w:pPr>
      <w:r>
        <w:rPr>
          <w:rFonts w:ascii="Barlow Semi Condensed" w:cs="Barlow Semi Condensed" w:eastAsia="Barlow Semi Condensed" w:hAnsi="Barlow Semi Condensed"/>
          <w:b/>
          <w:bCs/>
          <w:sz w:val="24"/>
          <w:szCs w:val="24"/>
        </w:rPr>
        <w:t xml:space="preserve">La cronologia ufficiale. La fonte dell'istituzione data l'inizio della presenza in Portogallo al 5 febbraio 1945, con la prima visita del fondatore Josemaría Escrivá de Balaguer. Il viaggio fu — secondo la ricostruzione dell'ente e la biografia di Hugo de Azevedo, \O fundador do Opus Dei em Portugal\, Lisbona, Lucerna, 2021 — sollecitato da suor Lúcia, veggente di Fátima, conosciuta a Tui.</w:t>
      </w:r>
    </w:p>
    <w:p>
      <w:pPr>
        <w:spacing w:after="120" w:line="276"/>
        <w:jc w:val="both"/>
      </w:pPr>
      <w:r>
        <w:rPr>
          <w:rFonts w:ascii="Barlow Semi Condensed" w:cs="Barlow Semi Condensed" w:eastAsia="Barlow Semi Condensed" w:hAnsi="Barlow Semi Condensed"/>
          <w:b/>
          <w:bCs/>
          <w:sz w:val="24"/>
          <w:szCs w:val="24"/>
        </w:rPr>
        <w:t xml:space="preserve">Escrivá, accompagnato dal vescovo di Tui, incontrò il cardinale patriarca di Lisbona e i vescovi di Braga, Porto, Coimbra e Leiria, e decise l'avvio immediato dell'apostolato. Un anno dopo giunsero a Coimbra alcuni membri in studi post-laurea, che aprirono una residenza universitaria; seguirono le residenze di Porto nel 1948 e di Lisbona nel 1951.</w:t>
      </w:r>
    </w:p>
    <w:p>
      <w:pPr>
        <w:spacing w:after="120" w:line="276"/>
        <w:jc w:val="both"/>
      </w:pPr>
      <w:r>
        <w:rPr>
          <w:rFonts w:ascii="Barlow Semi Condensed" w:cs="Barlow Semi Condensed" w:eastAsia="Barlow Semi Condensed" w:hAnsi="Barlow Semi Condensed"/>
          <w:b/>
          <w:bCs/>
          <w:sz w:val="24"/>
          <w:szCs w:val="24"/>
        </w:rPr>
        <w:t xml:space="preserve">La correzione erudita, che è il primo ritrovamento del capitolo. Una recensione peer-reviewed pubblicata su Lusitania Sacra, rivista del Centro de Estudos de História Religiosa dell'Università Cattolica Portoghese, a firma di Miguel de Salis Amaral della Pontificia Università della Santa Croce, con identificativo digitale 10.34632/lusitaniasacra.2022.11811, apporta due precisazioni al racconto ufficiale.</w:t>
      </w:r>
    </w:p>
    <w:p>
      <w:pPr>
        <w:spacing w:after="120" w:line="276"/>
        <w:jc w:val="both"/>
      </w:pPr>
      <w:r>
        <w:rPr>
          <w:rFonts w:ascii="Barlow Semi Condensed" w:cs="Barlow Semi Condensed" w:eastAsia="Barlow Semi Condensed" w:hAnsi="Barlow Semi Condensed"/>
          <w:b/>
          <w:bCs/>
          <w:sz w:val="24"/>
          <w:szCs w:val="24"/>
        </w:rPr>
        <w:t xml:space="preserve">Prima: il primo portoghese entrato nell'Opus Dei fu Armando Serrano, nell'anno accademico 1942-43\\, dunque tre anni prima della visita del fondatore. \\Seconda: una prima visita esplorativa di José Luis Múzquiz avvenne nel marzo 1941.</w:t>
      </w:r>
    </w:p>
    <w:p>
      <w:pPr>
        <w:spacing w:after="120" w:line="276"/>
        <w:jc w:val="both"/>
      </w:pPr>
      <w:r>
        <w:rPr>
          <w:rFonts w:ascii="Barlow Semi Condensed" w:cs="Barlow Semi Condensed" w:eastAsia="Barlow Semi Condensed" w:hAnsi="Barlow Semi Condensed"/>
          <w:b/>
          <w:bCs/>
          <w:sz w:val="24"/>
          <w:szCs w:val="24"/>
        </w:rPr>
        <w:t xml:space="preserve">Ne discende una conseguenza sull'attribuzione causale, e va enunciata con precisione. Se l'idea di iniziare il lavoro in Portogallo esisteva già nel 1941 e un portoghese era membro dal 1942-43, allora l'incontro con suor Lúcia fu concausa e non causa esclusiva dell'insediamento — che è esattamente la qualificazione che la recensione adotta.</w:t>
      </w:r>
    </w:p>
    <w:p>
      <w:pPr>
        <w:spacing w:after="120" w:line="276"/>
        <w:jc w:val="both"/>
      </w:pPr>
      <w:r>
        <w:rPr>
          <w:rFonts w:ascii="Barlow Semi Condensed" w:cs="Barlow Semi Condensed" w:eastAsia="Barlow Semi Condensed" w:hAnsi="Barlow Semi Condensed"/>
          <w:b/>
          <w:bCs/>
          <w:sz w:val="24"/>
          <w:szCs w:val="24"/>
        </w:rPr>
        <w:t xml:space="preserve">Questo è il tipo di correzione che soltanto una fonte critica può apportare a una fonte ufficiale, e la si registra per quello che è: non una smentita, ma una precisazione della sequenza.</w:t>
      </w:r>
    </w:p>
    <w:p>
      <w:pPr>
        <w:spacing w:after="120" w:line="276"/>
        <w:jc w:val="both"/>
      </w:pPr>
      <w:r>
        <w:rPr>
          <w:rFonts w:ascii="Barlow Semi Condensed" w:cs="Barlow Semi Condensed" w:eastAsia="Barlow Semi Condensed" w:hAnsi="Barlow Semi Condensed"/>
          <w:b/>
          <w:bCs/>
          <w:sz w:val="24"/>
          <w:szCs w:val="24"/>
        </w:rPr>
        <w:t xml:space="preserve">La divergenza sulla data d'ingresso stabile va riportata. L'inchiesta giornalistica colloca l'ingresso stabile nel 1946, con l'arrivo di un gruppo di cinque universitari spagnoli e un cubano; la fonte ufficiale indica il 1945 come inizio della presenza. Due fonti, due datazioni, e la differenza sta nel definire cosa costituisca inizio: la prima visita o la residenza permanente.</w:t>
      </w:r>
    </w:p>
    <w:p>
      <w:pPr>
        <w:spacing w:after="120" w:line="276"/>
        <w:jc w:val="both"/>
      </w:pPr>
      <w:r>
        <w:rPr>
          <w:rFonts w:ascii="Barlow Semi Condensed" w:cs="Barlow Semi Condensed" w:eastAsia="Barlow Semi Condensed" w:hAnsi="Barlow Semi Condensed"/>
          <w:b/>
          <w:bCs/>
          <w:sz w:val="24"/>
          <w:szCs w:val="24"/>
        </w:rPr>
        <w:t xml:space="preserve">La consistenza numerica, documentata. La pagina storica ufficiale parla di circa millequattrocento fedeli. L'agenzia di stampa portoghese, ripresa dalla radiotelevisione pubblica, riferì di circa milleseicentoventicinque membri all'inizio del 2020. Per i dati di dicembre 2021, il vicario regionale José Rafael Espírito Santo, in un'intervista del 5 febbraio 2022, dichiarò milleseicentoquindici membri in totale: milledodici donne e seicentotré uomini, dei quali cinquecentocinque celibatari e millecentodieci sposati o celibi senza il vincolo del celibato.</w:t>
      </w:r>
    </w:p>
    <w:p>
      <w:pPr>
        <w:spacing w:after="120" w:line="276"/>
        <w:jc w:val="both"/>
      </w:pPr>
      <w:r>
        <w:rPr>
          <w:rFonts w:ascii="Barlow Semi Condensed" w:cs="Barlow Semi Condensed" w:eastAsia="Barlow Semi Condensed" w:hAnsi="Barlow Semi Condensed"/>
          <w:b/>
          <w:bCs/>
          <w:sz w:val="24"/>
          <w:szCs w:val="24"/>
        </w:rPr>
        <w:t xml:space="preserve">Il dato va notato per la sua misura. Milleseicentoquindici membri in un Paese di dieci milioni di abitanti è una presenza modesta, e la disaggregazione — due terzi di donne, due terzi non celibatari — descrive un'istituzione di laici sposati e non un corpo di quadri.</w:t>
      </w:r>
    </w:p>
    <w:p>
      <w:pPr>
        <w:spacing w:after="120" w:line="276"/>
        <w:jc w:val="both"/>
      </w:pPr>
      <w:r>
        <w:rPr>
          <w:rFonts w:ascii="Barlow Semi Condensed" w:cs="Barlow Semi Condensed" w:eastAsia="Barlow Semi Condensed" w:hAnsi="Barlow Semi Condensed"/>
          <w:b/>
          <w:bCs/>
          <w:sz w:val="24"/>
          <w:szCs w:val="24"/>
        </w:rPr>
        <w:t xml:space="preserve">I centri documentati sono a Braga, Porto, Miramar, Viseu, Coimbra, Lisbona, Montemor-o-Novo e Ponta Delgada. Fra le opere collegate a membri, un volume collettivo diretto da José Freire Antunes menziona il Colégio Universitário Montes Claros, il Colégio Horizonte di Porto, il Colégio Mira Rio, la Residência Universitária dos Álamos, una scuola di direzione d'impresa e un istituto di solidarietà e cooperazione.</w:t>
      </w:r>
    </w:p>
    <w:p>
      <w:pPr>
        <w:pStyle w:val="Heading2"/>
        <w:spacing w:after="100" w:before="200"/>
      </w:pPr>
      <w:r>
        <w:rPr>
          <w:rFonts w:ascii="Barlow Semi Condensed" w:cs="Barlow Semi Condensed" w:eastAsia="Barlow Semi Condensed" w:hAnsi="Barlow Semi Condensed"/>
          <w:sz w:val="24"/>
          <w:szCs w:val="24"/>
        </w:rPr>
        <w:t xml:space="preserve">Capitolo terzo — La sorveglianza: che cosa la polizia politica portoghese sospettava</w:t>
      </w:r>
    </w:p>
    <w:p>
      <w:pPr>
        <w:spacing w:after="120" w:line="276"/>
        <w:jc w:val="both"/>
      </w:pPr>
      <w:r>
        <w:rPr>
          <w:rFonts w:ascii="Barlow Semi Condensed" w:cs="Barlow Semi Condensed" w:eastAsia="Barlow Semi Condensed" w:hAnsi="Barlow Semi Condensed"/>
          <w:b/>
          <w:bCs/>
          <w:sz w:val="24"/>
          <w:szCs w:val="24"/>
        </w:rPr>
        <w:t xml:space="preserve">È il capitolo di massima densità documentale, e il più esposto all'errore interpretativo. Va perciò letto con la qualificazione che lo apre e che lo chiude.</w:t>
      </w:r>
    </w:p>
    <w:p>
      <w:pPr>
        <w:spacing w:after="120" w:line="276"/>
        <w:jc w:val="both"/>
      </w:pPr>
      <w:r>
        <w:rPr>
          <w:rFonts w:ascii="Barlow Semi Condensed" w:cs="Barlow Semi Condensed" w:eastAsia="Barlow Semi Condensed" w:hAnsi="Barlow Semi Condensed"/>
          <w:b/>
          <w:bCs/>
          <w:sz w:val="24"/>
          <w:szCs w:val="24"/>
        </w:rPr>
        <w:t xml:space="preserve">La fonte. Un libro di inchiesta di António José Vilela e Pedro Ramos Brandão, \Salazar e a Conspiração do Opus Dei\, Casa das Letras, 2011, fondato su fascicoli della polizia politica conservati all'Arquivo Nacional da Torre do Tombo. È pubblicistica d'inchiesta che cita fonti primarie, e non studio peer-reviewed.</w:t>
      </w:r>
    </w:p>
    <w:p>
      <w:pPr>
        <w:spacing w:after="120" w:line="276"/>
        <w:jc w:val="both"/>
      </w:pPr>
      <w:r>
        <w:rPr>
          <w:rFonts w:ascii="Barlow Semi Condensed" w:cs="Barlow Semi Condensed" w:eastAsia="Barlow Semi Condensed" w:hAnsi="Barlow Semi Condensed"/>
          <w:b/>
          <w:bCs/>
          <w:sz w:val="24"/>
          <w:szCs w:val="24"/>
        </w:rPr>
        <w:t xml:space="preserve">Che cosa la polizia sospettava. Secondo l'inchiesta, la PIDE riteneva esistesse una cospirazione dell'Opus Dei per dominare il regime, sul modello di quanto essa credeva avvenuto nella Spagna franchista, dove a suo giudizio il fondatore avrebbe voluto conquistare le élites di sostegno a Salazar.</w:t>
      </w:r>
    </w:p>
    <w:p>
      <w:pPr>
        <w:spacing w:after="120" w:line="276"/>
        <w:jc w:val="both"/>
      </w:pPr>
      <w:r>
        <w:rPr>
          <w:rFonts w:ascii="Barlow Semi Condensed" w:cs="Barlow Semi Condensed" w:eastAsia="Barlow Semi Condensed" w:hAnsi="Barlow Semi Condensed"/>
          <w:b/>
          <w:bCs/>
          <w:sz w:val="24"/>
          <w:szCs w:val="24"/>
        </w:rPr>
        <w:t xml:space="preserve">Il documento più citato. Un rapporto del settembre 1963 contiene la frase, riportata dagli autori, secondo cui i rappresentanti spagnoli avrebbero sempre cercato di trovare come dirigente in Portogallo un uomo con nome politico e prestigio sufficienti da portarlo un giorno a far parte del governo.</w:t>
      </w:r>
    </w:p>
    <w:p>
      <w:pPr>
        <w:spacing w:after="120" w:line="276"/>
        <w:jc w:val="both"/>
      </w:pPr>
      <w:r>
        <w:rPr>
          <w:rFonts w:ascii="Barlow Semi Condensed" w:cs="Barlow Semi Condensed" w:eastAsia="Barlow Semi Condensed" w:hAnsi="Barlow Semi Condensed"/>
          <w:b/>
          <w:bCs/>
          <w:sz w:val="24"/>
          <w:szCs w:val="24"/>
        </w:rPr>
        <w:t xml:space="preserve">Gli altri atti individuati. Una nota non firmata del 1961 indirizzata a Salazar e conservata alla Torre do Tombo, intitolata \As Actividades do Opus Dei em Portugal\. Un relatório del gennaio 1964 dedicato ai tentativi di penetrazione dell'Opus Dei nella politica interna portoghese.</w:t>
      </w:r>
    </w:p>
    <w:p>
      <w:pPr>
        <w:spacing w:after="120" w:line="276"/>
        <w:jc w:val="both"/>
      </w:pPr>
      <w:r>
        <w:rPr>
          <w:rFonts w:ascii="Barlow Semi Condensed" w:cs="Barlow Semi Condensed" w:eastAsia="Barlow Semi Condensed" w:hAnsi="Barlow Semi Condensed"/>
          <w:b/>
          <w:bCs/>
          <w:sz w:val="24"/>
          <w:szCs w:val="24"/>
        </w:rPr>
        <w:t xml:space="preserve">Le operazioni condotte, secondo l'inchiesta. La polizia deviò corrispondenza, annotò nomi e rilevò l'ingresso di diciotto milioni di pesetas. Fra i nomi annotati figurano Marcello Caetano e Adriano Moreira, oltre all'ex ministro Daniel Barbosa. Lo spagnolo Gregório Ortega Pardo è indicato come l'uomo che faceva da collegamento fra quegli ex governanti e l'istituzione.</w:t>
      </w:r>
    </w:p>
    <w:p>
      <w:pPr>
        <w:spacing w:after="120" w:line="276"/>
        <w:jc w:val="both"/>
      </w:pPr>
      <w:r>
        <w:rPr>
          <w:rFonts w:ascii="Barlow Semi Condensed" w:cs="Barlow Semi Condensed" w:eastAsia="Barlow Semi Condensed" w:hAnsi="Barlow Semi Condensed"/>
          <w:b/>
          <w:bCs/>
          <w:sz w:val="24"/>
          <w:szCs w:val="24"/>
        </w:rPr>
        <w:t xml:space="preserve">E qui va enunciata la qualificazione che vale per l'intero capitolo, e che è la cosa più importante che esso contenga.</w:t>
      </w:r>
    </w:p>
    <w:p>
      <w:pPr>
        <w:spacing w:after="120" w:line="276"/>
        <w:jc w:val="both"/>
      </w:pPr>
      <w:r>
        <w:rPr>
          <w:rFonts w:ascii="Barlow Semi Condensed" w:cs="Barlow Semi Condensed" w:eastAsia="Barlow Semi Condensed" w:hAnsi="Barlow Semi Condensed"/>
          <w:b/>
          <w:bCs/>
          <w:sz w:val="24"/>
          <w:szCs w:val="24"/>
        </w:rPr>
        <w:t xml:space="preserve">Tutto ciò è quanto la polizia politica sospettava e annotava. Non è quanto l'istituzione o le persone fecero. Gli stessi resoconti sottolineano che la polizia non riuscì mai a provare i legami, e che Marcello Caetano e Adriano Moreira — quest'ultimo indicato in alcuni rapporti come possibile successore del capo del governo — avrebbero resistito alle sollecitazioni. Nomi come Leite Pinto, Vieira Barbosa e Cavaleiro Ferreira comparivano come presunti membri senza prova documentale.</w:t>
      </w:r>
    </w:p>
    <w:p>
      <w:pPr>
        <w:spacing w:after="120" w:line="276"/>
        <w:jc w:val="both"/>
      </w:pPr>
      <w:r>
        <w:rPr>
          <w:rFonts w:ascii="Barlow Semi Condensed" w:cs="Barlow Semi Condensed" w:eastAsia="Barlow Semi Condensed" w:hAnsi="Barlow Semi Condensed"/>
          <w:b/>
          <w:bCs/>
          <w:sz w:val="24"/>
          <w:szCs w:val="24"/>
        </w:rPr>
        <w:t xml:space="preserve">Ne discende la formula da adottare per ogni uso futuro di questo materiale: esso è prova di ciò che il regime temeva, non di ciò che l'Opus Dei fece. Un fascicolo di polizia politica attesta un sospetto e le operazioni condotte per verificarlo; quando la verifica non riesce, il fascicolo resta documento sulla polizia e non sul sorvegliato.</w:t>
      </w:r>
    </w:p>
    <w:p>
      <w:pPr>
        <w:spacing w:after="120" w:line="276"/>
        <w:jc w:val="both"/>
      </w:pPr>
      <w:r>
        <w:rPr>
          <w:rFonts w:ascii="Barlow Semi Condensed" w:cs="Barlow Semi Condensed" w:eastAsia="Barlow Semi Condensed" w:hAnsi="Barlow Semi Condensed"/>
          <w:b/>
          <w:bCs/>
          <w:sz w:val="24"/>
          <w:szCs w:val="24"/>
        </w:rPr>
        <w:t xml:space="preserve">La tesi cospirativa complessiva va qualificata. L'inchiesta collega suor Lúcia, il controllo di un istituto bancario agricolo e un'alleanza tacita e frustrata con il cardinale patriarca. Non trovando riscontro in fonti primarie autonome, essa va considerata non sostenuta — ed è precisamente il genere di tesi che la disciplina di questa ricognizione impone di riportare e di non accogliere.</w:t>
      </w:r>
    </w:p>
    <w:p>
      <w:pPr>
        <w:pStyle w:val="Heading2"/>
        <w:spacing w:after="100" w:before="200"/>
      </w:pPr>
      <w:r>
        <w:rPr>
          <w:rFonts w:ascii="Barlow Semi Condensed" w:cs="Barlow Semi Condensed" w:eastAsia="Barlow Semi Condensed" w:hAnsi="Barlow Semi Condensed"/>
          <w:sz w:val="24"/>
          <w:szCs w:val="24"/>
        </w:rPr>
        <w:t xml:space="preserve">Capitolo quarto — Il confronto iberico: la spiegazione strutturale della divergenza</w:t>
      </w:r>
    </w:p>
    <w:p>
      <w:pPr>
        <w:spacing w:after="120" w:line="276"/>
        <w:jc w:val="both"/>
      </w:pPr>
      <w:r>
        <w:rPr>
          <w:rFonts w:ascii="Barlow Semi Condensed" w:cs="Barlow Semi Condensed" w:eastAsia="Barlow Semi Condensed" w:hAnsi="Barlow Semi Condensed"/>
          <w:b/>
          <w:bCs/>
          <w:sz w:val="24"/>
          <w:szCs w:val="24"/>
        </w:rPr>
        <w:t xml:space="preserve">Il capitolo risponde alla domanda storiografica centrale, e la risposta non è quella che la simmetria geografica suggerirebbe.</w:t>
      </w:r>
    </w:p>
    <w:p>
      <w:pPr>
        <w:spacing w:after="120" w:line="276"/>
        <w:jc w:val="both"/>
      </w:pPr>
      <w:r>
        <w:rPr>
          <w:rFonts w:ascii="Barlow Semi Condensed" w:cs="Barlow Semi Condensed" w:eastAsia="Barlow Semi Condensed" w:hAnsi="Barlow Semi Condensed"/>
          <w:b/>
          <w:bCs/>
          <w:sz w:val="24"/>
          <w:szCs w:val="24"/>
        </w:rPr>
        <w:t xml:space="preserve">Il termine spagnolo, già acquisito. Alcuni membri dell'Opus Dei giunsero al governo dal 1957 — Alberto Ullastres al Commercio, Mariano Navarro Rubio alle Finanze — e con maggiore visibilità nel gabinetto del 1969. Secondo la fonte ufficiale dell'ente, otto ministri su centosedici appartennero all'istituzione nell'intero arco franchista. Figure come Gregorio López Bravo agli Esteri dall'ottobre 1969 e Laureano López Rodó dal giugno 1973 furono associate allo sviluppismo.</w:t>
      </w:r>
    </w:p>
    <w:p>
      <w:pPr>
        <w:spacing w:after="120" w:line="276"/>
        <w:jc w:val="both"/>
      </w:pPr>
      <w:r>
        <w:rPr>
          <w:rFonts w:ascii="Barlow Semi Condensed" w:cs="Barlow Semi Condensed" w:eastAsia="Barlow Semi Condensed" w:hAnsi="Barlow Semi Condensed"/>
          <w:b/>
          <w:bCs/>
          <w:sz w:val="24"/>
          <w:szCs w:val="24"/>
        </w:rPr>
        <w:t xml:space="preserve">Due avvertenze che le fonti impongono. La storiografia spagnola — Paul Preston, \Franco\, 1994 — avverte che l'arrivo dei tecnocrati non fu né sinistro né astuto, ma piuttosto una risposta pragmatica e senza schema fisso. E l'istituzione medesima insiste che né tutti i tecnocrati furono dell'Opus Dei, né tutti i membri dell'Opus Dei furono tecnocrati.</w:t>
      </w:r>
    </w:p>
    <w:p>
      <w:pPr>
        <w:spacing w:after="120" w:line="276"/>
        <w:jc w:val="both"/>
      </w:pPr>
      <w:r>
        <w:rPr>
          <w:rFonts w:ascii="Barlow Semi Condensed" w:cs="Barlow Semi Condensed" w:eastAsia="Barlow Semi Condensed" w:hAnsi="Barlow Semi Condensed"/>
          <w:b/>
          <w:bCs/>
          <w:sz w:val="24"/>
          <w:szCs w:val="24"/>
        </w:rPr>
        <w:t xml:space="preserve">Il termine portoghese: nulla di comparabile risulta. Nessun ministro portoghese appartenente all'istituzione è documentato; l'istituzione fu sorvegliata anziché cooptata.</w:t>
      </w:r>
    </w:p>
    <w:p>
      <w:pPr>
        <w:spacing w:after="120" w:line="276"/>
        <w:jc w:val="both"/>
      </w:pPr>
      <w:r>
        <w:rPr>
          <w:rFonts w:ascii="Barlow Semi Condensed" w:cs="Barlow Semi Condensed" w:eastAsia="Barlow Semi Condensed" w:hAnsi="Barlow Semi Condensed"/>
          <w:b/>
          <w:bCs/>
          <w:sz w:val="24"/>
          <w:szCs w:val="24"/>
        </w:rPr>
        <w:t xml:space="preserve">La spiegazione, e proviene da fonte peer-reviewed. La recensione di Salis Amaral su \Lusitania Sacra\ individua quattro fattori di divergenza:</w:t>
      </w:r>
    </w:p>
    <w:p>
      <w:pPr>
        <w:spacing w:after="120" w:line="276"/>
        <w:jc w:val="both"/>
      </w:pPr>
      <w:r>
        <w:rPr>
          <w:rFonts w:ascii="Barlow Semi Condensed" w:cs="Barlow Semi Condensed" w:eastAsia="Barlow Semi Condensed" w:hAnsi="Barlow Semi Condensed"/>
          <w:b/>
          <w:bCs/>
          <w:sz w:val="24"/>
          <w:szCs w:val="24"/>
        </w:rPr>
        <w:t xml:space="preserve">Primo, il diverso grado di secolarizzazione e di preparazione religiosa della gioventù universitaria portoghese rispetto a quella spagnola.</w:t>
      </w:r>
    </w:p>
    <w:p>
      <w:pPr>
        <w:spacing w:after="120" w:line="276"/>
        <w:jc w:val="both"/>
      </w:pPr>
      <w:r>
        <w:rPr>
          <w:rFonts w:ascii="Barlow Semi Condensed" w:cs="Barlow Semi Condensed" w:eastAsia="Barlow Semi Condensed" w:hAnsi="Barlow Semi Condensed"/>
          <w:b/>
          <w:bCs/>
          <w:sz w:val="24"/>
          <w:szCs w:val="24"/>
        </w:rPr>
        <w:t xml:space="preserve">Secondo, il diverso rapporto Chiesa-Stato: il cardinale Cerejeira era amico personale di Salazar dai tempi di Coimbra, ma la Chiesa portoghese era meno organicamente fusa con il regime di quanto lo fosse quella spagnola nel nazionalcattolicesimo.</w:t>
      </w:r>
    </w:p>
    <w:p>
      <w:pPr>
        <w:spacing w:after="120" w:line="276"/>
        <w:jc w:val="both"/>
      </w:pPr>
      <w:r>
        <w:rPr>
          <w:rFonts w:ascii="Barlow Semi Condensed" w:cs="Barlow Semi Condensed" w:eastAsia="Barlow Semi Condensed" w:hAnsi="Barlow Semi Condensed"/>
          <w:b/>
          <w:bCs/>
          <w:sz w:val="24"/>
          <w:szCs w:val="24"/>
        </w:rPr>
        <w:t xml:space="preserve">Terzo, una situazione socio-economica non paragonabile a quella di una Spagna appena uscita dalla guerra civile.</w:t>
      </w:r>
    </w:p>
    <w:p>
      <w:pPr>
        <w:spacing w:after="120" w:line="276"/>
        <w:jc w:val="both"/>
      </w:pPr>
      <w:r>
        <w:rPr>
          <w:rFonts w:ascii="Barlow Semi Condensed" w:cs="Barlow Semi Condensed" w:eastAsia="Barlow Semi Condensed" w:hAnsi="Barlow Semi Condensed"/>
          <w:b/>
          <w:bCs/>
          <w:sz w:val="24"/>
          <w:szCs w:val="24"/>
        </w:rPr>
        <w:t xml:space="preserve">Quarto, una politica portoghese durante la Seconda guerra mondiale differente da quella spagnola.</w:t>
      </w:r>
    </w:p>
    <w:p>
      <w:pPr>
        <w:spacing w:after="120" w:line="276"/>
        <w:jc w:val="both"/>
      </w:pPr>
      <w:r>
        <w:rPr>
          <w:rFonts w:ascii="Barlow Semi Condensed" w:cs="Barlow Semi Condensed" w:eastAsia="Barlow Semi Condensed" w:hAnsi="Barlow Semi Condensed"/>
          <w:b/>
          <w:bCs/>
          <w:sz w:val="24"/>
          <w:szCs w:val="24"/>
        </w:rPr>
        <w:t xml:space="preserve">A questi va aggiunto un fattore ecclesiale che è, secondo me, il più decisivo, ed è documentato dall'agenzia della Conferenza episcopale portoghese sulla scorta della storiografia del Concilio. Il cardinale Cerejeira fu costantemente reticente verso i movimenti di origine straniera, con l'argomento che l'Azione Cattolica Portoghese supplisse alle necessità. Ne conseguì che Opus Dei, Legione di Maria, Casais de Nossa Senhora, Graal e il Movimento degli Industriali si impiantarono a partire da diocesi diverse da quella di Lisbona.</w:t>
      </w:r>
    </w:p>
    <w:p>
      <w:pPr>
        <w:spacing w:after="120" w:line="276"/>
        <w:jc w:val="both"/>
      </w:pPr>
      <w:r>
        <w:rPr>
          <w:rFonts w:ascii="Barlow Semi Condensed" w:cs="Barlow Semi Condensed" w:eastAsia="Barlow Semi Condensed" w:hAnsi="Barlow Semi Condensed"/>
          <w:b/>
          <w:bCs/>
          <w:sz w:val="24"/>
          <w:szCs w:val="24"/>
        </w:rPr>
        <w:t xml:space="preserve">Ne discende la risultanza del capitolo. La divergenza fra i due casi iberici non fu di strategia dell'ente ma di domanda sociale e di accoglienza ecclesiastica. In Spagna esisteva un ceto universitario cattolico da cui si potevano trarre quadri, e una Chiesa fusa con lo Stato; in Portogallo il patriarca della capitale sbarrava la porta ai movimenti stranieri e l'istituzione dovette entrare dalla periferia diocesana.</w:t>
      </w:r>
    </w:p>
    <w:p>
      <w:pPr>
        <w:spacing w:after="120" w:line="276"/>
        <w:jc w:val="both"/>
      </w:pPr>
      <w:r>
        <w:rPr>
          <w:rFonts w:ascii="Barlow Semi Condensed" w:cs="Barlow Semi Condensed" w:eastAsia="Barlow Semi Condensed" w:hAnsi="Barlow Semi Condensed"/>
          <w:b/>
          <w:bCs/>
          <w:sz w:val="24"/>
          <w:szCs w:val="24"/>
        </w:rPr>
        <w:t xml:space="preserve">Un elemento concordatario conferma il quadro per via indipendente. La dissertazione di dottorato di Bruno Cardoso Reis sulla Concordata del 1940, presso l'Università Nuova di Lisbona, rileva che Salazar impose i propri punti di vista, concludendo un accordo i cui benefici per la Chiesa restarono molto al di sotto dei vantaggi offerti in altri concordati, come quello italiano o quello spagnolo.</w:t>
      </w:r>
    </w:p>
    <w:p>
      <w:pPr>
        <w:spacing w:after="120" w:line="276"/>
        <w:jc w:val="both"/>
      </w:pPr>
      <w:r>
        <w:rPr>
          <w:rFonts w:ascii="Barlow Semi Condensed" w:cs="Barlow Semi Condensed" w:eastAsia="Barlow Semi Condensed" w:hAnsi="Barlow Semi Condensed"/>
          <w:b/>
          <w:bCs/>
          <w:sz w:val="24"/>
          <w:szCs w:val="24"/>
        </w:rPr>
        <w:t xml:space="preserve">È l'indice di una Chiesa portoghese meno premiata dallo Stato di quanto lo fosse quella spagnola — e una Chiesa meno premiata è anche una Chiesa meno utile come canale d'accesso al potere.</w:t>
      </w:r>
    </w:p>
    <w:p>
      <w:pPr>
        <w:pStyle w:val="Heading2"/>
        <w:spacing w:after="100" w:before="200"/>
      </w:pPr>
      <w:r>
        <w:rPr>
          <w:rFonts w:ascii="Barlow Semi Condensed" w:cs="Barlow Semi Condensed" w:eastAsia="Barlow Semi Condensed" w:hAnsi="Barlow Semi Condensed"/>
          <w:sz w:val="24"/>
          <w:szCs w:val="24"/>
        </w:rPr>
        <w:t xml:space="preserve">Capitolo quinto — L'Opus Dei e le guerre coloniali: Stato Zero dichiarato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 Diluirlo con generalità sarebbe metodologicamente scorretto, e lo si dichiara.</w:t>
      </w:r>
    </w:p>
    <w:p>
      <w:pPr>
        <w:spacing w:after="120" w:line="276"/>
        <w:jc w:val="both"/>
      </w:pPr>
      <w:r>
        <w:rPr>
          <w:rFonts w:ascii="Barlow Semi Condensed" w:cs="Barlow Semi Condensed" w:eastAsia="Barlow Semi Condensed" w:hAnsi="Barlow Semi Condensed"/>
          <w:b/>
          <w:bCs/>
          <w:sz w:val="24"/>
          <w:szCs w:val="24"/>
        </w:rPr>
        <w:t xml:space="preserve">Il quadro generale è documentato. La Concordata e l'Accordo missionario del 7 maggio 1940 conferivano alla Chiesa una utilità imperiale e un senso civilizzatore associati al nazionalismo portoghese, secondo João Marques de Almeida su \Lusitania Sacra\. Nel colonialismo tardo, fra il 1961 e il 1974, si aprì il conflitto fra paradigmi missionari nazionalisti e paradigmi della liberazione, culminato — come già acquisito nelle ricognizioni anteriori — nell'espulsione del vescovo di Nampula e dei comboniani dopo il documento \Imperativo di Coscienza\.</w:t>
      </w:r>
    </w:p>
    <w:p>
      <w:pPr>
        <w:spacing w:after="120" w:line="276"/>
        <w:jc w:val="both"/>
      </w:pPr>
      <w:r>
        <w:rPr>
          <w:rFonts w:ascii="Barlow Semi Condensed" w:cs="Barlow Semi Condensed" w:eastAsia="Barlow Semi Condensed" w:hAnsi="Barlow Semi Condensed"/>
          <w:b/>
          <w:bCs/>
          <w:sz w:val="24"/>
          <w:szCs w:val="24"/>
        </w:rPr>
        <w:t xml:space="preserve">Che cosa non è stato reperito.\\ Non è stato reperito \\alcun documento che attribuisca all'Opus Dei come istituzione una posizione specifica e distinta sulle guerre coloniali o sulla questione africana, né a favore né contro.</w:t>
      </w:r>
    </w:p>
    <w:p>
      <w:pPr>
        <w:spacing w:after="120" w:line="276"/>
        <w:jc w:val="both"/>
      </w:pPr>
      <w:r>
        <w:rPr>
          <w:rFonts w:ascii="Barlow Semi Condensed" w:cs="Barlow Semi Condensed" w:eastAsia="Barlow Semi Condensed" w:hAnsi="Barlow Semi Condensed"/>
          <w:b/>
          <w:bCs/>
          <w:sz w:val="24"/>
          <w:szCs w:val="24"/>
        </w:rPr>
        <w:t xml:space="preserve">Il volume collettivo di Freire Antunes contiene testimonianze individuali che intersecano l'Africa portoghese — una sezione sui mutilati della guerra d'Africa, il caso di un membro nella riconquista di una località angolana — ma si tratta di vicende personali di membri, che il metodo impone di non trasformare in condotta dell'ente.</w:t>
      </w:r>
    </w:p>
    <w:p>
      <w:pPr>
        <w:spacing w:after="120" w:line="276"/>
        <w:jc w:val="both"/>
      </w:pPr>
      <w:r>
        <w:rPr>
          <w:rFonts w:ascii="Barlow Semi Condensed" w:cs="Barlow Semi Condensed" w:eastAsia="Barlow Semi Condensed" w:hAnsi="Barlow Semi Condensed"/>
          <w:b/>
          <w:bCs/>
          <w:sz w:val="24"/>
          <w:szCs w:val="24"/>
        </w:rPr>
        <w:t xml:space="preserve">Si registra Stato Zero parziale. La sede per l'accertamento è l'Archivio Generale della Prelatura a Roma e i fondi diocesani portoghesi — Nampula, Beira, Tete, Patriarcato di Lisbona. Condizione di chiusura: reperimento di un documento istituzionale, non di una testimonianza individuale.</w:t>
      </w:r>
    </w:p>
    <w:p>
      <w:pPr>
        <w:spacing w:after="120" w:line="276"/>
        <w:jc w:val="both"/>
      </w:pPr>
      <w:r>
        <w:rPr>
          <w:rFonts w:ascii="Barlow Semi Condensed" w:cs="Barlow Semi Condensed" w:eastAsia="Barlow Semi Condensed" w:hAnsi="Barlow Semi Condensed"/>
          <w:b/>
          <w:bCs/>
          <w:sz w:val="24"/>
          <w:szCs w:val="24"/>
        </w:rPr>
        <w:t xml:space="preserve">Un'osservazione che vale la pena fare. L'assenza di una posizione istituzionale documentata su una guerra durata tredici anni, in un Paese dove l'istituzione era presente da venticinque, è essa stessa un dato — ma non se ne può inferire il silenzio, perché ciò che manca è la documentazione accessibile e non necessariamente l'atto.</w:t>
      </w:r>
    </w:p>
    <w:p>
      <w:pPr>
        <w:pStyle w:val="Heading2"/>
        <w:spacing w:after="100" w:before="200"/>
      </w:pPr>
      <w:r>
        <w:rPr>
          <w:rFonts w:ascii="Barlow Semi Condensed" w:cs="Barlow Semi Condensed" w:eastAsia="Barlow Semi Condensed" w:hAnsi="Barlow Semi Condensed"/>
          <w:sz w:val="24"/>
          <w:szCs w:val="24"/>
        </w:rPr>
        <w:t xml:space="preserve">Capitolo sesto — La transizione e il caso Amaro da Costa: appartenenza documentata, azione di partito</w:t>
      </w:r>
    </w:p>
    <w:p>
      <w:pPr>
        <w:spacing w:after="120" w:line="276"/>
        <w:jc w:val="both"/>
      </w:pPr>
      <w:r>
        <w:rPr>
          <w:rFonts w:ascii="Barlow Semi Condensed" w:cs="Barlow Semi Condensed" w:eastAsia="Barlow Semi Condensed" w:hAnsi="Barlow Semi Condensed"/>
          <w:b/>
          <w:bCs/>
          <w:sz w:val="24"/>
          <w:szCs w:val="24"/>
        </w:rPr>
        <w:t xml:space="preserve">Il 25 aprile 1974 la Rivoluzione dei garofani rovesciò l'Estado Novo, aprendo il processo rivoluzionario del 1974-1975. Il capitolo espone che cosa ne risulta per l'istituzione e per il solo suo membro che entrò nella politica portoghese.</w:t>
      </w:r>
    </w:p>
    <w:p>
      <w:pPr>
        <w:spacing w:after="120" w:line="276"/>
        <w:jc w:val="both"/>
      </w:pPr>
      <w:r>
        <w:rPr>
          <w:rFonts w:ascii="Barlow Semi Condensed" w:cs="Barlow Semi Condensed" w:eastAsia="Barlow Semi Condensed" w:hAnsi="Barlow Semi Condensed"/>
          <w:b/>
          <w:bCs/>
          <w:sz w:val="24"/>
          <w:szCs w:val="24"/>
        </w:rPr>
        <w:t xml:space="preserve">Sul biennio rivoluzionario. La fonte ufficiale dell'ente e la letteratura testimoniale — il volume collettivo diretto da Freire Antunes, che dedica una sezione specifica al 25 aprile 1974 — non documentano persecuzioni sistematiche, occupazioni di sedi o espulsioni di membri dell'Opus Dei in quanto tali durante il biennio; e nessun documento indipendente le attesta. Si registra come esito negativo.</w:t>
      </w:r>
    </w:p>
    <w:p>
      <w:pPr>
        <w:spacing w:after="120" w:line="276"/>
        <w:jc w:val="both"/>
      </w:pPr>
      <w:r>
        <w:rPr>
          <w:rFonts w:ascii="Barlow Semi Condensed" w:cs="Barlow Semi Condensed" w:eastAsia="Barlow Semi Condensed" w:hAnsi="Barlow Semi Condensed"/>
          <w:b/>
          <w:bCs/>
          <w:sz w:val="24"/>
          <w:szCs w:val="24"/>
        </w:rPr>
        <w:t xml:space="preserve">La figura in cui la traiettoria dell'istituzione tocca la politica portoghese. Adelino Amaro da Costa, cofondatore del Centro Democratico Sociale. Secondo il sito ufficiale del Parlamento portoghese, egli fu membro fondatore del partito nel 1974 e suo primo segretario generale fino al febbraio 1975; il partito fu fondato il 19 luglio 1974.</w:t>
      </w:r>
    </w:p>
    <w:p>
      <w:pPr>
        <w:spacing w:after="120" w:line="276"/>
        <w:jc w:val="both"/>
      </w:pPr>
      <w:r>
        <w:rPr>
          <w:rFonts w:ascii="Barlow Semi Condensed" w:cs="Barlow Semi Condensed" w:eastAsia="Barlow Semi Condensed" w:hAnsi="Barlow Semi Condensed"/>
          <w:b/>
          <w:bCs/>
          <w:sz w:val="24"/>
          <w:szCs w:val="24"/>
        </w:rPr>
        <w:t xml:space="preserve">L'appartenenza è documentata. Una fonte enciclopedica portoghese riferisce che nel 1979 egli si sposò, rompendo così i voti di castità fatti quando anni prima aveva aderito all'istituzione. La biografia di Célia Pedroso e Maria do Rosário Carneiro, \Adelino Amaro da Costa, Histórias de Uma Vida Interrompida\, Casa das Letras, 2010, raccoglie testimonianze che pongono l'importanza centrale dell'Opus Dei nella vita di Amaro da Costa fino al matrimonio del 1979, datando l'ingresso in residenza a dopo la laurea in ingegneria civile del 1966.</w:t>
      </w:r>
    </w:p>
    <w:p>
      <w:pPr>
        <w:spacing w:after="120" w:line="276"/>
        <w:jc w:val="both"/>
      </w:pPr>
      <w:r>
        <w:rPr>
          <w:rFonts w:ascii="Barlow Semi Condensed" w:cs="Barlow Semi Condensed" w:eastAsia="Barlow Semi Condensed" w:hAnsi="Barlow Semi Condensed"/>
          <w:b/>
          <w:bCs/>
          <w:sz w:val="24"/>
          <w:szCs w:val="24"/>
        </w:rPr>
        <w:t xml:space="preserve">E qui vale in modo assoluto la prescrizione che apre questo studio. L'appartenenza di Amaro da Costa all'Opus Dei non costituisce prova di una condotta politica dell'Opus Dei come istituzione. Egli agì come uomo politico del proprio partito, e le testimonianze raccolte descrivono un impegno personale, non una direttiva dell'ente.</w:t>
      </w:r>
    </w:p>
    <w:p>
      <w:pPr>
        <w:spacing w:after="120" w:line="276"/>
        <w:jc w:val="both"/>
      </w:pPr>
      <w:r>
        <w:rPr>
          <w:rFonts w:ascii="Barlow Semi Condensed" w:cs="Barlow Semi Condensed" w:eastAsia="Barlow Semi Condensed" w:hAnsi="Barlow Semi Condensed"/>
          <w:b/>
          <w:bCs/>
          <w:sz w:val="24"/>
          <w:szCs w:val="24"/>
        </w:rPr>
        <w:t xml:space="preserve">La traiettoria successiva, per completezza. Amaro da Costa contribuì alla stesura del programma del primo governo provvisorio su richiesta del ministro Veiga Simão, fu poi ministro della Difesa nel governo dell'Alleanza Democratica nel 1980, e morì nel disastro aereo di Camarate il 4 dicembre 1980 insieme al primo ministro Francisco Sá Carneiro.</w:t>
      </w:r>
    </w:p>
    <w:p>
      <w:pPr>
        <w:spacing w:after="120" w:line="276"/>
        <w:jc w:val="both"/>
      </w:pPr>
      <w:r>
        <w:rPr>
          <w:rFonts w:ascii="Barlow Semi Condensed" w:cs="Barlow Semi Condensed" w:eastAsia="Barlow Semi Condensed" w:hAnsi="Barlow Semi Condensed"/>
          <w:b/>
          <w:bCs/>
          <w:sz w:val="24"/>
          <w:szCs w:val="24"/>
        </w:rPr>
        <w:t xml:space="preserve">Si registra che la vicenda di Camarate è oggetto in Portogallo di una lunga controversia sulle cause del disastro, materia estranea al perimetro di questo studio e che non viene qui trattata.</w:t>
      </w:r>
    </w:p>
    <w:p>
      <w:pPr>
        <w:spacing w:after="120" w:line="276"/>
        <w:jc w:val="both"/>
      </w:pPr>
      <w:r>
        <w:rPr>
          <w:rFonts w:ascii="Barlow Semi Condensed" w:cs="Barlow Semi Condensed" w:eastAsia="Barlow Semi Condensed" w:hAnsi="Barlow Semi Condensed"/>
          <w:b/>
          <w:bCs/>
          <w:sz w:val="24"/>
          <w:szCs w:val="24"/>
        </w:rPr>
        <w:t xml:space="preserve">Il capitolo resta contenuto per insufficienza di documentazione sulle vicende collettive dell'ente nel periodo rivoluzionario, e non per scelta di brevità.</w:t>
      </w:r>
    </w:p>
    <w:p>
      <w:pPr>
        <w:pStyle w:val="Heading2"/>
        <w:spacing w:after="100" w:before="200"/>
      </w:pPr>
      <w:r>
        <w:rPr>
          <w:rFonts w:ascii="Barlow Semi Condensed" w:cs="Barlow Semi Condensed" w:eastAsia="Barlow Semi Condensed" w:hAnsi="Barlow Semi Condensed"/>
          <w:sz w:val="24"/>
          <w:szCs w:val="24"/>
        </w:rPr>
        <w:t xml:space="preserve">Capitolo settimo — Moro ministro e il Portogallo: cornice senza documenti</w:t>
      </w:r>
    </w:p>
    <w:p>
      <w:pPr>
        <w:spacing w:after="120" w:line="276"/>
        <w:jc w:val="both"/>
      </w:pPr>
      <w:r>
        <w:rPr>
          <w:rFonts w:ascii="Barlow Semi Condensed" w:cs="Barlow Semi Condensed" w:eastAsia="Barlow Semi Condensed" w:hAnsi="Barlow Semi Condensed"/>
          <w:b/>
          <w:bCs/>
          <w:sz w:val="24"/>
          <w:szCs w:val="24"/>
        </w:rPr>
        <w:t xml:space="preserve">Il capitolo registra quanto è accertato sulla collocazione di Moro e quanto non è stato reperito sul suo rapporto specifico col Portogallo.</w:t>
      </w:r>
    </w:p>
    <w:p>
      <w:pPr>
        <w:spacing w:after="120" w:line="276"/>
        <w:jc w:val="both"/>
      </w:pPr>
      <w:r>
        <w:rPr>
          <w:rFonts w:ascii="Barlow Semi Condensed" w:cs="Barlow Semi Condensed" w:eastAsia="Barlow Semi Condensed" w:hAnsi="Barlow Semi Condensed"/>
          <w:b/>
          <w:bCs/>
          <w:sz w:val="24"/>
          <w:szCs w:val="24"/>
        </w:rPr>
        <w:t xml:space="preserve">La collocazione. Moro fu ministro degli Affari Esteri dal 5 agosto 1969 al 26 giugno 1972 — governi Rumor terzo, Colombo primo, Andreotti primo — e di nuovo dal 7 luglio 1973 al 23 novembre 1974, nel quarto e quinto Rumor.</w:t>
      </w:r>
    </w:p>
    <w:p>
      <w:pPr>
        <w:spacing w:after="120" w:line="276"/>
        <w:jc w:val="both"/>
      </w:pPr>
      <w:r>
        <w:rPr>
          <w:rFonts w:ascii="Barlow Semi Condensed" w:cs="Barlow Semi Condensed" w:eastAsia="Barlow Semi Condensed" w:hAnsi="Barlow Semi Condensed"/>
          <w:b/>
          <w:bCs/>
          <w:sz w:val="24"/>
          <w:szCs w:val="24"/>
        </w:rPr>
        <w:t xml:space="preserve">La qualificazione storiografica. La storiografia lo definisce iniziatore della fase mediterranea delle relazioni internazionali italiane. La \Nuova Rivista Storica\ lo descrive come colui che, legando al quadro europeo la politica araba dell'Italia, tentò dal 1973 di conciliare filoarabismo energetico e costruzione europea; parallelamente fu protagonista della Conferenza per la sicurezza e la cooperazione in Europa.</w:t>
      </w:r>
    </w:p>
    <w:p>
      <w:pPr>
        <w:spacing w:after="120" w:line="276"/>
        <w:jc w:val="both"/>
      </w:pPr>
      <w:r>
        <w:rPr>
          <w:rFonts w:ascii="Barlow Semi Condensed" w:cs="Barlow Semi Condensed" w:eastAsia="Barlow Semi Condensed" w:hAnsi="Barlow Semi Condensed"/>
          <w:b/>
          <w:bCs/>
          <w:sz w:val="24"/>
          <w:szCs w:val="24"/>
        </w:rPr>
        <w:t xml:space="preserve">Che cosa non è stato reperito.\\ \\Nessun documento diplomatico specifico che colleghi Moro alla situazione portoghese anteriore alla rivoluzione, e nessuna iniziativa morotea riguardante il Portogallo di Caetano.</w:t>
      </w:r>
    </w:p>
    <w:p>
      <w:pPr>
        <w:spacing w:after="120" w:line="276"/>
        <w:jc w:val="both"/>
      </w:pPr>
      <w:r>
        <w:rPr>
          <w:rFonts w:ascii="Barlow Semi Condensed" w:cs="Barlow Semi Condensed" w:eastAsia="Barlow Semi Condensed" w:hAnsi="Barlow Semi Condensed"/>
          <w:b/>
          <w:bCs/>
          <w:sz w:val="24"/>
          <w:szCs w:val="24"/>
        </w:rPr>
        <w:t xml:space="preserve">Il contesto della reazione italiana alla rivoluzione, per quanto documentato. Essa fu soprattutto di parte, con forte coinvolgimento socialista e comunista — la letteratura specialistica documenta il dibattito della sinistra italiana sulla rivoluzione portoghese — mentre l'orientamento atlantico italiano si allineava alla preoccupazione dell'Alleanza.</w:t>
      </w:r>
    </w:p>
    <w:p>
      <w:pPr>
        <w:spacing w:after="120" w:line="276"/>
        <w:jc w:val="both"/>
      </w:pPr>
      <w:r>
        <w:rPr>
          <w:rFonts w:ascii="Barlow Semi Condensed" w:cs="Barlow Semi Condensed" w:eastAsia="Barlow Semi Condensed" w:hAnsi="Barlow Semi Condensed"/>
          <w:b/>
          <w:bCs/>
          <w:sz w:val="24"/>
          <w:szCs w:val="24"/>
        </w:rPr>
        <w:t xml:space="preserve">Un enunciato statunitense va riportato perché precisa la natura di quella preoccupazione, e proviene dalla serie dei \Foreign Relations of the United States\: il timore del segretario di Stato non era una presa di potere comunista, ma un regime neutralista di sinistra che restasse all'interno della NATO.</w:t>
      </w:r>
    </w:p>
    <w:p>
      <w:pPr>
        <w:spacing w:after="120" w:line="276"/>
        <w:jc w:val="both"/>
      </w:pPr>
      <w:r>
        <w:rPr>
          <w:rFonts w:ascii="Barlow Semi Condensed" w:cs="Barlow Semi Condensed" w:eastAsia="Barlow Semi Condensed" w:hAnsi="Barlow Semi Condensed"/>
          <w:b/>
          <w:bCs/>
          <w:sz w:val="24"/>
          <w:szCs w:val="24"/>
        </w:rPr>
        <w:t xml:space="preserve">La distinzione è di rilievo analitico. Ciò che allarmava Washington non era la perdita del Portogallo, ma la sua permanenza nell'Alleanza con un governo non allineato — che è precisamente la questione che Moro affrontava in Italia con la propria strategia verso il Partito Comunista.</w:t>
      </w:r>
    </w:p>
    <w:p>
      <w:pPr>
        <w:spacing w:after="120" w:line="276"/>
        <w:jc w:val="both"/>
      </w:pPr>
      <w:r>
        <w:rPr>
          <w:rFonts w:ascii="Barlow Semi Condensed" w:cs="Barlow Semi Condensed" w:eastAsia="Barlow Semi Condensed" w:hAnsi="Barlow Semi Condensed"/>
          <w:b/>
          <w:bCs/>
          <w:sz w:val="24"/>
          <w:szCs w:val="24"/>
        </w:rPr>
        <w:t xml:space="preserve">Si registra Stato Zero sul rapporto Moro-Portogallo. La sede è l'Archivio Storico Diplomatico del Ministero degli Affari Esteri italiano, serie Portogallo 1969-1974, presso cui la ricerca resta interamente da condurre, con particolare riguardo ai telespressi dell'ambasciata di Lisbona e agli appunti della Direzione generale affari politici.</w:t>
      </w:r>
    </w:p>
    <w:p>
      <w:pPr>
        <w:pStyle w:val="Heading2"/>
        <w:spacing w:after="100" w:before="200"/>
      </w:pPr>
      <w:r>
        <w:rPr>
          <w:rFonts w:ascii="Barlow Semi Condensed" w:cs="Barlow Semi Condensed" w:eastAsia="Barlow Semi Condensed" w:hAnsi="Barlow Semi Condensed"/>
          <w:sz w:val="24"/>
          <w:szCs w:val="24"/>
        </w:rPr>
        <w:t xml:space="preserve">Capitolo ottavo — Moro e l'Opus Dei: lo Stato Zero confermato, e perché la conferma vale</w:t>
      </w:r>
    </w:p>
    <w:p>
      <w:pPr>
        <w:spacing w:after="120" w:line="276"/>
        <w:jc w:val="both"/>
      </w:pPr>
      <w:r>
        <w:rPr>
          <w:rFonts w:ascii="Barlow Semi Condensed" w:cs="Barlow Semi Condensed" w:eastAsia="Barlow Semi Condensed" w:hAnsi="Barlow Semi Condensed"/>
          <w:b/>
          <w:bCs/>
          <w:sz w:val="24"/>
          <w:szCs w:val="24"/>
        </w:rPr>
        <w:t xml:space="preserve">Il capitolo conferma per la seconda volta un esito negativo, e la conferma ha valore proprio.</w:t>
      </w:r>
    </w:p>
    <w:p>
      <w:pPr>
        <w:spacing w:after="120" w:line="276"/>
        <w:jc w:val="both"/>
      </w:pPr>
      <w:r>
        <w:rPr>
          <w:rFonts w:ascii="Barlow Semi Condensed" w:cs="Barlow Semi Condensed" w:eastAsia="Barlow Semi Condensed" w:hAnsi="Barlow Semi Condensed"/>
          <w:b/>
          <w:bCs/>
          <w:sz w:val="24"/>
          <w:szCs w:val="24"/>
        </w:rPr>
        <w:t xml:space="preserve">La presenza dell'ente in Italia. L'Opus Dei è presente dal 1946, come attesta la fonte ufficiale, che documenta anche la mediazione del cardinale Giovanni Battista Montini, poi Paolo VI, nel riconoscimento pontificio del 1947 mediante il decreto \Primum inter\.</w:t>
      </w:r>
    </w:p>
    <w:p>
      <w:pPr>
        <w:spacing w:after="120" w:line="276"/>
        <w:jc w:val="both"/>
      </w:pPr>
      <w:r>
        <w:rPr>
          <w:rFonts w:ascii="Barlow Semi Condensed" w:cs="Barlow Semi Condensed" w:eastAsia="Barlow Semi Condensed" w:hAnsi="Barlow Semi Condensed"/>
          <w:b/>
          <w:bCs/>
          <w:sz w:val="24"/>
          <w:szCs w:val="24"/>
        </w:rPr>
        <w:t xml:space="preserve">L'esito.\\ \\Non è stato reperito alcun documento, atto, corrispondenza o testimonianza che colleghi Aldo Moro all'Opus Dei in qualunque veste.</w:t>
      </w:r>
    </w:p>
    <w:p>
      <w:pPr>
        <w:spacing w:after="120" w:line="276"/>
        <w:jc w:val="both"/>
      </w:pPr>
      <w:r>
        <w:rPr>
          <w:rFonts w:ascii="Barlow Semi Condensed" w:cs="Barlow Semi Condensed" w:eastAsia="Barlow Semi Condensed" w:hAnsi="Barlow Semi Condensed"/>
          <w:b/>
          <w:bCs/>
          <w:sz w:val="24"/>
          <w:szCs w:val="24"/>
        </w:rPr>
        <w:t xml:space="preserve">La ragione culturale, che spiega l'esito anziché limitarsi a registrarlo, e che è il contributo di questo capitolo. La biografia intellettuale di Moro lo colloca senza ambiguità in una tradizione determinata: la Federazione universitaria cattolica italiana, di cui fu presidente dal 1939 al 1943; il Movimento dei Laureati Cattolici; la rivista Studium; la componente dossettiana della sinistra democristiana.</w:t>
      </w:r>
    </w:p>
    <w:p>
      <w:pPr>
        <w:spacing w:after="120" w:line="276"/>
        <w:jc w:val="both"/>
      </w:pPr>
      <w:r>
        <w:rPr>
          <w:rFonts w:ascii="Barlow Semi Condensed" w:cs="Barlow Semi Condensed" w:eastAsia="Barlow Semi Condensed" w:hAnsi="Barlow Semi Condensed"/>
          <w:b/>
          <w:bCs/>
          <w:sz w:val="24"/>
          <w:szCs w:val="24"/>
        </w:rPr>
        <w:t xml:space="preserve">È un cattolicesimo democratico distante per cultura, per teologia politica e per collocazione dall'ambiente dell'Opus Dei. La letteratura recente — la biografia di Paolo Acanfora, il volume di Iannuzzi e Losacco \Aldo Moro. Le idee, il metodo, l'eredità\ — descrive un uomo non di appartenenza confessionale chiusa, ma un credente che considera la politica un servizio alla libertà.</w:t>
      </w:r>
    </w:p>
    <w:p>
      <w:pPr>
        <w:spacing w:after="120" w:line="276"/>
        <w:jc w:val="both"/>
      </w:pPr>
      <w:r>
        <w:rPr>
          <w:rFonts w:ascii="Barlow Semi Condensed" w:cs="Barlow Semi Condensed" w:eastAsia="Barlow Semi Condensed" w:hAnsi="Barlow Semi Condensed"/>
          <w:b/>
          <w:bCs/>
          <w:sz w:val="24"/>
          <w:szCs w:val="24"/>
        </w:rPr>
        <w:t xml:space="preserve">Ne discende che l'assenza di documenti non è una lacuna d'archivio da colmare a ogni costo, ma è coerente con la collocazione culturale del soggetto. Le due cose vanno tenute distinte: la coerenza rende l'assenza attesa; non la rende provata.</w:t>
      </w:r>
    </w:p>
    <w:p>
      <w:pPr>
        <w:spacing w:after="120" w:line="276"/>
        <w:jc w:val="both"/>
      </w:pPr>
      <w:r>
        <w:rPr>
          <w:rFonts w:ascii="Barlow Semi Condensed" w:cs="Barlow Semi Condensed" w:eastAsia="Barlow Semi Condensed" w:hAnsi="Barlow Semi Condensed"/>
          <w:b/>
          <w:bCs/>
          <w:sz w:val="24"/>
          <w:szCs w:val="24"/>
        </w:rPr>
        <w:t xml:space="preserve">Perché la conferma di un esito negativo ha valore proprio, e va detto. In materia tanto esposta alla pubblicistica congetturale, la smentita documentale è un'acquisizione. Chiunque, in futuro, proponga un nesso fra Moro e l'istituzione dovrà produrre un documento; e questo studio, con il precedente, gli indica esattamente dove cercarlo e con quale esito la ricerca è stata già condotta.</w:t>
      </w:r>
    </w:p>
    <w:p>
      <w:pPr>
        <w:spacing w:after="120" w:line="276"/>
        <w:jc w:val="both"/>
      </w:pPr>
      <w:r>
        <w:rPr>
          <w:rFonts w:ascii="Barlow Semi Condensed" w:cs="Barlow Semi Condensed" w:eastAsia="Barlow Semi Condensed" w:hAnsi="Barlow Semi Condensed"/>
          <w:b/>
          <w:bCs/>
          <w:sz w:val="24"/>
          <w:szCs w:val="24"/>
        </w:rPr>
        <w:t xml:space="preserve">Si registra Stato Zero confermato. La verifica ulteriore andrebbe condotta nell'Archivio Aldo Moro, inventariato fra Archivio storico del Senato e Archivio Centrale dello Stato, e nell'archivio della Fondazione Aldo Moro. Condizione di chiusura: spoglio integrale.</w:t>
      </w:r>
    </w:p>
    <w:p>
      <w:pPr>
        <w:pStyle w:val="Heading2"/>
        <w:spacing w:after="100" w:before="200"/>
      </w:pPr>
      <w:r>
        <w:rPr>
          <w:rFonts w:ascii="Barlow Semi Condensed" w:cs="Barlow Semi Condensed" w:eastAsia="Barlow Semi Condensed" w:hAnsi="Barlow Semi Condensed"/>
          <w:sz w:val="24"/>
          <w:szCs w:val="24"/>
        </w:rPr>
        <w:t xml:space="preserve">Capitolo nono — I documenti desecretati: un esito negativo di grande significato</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negativo più notevole di questa ricognizione, e va letto insieme al Capitolo quarto perché ne costituisce la conferma per via indipendente.</w:t>
      </w:r>
    </w:p>
    <w:p>
      <w:pPr>
        <w:spacing w:after="120" w:line="276"/>
        <w:jc w:val="both"/>
      </w:pPr>
      <w:r>
        <w:rPr>
          <w:rFonts w:ascii="Barlow Semi Condensed" w:cs="Barlow Semi Condensed" w:eastAsia="Barlow Semi Condensed" w:hAnsi="Barlow Semi Condensed"/>
          <w:b/>
          <w:bCs/>
          <w:sz w:val="24"/>
          <w:szCs w:val="24"/>
        </w:rPr>
        <w:t xml:space="preserve">Il termine di confronto spagnolo, accertato. Esiste, per la Spagna, il rapporto della Central Intelligence Agency del 22 maggio 1970, protocollo CIA-RDP85T00875R001500020027-1, originariamente SEGRETO, sul gabinetto franchista e sull'assegnazione del maggior numero di dicasteri a membri o associati dell'Opus Dei.</w:t>
      </w:r>
    </w:p>
    <w:p>
      <w:pPr>
        <w:spacing w:after="120" w:line="276"/>
        <w:jc w:val="both"/>
      </w:pPr>
      <w:r>
        <w:rPr>
          <w:rFonts w:ascii="Barlow Semi Condensed" w:cs="Barlow Semi Condensed" w:eastAsia="Barlow Semi Condensed" w:hAnsi="Barlow Semi Condensed"/>
          <w:b/>
          <w:bCs/>
          <w:sz w:val="24"/>
          <w:szCs w:val="24"/>
        </w:rPr>
        <w:t xml:space="preserve">L'esito portoghese.\\ \\Non esiste alcun documento analogo per il Portogallo.</w:t>
      </w:r>
    </w:p>
    <w:p>
      <w:pPr>
        <w:spacing w:after="120" w:line="276"/>
        <w:jc w:val="both"/>
      </w:pPr>
      <w:r>
        <w:rPr>
          <w:rFonts w:ascii="Barlow Semi Condensed" w:cs="Barlow Semi Condensed" w:eastAsia="Barlow Semi Condensed" w:hAnsi="Barlow Semi Condensed"/>
          <w:b/>
          <w:bCs/>
          <w:sz w:val="24"/>
          <w:szCs w:val="24"/>
        </w:rPr>
        <w:t xml:space="preserve">Che cosa è stato verificato, una voce per volta. Le carte della Central Intelligence Agency sull'Opus Dei reperite riguardano esclusivamente la Spagna, segnatamente una nota informativa intitolata \Opus Dei in Barcelona\, protocollo CIA-RDP82-00457R015000010003-5, della serie degli anni Quaranta e Cinquanta.</w:t>
      </w:r>
    </w:p>
    <w:p>
      <w:pPr>
        <w:spacing w:after="120" w:line="276"/>
        <w:jc w:val="both"/>
      </w:pPr>
      <w:r>
        <w:rPr>
          <w:rFonts w:ascii="Barlow Semi Condensed" w:cs="Barlow Semi Condensed" w:eastAsia="Barlow Semi Condensed" w:hAnsi="Barlow Semi Condensed"/>
          <w:b/>
          <w:bCs/>
          <w:sz w:val="24"/>
          <w:szCs w:val="24"/>
        </w:rPr>
        <w:t xml:space="preserve">I profili biografici statunitensi su Caetano — documenti C06790244 e C06790246, rilasciati il 12 luglio 2019 — e su Salazar — documento 06782148 del 1 settembre 1968 — pur dettagliati sul conservatore ragionevole Caetano, sui rimpasti del gennaio 1970 e sulla fede religiosa di Salazar, non menzionano in alcun punto l'Opus Dei.</w:t>
      </w:r>
    </w:p>
    <w:p>
      <w:pPr>
        <w:spacing w:after="120" w:line="276"/>
        <w:jc w:val="both"/>
      </w:pPr>
      <w:r>
        <w:rPr>
          <w:rFonts w:ascii="Barlow Semi Condensed" w:cs="Barlow Semi Condensed" w:eastAsia="Barlow Semi Condensed" w:hAnsi="Barlow Semi Condensed"/>
          <w:b/>
          <w:bCs/>
          <w:sz w:val="24"/>
          <w:szCs w:val="24"/>
        </w:rPr>
        <w:t xml:space="preserve">Nella serie dei \Foreign Relations of the United States\ per il periodo 1969-1976, volume E-15 parte seconda, la sezione portoghese — documenti da centoventitré a centosettantotto — non contiene alcun riferimento all'Opus Dei né a tecnocrati cattolici, concentrandosi su rivoluzione, minaccia comunista, adesione atlantica e aiuti occidentali.</w:t>
      </w:r>
    </w:p>
    <w:p>
      <w:pPr>
        <w:spacing w:after="120" w:line="276"/>
        <w:jc w:val="both"/>
      </w:pPr>
      <w:r>
        <w:rPr>
          <w:rFonts w:ascii="Barlow Semi Condensed" w:cs="Barlow Semi Condensed" w:eastAsia="Barlow Semi Condensed" w:hAnsi="Barlow Semi Condensed"/>
          <w:b/>
          <w:bCs/>
          <w:sz w:val="24"/>
          <w:szCs w:val="24"/>
        </w:rPr>
        <w:t xml:space="preserve">L'unico riferimento all'Opus Dei nell'intero ciclo della serie è nella sezione spagnola, volume quarantunesimo, documento trecentotré, in una nota redazionale sullo scandalo MATESA che ricorda l'incriminazione di due ex ministri membri dell'istituzione.</w:t>
      </w:r>
    </w:p>
    <w:p>
      <w:pPr>
        <w:spacing w:after="120" w:line="276"/>
        <w:jc w:val="both"/>
      </w:pPr>
      <w:r>
        <w:rPr>
          <w:rFonts w:ascii="Barlow Semi Condensed" w:cs="Barlow Semi Condensed" w:eastAsia="Barlow Semi Condensed" w:hAnsi="Barlow Semi Condensed"/>
          <w:b/>
          <w:bCs/>
          <w:sz w:val="24"/>
          <w:szCs w:val="24"/>
        </w:rPr>
        <w:t xml:space="preserve">Un elemento collaterale conferma il quadro. Il contenzioso promosso fra il 2009 e il 2011 da un ricercatore statunitense con un'organizzazione di tutela dei consumatori per ottenere le carte dell'agenzia sull'Opus Dei verteva anch'esso sulla Spagna franchista.</w:t>
      </w:r>
    </w:p>
    <w:p>
      <w:pPr>
        <w:spacing w:after="120" w:line="276"/>
        <w:jc w:val="both"/>
      </w:pPr>
      <w:r>
        <w:rPr>
          <w:rFonts w:ascii="Barlow Semi Condensed" w:cs="Barlow Semi Condensed" w:eastAsia="Barlow Semi Condensed" w:hAnsi="Barlow Semi Condensed"/>
          <w:b/>
          <w:bCs/>
          <w:sz w:val="24"/>
          <w:szCs w:val="24"/>
        </w:rPr>
        <w:t xml:space="preserve">La conclusione, distinguendo il documento dall'inferenza. L'intelligence statunitense tracciò l'Opus Dei nel contesto spagnolo e non in quello portoghese. E l'unica traccia documentale del nesso fra l'istituzione e il Portogallo resta nei fondi della polizia politica portoghese — cioè in intelligence domestica portoghese e non statunitense.</w:t>
      </w:r>
    </w:p>
    <w:p>
      <w:pPr>
        <w:spacing w:after="120" w:line="276"/>
        <w:jc w:val="both"/>
      </w:pPr>
      <w:r>
        <w:rPr>
          <w:rFonts w:ascii="Barlow Semi Condensed" w:cs="Barlow Semi Condensed" w:eastAsia="Barlow Semi Condensed" w:hAnsi="Barlow Semi Condensed"/>
          <w:b/>
          <w:bCs/>
          <w:sz w:val="24"/>
          <w:szCs w:val="24"/>
        </w:rPr>
        <w:t xml:space="preserve">Ne discende una risultanza che vale oltre l'oggetto. Due servizi diversi guardarono la medesima istituzione in due Paesi confinanti e la classificarono in modo opposto: gli americani come componente di un governo alleato in Spagna, i portoghesi come minaccia interna da sorvegliare. La differenza non è nell'istituzione: è nel rapporto fra essa e i due poteri.</w:t>
      </w:r>
    </w:p>
    <w:p>
      <w:pPr>
        <w:spacing w:after="120" w:line="276"/>
        <w:jc w:val="both"/>
      </w:pPr>
      <w:r>
        <w:rPr>
          <w:rFonts w:ascii="Barlow Semi Condensed" w:cs="Barlow Semi Condensed" w:eastAsia="Barlow Semi Condensed" w:hAnsi="Barlow Semi Condensed"/>
          <w:b/>
          <w:bCs/>
          <w:sz w:val="24"/>
          <w:szCs w:val="24"/>
        </w:rPr>
        <w:t xml:space="preserve">Il limite tecnico va dichiarato. L'interfaccia di ricerca interna del readingroom non è stata interrogabile direttamente. Non si può escludere l'esistenza di un cablogramma non indicizzato o pesantemente espurgato; nulla è emerso su oltre dieci interrogazioni mirate, e questo è il grado di certezza raggiunto.</w:t>
      </w:r>
    </w:p>
    <w:p>
      <w:pPr>
        <w:pStyle w:val="Heading2"/>
        <w:spacing w:after="100" w:before="200"/>
      </w:pPr>
      <w:r>
        <w:rPr>
          <w:rFonts w:ascii="Barlow Semi Condensed" w:cs="Barlow Semi Condensed" w:eastAsia="Barlow Semi Condensed" w:hAnsi="Barlow Semi Condensed"/>
          <w:sz w:val="24"/>
          <w:szCs w:val="24"/>
        </w:rPr>
        <w:t xml:space="preserve">Capitolo decimo — Gli archivi e la misura dell'inesplorato</w:t>
      </w:r>
    </w:p>
    <w:p>
      <w:pPr>
        <w:spacing w:after="120" w:line="276"/>
        <w:jc w:val="both"/>
      </w:pPr>
      <w:r>
        <w:rPr>
          <w:rFonts w:ascii="Barlow Semi Condensed" w:cs="Barlow Semi Condensed" w:eastAsia="Barlow Semi Condensed" w:hAnsi="Barlow Semi Condensed"/>
          <w:b/>
          <w:bCs/>
          <w:sz w:val="24"/>
          <w:szCs w:val="24"/>
        </w:rPr>
        <w:t xml:space="preserve">Il capitolo ha funzione di strumento e registra dove andare, a quali condizioni, e quanto resti da vedere.</w:t>
      </w:r>
    </w:p>
    <w:p>
      <w:pPr>
        <w:spacing w:after="120" w:line="276"/>
        <w:jc w:val="both"/>
      </w:pPr>
      <w:r>
        <w:rPr>
          <w:rFonts w:ascii="Barlow Semi Condensed" w:cs="Barlow Semi Condensed" w:eastAsia="Barlow Semi Condensed" w:hAnsi="Barlow Semi Condensed"/>
          <w:b/>
          <w:bCs/>
          <w:sz w:val="24"/>
          <w:szCs w:val="24"/>
        </w:rPr>
        <w:t xml:space="preserve">L'Arquivo Nacional da Torre do Tombo. Accesso libero a chi abbia più di sedici anni, diciotto per talune richieste telematiche; la documentazione della polizia politica è soggetta a regolamento proprio ma consultabile su richiesta al servizio di riferimento. I fondi rilevanti sono il fondo PIDE-DGS, l'Arquivo Oliveira Salazar e l'Arquivo Marcello Caetano.</w:t>
      </w:r>
    </w:p>
    <w:p>
      <w:pPr>
        <w:spacing w:after="120" w:line="276"/>
        <w:jc w:val="both"/>
      </w:pPr>
      <w:r>
        <w:rPr>
          <w:rFonts w:ascii="Barlow Semi Condensed" w:cs="Barlow Semi Condensed" w:eastAsia="Barlow Semi Condensed" w:hAnsi="Barlow Semi Condensed"/>
          <w:b/>
          <w:bCs/>
          <w:sz w:val="24"/>
          <w:szCs w:val="24"/>
        </w:rPr>
        <w:t xml:space="preserve">La misura dell'inesplorato, ed è il dato che più colpisce di questo capitolo. Il capo divisione dell'archivio, Paulo Tremoceiro, ha dichiarato in un servizio radiofonico del 23 aprile 2019 che, per la propria esperienza quotidiana, metà della documentazione esistente nei depositi è ancora da consultare — pur essendo già numerata dai tecnici.</w:t>
      </w:r>
    </w:p>
    <w:p>
      <w:pPr>
        <w:spacing w:after="120" w:line="276"/>
        <w:jc w:val="both"/>
      </w:pPr>
      <w:r>
        <w:rPr>
          <w:rFonts w:ascii="Barlow Semi Condensed" w:cs="Barlow Semi Condensed" w:eastAsia="Barlow Semi Condensed" w:hAnsi="Barlow Semi Condensed"/>
          <w:b/>
          <w:bCs/>
          <w:sz w:val="24"/>
          <w:szCs w:val="24"/>
        </w:rPr>
        <w:t xml:space="preserve">Ne discende che il potenziale di reperimento è tuttora aperto in misura considerevole, e che un esito negativo ottenuto per via telematica su questo fondo ha valore molto limitato: si è cercato in un catalogo, non nei depositi.</w:t>
      </w:r>
    </w:p>
    <w:p>
      <w:pPr>
        <w:spacing w:after="120" w:line="276"/>
        <w:jc w:val="both"/>
      </w:pPr>
      <w:r>
        <w:rPr>
          <w:rFonts w:ascii="Barlow Semi Condensed" w:cs="Barlow Semi Condensed" w:eastAsia="Barlow Semi Condensed" w:hAnsi="Barlow Semi Condensed"/>
          <w:b/>
          <w:bCs/>
          <w:sz w:val="24"/>
          <w:szCs w:val="24"/>
        </w:rPr>
        <w:t xml:space="preserve">L'Arquivo Histórico-Diplomático del ministero portoghese è accessibile e descritto attraverso l'Istituto Diplomatico, con serie sulle relazioni diplomatiche dal 1640.</w:t>
      </w:r>
    </w:p>
    <w:p>
      <w:pPr>
        <w:spacing w:after="120" w:line="276"/>
        <w:jc w:val="both"/>
      </w:pPr>
      <w:r>
        <w:rPr>
          <w:rFonts w:ascii="Barlow Semi Condensed" w:cs="Barlow Semi Condensed" w:eastAsia="Barlow Semi Condensed" w:hAnsi="Barlow Semi Condensed"/>
          <w:b/>
          <w:bCs/>
          <w:sz w:val="24"/>
          <w:szCs w:val="24"/>
        </w:rPr>
        <w:t xml:space="preserve">Gli archivi dell'istituzione — l'Archivio Generale della Prelatura a Roma e la Biblioteca dell'Università di Navarra — sono ad accesso ristretto e mediato dall'Istituto Storico intitolato al fondatore, il quale ha però promosso l'edizione critica e monografie fondate su diari e corrispondenza interni, fra cui l'opera di Onésimo Díaz \Expansión: El desarrollo del Opus Dei entre los años 1940 y 1945\, Madrid, Rialp, 2020, che è la fonte della cronologia dell'insediamento.</w:t>
      </w:r>
    </w:p>
    <w:p>
      <w:pPr>
        <w:spacing w:after="120" w:line="276"/>
        <w:jc w:val="both"/>
      </w:pPr>
      <w:r>
        <w:rPr>
          <w:rFonts w:ascii="Barlow Semi Condensed" w:cs="Barlow Semi Condensed" w:eastAsia="Barlow Semi Condensed" w:hAnsi="Barlow Semi Condensed"/>
          <w:b/>
          <w:bCs/>
          <w:sz w:val="24"/>
          <w:szCs w:val="24"/>
        </w:rPr>
        <w:t xml:space="preserve">L'Archivio Storico Diplomatico italiano conserva la serie Portogallo per il 1969-1974, non ancora spogliata ai fini di questa ricerca.</w:t>
      </w:r>
    </w:p>
    <w:p>
      <w:pPr>
        <w:spacing w:after="120" w:line="276"/>
        <w:jc w:val="both"/>
      </w:pPr>
      <w:r>
        <w:rPr>
          <w:rFonts w:ascii="Barlow Semi Condensed" w:cs="Barlow Semi Condensed" w:eastAsia="Barlow Semi Condensed" w:hAnsi="Barlow Semi Condensed"/>
          <w:b/>
          <w:bCs/>
          <w:sz w:val="24"/>
          <w:szCs w:val="24"/>
        </w:rPr>
        <w:t xml:space="preserve">Un'osservazione di metodo che le sei ricognizioni hanno consolidato. Il fondo della polizia politica portoghese si aprì in conseguenza della caduta del regime che lo teneva chiuso. Il progetto ha registrato altrove, come regolarità empirica, che nessun archivio di apparato di sicurezza si è mai aperto volontariamente. Il caso portoghese ne è l'esempio più netto, e il fatto che metà di esso sia ancora da leggere dopo cinquant'anni aggiunge un corollario: l'apertura di un archivio non equivale alla sua lettura.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ridotte a un solo nodo</w:t>
      </w:r>
    </w:p>
    <w:p>
      <w:pPr>
        <w:spacing w:after="120" w:line="276"/>
        <w:jc w:val="both"/>
      </w:pPr>
      <w:r>
        <w:rPr>
          <w:rFonts w:ascii="Barlow Semi Condensed" w:cs="Barlow Semi Condensed" w:eastAsia="Barlow Semi Condensed" w:hAnsi="Barlow Semi Condensed"/>
          <w:b/>
          <w:bCs/>
          <w:sz w:val="24"/>
          <w:szCs w:val="24"/>
        </w:rPr>
        <w:t xml:space="preserve">Il capitolo applica ai quattro assi la disciplina dei gradi, e ne registra l'esito che è di riduzione.</w:t>
      </w:r>
    </w:p>
    <w:p>
      <w:pPr>
        <w:spacing w:after="120" w:line="276"/>
        <w:jc w:val="both"/>
      </w:pPr>
      <w:r>
        <w:rPr>
          <w:rFonts w:ascii="Barlow Semi Condensed" w:cs="Barlow Semi Condensed" w:eastAsia="Barlow Semi Condensed" w:hAnsi="Barlow Semi Condensed"/>
          <w:b/>
          <w:bCs/>
          <w:sz w:val="24"/>
          <w:szCs w:val="24"/>
        </w:rPr>
        <w:t xml:space="preserve">Primo asse: Moro e l'Opus Dei. Nessun punto di contatto documentato. La triangolazione non esiste sul piano delle fonti, e la contemporaneità fra il ministero di Moro e la fase spagnola dei ministri dell'istituzione non stabilisce nulla.</w:t>
      </w:r>
    </w:p>
    <w:p>
      <w:pPr>
        <w:spacing w:after="120" w:line="276"/>
        <w:jc w:val="both"/>
      </w:pPr>
      <w:r>
        <w:rPr>
          <w:rFonts w:ascii="Barlow Semi Condensed" w:cs="Barlow Semi Condensed" w:eastAsia="Barlow Semi Condensed" w:hAnsi="Barlow Semi Condensed"/>
          <w:b/>
          <w:bCs/>
          <w:sz w:val="24"/>
          <w:szCs w:val="24"/>
        </w:rPr>
        <w:t xml:space="preserve">Secondo asse: Moro e il Portogallo.\\ Soltanto cornice diplomatica generale, senza documenti specifici reperiti. \\Ciò che non si stabilisce è qualunque iniziativa morotea mirata al Portogallo.</w:t>
      </w:r>
    </w:p>
    <w:p>
      <w:pPr>
        <w:spacing w:after="120" w:line="276"/>
        <w:jc w:val="both"/>
      </w:pPr>
      <w:r>
        <w:rPr>
          <w:rFonts w:ascii="Barlow Semi Condensed" w:cs="Barlow Semi Condensed" w:eastAsia="Barlow Semi Condensed" w:hAnsi="Barlow Semi Condensed"/>
          <w:b/>
          <w:bCs/>
          <w:sz w:val="24"/>
          <w:szCs w:val="24"/>
        </w:rPr>
        <w:t xml:space="preserve">Terzo asse: l'Opus Dei e il Portogallo. Contatto documentato con la gerarchia — rapporti dapprima tesi e poi ricomposti nel 1972 con il cardinale patriarca, e con il successore dal 1971 — e sorveglianza poliziesca documentata dai fondi archivistici. Ciò che tale documentazione non stabilisce è una condotta politica effettiva dell'ente, restando essa prova di sospetto e non di azione.</w:t>
      </w:r>
    </w:p>
    <w:p>
      <w:pPr>
        <w:spacing w:after="120" w:line="276"/>
        <w:jc w:val="both"/>
      </w:pPr>
      <w:r>
        <w:rPr>
          <w:rFonts w:ascii="Barlow Semi Condensed" w:cs="Barlow Semi Condensed" w:eastAsia="Barlow Semi Condensed" w:hAnsi="Barlow Semi Condensed"/>
          <w:b/>
          <w:bCs/>
          <w:sz w:val="24"/>
          <w:szCs w:val="24"/>
        </w:rPr>
        <w:t xml:space="preserve">Quarto asse: il confronto col caso spagnolo. Comunanza di ambiente istituzionale cattolico ma divergenza netta di esito politico. E qui va detta una cosa che vale come correzione di impostazione: una divergenza non è una triangolazione. Due esiti opposti nel medesimo ambiente non collegano i due casi: li distinguono.</w:t>
      </w:r>
    </w:p>
    <w:p>
      <w:pPr>
        <w:spacing w:after="120" w:line="276"/>
        <w:jc w:val="both"/>
      </w:pPr>
      <w:r>
        <w:rPr>
          <w:rFonts w:ascii="Barlow Semi Condensed" w:cs="Barlow Semi Condensed" w:eastAsia="Barlow Semi Condensed" w:hAnsi="Barlow Semi Condensed"/>
          <w:b/>
          <w:bCs/>
          <w:sz w:val="24"/>
          <w:szCs w:val="24"/>
        </w:rPr>
        <w:t xml:space="preserve">Il solo nodo comune reale è la mediazione della Santa Sede. Paolo VI mediò per il riconoscimento dell'istituzione nel 1947; e la Santa Sede fu interlocutrice tanto del Portogallo — Concordato e Accordo missionario del 7 maggio 1940, Protocollo addizionale del 15 febbraio 1975 firmato da Villot e Salgado Zenha, già acquisiti nelle ricognizioni anteriori — quanto dell'Italia concordataria.</w:t>
      </w:r>
    </w:p>
    <w:p>
      <w:pPr>
        <w:spacing w:after="120" w:line="276"/>
        <w:jc w:val="both"/>
      </w:pPr>
      <w:r>
        <w:rPr>
          <w:rFonts w:ascii="Barlow Semi Condensed" w:cs="Barlow Semi Condensed" w:eastAsia="Barlow Semi Condensed" w:hAnsi="Barlow Semi Condensed"/>
          <w:b/>
          <w:bCs/>
          <w:sz w:val="24"/>
          <w:szCs w:val="24"/>
        </w:rPr>
        <w:t xml:space="preserve">Ma anche questo nodo va qualificato per quello che è: comunanza di interlocutore, non convergenza di obiettivo documentata fra Moro e l'Opus Dei. Che due soggetti si rivolgano al medesimo terzo non li mette in rapporto fra loro.</w:t>
      </w:r>
    </w:p>
    <w:p>
      <w:pPr>
        <w:spacing w:after="120" w:line="276"/>
        <w:jc w:val="both"/>
      </w:pPr>
      <w:r>
        <w:rPr>
          <w:rFonts w:ascii="Barlow Semi Condensed" w:cs="Barlow Semi Condensed" w:eastAsia="Barlow Semi Condensed" w:hAnsi="Barlow Semi Condensed"/>
          <w:b/>
          <w:bCs/>
          <w:sz w:val="24"/>
          <w:szCs w:val="24"/>
        </w:rPr>
        <w:t xml:space="preserve">La risultanza generale del capitolo. Nessuna delle triangolazioni esaminate stabilisce un nesso operativo fra l'azione diplomatica di Moro, la vicenda portoghese e l'Opus Dei. La contemporaneità cronologica, qui come nelle cinque ricognizioni anteriori, non prova alcun legame.</w:t>
      </w:r>
    </w:p>
    <w:p>
      <w:pPr>
        <w:spacing w:after="120" w:line="276"/>
        <w:jc w:val="both"/>
      </w:pPr>
      <w:r>
        <w:rPr>
          <w:rFonts w:ascii="Barlow Semi Condensed" w:cs="Barlow Semi Condensed" w:eastAsia="Barlow Semi Condensed" w:hAnsi="Barlow Semi Condensed"/>
          <w:b/>
          <w:bCs/>
          <w:sz w:val="24"/>
          <w:szCs w:val="24"/>
        </w:rPr>
        <w:t xml:space="preserve">E una constatazione sul metodo, che le sei ricognizioni consegnano insieme. Ogni volta che si è cercata una triangolazione a tre termini, essa si è ridotta a due — o a uno. Le triangolazioni vere sono rare, e la loro rarità è la ragione per cui vale la pena cercarle: se fossero frequenti, non discriminerebbero fra le ipotesi.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sei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con la soglia che modificherebbe la valutazione.</w:t>
      </w:r>
    </w:p>
    <w:p>
      <w:pPr>
        <w:spacing w:after="120" w:line="276"/>
        <w:jc w:val="both"/>
      </w:pPr>
      <w:r>
        <w:rPr>
          <w:rFonts w:ascii="Barlow Semi Condensed" w:cs="Barlow Semi Condensed" w:eastAsia="Barlow Semi Condensed" w:hAnsi="Barlow Semi Condensed"/>
          <w:b/>
          <w:bCs/>
          <w:sz w:val="24"/>
          <w:szCs w:val="24"/>
        </w:rPr>
        <w:t xml:space="preserve">Prima voce. Le carte diplomatiche italiane su Moro e il Portogallo: Archivio Storico Diplomatico della Farnesina, serie Portogallo 1969-1974, telespressi dell'ambasciata di Lisbona e appunti della Direzione generale affari politici. Soglia: il rinvenimento anche di un solo documento firmato o siglato da Moro sul Portogallo trasformerebbe lo Stato Zero del Capitolo settimo in accertamento.</w:t>
      </w:r>
    </w:p>
    <w:p>
      <w:pPr>
        <w:spacing w:after="120" w:line="276"/>
        <w:jc w:val="both"/>
      </w:pPr>
      <w:r>
        <w:rPr>
          <w:rFonts w:ascii="Barlow Semi Condensed" w:cs="Barlow Semi Condensed" w:eastAsia="Barlow Semi Condensed" w:hAnsi="Barlow Semi Condensed"/>
          <w:b/>
          <w:bCs/>
          <w:sz w:val="24"/>
          <w:szCs w:val="24"/>
        </w:rPr>
        <w:t xml:space="preserve">Seconda voce. I fascicoli originali della polizia politica sull'Opus Dei — la nota del 1961, i rapporti del settembre 1963 e del gennaio 1964 — presso la Torre do Tombo, per verificare autonomamente le citazioni della pubblicistica e distinguere il testo primario dalla parafrasi giornalistica. Soglia: la conferma verbatim della frase del rapporto del 1963 e dei nomi annotati. Condizione: richiesta al servizio di riferimento e vaglio del regolamento speciale.</w:t>
      </w:r>
    </w:p>
    <w:p>
      <w:pPr>
        <w:spacing w:after="120" w:line="276"/>
        <w:jc w:val="both"/>
      </w:pPr>
      <w:r>
        <w:rPr>
          <w:rFonts w:ascii="Barlow Semi Condensed" w:cs="Barlow Semi Condensed" w:eastAsia="Barlow Semi Condensed" w:hAnsi="Barlow Semi Condensed"/>
          <w:b/>
          <w:bCs/>
          <w:sz w:val="24"/>
          <w:szCs w:val="24"/>
        </w:rPr>
        <w:t xml:space="preserve">Terza voce. La posizione dell'ente come istituzione sulle guerre coloniali: Archivio Generale della Prelatura a Roma e fondi diocesani portoghesi. Soglia: reperimento di un documento istituzionale, non di una testimonianza individuale.</w:t>
      </w:r>
    </w:p>
    <w:p>
      <w:pPr>
        <w:spacing w:after="120" w:line="276"/>
        <w:jc w:val="both"/>
      </w:pPr>
      <w:r>
        <w:rPr>
          <w:rFonts w:ascii="Barlow Semi Condensed" w:cs="Barlow Semi Condensed" w:eastAsia="Barlow Semi Condensed" w:hAnsi="Barlow Semi Condensed"/>
          <w:b/>
          <w:bCs/>
          <w:sz w:val="24"/>
          <w:szCs w:val="24"/>
        </w:rPr>
        <w:t xml:space="preserve">Quarta voce. Lo spoglio integrale dell'Archivio Aldo Moro e della Fondazione, per la chiusura definitiva dello Stato Zero del Capitolo ottavo.</w:t>
      </w:r>
    </w:p>
    <w:p>
      <w:pPr>
        <w:spacing w:after="120" w:line="276"/>
        <w:jc w:val="both"/>
      </w:pPr>
      <w:r>
        <w:rPr>
          <w:rFonts w:ascii="Barlow Semi Condensed" w:cs="Barlow Semi Condensed" w:eastAsia="Barlow Semi Condensed" w:hAnsi="Barlow Semi Condensed"/>
          <w:b/>
          <w:bCs/>
          <w:sz w:val="24"/>
          <w:szCs w:val="24"/>
        </w:rPr>
        <w:t xml:space="preserve">Quinta voce. L'eventuale documento statunitense non indicizzato che menzioni Opus Dei e Portogallo: interrogazione diretta dell'indice interno del readingroom e richiesta di accesso mirata.</w:t>
      </w:r>
    </w:p>
    <w:p>
      <w:pPr>
        <w:pStyle w:val="Heading2"/>
        <w:spacing w:after="100" w:before="200"/>
      </w:pPr>
      <w:r>
        <w:rPr>
          <w:rFonts w:ascii="Barlow Semi Condensed" w:cs="Barlow Semi Condensed" w:eastAsia="Barlow Semi Condensed" w:hAnsi="Barlow Semi Condensed"/>
          <w:sz w:val="24"/>
          <w:szCs w:val="24"/>
        </w:rPr>
        <w:t xml:space="preserve">Nota sul bilancio delle sei ricognizioni, che chiude questo studio.</w:t>
      </w:r>
    </w:p>
    <w:p>
      <w:pPr>
        <w:spacing w:after="120" w:line="276"/>
        <w:jc w:val="both"/>
      </w:pPr>
      <w:r>
        <w:rPr>
          <w:rFonts w:ascii="Barlow Semi Condensed" w:cs="Barlow Semi Condensed" w:eastAsia="Barlow Semi Condensed" w:hAnsi="Barlow Semi Condensed"/>
          <w:b/>
          <w:bCs/>
          <w:sz w:val="24"/>
          <w:szCs w:val="24"/>
        </w:rPr>
        <w:t xml:space="preserve">Sei ricognizioni hanno percorso l'attività ministeriale di Moro verso quattro oggetti: la Spagna, la Santa Sede, l'Opus Dei nel contesto spagnolo, il Portogallo con la Santa Sede, il Portogallo con l'Opus Dei.</w:t>
      </w:r>
    </w:p>
    <w:p>
      <w:pPr>
        <w:spacing w:after="120" w:line="276"/>
        <w:jc w:val="both"/>
      </w:pPr>
      <w:r>
        <w:rPr>
          <w:rFonts w:ascii="Barlow Semi Condensed" w:cs="Barlow Semi Condensed" w:eastAsia="Barlow Semi Condensed" w:hAnsi="Barlow Semi Condensed"/>
          <w:b/>
          <w:bCs/>
          <w:sz w:val="24"/>
          <w:szCs w:val="24"/>
        </w:rPr>
        <w:t xml:space="preserve">L'esito costante è che il governo italiano non compare. Verso Madrid: nessuna iniziativa documentata. Verso Lisbona: nessun atto reperito, nemmeno sull'espulsione di nove propri cittadini. Verso l'Opus Dei: nessun contatto documentato, in nessuno dei due perimetri iberici.</w:t>
      </w:r>
    </w:p>
    <w:p>
      <w:pPr>
        <w:spacing w:after="120" w:line="276"/>
        <w:jc w:val="both"/>
      </w:pPr>
      <w:r>
        <w:rPr>
          <w:rFonts w:ascii="Barlow Semi Condensed" w:cs="Barlow Semi Condensed" w:eastAsia="Barlow Semi Condensed" w:hAnsi="Barlow Semi Condensed"/>
          <w:b/>
          <w:bCs/>
          <w:sz w:val="24"/>
          <w:szCs w:val="24"/>
        </w:rPr>
        <w:t xml:space="preserve">E ciò che compare, ogni volta, sono soggetti diversi dallo Stato. La società civile italiana di sinistra e gli enti locali, per la conferenza romana del 1970. Le congregazioni religiose, per la denuncia coloniale e per l'espulsione. La Santa Sede, per l'udienza pontificia e per gli atti concordatari. La polizia politica portoghese, per la sorveglianza dell'Opus Dei.</w:t>
      </w:r>
    </w:p>
    <w:p>
      <w:pPr>
        <w:spacing w:after="120" w:line="276"/>
        <w:jc w:val="both"/>
      </w:pPr>
      <w:r>
        <w:rPr>
          <w:rFonts w:ascii="Barlow Semi Condensed" w:cs="Barlow Semi Condensed" w:eastAsia="Barlow Semi Condensed" w:hAnsi="Barlow Semi Condensed"/>
          <w:b/>
          <w:bCs/>
          <w:sz w:val="24"/>
          <w:szCs w:val="24"/>
        </w:rPr>
        <w:t xml:space="preserve">Ne discende la constatazione conclusiva, che le sei ricognizioni hanno prodotto insieme e che nessuna di esse avrebbe prodotto da sola. Dove agiscono soggetti che tengono archivio e che pubblicano — congregazioni, riviste missionarie, apparati di polizia, cancellerie ecclesiastiche — resta traccia anche a mezzo secolo di distanza. Dove agiscono i governi, e i loro archivi non sono accessibili o non sono indicizzati,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 È la sola lezione che sei ricognizioni consegnano con certezza,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 · Aldo Moro Alla Farnesina, Il Portogallo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4.786 parole in 9 sezioni; la più ampia è §9 Altre sezioni, con 3.883.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VIII — Aldo Moro Alla Farnesina, La Turchia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../originali/santa-sede-turchia-attentato-giovanni-paolo-ii.md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23,5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Settima ricognizione: l'attentato del 13 maggio 1981</w:t>
      </w:r>
    </w:p>
    <w:p>
      <w:pPr>
        <w:pStyle w:val="Heading2"/>
        <w:spacing w:after="100" w:before="200"/>
      </w:pPr>
      <w:r>
        <w:rPr>
          <w:rFonts w:ascii="Barlow Semi Condensed" w:cs="Barlow Semi Condensed" w:eastAsia="Barlow Semi Condensed" w:hAnsi="Barlow Semi Condensed"/>
          <w:sz w:val="24"/>
          <w:szCs w:val="24"/>
        </w:rPr>
        <w:t xml:space="preserve">La pista bulgara non provata e la convergenza di due apparati</w:t>
      </w:r>
    </w:p>
    <w:p>
      <w:pPr>
        <w:pStyle w:val="Heading2"/>
        <w:spacing w:after="100" w:before="200"/>
      </w:pPr>
      <w:r>
        <w:rPr>
          <w:rFonts w:ascii="Barlow Semi Condensed" w:cs="Barlow Semi Condensed" w:eastAsia="Barlow Semi Condensed" w:hAnsi="Barlow Semi Condensed"/>
          <w:sz w:val="24"/>
          <w:szCs w:val="24"/>
        </w:rPr>
        <w:t xml:space="preserve">Dodici Capitoli — quattro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limite strutturale, enunciato per primo</w:t>
      </w:r>
    </w:p>
    <w:p>
      <w:pPr>
        <w:spacing w:after="120" w:line="276"/>
        <w:jc w:val="both"/>
      </w:pPr>
      <w:r>
        <w:rPr>
          <w:rFonts w:ascii="Barlow Semi Condensed" w:cs="Barlow Semi Condensed" w:eastAsia="Barlow Semi Condensed" w:hAnsi="Barlow Semi Condensed"/>
          <w:b/>
          <w:bCs/>
          <w:sz w:val="24"/>
          <w:szCs w:val="24"/>
        </w:rPr>
        <w:t xml:space="preserve">È la settima ricognizione sull'attività ministeriale di Aldo Moro e la seconda sul perimetro turco. La prima aveva incrociato la Turchia con l'Opus Dei e prodotto uno Stato Zero; la presente vi sostituisce il Vaticano e produce, per la prima volta nell'intera serie, un accertamento che conviene enunciare prima di ogni altra cosa perché governa i dodici capitoli e vale oltre il loro oggetto.</w:t>
      </w:r>
    </w:p>
    <w:p>
      <w:pPr>
        <w:spacing w:after="120" w:line="276"/>
        <w:jc w:val="both"/>
      </w:pPr>
      <w:r>
        <w:rPr>
          <w:rFonts w:ascii="Barlow Semi Condensed" w:cs="Barlow Semi Condensed" w:eastAsia="Barlow Semi Condensed" w:hAnsi="Barlow Semi Condensed"/>
          <w:b/>
          <w:bCs/>
          <w:sz w:val="24"/>
          <w:szCs w:val="24"/>
        </w:rPr>
        <w:t xml:space="preserve">L'Archivio Apostolico Vaticano è consultabile soltanto fino all'ottobre 1958, data della morte di Pio XII, il cui pontificato è stato aperto alla consultazione a partire dal marzo 2020. Ne consegue che i pontificati di Giovanni XXIII, Paolo VI e Giovanni Paolo II non sono aperti, e con essi l'intera documentazione vaticana relativa alle relazioni diplomatiche con la Turchia dal 1960, al dialogo cattolico-ortodosso posteriore al Concilio, alla partecipazione alla Conferenza per la sicurezza e la cooperazione in Europa, e all'attentato del 1981.</w:t>
      </w:r>
    </w:p>
    <w:p>
      <w:pPr>
        <w:spacing w:after="120" w:line="276"/>
        <w:jc w:val="both"/>
      </w:pPr>
      <w:r>
        <w:rPr>
          <w:rFonts w:ascii="Barlow Semi Condensed" w:cs="Barlow Semi Condensed" w:eastAsia="Barlow Semi Condensed" w:hAnsi="Barlow Semi Condensed"/>
          <w:b/>
          <w:bCs/>
          <w:sz w:val="24"/>
          <w:szCs w:val="24"/>
        </w:rPr>
        <w:t xml:space="preserve">Questo non è un esito della ricerca: è una condizione della ricerca. Non si tratta di documenti non reperiti, ma di documenti che per chiunque, oggi, sono inaccessibili. La differenza è di natura e non di grado, e va scritta perché nelle sei ricognizioni anteriori gli Stati Zero erano tutti riconducibili a limiti di strumento o di spoglio; qui il limite è istituzionale e insuperabile allo stato.</w:t>
      </w:r>
    </w:p>
    <w:p>
      <w:pPr>
        <w:spacing w:after="120" w:line="276"/>
        <w:jc w:val="both"/>
      </w:pPr>
      <w:r>
        <w:rPr>
          <w:rFonts w:ascii="Barlow Semi Condensed" w:cs="Barlow Semi Condensed" w:eastAsia="Barlow Semi Condensed" w:hAnsi="Barlow Semi Condensed"/>
          <w:b/>
          <w:bCs/>
          <w:sz w:val="24"/>
          <w:szCs w:val="24"/>
        </w:rPr>
        <w:t xml:space="preserve">Va aggiunto un dato che aggrava il quadro sul versante roncalliano. Anche la documentazione del quinquennio 1940-1945, relativa all'azione di Angelo Roncalli in Turchia durante la guerra, non risulta pienamente consultabile, come segnalato da Rinaldo Marmara, che ne ha avviato la catalogazione.</w:t>
      </w:r>
    </w:p>
    <w:p>
      <w:pPr>
        <w:spacing w:after="120" w:line="276"/>
        <w:jc w:val="both"/>
      </w:pPr>
      <w:r>
        <w:rPr>
          <w:rFonts w:ascii="Barlow Semi Condensed" w:cs="Barlow Semi Condensed" w:eastAsia="Barlow Semi Condensed" w:hAnsi="Barlow Semi Condensed"/>
          <w:b/>
          <w:bCs/>
          <w:sz w:val="24"/>
          <w:szCs w:val="24"/>
        </w:rPr>
        <w:t xml:space="preserve">L'oggetto prioritario di questa ricognizione è l'attentato del 13 maggio 1981 a Giovanni Paolo II, in quanto nodo che collega la Turchia al Vaticano in modo più diretto e documentato di ogni altro elemento della serie. Esso cade fuori dal mandato ministeriale di Moro, morto nel 1978; ma appartiene di pieno diritto al perimetro del progetto, che dispone già di materiale proprio su questa materia.</w:t>
      </w:r>
    </w:p>
    <w:p>
      <w:pPr>
        <w:spacing w:after="120" w:line="276"/>
        <w:jc w:val="both"/>
      </w:pPr>
      <w:r>
        <w:rPr>
          <w:rFonts w:ascii="Barlow Semi Condensed" w:cs="Barlow Semi Condensed" w:eastAsia="Barlow Semi Condensed" w:hAnsi="Barlow Semi Condensed"/>
          <w:b/>
          <w:bCs/>
          <w:sz w:val="24"/>
          <w:szCs w:val="24"/>
        </w:rPr>
        <w:t xml:space="preserve">Sulla disciplina, che in questo capitolo è più stringente che in ogni altro dei sette studi. La cosiddetta pista bulgara non fu giudizialmente provata, e viene qualificata come tale ogni volta che sia menzionata. Le dichiarazioni successive di Mehmet Ali Ağca — vivente — ripetutamente contraddittorie e ritrattate, sono trattate come fatti pubblici, cioè come circostanza che egli le abbia rese, e non come fonti sul merito. L'appartenenza di una persona a un'organizzazione non è prova di una condotta dell'organizzazione, e ciò vale in modo assoluto per i Lupi Grigi e per i servizi di sicurezza di ogni Paese menzionato.</w:t>
      </w:r>
    </w:p>
    <w:p>
      <w:pPr>
        <w:spacing w:after="120" w:line="276"/>
        <w:jc w:val="both"/>
      </w:pPr>
      <w:r>
        <w:rPr>
          <w:rFonts w:ascii="Barlow Semi Condensed" w:cs="Barlow Semi Condensed" w:eastAsia="Barlow Semi Condensed" w:hAnsi="Barlow Semi Condensed"/>
          <w:b/>
          <w:bCs/>
          <w:sz w:val="24"/>
          <w:szCs w:val="24"/>
        </w:rPr>
        <w:t xml:space="preserve">Sulla misura. Come nelle sei ricognizioni anteriori si adotta la proporzionalità. I capitoli terzo, quarto e quinto sono i più fitti perché la materia giudiziaria e desecretata è abbondante; il secondo e il decimo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Moro, la Turchia e la questione confessionale: Stato Zero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 Diluirlo con generalità sarebbe scorretto, e lo si dichiara.</w:t>
      </w:r>
    </w:p>
    <w:p>
      <w:pPr>
        <w:spacing w:after="120" w:line="276"/>
        <w:jc w:val="both"/>
      </w:pPr>
      <w:r>
        <w:rPr>
          <w:rFonts w:ascii="Barlow Semi Condensed" w:cs="Barlow Semi Condensed" w:eastAsia="Barlow Semi Condensed" w:hAnsi="Barlow Semi Condensed"/>
          <w:b/>
          <w:bCs/>
          <w:sz w:val="24"/>
          <w:szCs w:val="24"/>
        </w:rPr>
        <w:t xml:space="preserve">Che cosa è accertato sulla collocazione. Moro tenne la Farnesina dal 5 agosto 1969 al 26 giugno 1972 e dal 7 luglio 1973 al 23 novembre 1974. La collocazione della Turchia nella sua politica estera è, secondo la storiografia, comunitaria e mediterranea e non confessionale: il capitolo di riferimento di Federico Imperato nel volume curato con Rosario Milano e Luciano Monzali, \Fra diplomazia e petrolio\, Cacucci, Bari 2018, è intitolato \Un aspetto della politica mediterranea dell'Italia: le relazioni con la Turchia, 1946-1974\, alle pagine 119-154, e colloca il rapporto italo-turco nella proiezione mediterranea dell'Italia repubblicana.</w:t>
      </w:r>
    </w:p>
    <w:p>
      <w:pPr>
        <w:spacing w:after="120" w:line="276"/>
        <w:jc w:val="both"/>
      </w:pPr>
      <w:r>
        <w:rPr>
          <w:rFonts w:ascii="Barlow Semi Condensed" w:cs="Barlow Semi Condensed" w:eastAsia="Barlow Semi Condensed" w:hAnsi="Barlow Semi Condensed"/>
          <w:b/>
          <w:bCs/>
          <w:sz w:val="24"/>
          <w:szCs w:val="24"/>
        </w:rPr>
        <w:t xml:space="preserve">Il dato istituzionale più solido, già acquisito nella ricognizione anteriore, resta la firma di Moro a nome del Consiglio delle Comunità europee dell'Accordo provvisorio CEE-Turchia del 27 luglio 1971, attestata dal preambolo del Regolamento CEE 1842/71 che lo nomina insieme a Franco Maria Malfatti presidente della Commissione, con Osman Olcay per la Turchia.</w:t>
      </w:r>
    </w:p>
    <w:p>
      <w:pPr>
        <w:spacing w:after="120" w:line="276"/>
        <w:jc w:val="both"/>
      </w:pPr>
      <w:r>
        <w:rPr>
          <w:rFonts w:ascii="Barlow Semi Condensed" w:cs="Barlow Semi Condensed" w:eastAsia="Barlow Semi Condensed" w:hAnsi="Barlow Semi Condensed"/>
          <w:b/>
          <w:bCs/>
          <w:sz w:val="24"/>
          <w:szCs w:val="24"/>
        </w:rPr>
        <w:t xml:space="preserve">Che cosa la ricerca non ha trovato, ed è il punto del capitolo. Nessuna presa di posizione documentata di Moro, o della Farnesina sotto la sua guida, sulla condizione delle minoranze cristiane in Turchia, sulla chiusura della Scuola teologica di Halki del 1971, o sullo statuto del Patriarcato ecumenico. Nessuna traccia di contatti fra la Farnesina e la Segreteria di Stato su tali materie.</w:t>
      </w:r>
    </w:p>
    <w:p>
      <w:pPr>
        <w:spacing w:after="120" w:line="276"/>
        <w:jc w:val="both"/>
      </w:pPr>
      <w:r>
        <w:rPr>
          <w:rFonts w:ascii="Barlow Semi Condensed" w:cs="Barlow Semi Condensed" w:eastAsia="Barlow Semi Condensed" w:hAnsi="Barlow Semi Condensed"/>
          <w:b/>
          <w:bCs/>
          <w:sz w:val="24"/>
          <w:szCs w:val="24"/>
        </w:rPr>
        <w:t xml:space="preserve">La sede di accertamento è l'Archivio Storico Diplomatico del Ministero degli Affari Esteri, serie Turchia e serie Santa Sede 1969-1975, con l'avvertenza già accertata dell'esclusione temporanea dei Telegrammi 1942-1970 per lavori di ristrutturazione.</w:t>
      </w:r>
    </w:p>
    <w:p>
      <w:pPr>
        <w:spacing w:after="120" w:line="276"/>
        <w:jc w:val="both"/>
      </w:pPr>
      <w:r>
        <w:rPr>
          <w:rFonts w:ascii="Barlow Semi Condensed" w:cs="Barlow Semi Condensed" w:eastAsia="Barlow Semi Condensed" w:hAnsi="Barlow Semi Condensed"/>
          <w:b/>
          <w:bCs/>
          <w:sz w:val="24"/>
          <w:szCs w:val="24"/>
        </w:rPr>
        <w:t xml:space="preserve">Un elemento che rende l'assenza più notevole di quanto sarebbe altrove. La comunità italiana di Istanbul e Smirne è qualificata dalle fonti diplomatiche e culturali italiane come la più antica collettività italiana all'estero, discendente dai coloni genovesi e veneziani e radicata nel Mediterraneo orientale dai tempi delle Crociate; e le parrocchie latine di Istanbul — proprio quelle escluse dalle tutele del Trattato di Losanna, come si vedrà al Capitolo nono — ne costituivano il riferimento religioso naturale.</w:t>
      </w:r>
    </w:p>
    <w:p>
      <w:pPr>
        <w:spacing w:after="120" w:line="276"/>
        <w:jc w:val="both"/>
      </w:pPr>
      <w:r>
        <w:rPr>
          <w:rFonts w:ascii="Barlow Semi Condensed" w:cs="Barlow Semi Condensed" w:eastAsia="Barlow Semi Condensed" w:hAnsi="Barlow Semi Condensed"/>
          <w:b/>
          <w:bCs/>
          <w:sz w:val="24"/>
          <w:szCs w:val="24"/>
        </w:rPr>
        <w:t xml:space="preserve">Ne discende che l'Italia aveva, in Turchia, un interesse consolare e comunitario che si sovrapponeva esattamente al perimetro delle minoranze cattoliche escluse dalla tutela. Che di tale sovrapposizione non risulti azione documentata è un dato; ma non ne si può inferire l'inazione, perché la documentazione italiana per quel periodo non è stata spogliata e la serie telegrafica è esclusa dalla consultazione.</w:t>
      </w:r>
    </w:p>
    <w:p>
      <w:pPr>
        <w:pStyle w:val="Heading2"/>
        <w:spacing w:after="100" w:before="200"/>
      </w:pPr>
      <w:r>
        <w:rPr>
          <w:rFonts w:ascii="Barlow Semi Condensed" w:cs="Barlow Semi Condensed" w:eastAsia="Barlow Semi Condensed" w:hAnsi="Barlow Semi Condensed"/>
          <w:sz w:val="24"/>
          <w:szCs w:val="24"/>
        </w:rPr>
        <w:t xml:space="preserve">Capitolo terzo — La traiettoria turca di Mehmet Ali Ağca, per date</w:t>
      </w:r>
    </w:p>
    <w:p>
      <w:pPr>
        <w:spacing w:after="120" w:line="276"/>
        <w:jc w:val="both"/>
      </w:pPr>
      <w:r>
        <w:rPr>
          <w:rFonts w:ascii="Barlow Semi Condensed" w:cs="Barlow Semi Condensed" w:eastAsia="Barlow Semi Condensed" w:hAnsi="Barlow Semi Condensed"/>
          <w:b/>
          <w:bCs/>
          <w:sz w:val="24"/>
          <w:szCs w:val="24"/>
        </w:rPr>
        <w:t xml:space="preserve">Il capitolo espone i fatti accertati della traiettoria dell'attentatore, distinguendoli con la massima cura da quanto è congetturale.</w:t>
      </w:r>
    </w:p>
    <w:p>
      <w:pPr>
        <w:spacing w:after="120" w:line="276"/>
        <w:jc w:val="both"/>
      </w:pPr>
      <w:r>
        <w:rPr>
          <w:rFonts w:ascii="Barlow Semi Condensed" w:cs="Barlow Semi Condensed" w:eastAsia="Barlow Semi Condensed" w:hAnsi="Barlow Semi Condensed"/>
          <w:b/>
          <w:bCs/>
          <w:sz w:val="24"/>
          <w:szCs w:val="24"/>
        </w:rPr>
        <w:t xml:space="preserve">Nascita e origine. Mehmet Ali Ağca è nato il 9 gennaio 1958 a Malatya, in Anatolia; alcune fonti indicano il villaggio di Hekimhan nella medesima provincia. La divergenza si registra.</w:t>
      </w:r>
    </w:p>
    <w:p>
      <w:pPr>
        <w:spacing w:after="120" w:line="276"/>
        <w:jc w:val="both"/>
      </w:pPr>
      <w:r>
        <w:rPr>
          <w:rFonts w:ascii="Barlow Semi Condensed" w:cs="Barlow Semi Condensed" w:eastAsia="Barlow Semi Condensed" w:hAnsi="Barlow Semi Condensed"/>
          <w:b/>
          <w:bCs/>
          <w:sz w:val="24"/>
          <w:szCs w:val="24"/>
        </w:rPr>
        <w:t xml:space="preserve">1 febbraio 1979: l'omicidio İpekçi. Ağca partecipò all'omicidio di Abdi İpekçi, nato il 9 agosto 1929, direttore ed editorialista del quotidiano \Milliyet\, uno dei principali giornali turchi. İpekçi fu ucciso con colpi d'arma da fuoco nella propria automobile davanti alla sua abitazione a Istanbul. Le fonti indicano che l'azione fu compiuta insieme a Oral Çelik, coetaneo e amico d'infanzia di Ağca.</w:t>
      </w:r>
    </w:p>
    <w:p>
      <w:pPr>
        <w:spacing w:after="120" w:line="276"/>
        <w:jc w:val="both"/>
      </w:pPr>
      <w:r>
        <w:rPr>
          <w:rFonts w:ascii="Barlow Semi Condensed" w:cs="Barlow Semi Condensed" w:eastAsia="Barlow Semi Condensed" w:hAnsi="Barlow Semi Condensed"/>
          <w:b/>
          <w:bCs/>
          <w:sz w:val="24"/>
          <w:szCs w:val="24"/>
        </w:rPr>
        <w:t xml:space="preserve">Una divergenza sulla dinamica va riportata perché è significativa. Alcune ricostruzioni riferiscono la confessione di Ağca — di aver sparato quattro o cinque volte — mentre sul luogo del delitto furono rinvenuti tredici bossoli, circostanza che alimentò l'ipotesi della presenza di più esecutori. Questa resta un'inferenza e non un accertamento, e la si registra come tale.</w:t>
      </w:r>
    </w:p>
    <w:p>
      <w:pPr>
        <w:spacing w:after="120" w:line="276"/>
        <w:jc w:val="both"/>
      </w:pPr>
      <w:r>
        <w:rPr>
          <w:rFonts w:ascii="Barlow Semi Condensed" w:cs="Barlow Semi Condensed" w:eastAsia="Barlow Semi Condensed" w:hAnsi="Barlow Semi Condensed"/>
          <w:b/>
          <w:bCs/>
          <w:sz w:val="24"/>
          <w:szCs w:val="24"/>
        </w:rPr>
        <w:t xml:space="preserve">25 novembre 1979: l'evasione. Condannato per l'omicidio İpekçi, Ağca evase dal carcere militare di massima sicurezza di Kartal-Maltepe. Le fonti concordano sul carattere anomalo della fuga: egli sarebbe uscito indossando una divisa militare e passando dall'ingresso, circostanza che la stampa turca dell'epoca giudicò indicativa di complicità interne.</w:t>
      </w:r>
    </w:p>
    <w:p>
      <w:pPr>
        <w:spacing w:after="120" w:line="276"/>
        <w:jc w:val="both"/>
      </w:pPr>
      <w:r>
        <w:rPr>
          <w:rFonts w:ascii="Barlow Semi Condensed" w:cs="Barlow Semi Condensed" w:eastAsia="Barlow Semi Condensed" w:hAnsi="Barlow Semi Condensed"/>
          <w:b/>
          <w:bCs/>
          <w:sz w:val="24"/>
          <w:szCs w:val="24"/>
        </w:rPr>
        <w:t xml:space="preserve">La cautela è qui obbligata.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b/>
          <w:bCs/>
          <w:sz w:val="24"/>
          <w:szCs w:val="24"/>
        </w:rPr>
        <w:t xml:space="preserve">27 novembre 1979: la lettera minatoria. Due giorni dopo l'evasione, Ağca inviò a \Milliyet\ una lettera nella quale annunciava che avrebbe colpito il pontefice in occasione del viaggio in Turchia. Il testo, ampiamente citato, recita nella parte riportata: le Potenze dell'imperialismo occidentale temono che la Turchia possa costruire una coalizione politica, economica e militare in Medio Oriente con gli altri Paesi islamici fratelli, perciò mandano in Turchia, in quel momento delicato, papa Giovanni Paolo II, il Capo dei crociati; e che se la visita non fosse stata cancellata egli avrebbe certamente colpito il papa.</w:t>
      </w:r>
    </w:p>
    <w:p>
      <w:pPr>
        <w:spacing w:after="120" w:line="276"/>
        <w:jc w:val="both"/>
      </w:pPr>
      <w:r>
        <w:rPr>
          <w:rFonts w:ascii="Barlow Semi Condensed" w:cs="Barlow Semi Condensed" w:eastAsia="Barlow Semi Condensed" w:hAnsi="Barlow Semi Condensed"/>
          <w:b/>
          <w:bCs/>
          <w:sz w:val="24"/>
          <w:szCs w:val="24"/>
        </w:rPr>
        <w:t xml:space="preserve">Il rilievo cronologico va enunciato con precisione. La lettera precede l'attentato di quasi diciotto mesi e costituisce, sul piano documentale, il primo collegamento esplicito e datato fra Ağca e il progetto di colpire il pontefice.</w:t>
      </w:r>
    </w:p>
    <w:p>
      <w:pPr>
        <w:spacing w:after="120" w:line="276"/>
        <w:jc w:val="both"/>
      </w:pPr>
      <w:r>
        <w:rPr>
          <w:rFonts w:ascii="Barlow Semi Condensed" w:cs="Barlow Semi Condensed" w:eastAsia="Barlow Semi Condensed" w:hAnsi="Barlow Semi Condensed"/>
          <w:b/>
          <w:bCs/>
          <w:sz w:val="24"/>
          <w:szCs w:val="24"/>
        </w:rPr>
        <w:t xml:space="preserve">28-30 novembre 1979: il viaggio si svolge. Il viaggio di Giovanni Paolo II in Turchia ebbe luogo regolarmente e senza attentati, e ne si tratta al Capitolo settimo.</w:t>
      </w:r>
    </w:p>
    <w:p>
      <w:pPr>
        <w:spacing w:after="120" w:line="276"/>
        <w:jc w:val="both"/>
      </w:pPr>
      <w:r>
        <w:rPr>
          <w:rFonts w:ascii="Barlow Semi Condensed" w:cs="Barlow Semi Condensed" w:eastAsia="Barlow Semi Condensed" w:hAnsi="Barlow Semi Condensed"/>
          <w:b/>
          <w:bCs/>
          <w:sz w:val="24"/>
          <w:szCs w:val="24"/>
        </w:rPr>
        <w:t xml:space="preserve">13 maggio 1981: l'attentato. Nel pomeriggio, in piazza San Pietro, durante l'udienza generale, Ağca sparò contro Giovanni Paolo II. Il papa fu gravemente ferito, trasportato al policlinico Gemelli, sottoposto a interventi chirurgici e sopravvisse. Sul numero dei colpi e su alcuni dettagli materiali persistono divergenze nella pubblicistica che non incidono sull'accertamento del fatto principale.</w:t>
      </w:r>
    </w:p>
    <w:p>
      <w:pPr>
        <w:spacing w:after="120" w:line="276"/>
        <w:jc w:val="both"/>
      </w:pPr>
      <w:r>
        <w:rPr>
          <w:rFonts w:ascii="Barlow Semi Condensed" w:cs="Barlow Semi Condensed" w:eastAsia="Barlow Semi Condensed" w:hAnsi="Barlow Semi Condensed"/>
          <w:b/>
          <w:bCs/>
          <w:sz w:val="24"/>
          <w:szCs w:val="24"/>
        </w:rPr>
        <w:t xml:space="preserve">22 luglio 1981: la condanna. Il processo di primo grado si tenne con procedura rapida — alcune ricostruzioni indicano l'avvio del dibattimento all'8 luglio e la sentenza al 22 luglio, altre riassumono in tre giorni di processo — e si concluse con la condanna all'ergastolo. Ağca rinunciò all'appello.</w:t>
      </w:r>
    </w:p>
    <w:p>
      <w:pPr>
        <w:spacing w:after="120" w:line="276"/>
        <w:jc w:val="both"/>
      </w:pPr>
      <w:r>
        <w:rPr>
          <w:rFonts w:ascii="Barlow Semi Condensed" w:cs="Barlow Semi Condensed" w:eastAsia="Barlow Semi Condensed" w:hAnsi="Barlow Semi Condensed"/>
          <w:b/>
          <w:bCs/>
          <w:sz w:val="24"/>
          <w:szCs w:val="24"/>
        </w:rPr>
        <w:t xml:space="preserve">Un elemento va isolato con nettezza, e vale per l'intero studio. Le dichiarazioni successive di Ağca — sulla natura solitaria o concertata dell'azione, sui presunti mandanti, sulle piste bulgara e vaticana, fino alle affermazioni recenti collegate al caso Orlandi e alle sue autoproclamazioni messianiche — sono, per costante contraddittorietà e ritrattazione, prive di valore di accertamento. Questo studio le registra come fatti pubblici, cioè come circostanza che egli le abbia rese, e non come fonti sul merito.</w:t>
      </w:r>
    </w:p>
    <w:p>
      <w:pPr>
        <w:pStyle w:val="Heading2"/>
        <w:spacing w:after="100" w:before="200"/>
      </w:pPr>
      <w:r>
        <w:rPr>
          <w:rFonts w:ascii="Barlow Semi Condensed" w:cs="Barlow Semi Condensed" w:eastAsia="Barlow Semi Condensed" w:hAnsi="Barlow Semi Condensed"/>
          <w:sz w:val="24"/>
          <w:szCs w:val="24"/>
        </w:rPr>
        <w:t xml:space="preserve">Capitolo quarto — La pista bulgara: istruttoria, processo, assoluzioni</w:t>
      </w:r>
    </w:p>
    <w:p>
      <w:pPr>
        <w:spacing w:after="120" w:line="276"/>
        <w:jc w:val="both"/>
      </w:pPr>
      <w:r>
        <w:rPr>
          <w:rFonts w:ascii="Barlow Semi Condensed" w:cs="Barlow Semi Condensed" w:eastAsia="Barlow Semi Condensed" w:hAnsi="Barlow Semi Condensed"/>
          <w:b/>
          <w:bCs/>
          <w:sz w:val="24"/>
          <w:szCs w:val="24"/>
        </w:rPr>
        <w:t xml:space="preserve">È il capitolo di massima densità documentale e il più esposto all'errore. La qualificazione va posta in apertura e ripetuta in chiusura.</w:t>
      </w:r>
    </w:p>
    <w:p>
      <w:pPr>
        <w:spacing w:after="120" w:line="276"/>
        <w:jc w:val="both"/>
      </w:pPr>
      <w:r>
        <w:rPr>
          <w:rFonts w:ascii="Barlow Semi Condensed" w:cs="Barlow Semi Condensed" w:eastAsia="Barlow Semi Condensed" w:hAnsi="Barlow Semi Condensed"/>
          <w:b/>
          <w:bCs/>
          <w:sz w:val="24"/>
          <w:szCs w:val="24"/>
        </w:rPr>
        <w:t xml:space="preserve">Agosto 1982: l'origine pubblicistica della pista. Dopo la condanna di Ağca la Procura di Roma proseguì le indagini sugli eventuali mandanti, affidando il supplemento istruttorio al giudice istruttore Ilario Martella. Nell'agosto 1982 la giornalista statunitense Claire Sterling, sul \Reader's Digest\, sostenne che Ağca avesse agito su mandato dei servizi bulgari e sovietici. È in questa sede pubblicistica, e non in sede istruttoria, che la pista bulgara emerse per la prima volta, come registrano concordemente le ricostruzioni italiane.</w:t>
      </w:r>
    </w:p>
    <w:p>
      <w:pPr>
        <w:spacing w:after="120" w:line="276"/>
        <w:jc w:val="both"/>
      </w:pPr>
      <w:r>
        <w:rPr>
          <w:rFonts w:ascii="Barlow Semi Condensed" w:cs="Barlow Semi Condensed" w:eastAsia="Barlow Semi Condensed" w:hAnsi="Barlow Semi Condensed"/>
          <w:b/>
          <w:bCs/>
          <w:sz w:val="24"/>
          <w:szCs w:val="24"/>
        </w:rPr>
        <w:t xml:space="preserve">25 novembre 1982: l'arresto di Antonov. Fu arrestato a Roma Sergej Ivanov Antonov, indicato da Ağca come uno dei complici. Le fonti lo descrivono come rappresentante a Roma della compagnia aerea bulgara Balkan Airlines, funzionario della compagnia e non diplomatico, rimasto nella capitale dopo l'attentato fino all'arresto. Con lui furono coinvolti i bulgari Todor Ajvazov e Jelio Vassilev, e i cittadini turchi Musa Serdar Çelebi, Omar Bağci, Oral Çelik e Bekir Çelenk.</w:t>
      </w:r>
    </w:p>
    <w:p>
      <w:pPr>
        <w:spacing w:after="120" w:line="276"/>
        <w:jc w:val="both"/>
      </w:pPr>
      <w:r>
        <w:rPr>
          <w:rFonts w:ascii="Barlow Semi Condensed" w:cs="Barlow Semi Condensed" w:eastAsia="Barlow Semi Condensed" w:hAnsi="Barlow Semi Condensed"/>
          <w:b/>
          <w:bCs/>
          <w:sz w:val="24"/>
          <w:szCs w:val="24"/>
        </w:rPr>
        <w:t xml:space="preserve">28 maggio 1985 - 29 marzo 1986: il processo e la sentenza. Il dibattimento davanti alla Corte d'assise di Roma si aprì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w:t>
      </w:r>
    </w:p>
    <w:p>
      <w:pPr>
        <w:spacing w:after="120" w:line="276"/>
        <w:jc w:val="both"/>
      </w:pPr>
      <w:r>
        <w:rPr>
          <w:rFonts w:ascii="Barlow Semi Condensed" w:cs="Barlow Semi Condensed" w:eastAsia="Barlow Semi Condensed" w:hAnsi="Barlow Semi Condensed"/>
          <w:b/>
          <w:bCs/>
          <w:sz w:val="24"/>
          <w:szCs w:val="24"/>
        </w:rPr>
        <w:t xml:space="preserve">L'annotazione giuridica va riportata perché è decisiva e viene spesso omessa. Nell'ordinamento allora vigente l'assoluzione per insufficienza di prove era distinta dall'accertamento dell'innocenza: significava che il giudice non aveva raggiunto la certezza necessaria per condannare, non che avesse provato l'estraneità degli imputati.</w:t>
      </w:r>
    </w:p>
    <w:p>
      <w:pPr>
        <w:spacing w:after="120" w:line="276"/>
        <w:jc w:val="both"/>
      </w:pPr>
      <w:r>
        <w:rPr>
          <w:rFonts w:ascii="Barlow Semi Condensed" w:cs="Barlow Semi Condensed" w:eastAsia="Barlow Semi Condensed" w:hAnsi="Barlow Semi Condensed"/>
          <w:b/>
          <w:bCs/>
          <w:sz w:val="24"/>
          <w:szCs w:val="24"/>
        </w:rPr>
        <w:t xml:space="preserve">Ma questa distinzione non converte un'ipotesi non provata in un fatto, e va detto con nettezza.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b/>
          <w:bCs/>
          <w:sz w:val="24"/>
          <w:szCs w:val="24"/>
        </w:rPr>
        <w:t xml:space="preserve">La Commissione parlamentare Mitrokhin. Gli atti sono accessibili sul sito del Parlamento. La Commissione, presieduta dal senatore Paolo Guzzanti, produsse un documento conclusivo del presidente che non fu approvato per mancanza del numero legale il 15 marzo 2006, e una relazione conclusiva dei commissari di minoranza depositata il 23 marzo 2006, pubblicata come 'mitrokhindoc.377.pdf'.</w:t>
      </w:r>
    </w:p>
    <w:p>
      <w:pPr>
        <w:spacing w:after="120" w:line="276"/>
        <w:jc w:val="both"/>
      </w:pPr>
      <w:r>
        <w:rPr>
          <w:rFonts w:ascii="Barlow Semi Condensed" w:cs="Barlow Semi Condensed" w:eastAsia="Barlow Semi Condensed" w:hAnsi="Barlow Semi Condensed"/>
          <w:b/>
          <w:bCs/>
          <w:sz w:val="24"/>
          <w:szCs w:val="24"/>
        </w:rPr>
        <w:t xml:space="preserve">Quella relazione di minoranza contiene una valutazione che va riportata per intero perché è di parte e proprio per questo va qualificata: essa afferma che la maggioranza avrebbe insistito in modo pedissequo sulla pista bulgara, già percorsa dalla magistratura senza però pervenire ad alcun risultato stabile e certo, e definisce l'operato della Commissione uno dei momenti più bassi e umilianti della nostra storia istituzionale.</w:t>
      </w:r>
    </w:p>
    <w:p>
      <w:pPr>
        <w:spacing w:after="120" w:line="276"/>
        <w:jc w:val="both"/>
      </w:pPr>
      <w:r>
        <w:rPr>
          <w:rFonts w:ascii="Barlow Semi Condensed" w:cs="Barlow Semi Condensed" w:eastAsia="Barlow Semi Condensed" w:hAnsi="Barlow Semi Condensed"/>
          <w:b/>
          <w:bCs/>
          <w:sz w:val="24"/>
          <w:szCs w:val="24"/>
        </w:rPr>
        <w:t xml:space="preserve">Si tratta di una posizione di parte politica in sede parlamentare, e come tale la si registra: attesta il giudizio dei commissari di minoranza, non un accertamento della Commissione, che del resto non ne produsse alcuno approvato.</w:t>
      </w:r>
    </w:p>
    <w:p>
      <w:pPr>
        <w:pStyle w:val="Heading2"/>
        <w:spacing w:after="100" w:before="200"/>
      </w:pPr>
      <w:r>
        <w:rPr>
          <w:rFonts w:ascii="Barlow Semi Condensed" w:cs="Barlow Semi Condensed" w:eastAsia="Barlow Semi Condensed" w:hAnsi="Barlow Semi Condensed"/>
          <w:sz w:val="24"/>
          <w:szCs w:val="24"/>
        </w:rPr>
        <w:t xml:space="preserve">Capitolo quinto — I documenti desecretati statunitensi: la prudenza dell'intelligence</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più notevole di questa ricognizione, e la sua notevolezza sta nel convergere con le sentenze italiane anziché contraddirle.</w:t>
      </w:r>
    </w:p>
    <w:p>
      <w:pPr>
        <w:spacing w:after="120" w:line="276"/>
        <w:jc w:val="both"/>
      </w:pPr>
      <w:r>
        <w:rPr>
          <w:rFonts w:ascii="Barlow Semi Condensed" w:cs="Barlow Semi Condensed" w:eastAsia="Barlow Semi Condensed" w:hAnsi="Barlow Semi Condensed"/>
          <w:b/>
          <w:bCs/>
          <w:sz w:val="24"/>
          <w:szCs w:val="24"/>
        </w:rPr>
        <w:t xml:space="preserve">La fonte. La raccolta \Foreign Relations of the United States, 1981-1988\, volume decimo, edita dall'Office of the Historian del Dipartimento di Stato, riproduce tre documenti dell'intelligence statunitense sulla materia.</w:t>
      </w:r>
    </w:p>
    <w:p>
      <w:pPr>
        <w:spacing w:after="120" w:line="276"/>
        <w:jc w:val="both"/>
      </w:pPr>
      <w:r>
        <w:rPr>
          <w:rFonts w:ascii="Barlow Semi Condensed" w:cs="Barlow Semi Condensed" w:eastAsia="Barlow Semi Condensed" w:hAnsi="Barlow Semi Condensed"/>
          <w:b/>
          <w:bCs/>
          <w:sz w:val="24"/>
          <w:szCs w:val="24"/>
        </w:rPr>
        <w:t xml:space="preserve">Documento 370. Riproduce un memorandum del direttore della Central Intelligence Agency William J. Casey e l'allegata analisi dell'Agenzia intitolata \Bulgarian Complicity in the Papal Assassination Attempt\. L'introduzione afferma testualmente di non essere in grado, a quel punto, di sviluppare un quadro chiaro e conclusivo del coinvolgimento bulgaro con l'aspirante assassino del papa Mehmet Ali Ağca.</w:t>
      </w:r>
    </w:p>
    <w:p>
      <w:pPr>
        <w:spacing w:after="120" w:line="276"/>
        <w:jc w:val="both"/>
      </w:pPr>
      <w:r>
        <w:rPr>
          <w:rFonts w:ascii="Barlow Semi Condensed" w:cs="Barlow Semi Condensed" w:eastAsia="Barlow Semi Condensed" w:hAnsi="Barlow Semi Condensed"/>
          <w:b/>
          <w:bCs/>
          <w:sz w:val="24"/>
          <w:szCs w:val="24"/>
        </w:rPr>
        <w:t xml:space="preserve">Il medesimo documento riporta la valutazione dell'ambasciata statunitense a Sofia secondo cui sarebbe stato difficile credere a un coinvolgimento diretto dei servizi bulgari perché sarebbe stato così stupido, pur precisando che la considerazione non escludeva la possibilità di un coinvolgimento ufficiale.</w:t>
      </w:r>
    </w:p>
    <w:p>
      <w:pPr>
        <w:spacing w:after="120" w:line="276"/>
        <w:jc w:val="both"/>
      </w:pPr>
      <w:r>
        <w:rPr>
          <w:rFonts w:ascii="Barlow Semi Condensed" w:cs="Barlow Semi Condensed" w:eastAsia="Barlow Semi Condensed" w:hAnsi="Barlow Semi Condensed"/>
          <w:b/>
          <w:bCs/>
          <w:sz w:val="24"/>
          <w:szCs w:val="24"/>
        </w:rPr>
        <w:t xml:space="preserve">Documento 376. Un memorandum dell'Agenzia sulla valutazione della responsabilità per l'attentato contiene la conclusione secondo cui gran parte della tesi della Procura italiana che allega la complicità del blocco orientale appare dipendere unicamente dalla testimonianza di Ağca, e questi non è sempre stato veritiero o coerente nel periodo della detenzione. Il documento aggiunge che, anche qualora Ağca avesse avuto contatti con i bulgari accusati, questi avrebbero potuto riguardare stupefacenti o traffici d'armi piuttosto che una cospirazione per uccidere il pontefice. La lettera di accompagnamento redatta in ambito Consiglio per la sicurezza nazionale osservava che la CIA ha pochissime prove in un senso o nell'altro.</w:t>
      </w:r>
    </w:p>
    <w:p>
      <w:pPr>
        <w:spacing w:after="120" w:line="276"/>
        <w:jc w:val="both"/>
      </w:pPr>
      <w:r>
        <w:rPr>
          <w:rFonts w:ascii="Barlow Semi Condensed" w:cs="Barlow Semi Condensed" w:eastAsia="Barlow Semi Condensed" w:hAnsi="Barlow Semi Condensed"/>
          <w:b/>
          <w:bCs/>
          <w:sz w:val="24"/>
          <w:szCs w:val="24"/>
        </w:rPr>
        <w:t xml:space="preserve">Documento 377. Una \Intelligence Assessment\ del dicembre 1984 dell'Office of European Analysis dichiara espressamente di non affrontare la questione ultima della colpevolezza o innocenza della Bulgaria, e riconosce che il processo italiano avrebbe potuto condannare Antonov unicamente sulla base della testimonianza di Ağca.</w:t>
      </w:r>
    </w:p>
    <w:p>
      <w:pPr>
        <w:spacing w:after="120" w:line="276"/>
        <w:jc w:val="both"/>
      </w:pPr>
      <w:r>
        <w:rPr>
          <w:rFonts w:ascii="Barlow Semi Condensed" w:cs="Barlow Semi Condensed" w:eastAsia="Barlow Semi Condensed" w:hAnsi="Barlow Semi Condensed"/>
          <w:b/>
          <w:bCs/>
          <w:sz w:val="24"/>
          <w:szCs w:val="24"/>
        </w:rPr>
        <w:t xml:space="preserve">Ne discende la risultanza del capitolo, e va enunciata per quello che è. L'intelligence statunitense, che avrebbe avuto ogni interesse politico ad affermare la responsabilità sovietica, non la affermò come provata, e ne segnalò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b/>
          <w:bCs/>
          <w:sz w:val="24"/>
          <w:szCs w:val="24"/>
        </w:rPr>
        <w:t xml:space="preserve">Un elemento di contrasto interno va registrato per completezza. L'ex analista della CIA Melvin A. Goodman, già responsabile della divisione sugli affari sovietici, testimoniò davanti alla Commissione ristretta del Senato sull'intelligence sostenendo che l'Agenzia non disponeva di prove che collegassero il servizio sovietico o i bulgari al complotto, e che vi erano state pressioni interne per orientare i rapporti verso la tesi del complotto sovietico.</w:t>
      </w:r>
    </w:p>
    <w:p>
      <w:pPr>
        <w:spacing w:after="120" w:line="276"/>
        <w:jc w:val="both"/>
      </w:pPr>
      <w:r>
        <w:rPr>
          <w:rFonts w:ascii="Barlow Semi Condensed" w:cs="Barlow Semi Condensed" w:eastAsia="Barlow Semi Condensed" w:hAnsi="Barlow Semi Condensed"/>
          <w:b/>
          <w:bCs/>
          <w:sz w:val="24"/>
          <w:szCs w:val="24"/>
        </w:rPr>
        <w:t xml:space="preserve">Sulla data di quella testimonianza le fonti divergono e la divergenza va risolta a favore della fonte primaria. Alcune fonti secondarie indicano il 1990; il verbale ufficiale del Senato colloca la sessione sulla politicizzazione dell'analisi al 1 ottobre 1991, nel contesto delle audizioni di conferma di Robert Gates alla direzione dell'Agenzia. Si adotta la datazione del verbale.</w:t>
      </w:r>
    </w:p>
    <w:p>
      <w:pPr>
        <w:spacing w:after="120" w:line="276"/>
        <w:jc w:val="both"/>
      </w:pPr>
      <w:r>
        <w:rPr>
          <w:rFonts w:ascii="Barlow Semi Condensed" w:cs="Barlow Semi Condensed" w:eastAsia="Barlow Semi Condensed" w:hAnsi="Barlow Semi Condensed"/>
          <w:b/>
          <w:bCs/>
          <w:sz w:val="24"/>
          <w:szCs w:val="24"/>
        </w:rPr>
        <w:t xml:space="preserve">La qualificazione della testimonianza di Goodman. Essa non prova né smentisce alcunché sul merito dei mandanti: attesta lo stato delle conoscenze e delle tensioni interne all'intelligence statunitense, e come tale va letta.</w:t>
      </w:r>
    </w:p>
    <w:p>
      <w:pPr>
        <w:spacing w:after="120" w:line="276"/>
        <w:jc w:val="both"/>
      </w:pPr>
      <w:r>
        <w:rPr>
          <w:rFonts w:ascii="Barlow Semi Condensed" w:cs="Barlow Semi Condensed" w:eastAsia="Barlow Semi Condensed" w:hAnsi="Barlow Semi Condensed"/>
          <w:b/>
          <w:bCs/>
          <w:sz w:val="24"/>
          <w:szCs w:val="24"/>
        </w:rPr>
        <w:t xml:space="preserve">Le porzioni non desecretate. I documenti 370 e 376 contengono parti coperte. Non si può escludere che esse contengano elementi ulteriori, e la loro eventuale desecretazione è iscritta in tavola come la sola acquisizione che potrebbe mutare il quadro probatorio.</w:t>
      </w:r>
    </w:p>
    <w:p>
      <w:pPr>
        <w:pStyle w:val="Heading2"/>
        <w:spacing w:after="100" w:before="200"/>
      </w:pPr>
      <w:r>
        <w:rPr>
          <w:rFonts w:ascii="Barlow Semi Condensed" w:cs="Barlow Semi Condensed" w:eastAsia="Barlow Semi Condensed" w:hAnsi="Barlow Semi Condensed"/>
          <w:sz w:val="24"/>
          <w:szCs w:val="24"/>
        </w:rPr>
        <w:t xml:space="preserve">Capitolo sesto — I Lupi Grigi e il divieto di inferenza collettiva</w:t>
      </w:r>
    </w:p>
    <w:p>
      <w:pPr>
        <w:spacing w:after="120" w:line="276"/>
        <w:jc w:val="both"/>
      </w:pPr>
      <w:r>
        <w:rPr>
          <w:rFonts w:ascii="Barlow Semi Condensed" w:cs="Barlow Semi Condensed" w:eastAsia="Barlow Semi Condensed" w:hAnsi="Barlow Semi Condensed"/>
          <w:b/>
          <w:bCs/>
          <w:sz w:val="24"/>
          <w:szCs w:val="24"/>
        </w:rPr>
        <w:t xml:space="preserve">Il capitolo è breve perché il suo contenuto principale è una prescrizione di metodo, e la prescrizione va enunciata più che argomentata.</w:t>
      </w:r>
    </w:p>
    <w:p>
      <w:pPr>
        <w:spacing w:after="120" w:line="276"/>
        <w:jc w:val="both"/>
      </w:pPr>
      <w:r>
        <w:rPr>
          <w:rFonts w:ascii="Barlow Semi Condensed" w:cs="Barlow Semi Condensed" w:eastAsia="Barlow Semi Condensed" w:hAnsi="Barlow Semi Condensed"/>
          <w:b/>
          <w:bCs/>
          <w:sz w:val="24"/>
          <w:szCs w:val="24"/>
        </w:rPr>
        <w:t xml:space="preserve">Il quadro. I Lupi Grigi — \Bozkurtlar\, ufficialmente \Ülkücüler\, organizzati nei focolari \Ülkü Ocakları\ — sono un movimento del nazionalismo turco radicale di matrice panturchista, collegato al Milliyetçi Hareket Partisi fondato dal colonnello Alparslan Türkeş nel 1969, di cui costituivano la sezione giovanile e, secondo numerose ricostruzioni, l'ala paramilitare. Le fonti convergono nell'attribuire al movimento un'attività violenta rilevante nel decennio che precedette il colpo di Stato militare del generale Kenan Evren del settembre 1980, il quale mise al bando tanto i Lupi Grigi quanto il partito.</w:t>
      </w:r>
    </w:p>
    <w:p>
      <w:pPr>
        <w:spacing w:after="120" w:line="276"/>
        <w:jc w:val="both"/>
      </w:pPr>
      <w:r>
        <w:rPr>
          <w:rFonts w:ascii="Barlow Semi Condensed" w:cs="Barlow Semi Condensed" w:eastAsia="Barlow Semi Condensed" w:hAnsi="Barlow Semi Condensed"/>
          <w:b/>
          <w:bCs/>
          <w:sz w:val="24"/>
          <w:szCs w:val="24"/>
        </w:rPr>
        <w:t xml:space="preserve">Sulle attribuzioni ulteriori la cautela è massima. Si menzionano rapporti con ambienti dell'anticomunismo occidentale in funzione antisovietica e, dopo la messa al bando e la diaspora dei quadri in Germania, Francia e Austria, un coinvolgimento in traffici illeciti; lo storico tedesco Nikolaus Brauns è citato per la tesi dell'insediamento in Germania favorito da apparati locali in chiave anticomunista. Tutte queste attribuzioni sono documentate in modo disuguale e vanno prese come ipotesi, non come accertamenti.</w:t>
      </w:r>
    </w:p>
    <w:p>
      <w:pPr>
        <w:spacing w:after="120" w:line="276"/>
        <w:jc w:val="both"/>
      </w:pPr>
      <w:r>
        <w:rPr>
          <w:rFonts w:ascii="Barlow Semi Condensed" w:cs="Barlow Semi Condensed" w:eastAsia="Barlow Semi Condensed" w:hAnsi="Barlow Semi Condensed"/>
          <w:b/>
          <w:bCs/>
          <w:sz w:val="24"/>
          <w:szCs w:val="24"/>
        </w:rPr>
        <w:t xml:space="preserve">E qui la prescrizione, che è il contenuto del capitolo. L'appartenenza — o la contiguità — di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al movimento lo fa in prevalenza sul piano biografico e ambientale.</w:t>
      </w:r>
    </w:p>
    <w:p>
      <w:pPr>
        <w:spacing w:after="120" w:line="276"/>
        <w:jc w:val="both"/>
      </w:pPr>
      <w:r>
        <w:rPr>
          <w:rFonts w:ascii="Barlow Semi Condensed" w:cs="Barlow Semi Condensed" w:eastAsia="Barlow Semi Condensed" w:hAnsi="Barlow Semi Condensed"/>
          <w:b/>
          <w:bCs/>
          <w:sz w:val="24"/>
          <w:szCs w:val="24"/>
        </w:rPr>
        <w:t xml:space="preserve">Trattare la militanza individuale come prova di responsabilità collettiva sarebbe un salto logico che questo studio rifiuta espressamente, coerentemente con il vincolo secondo cui la comunanza di ambiente non equivale a convergenza di obiettivo documentata.</w:t>
      </w:r>
    </w:p>
    <w:p>
      <w:pPr>
        <w:spacing w:after="120" w:line="276"/>
        <w:jc w:val="both"/>
      </w:pPr>
      <w:r>
        <w:rPr>
          <w:rFonts w:ascii="Barlow Semi Condensed" w:cs="Barlow Semi Condensed" w:eastAsia="Barlow Semi Condensed" w:hAnsi="Barlow Semi Condensed"/>
          <w:b/>
          <w:bCs/>
          <w:sz w:val="24"/>
          <w:szCs w:val="24"/>
        </w:rPr>
        <w:t xml:space="preserve">La medesima prescrizione vale per Oral Çelik, indicato come complice nell'omicidio İpekçi e negli sviluppi successivi: che egli appartenga al medesimo ambiente non prova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b/>
          <w:bCs/>
          <w:sz w:val="24"/>
          <w:szCs w:val="24"/>
        </w:rPr>
        <w:t xml:space="preserve">Un'osservazione che vale oltre l'oggetto. In questa materia la tentazione dell'inferenza collettiva è forte perché l'ambiente è documentato e il mandante non lo è: dove manca il secondo, il primo tende a occuparne il posto. È esattamente il meccanismo che questo progetto ha imparato a riconoscere nella propria manutenzione metodologica, e il caso dei Lupi Grigi ne è un esempio di scuola.</w:t>
      </w:r>
    </w:p>
    <w:p>
      <w:pPr>
        <w:pStyle w:val="Heading2"/>
        <w:spacing w:after="100" w:before="200"/>
      </w:pPr>
      <w:r>
        <w:rPr>
          <w:rFonts w:ascii="Barlow Semi Condensed" w:cs="Barlow Semi Condensed" w:eastAsia="Barlow Semi Condensed" w:hAnsi="Barlow Semi Condensed"/>
          <w:sz w:val="24"/>
          <w:szCs w:val="24"/>
        </w:rPr>
        <w:t xml:space="preserve">Capitolo settimo — Il viaggio del novembre 1979 e l'avvio del dialogo teologico</w:t>
      </w:r>
    </w:p>
    <w:p>
      <w:pPr>
        <w:spacing w:after="120" w:line="276"/>
        <w:jc w:val="both"/>
      </w:pPr>
      <w:r>
        <w:rPr>
          <w:rFonts w:ascii="Barlow Semi Condensed" w:cs="Barlow Semi Condensed" w:eastAsia="Barlow Semi Condensed" w:hAnsi="Barlow Semi Condensed"/>
          <w:b/>
          <w:bCs/>
          <w:sz w:val="24"/>
          <w:szCs w:val="24"/>
        </w:rPr>
        <w:t xml:space="preserve">Il capitolo espone l'atto pontificio che precede l'attentato di diciotto mesi e che ne costituisce il contesto immediato.</w:t>
      </w:r>
    </w:p>
    <w:p>
      <w:pPr>
        <w:spacing w:after="120" w:line="276"/>
        <w:jc w:val="both"/>
      </w:pPr>
      <w:r>
        <w:rPr>
          <w:rFonts w:ascii="Barlow Semi Condensed" w:cs="Barlow Semi Condensed" w:eastAsia="Barlow Semi Condensed" w:hAnsi="Barlow Semi Condensed"/>
          <w:b/>
          <w:bCs/>
          <w:sz w:val="24"/>
          <w:szCs w:val="24"/>
        </w:rPr>
        <w:t xml:space="preserve">Le date. Il viaggio apostolico di Giovanni Paolo II in Turchia si svolse dal 28 al 30 novembre 1979. Nel discorso alla partenza del 28 novembre il pontefice dichiarò di recarsi in Turchia seguendo le orme del predecessore Paolo VI, che vi era andato alla fine di luglio del 1967, per continuare lo sforzo verso l'unità dei cristiani e per mostrare l'importanza che la Chiesa cattolica dà al rapporto con le Chiese ortodosse alla vigilia dell'inizio di un dialogo teologico.</w:t>
      </w:r>
    </w:p>
    <w:p>
      <w:pPr>
        <w:spacing w:after="120" w:line="276"/>
        <w:jc w:val="both"/>
      </w:pPr>
      <w:r>
        <w:rPr>
          <w:rFonts w:ascii="Barlow Semi Condensed" w:cs="Barlow Semi Condensed" w:eastAsia="Barlow Semi Condensed" w:hAnsi="Barlow Semi Condensed"/>
          <w:b/>
          <w:bCs/>
          <w:sz w:val="24"/>
          <w:szCs w:val="24"/>
        </w:rPr>
        <w:t xml:space="preserve">Il programma. Omaggio alle autorità della Repubblica ad Ankara, dove il papa si rivolse alla comunità cattolica ricordandone la condizione di piccola minoranza in quelle terre; celebrazione a Istanbul nella Cattedrale dello Spirito Santo il 29 novembre, con incontro anche del patriarca armeno Shnorhk Kalustian e della comunità armeno-cattolica.</w:t>
      </w:r>
    </w:p>
    <w:p>
      <w:pPr>
        <w:spacing w:after="120" w:line="276"/>
        <w:jc w:val="both"/>
      </w:pPr>
      <w:r>
        <w:rPr>
          <w:rFonts w:ascii="Barlow Semi Condensed" w:cs="Barlow Semi Condensed" w:eastAsia="Barlow Semi Condensed" w:hAnsi="Barlow Semi Condensed"/>
          <w:b/>
          <w:bCs/>
          <w:sz w:val="24"/>
          <w:szCs w:val="24"/>
        </w:rPr>
        <w:t xml:space="preserve">Il momento culminante. Il 29 e 30 novembre l'incontro con il patriarca ecumenico Dimitrios I al Fanar. Nel discorso del 29 novembre il papa salutò il patriarca e il Santo Sinodo; e come egli stesso avrebbe rievocato nell'omelia del 6 dicembre 1987, poté allora annunciare insieme che l'inizio del dialogo teologico fra la Chiesa cattolica e la Chiesa ortodossa era imminente, e rendere pubblici i nomi dei membri della Commissione mista.</w:t>
      </w:r>
    </w:p>
    <w:p>
      <w:pPr>
        <w:spacing w:after="120" w:line="276"/>
        <w:jc w:val="both"/>
      </w:pPr>
      <w:r>
        <w:rPr>
          <w:rFonts w:ascii="Barlow Semi Condensed" w:cs="Barlow Semi Condensed" w:eastAsia="Barlow Semi Condensed" w:hAnsi="Barlow Semi Condensed"/>
          <w:b/>
          <w:bCs/>
          <w:sz w:val="24"/>
          <w:szCs w:val="24"/>
        </w:rPr>
        <w:t xml:space="preserve">30 novembre 1979. In occasione della festa di Sant'Andrea fu proclamato l'avvio del dialogo teologico ufficiale cattolico-ortodosso.</w:t>
      </w:r>
    </w:p>
    <w:p>
      <w:pPr>
        <w:spacing w:after="120" w:line="276"/>
        <w:jc w:val="both"/>
      </w:pPr>
      <w:r>
        <w:rPr>
          <w:rFonts w:ascii="Barlow Semi Condensed" w:cs="Barlow Semi Condensed" w:eastAsia="Barlow Semi Condensed" w:hAnsi="Barlow Semi Condensed"/>
          <w:b/>
          <w:bCs/>
          <w:sz w:val="24"/>
          <w:szCs w:val="24"/>
        </w:rPr>
        <w:t xml:space="preserve">Un elemento italiano va registrato. Il discorso di conclusione del pellegrinaggio ringrazia il ministro degli Interni Virginio Rognoni, presente in rappresentanza del governo italiano. È la sola presenza istituzionale italiana documentata nel viaggio, e non è della Farnesina.</w:t>
      </w:r>
    </w:p>
    <w:p>
      <w:pPr>
        <w:spacing w:after="120" w:line="276"/>
        <w:jc w:val="both"/>
      </w:pPr>
      <w:r>
        <w:rPr>
          <w:rFonts w:ascii="Barlow Semi Condensed" w:cs="Barlow Semi Condensed" w:eastAsia="Barlow Semi Condensed" w:hAnsi="Barlow Semi Condensed"/>
          <w:b/>
          <w:bCs/>
          <w:sz w:val="24"/>
          <w:szCs w:val="24"/>
        </w:rPr>
        <w:t xml:space="preserve">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b/>
          <w:bCs/>
          <w:sz w:val="24"/>
          <w:szCs w:val="24"/>
        </w:rPr>
        <w:t xml:space="preserve">Il collegamento con il nodo prioritario va qualificato con la massima cautela. La lettera minatoria di Ağca del 27 novembre 1979 fu inviata proprio in occasione di questo viaggio, che si svolse senza incidenti. La contemporaneità fra la minaccia e il viaggio è un fatto; essa non stabilisce alcun nesso causale con l'attentato del 1981, avvenuto a diciotto mesi di distanza e in altro luogo.</w:t>
      </w:r>
    </w:p>
    <w:p>
      <w:pPr>
        <w:spacing w:after="120" w:line="276"/>
        <w:jc w:val="both"/>
      </w:pPr>
      <w:r>
        <w:rPr>
          <w:rFonts w:ascii="Barlow Semi Condensed" w:cs="Barlow Semi Condensed" w:eastAsia="Barlow Semi Condensed" w:hAnsi="Barlow Semi Condensed"/>
          <w:b/>
          <w:bCs/>
          <w:sz w:val="24"/>
          <w:szCs w:val="24"/>
        </w:rPr>
        <w:t xml:space="preserve">Ciò che collega i due termini è la persona dell'attentatore e la continuità del suo proposito dichiarato — come Ağca stesso avrebbe poi affermato rinviando alle motivazioni espresse nel 1979 — ma la ricostruzione delle cause e degli eventuali mandanti dell'attacco del 1981 resta quella, giudizialmente non conclusiva, esposta ai Capitoli quarto e quinto.</w:t>
      </w:r>
    </w:p>
    <w:p>
      <w:pPr>
        <w:pStyle w:val="Heading2"/>
        <w:spacing w:after="100" w:before="200"/>
      </w:pPr>
      <w:r>
        <w:rPr>
          <w:rFonts w:ascii="Barlow Semi Condensed" w:cs="Barlow Semi Condensed" w:eastAsia="Barlow Semi Condensed" w:hAnsi="Barlow Semi Condensed"/>
          <w:sz w:val="24"/>
          <w:szCs w:val="24"/>
        </w:rPr>
        <w:t xml:space="preserve">Capitolo ottavo — Il decennio turco di Roncalli e il dialogo cattolico-ortodosso</w:t>
      </w:r>
    </w:p>
    <w:p>
      <w:pPr>
        <w:spacing w:after="120" w:line="276"/>
        <w:jc w:val="both"/>
      </w:pPr>
      <w:r>
        <w:rPr>
          <w:rFonts w:ascii="Barlow Semi Condensed" w:cs="Barlow Semi Condensed" w:eastAsia="Barlow Semi Condensed" w:hAnsi="Barlow Semi Condensed"/>
          <w:b/>
          <w:bCs/>
          <w:sz w:val="24"/>
          <w:szCs w:val="24"/>
        </w:rPr>
        <w:t xml:space="preserve">Il capitolo espone le due radici positive del rapporto fra Santa Sede e Turchia, e le espone insieme perché la seconda discende in parte dalla prima.</w:t>
      </w:r>
    </w:p>
    <w:p>
      <w:pPr>
        <w:spacing w:after="120" w:line="276"/>
        <w:jc w:val="both"/>
      </w:pPr>
      <w:r>
        <w:rPr>
          <w:rFonts w:ascii="Barlow Semi Condensed" w:cs="Barlow Semi Condensed" w:eastAsia="Barlow Semi Condensed" w:hAnsi="Barlow Semi Condensed"/>
          <w:b/>
          <w:bCs/>
          <w:sz w:val="24"/>
          <w:szCs w:val="24"/>
        </w:rPr>
        <w:t xml:space="preserve">Il decennio roncalliano, con le divergenze di data mantenute. Sulla nomina di Angelo Giuseppe Roncalli a delegato apostolico in Turchia le fonti divergono: alcune indicano il 24 novembre 1934, altre genericamente il 1934 con l'incarico congiunto per Turchia e Grecia e l'amministrazione apostolica del Vicariato di Istanbul, altre ancora — fra cui uno studio del \Journal of Ecclesiastical History\ del gennaio 1989 — parlano di delegato apostolico da gennaio 1935 a dicembre 1944. Concordano invece sull'arrivo a Istanbul, proveniente da Sofia, il 5 gennaio 1935, e sulla conclusione alla fine del 1944 con la partenza per la nunziatura di Francia, datata al 27 dicembre 1944.</w:t>
      </w:r>
    </w:p>
    <w:p>
      <w:pPr>
        <w:spacing w:after="120" w:line="276"/>
        <w:jc w:val="both"/>
      </w:pPr>
      <w:r>
        <w:rPr>
          <w:rFonts w:ascii="Barlow Semi Condensed" w:cs="Barlow Semi Condensed" w:eastAsia="Barlow Semi Condensed" w:hAnsi="Barlow Semi Condensed"/>
          <w:b/>
          <w:bCs/>
          <w:sz w:val="24"/>
          <w:szCs w:val="24"/>
        </w:rPr>
        <w:t xml:space="preserve">La comunità. Le fonti oscillano fra trentamila fedeli al suo arrivo e trentacinquemila, con tendenza alla diminuzione. Roncalli operava in un contesto segnato dalla laicizzazione kemalista: la Repubblica non riconosceva ufficialmente la rappresentanza pontificia, sicché egli si muoveva con discrezione, presentandosi agli uffici di polizia per i documenti.</w:t>
      </w:r>
    </w:p>
    <w:p>
      <w:pPr>
        <w:spacing w:after="120" w:line="276"/>
        <w:jc w:val="both"/>
      </w:pPr>
      <w:r>
        <w:rPr>
          <w:rFonts w:ascii="Barlow Semi Condensed" w:cs="Barlow Semi Condensed" w:eastAsia="Barlow Semi Condensed" w:hAnsi="Barlow Semi Condensed"/>
          <w:b/>
          <w:bCs/>
          <w:sz w:val="24"/>
          <w:szCs w:val="24"/>
        </w:rPr>
        <w:t xml:space="preserve">L'innovazione liturgica, con divergenza cronologica. Roncalli introdusse la lingua turca nella liturgia e nelle comunicazioni della diocesi: una fonte colloca l'iniziativa fin dal 1935, un'altra al gennaio 1936 per preghiere e canti, una terza riferisce della lettura del Vangelo in turco nel 1938. L'iniziativa suscitò consensi nell'ambiente musulmano e contestazioni nella comunità cattolica occidentale, soprattutto francese, che si considerava prima destinataria delle cure pastorali. Quando una legge turca proibì l'abito religioso in pubblico, Roncalli si adeguò, annotando con ironia che il provvedimento favoriva i contatti con i capi religiosi ortodossi e musulmani.</w:t>
      </w:r>
    </w:p>
    <w:p>
      <w:pPr>
        <w:spacing w:after="120" w:line="276"/>
        <w:jc w:val="both"/>
      </w:pPr>
      <w:r>
        <w:rPr>
          <w:rFonts w:ascii="Barlow Semi Condensed" w:cs="Barlow Semi Condensed" w:eastAsia="Barlow Semi Condensed" w:hAnsi="Barlow Semi Condensed"/>
          <w:b/>
          <w:bCs/>
          <w:sz w:val="24"/>
          <w:szCs w:val="24"/>
        </w:rPr>
        <w:t xml:space="preserve">L'assistenza ai profughi ebrei. Le fonti concordano sul valore dell'azione e sul suo carattere personale e riservato; la cifra ricorrente è di circa venticinquemila ebrei concretamente aiutati, con la cautela che tali stime impongono. Roncalli si avvalse dei rapporti con l'ambasciatore tedesco a Istanbul Franz von Papen, cattolico ed ex cancelliere del Reich; le fonti, citando fra l'altro la testimonianza resa da von Papen a Norimberga, riferiscono che migliaia di ebrei furono salvati anche grazie alle formalità amministrative alle quali l'ambasciatore si piegò sotto la pressione di Roncalli. Gli interventi si estesero a ebrei di Slovacchia, Bulgaria e Ungheria.</w:t>
      </w:r>
    </w:p>
    <w:p>
      <w:pPr>
        <w:spacing w:after="120" w:line="276"/>
        <w:jc w:val="both"/>
      </w:pPr>
      <w:r>
        <w:rPr>
          <w:rFonts w:ascii="Barlow Semi Condensed" w:cs="Barlow Semi Condensed" w:eastAsia="Barlow Semi Condensed" w:hAnsi="Barlow Semi Condensed"/>
          <w:b/>
          <w:bCs/>
          <w:sz w:val="24"/>
          <w:szCs w:val="24"/>
        </w:rPr>
        <w:t xml:space="preserve">Il limite documentale, già enunciato al Capitolo primo, va ripetuto qui. La documentazione del quinquennio 1940-1945 non è pienamente consultabile.</w:t>
      </w:r>
    </w:p>
    <w:p>
      <w:pPr>
        <w:spacing w:after="120" w:line="276"/>
        <w:jc w:val="both"/>
      </w:pPr>
      <w:r>
        <w:rPr>
          <w:rFonts w:ascii="Barlow Semi Condensed" w:cs="Barlow Semi Condensed" w:eastAsia="Barlow Semi Condensed" w:hAnsi="Barlow Semi Condensed"/>
          <w:b/>
          <w:bCs/>
          <w:sz w:val="24"/>
          <w:szCs w:val="24"/>
        </w:rPr>
        <w:t xml:space="preserve">Il rilievo per il rapporto successivo. La memoria pubblica turca — una via di Istanbul intitolata a Roncalli, una statua — e la stessa Santa Sede attestano il valore di quella stagione: nel discorso al nuovo ambasciatore di Turchia del 19 gennaio 1967 Paolo VI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b/>
          <w:bCs/>
          <w:sz w:val="24"/>
          <w:szCs w:val="24"/>
        </w:rPr>
        <w:t xml:space="preserve">Il dialogo cattolico-ortodosso, per date. 5 gennaio 1964: incontro di Gerusalemme fra Paolo VI e Atenagora I sul Monte degli Ulivi, primo atto ufficiale congiunto dallo scisma del 1054. Aprile 1965: delegazione romana a Istanbul con i cardinali Willebrands e Bea. 9 ottobre 1965: nell'udienza al metropolita Emilianos Timiadis si decide la costituzione di una commissione mista. 7 dicembre 1965: la Dichiarazione comune è letta simultaneamente a Roma, nella sessione solenne del Concilio, e al Fanar; essa precisa che le scomuniche del 1054 fra Leone IX e Michele Cerulario riguardavano le persone e non le Chiese, e dispone di cancellare dalla memoria e dal seno della Chiesa quelle sentenze. 25-26 luglio 1967: Paolo VI a Istanbul, Efeso e Smirne, con incontro di Atenagora nella chiesa patriarcale di San Giorgio il 25. 26 ottobre 1967: Atenagora a Roma. Luglio 1972: morte di Atenagora, con divergenza fra il 6 e il 7 mantenuta, e successione di Dimitrios I. 29 maggio - 4 giugno 1980: prima sessione plenaria della Commissione mista internazionale a Patmos e Rodi, con l'obiezione di alcuni delegati ortodossi alla presenza dei rappresentanti delle Chiese cattoliche orientali. 28 giugno 1985: nel discorso al Sacro Collegio Giovanni Paolo II ricorda il primo frutto documentale, un documento redatto in comune sul mistero della Chiesa e dell'Eucaristia alla luce del mistero della Santissima Trinità.</w:t>
      </w:r>
    </w:p>
    <w:p>
      <w:pPr>
        <w:pStyle w:val="Heading2"/>
        <w:spacing w:after="100" w:before="200"/>
      </w:pPr>
      <w:r>
        <w:rPr>
          <w:rFonts w:ascii="Barlow Semi Condensed" w:cs="Barlow Semi Condensed" w:eastAsia="Barlow Semi Condensed" w:hAnsi="Barlow Semi Condensed"/>
          <w:sz w:val="24"/>
          <w:szCs w:val="24"/>
        </w:rPr>
        <w:t xml:space="preserve">Capitolo nono — Il Trattato di Losanna e l'esclusione dei cattolici latini</w:t>
      </w:r>
    </w:p>
    <w:p>
      <w:pPr>
        <w:spacing w:after="120" w:line="276"/>
        <w:jc w:val="both"/>
      </w:pPr>
      <w:r>
        <w:rPr>
          <w:rFonts w:ascii="Barlow Semi Condensed" w:cs="Barlow Semi Condensed" w:eastAsia="Barlow Semi Condensed" w:hAnsi="Barlow Semi Condensed"/>
          <w:b/>
          <w:bCs/>
          <w:sz w:val="24"/>
          <w:szCs w:val="24"/>
        </w:rPr>
        <w:t xml:space="preserve">Il capitolo espone il dato giuridico che determina in senso restrittivo lo statuto delle comunità cattoliche di Turchia, ed è il capitolo in cui la documentazione normativa è più solida.</w:t>
      </w:r>
    </w:p>
    <w:p>
      <w:pPr>
        <w:spacing w:after="120" w:line="276"/>
        <w:jc w:val="both"/>
      </w:pPr>
      <w:r>
        <w:rPr>
          <w:rFonts w:ascii="Barlow Semi Condensed" w:cs="Barlow Semi Condensed" w:eastAsia="Barlow Semi Condensed" w:hAnsi="Barlow Semi Condensed"/>
          <w:b/>
          <w:bCs/>
          <w:sz w:val="24"/>
          <w:szCs w:val="24"/>
        </w:rPr>
        <w:t xml:space="preserve">La norma. Il Trattato di Losanna del 24 luglio 1923, firmato fra la Turchia e le potenze dell'Intesa, pose fine alla guerra greco-turca, ridisegnò i confini stabiliti dal Trattato di Sèvres, sancì la rinuncia turca a Cipro e legittimò lo scambio di popolazioni fra Grecia e Turchia. La sezione dedicata ai diritti delle minoranze è nella parte prima, sezione terza, articoli dal trentasette al quarantacinque.</w:t>
      </w:r>
    </w:p>
    <w:p>
      <w:pPr>
        <w:spacing w:after="120" w:line="276"/>
        <w:jc w:val="both"/>
      </w:pPr>
      <w:r>
        <w:rPr>
          <w:rFonts w:ascii="Barlow Semi Condensed" w:cs="Barlow Semi Condensed" w:eastAsia="Barlow Semi Condensed" w:hAnsi="Barlow Semi Condensed"/>
          <w:b/>
          <w:bCs/>
          <w:sz w:val="24"/>
          <w:szCs w:val="24"/>
        </w:rPr>
        <w:t xml:space="preserve">L'interpretazione, e la sua conseguenza. L'interpretazione consolidata dalle autorità turche riconosce come minoranze non musulmane soltanto i greco-ortodossi, gli armeni e gli ebrei. Ne restano esclusi i cattolici latini, i caldei e i siro-cattolici.</w:t>
      </w:r>
    </w:p>
    <w:p>
      <w:pPr>
        <w:spacing w:after="120" w:line="276"/>
        <w:jc w:val="both"/>
      </w:pPr>
      <w:r>
        <w:rPr>
          <w:rFonts w:ascii="Barlow Semi Condensed" w:cs="Barlow Semi Condensed" w:eastAsia="Barlow Semi Condensed" w:hAnsi="Barlow Semi Condensed"/>
          <w:b/>
          <w:bCs/>
          <w:sz w:val="24"/>
          <w:szCs w:val="24"/>
        </w:rPr>
        <w:t xml:space="preserve">La conseguenza pratica è documentata con nettezza, e la si riporta perché è il punto in cui una clausola del 1923 produce effetti novant'anni dopo: a proposito del decreto turco di restituzione dei beni alle fondazioni religiose, una fonte confessionale osserva che nulla tornerà invece ai cattolici latini, perché questi non compaiono fra le minoranze religiose indicate nel Trattato di Losanna, mentre beneficiari della restituzione risultavano greco-ortodossi, armeni, caldei cattolici ed ebrei.</w:t>
      </w:r>
    </w:p>
    <w:p>
      <w:pPr>
        <w:spacing w:after="120" w:line="276"/>
        <w:jc w:val="both"/>
      </w:pPr>
      <w:r>
        <w:rPr>
          <w:rFonts w:ascii="Barlow Semi Condensed" w:cs="Barlow Semi Condensed" w:eastAsia="Barlow Semi Condensed" w:hAnsi="Barlow Semi Condensed"/>
          <w:b/>
          <w:bCs/>
          <w:sz w:val="24"/>
          <w:szCs w:val="24"/>
        </w:rPr>
        <w:t xml:space="preserve">L'articolazione delle comunità. Vicariato apostolico di Istanbul, Arcidiocesi di Smirne, Vicariato apostolico dell'Anatolia, Arcieparchia armeno-cattolica di Istanbul, comunità caldea e siro-cattolica, Esarcato apostolico per i cattolici di rito bizantino.</w:t>
      </w:r>
    </w:p>
    <w:p>
      <w:pPr>
        <w:spacing w:after="120" w:line="276"/>
        <w:jc w:val="both"/>
      </w:pPr>
      <w:r>
        <w:rPr>
          <w:rFonts w:ascii="Barlow Semi Condensed" w:cs="Barlow Semi Condensed" w:eastAsia="Barlow Semi Condensed" w:hAnsi="Barlow Semi Condensed"/>
          <w:b/>
          <w:bCs/>
          <w:sz w:val="24"/>
          <w:szCs w:val="24"/>
        </w:rPr>
        <w:t xml:space="preserve">Le consistenze, con le divergenze mantenute. Per il rito latino in epoca recente: oltre milletrecento fedeli a Smirne, quindicimila nel Vicariato di Istanbul, circa millecinquecento in Anatolia. Per il totale: una fonte indica circa trentacinquemila cattolici, pari allo zero virgola zero cinque per cento della popolazione; la ricognizione anteriore aveva registrato stime oscillanti fra venticinquemila-trentamila e sessantamila. Le divergenze si riportano.</w:t>
      </w:r>
    </w:p>
    <w:p>
      <w:pPr>
        <w:spacing w:after="120" w:line="276"/>
        <w:jc w:val="both"/>
      </w:pPr>
      <w:r>
        <w:rPr>
          <w:rFonts w:ascii="Barlow Semi Condensed" w:cs="Barlow Semi Condensed" w:eastAsia="Barlow Semi Condensed" w:hAnsi="Barlow Semi Condensed"/>
          <w:b/>
          <w:bCs/>
          <w:sz w:val="24"/>
          <w:szCs w:val="24"/>
        </w:rPr>
        <w:t xml:space="preserve">Un elemento storico che spiega la perdita di tutela. Nel diciannovesimo secolo, grazie all'influsso francese, quattro Chiese cattoliche — armeno-cattolica, caldea, greco-melchita e sira — avevano ottenuto sotto gli Ottomani lo statuto di millet. La rivoluzione kemalista, sopprimendo il sistema del millet, rimosse quella tutela; e Losanna non la ripristinò per i cattolici.</w:t>
      </w:r>
    </w:p>
    <w:p>
      <w:pPr>
        <w:spacing w:after="120" w:line="276"/>
        <w:jc w:val="both"/>
      </w:pPr>
      <w:r>
        <w:rPr>
          <w:rFonts w:ascii="Barlow Semi Condensed" w:cs="Barlow Semi Condensed" w:eastAsia="Barlow Semi Condensed" w:hAnsi="Barlow Semi Condensed"/>
          <w:b/>
          <w:bCs/>
          <w:sz w:val="24"/>
          <w:szCs w:val="24"/>
        </w:rPr>
        <w:t xml:space="preserve">Il regime delle fondazioni. Mancando il riconoscimento come minoranza, i cattolici latini non godono delle tutele patrimoniali riconosciute alle tre minoranze di Losanna, e le loro proprietà — monasteri, parrocchie — hanno storicamente sofferto della mancata personalità giuridica.</w:t>
      </w:r>
    </w:p>
    <w:p>
      <w:pPr>
        <w:spacing w:after="120" w:line="276"/>
        <w:jc w:val="both"/>
      </w:pPr>
      <w:r>
        <w:rPr>
          <w:rFonts w:ascii="Barlow Semi Condensed" w:cs="Barlow Semi Condensed" w:eastAsia="Barlow Semi Condensed" w:hAnsi="Barlow Semi Condensed"/>
          <w:b/>
          <w:bCs/>
          <w:sz w:val="24"/>
          <w:szCs w:val="24"/>
        </w:rPr>
        <w:t xml:space="preserve">Che cosa non è stato reperito. La posizione della Santa Sede sull'esclusione, per il periodo 1969-1985, non emerge dalle fonti reperite in forma di un atto formale e specifico di protesta: le rivendicazioni documentate appartengono per lo più a epoca successiva. La sede di accertamento è l'archivio della Segreteria di Stato per il pontificato di Paolo VI, non aperto — e qui il limite strutturale del Capitolo primo produce il suo effetto più diretto.</w:t>
      </w:r>
    </w:p>
    <w:p>
      <w:pPr>
        <w:pStyle w:val="Heading2"/>
        <w:spacing w:after="100" w:before="200"/>
      </w:pPr>
      <w:r>
        <w:rPr>
          <w:rFonts w:ascii="Barlow Semi Condensed" w:cs="Barlow Semi Condensed" w:eastAsia="Barlow Semi Condensed" w:hAnsi="Barlow Semi Condensed"/>
          <w:sz w:val="24"/>
          <w:szCs w:val="24"/>
        </w:rPr>
        <w:t xml:space="preserve">Capitolo decimo — La CSCE: il punto di intersezione documentato e le sue due lacune</w:t>
      </w:r>
    </w:p>
    <w:p>
      <w:pPr>
        <w:spacing w:after="120" w:line="276"/>
        <w:jc w:val="both"/>
      </w:pPr>
      <w:r>
        <w:rPr>
          <w:rFonts w:ascii="Barlow Semi Condensed" w:cs="Barlow Semi Condensed" w:eastAsia="Barlow Semi Condensed" w:hAnsi="Barlow Semi Condensed"/>
          <w:b/>
          <w:bCs/>
          <w:sz w:val="24"/>
          <w:szCs w:val="24"/>
        </w:rPr>
        <w:t xml:space="preserve">Il capitolo espone il solo momento in cui i tre soggetti agirono nel medesimo consesso, e dichiara ciò che di esso non si sa.</w:t>
      </w:r>
    </w:p>
    <w:p>
      <w:pPr>
        <w:spacing w:after="120" w:line="276"/>
        <w:jc w:val="both"/>
      </w:pPr>
      <w:r>
        <w:rPr>
          <w:rFonts w:ascii="Barlow Semi Condensed" w:cs="Barlow Semi Condensed" w:eastAsia="Barlow Semi Condensed" w:hAnsi="Barlow Semi Condensed"/>
          <w:b/>
          <w:bCs/>
          <w:sz w:val="24"/>
          <w:szCs w:val="24"/>
        </w:rPr>
        <w:t xml:space="preserve">La partecipazione vaticana. La Santa Sede partecipò alla Conferenza per la sicurezza e la cooperazione in Europa come membro a pieno titolo — la prima volta, dopo il Congresso di Vienna del 1815, che ciò avvenisse in un congresso di Stati. La delegazione fu guidata da Agostino Casaroli, segretario del Consiglio per gli affari pubblici della Chiesa, e da Achille Silvestrini, allora sottosegretario del medesimo Consiglio. La partecipazione avvenne fin dalle riunioni preparatorie.</w:t>
      </w:r>
    </w:p>
    <w:p>
      <w:pPr>
        <w:spacing w:after="120" w:line="276"/>
        <w:jc w:val="both"/>
      </w:pPr>
      <w:r>
        <w:rPr>
          <w:rFonts w:ascii="Barlow Semi Condensed" w:cs="Barlow Semi Condensed" w:eastAsia="Barlow Semi Condensed" w:hAnsi="Barlow Semi Condensed"/>
          <w:b/>
          <w:bCs/>
          <w:sz w:val="24"/>
          <w:szCs w:val="24"/>
        </w:rPr>
        <w:t xml:space="preserve">Il contributo caratteristico. Silvestrini ha rievocato l'emozione con cui il 7 marzo 1973 fu presentata, nell'ambito dei principi destinati a reggere i rapporti fra gli Stati, una proposta sulla libertà religiosa, ricordando che nella storia d'Europa esisteva una comune cultura, quella cristiana. La proposta, accolta secondo il suo racconto come una bomba, confluì nel settimo principio dell'Atto finale, che afferma il rispetto dei diritti dell'uomo e delle libertà fondamentali, inclusa la libertà di pensiero, coscienza, religione o credo.</w:t>
      </w:r>
    </w:p>
    <w:p>
      <w:pPr>
        <w:spacing w:after="120" w:line="276"/>
        <w:jc w:val="both"/>
      </w:pPr>
      <w:r>
        <w:rPr>
          <w:rFonts w:ascii="Barlow Semi Condensed" w:cs="Barlow Semi Condensed" w:eastAsia="Barlow Semi Condensed" w:hAnsi="Barlow Semi Condensed"/>
          <w:b/>
          <w:bCs/>
          <w:sz w:val="24"/>
          <w:szCs w:val="24"/>
        </w:rPr>
        <w:t xml:space="preserve">La firma del 1 agosto 1975. L'Atto finale fu sottoscritto da trentacinque Stati partecipanti. Vi apposero la firma la Santa Sede, la Turchia e, per l'Italia, Aldo Moro nella duplice qualità di presidente del Consiglio e presidente di turno della Comunità europea.</w:t>
      </w:r>
    </w:p>
    <w:p>
      <w:pPr>
        <w:spacing w:after="120" w:line="276"/>
        <w:jc w:val="both"/>
      </w:pPr>
      <w:r>
        <w:rPr>
          <w:rFonts w:ascii="Barlow Semi Condensed" w:cs="Barlow Semi Condensed" w:eastAsia="Barlow Semi Condensed" w:hAnsi="Barlow Semi Condensed"/>
          <w:b/>
          <w:bCs/>
          <w:sz w:val="24"/>
          <w:szCs w:val="24"/>
        </w:rPr>
        <w:t xml:space="preserve">Questa è la triangolazione certa dell'intero studio, e va enunciata per quello che è: una convergenza di firma e una comunanza di consesso, documentate, fra i tre soggetti, sul medesimo atto internazionale.</w:t>
      </w:r>
    </w:p>
    <w:p>
      <w:pPr>
        <w:spacing w:after="120" w:line="276"/>
        <w:jc w:val="both"/>
      </w:pPr>
      <w:r>
        <w:rPr>
          <w:rFonts w:ascii="Barlow Semi Condensed" w:cs="Barlow Semi Condensed" w:eastAsia="Barlow Semi Condensed" w:hAnsi="Barlow Semi Condensed"/>
          <w:b/>
          <w:bCs/>
          <w:sz w:val="24"/>
          <w:szCs w:val="24"/>
        </w:rPr>
        <w:t xml:space="preserve">E adesso le due lacune, che vanno dichiarate con eguale forza.</w:t>
      </w:r>
    </w:p>
    <w:p>
      <w:pPr>
        <w:spacing w:after="120" w:line="276"/>
        <w:jc w:val="both"/>
      </w:pPr>
      <w:r>
        <w:rPr>
          <w:rFonts w:ascii="Barlow Semi Condensed" w:cs="Barlow Semi Condensed" w:eastAsia="Barlow Semi Condensed" w:hAnsi="Barlow Semi Condensed"/>
          <w:b/>
          <w:bCs/>
          <w:sz w:val="24"/>
          <w:szCs w:val="24"/>
        </w:rPr>
        <w:t xml:space="preserve">Prima lacuna. Non risulta che la questione delle minoranze cristiane in Turchia e la chiusura di Halki siano state sollevate formalmente dalla delegazione vaticana o da altra delegazione, né nella sede del 1975 né nelle riunioni di seguito di Belgrado e Madrid. Il tema della libertà religiosa fu posto dalla Santa Sede in termini generali e principalmente in funzione della condizione dei cattolici nei Paesi del blocco orientale, secondo la logica della Ostpolitik, e non come rivendicazione puntuale verso Ankara.</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merita di essere formulata. La Santa Sede ottenne a Helsinki l'inscrizione della libertà religiosa fra i principi, e la ottenne guardando a Oriente. Che il medesimo principio potesse essere invocato verso un alleato atlantico che aveva chiuso il seminario del Patriarcato quattro anni prima non risulta essere stato fatto valere. Questo è un dato; e la sua interpretazione — se prudenza diplomatica, se priorità gerarchica dei dossier, se altro — non è accertata da alcuna fonte reperita.</w:t>
      </w:r>
    </w:p>
    <w:p>
      <w:pPr>
        <w:spacing w:after="120" w:line="276"/>
        <w:jc w:val="both"/>
      </w:pPr>
      <w:r>
        <w:rPr>
          <w:rFonts w:ascii="Barlow Semi Condensed" w:cs="Barlow Semi Condensed" w:eastAsia="Barlow Semi Condensed" w:hAnsi="Barlow Semi Condensed"/>
          <w:b/>
          <w:bCs/>
          <w:sz w:val="24"/>
          <w:szCs w:val="24"/>
        </w:rPr>
        <w:t xml:space="preserve">Seconda lacuna. La posizione turca sui principi relativi ai diritti umani e alle minoranze in quella sede non è documentata con la specificità necessaria dalle fonti raccolte.</w:t>
      </w:r>
    </w:p>
    <w:p>
      <w:pPr>
        <w:spacing w:after="120" w:line="276"/>
        <w:jc w:val="both"/>
      </w:pPr>
      <w:r>
        <w:rPr>
          <w:rFonts w:ascii="Barlow Semi Condensed" w:cs="Barlow Semi Condensed" w:eastAsia="Barlow Semi Condensed" w:hAnsi="Barlow Semi Condensed"/>
          <w:b/>
          <w:bCs/>
          <w:sz w:val="24"/>
          <w:szCs w:val="24"/>
        </w:rPr>
        <w:t xml:space="preserve">Le sedi di accertamento sono gli atti della Conferenza, l'archivio della Segreteria di Stato — non aperto — e gli archivi diplomatici turchi.</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e il loro grado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Prima triangolazione: la firma di Helsinki del 1 agosto 1975. Grado alto quanto al fatto. Contenuto: Santa Sede, Turchia e Italia di Moro sottoscrivono il medesimo atto internazionale; la Santa Sede vi ha ottenuto l'inscrizione della libertà religiosa nel settimo principio. Ciò che non stabilisce: la materia era la sicurezza europea e non la condizione delle minoranze cristiane in Turchia; nessuna fonte documenta un coordinamento fra le delegazioni. È una convergenza di consesso, e nulla di più.</w:t>
      </w:r>
    </w:p>
    <w:p>
      <w:pPr>
        <w:spacing w:after="120" w:line="276"/>
        <w:jc w:val="both"/>
      </w:pPr>
      <w:r>
        <w:rPr>
          <w:rFonts w:ascii="Barlow Semi Condensed" w:cs="Barlow Semi Condensed" w:eastAsia="Barlow Semi Condensed" w:hAnsi="Barlow Semi Condensed"/>
          <w:b/>
          <w:bCs/>
          <w:sz w:val="24"/>
          <w:szCs w:val="24"/>
        </w:rPr>
        <w:t xml:space="preserve">Seconda triangolazione: la sovrapposizione fra collettività italiana e minoranza latina. Grado medio. Contenuto: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 nel periodo. È una sovrapposizione di perimetro senza azione accertata.</w:t>
      </w:r>
    </w:p>
    <w:p>
      <w:pPr>
        <w:spacing w:after="120" w:line="276"/>
        <w:jc w:val="both"/>
      </w:pPr>
      <w:r>
        <w:rPr>
          <w:rFonts w:ascii="Barlow Semi Condensed" w:cs="Barlow Semi Condensed" w:eastAsia="Barlow Semi Condensed" w:hAnsi="Barlow Semi Condensed"/>
          <w:b/>
          <w:bCs/>
          <w:sz w:val="24"/>
          <w:szCs w:val="24"/>
        </w:rPr>
        <w:t xml:space="preserve">Terza triangolazione: l'eredità roncalliana come titolo diplomatico. Grado alto quanto al riconoscimento. Contenuto: nel discorso al nuovo ambasciatore turco del 19 gennaio 1967 Paolo VI collega l'avvio delle relazioni diplomatiche al pontificato di Giovanni XXIII, cioè all'uomo che era stato delegato apostolico a Istanbul per un decennio. Ciò che non stabilisce: nulla riguardo all'Italia come Stato, il cui ruolo in quella genealogia è inesistente. È una triangolazione fra Santa Sede e Turchia dalla quale l'Italia è assente, pur essendo Roncalli italiano.</w:t>
      </w:r>
    </w:p>
    <w:p>
      <w:pPr>
        <w:spacing w:after="120" w:line="276"/>
        <w:jc w:val="both"/>
      </w:pPr>
      <w:r>
        <w:rPr>
          <w:rFonts w:ascii="Barlow Semi Condensed" w:cs="Barlow Semi Condensed" w:eastAsia="Barlow Semi Condensed" w:hAnsi="Barlow Semi Condensed"/>
          <w:b/>
          <w:bCs/>
          <w:sz w:val="24"/>
          <w:szCs w:val="24"/>
        </w:rPr>
        <w:t xml:space="preserve">Quarta triangolazione: l'attentato del 1981. Grado alto quanto ai fatti materiali, nullo quanto ai mandanti. Contenuto: un cittadino turco, proveniente da un ambiente politico radicale, dopo aver ucciso un direttore di giornale ed essere evaso da un carcere militare, minaccia per iscritto il pontefice nel novembre 1979 e gli spara in piazza San Pietro nel maggio 1981. Ciò che non stabilisce: la pista bulgara non fu giudizialmente provata; i mandanti non sono accertati; nessun mandato organizzativo dei Lupi Grigi è stato accertato. È il collegamento più diretto fra Turchia e Vaticano dell'intera serie, e simultaneamente quello di cui si sa meno.</w:t>
      </w:r>
    </w:p>
    <w:p>
      <w:pPr>
        <w:spacing w:after="120" w:line="276"/>
        <w:jc w:val="both"/>
      </w:pPr>
      <w:r>
        <w:rPr>
          <w:rFonts w:ascii="Barlow Semi Condensed" w:cs="Barlow Semi Condensed" w:eastAsia="Barlow Semi Condensed" w:hAnsi="Barlow Semi Condensed"/>
          <w:b/>
          <w:bCs/>
          <w:sz w:val="24"/>
          <w:szCs w:val="24"/>
        </w:rPr>
        <w:t xml:space="preserve">Il bilancio, ed è la risultanza generale. Nessuna delle quattro triangolazioni coinvolge l'Italia come attore documentato, e questa è la settima volta consecutiva che questo studio giunge alla medesima conclusione. Nella prima l'Italia è cofirmataria; nella seconda è titolare di un interesse consolare non esercitato; nella terza è assente; nella quarta è il territorio su cui il fatto avviene e la giurisdizione che lo giudica.</w:t>
      </w:r>
    </w:p>
    <w:p>
      <w:pPr>
        <w:spacing w:after="120" w:line="276"/>
        <w:jc w:val="both"/>
      </w:pPr>
      <w:r>
        <w:rPr>
          <w:rFonts w:ascii="Barlow Semi Condensed" w:cs="Barlow Semi Condensed" w:eastAsia="Barlow Semi Condensed" w:hAnsi="Barlow Semi Condensed"/>
          <w:b/>
          <w:bCs/>
          <w:sz w:val="24"/>
          <w:szCs w:val="24"/>
        </w:rPr>
        <w:t xml:space="preserve">Un'osservazione che vale come chiusura analitica. Nella quarta triangolazione l'Italia compare come sede giudiziaria: fu la magistratura italiana a istruire, processare e assolvere. E il suo esito — l'assoluzione per insufficienza di prove del 29 marzo 1986 — converge con la valutazione dell'intelligence statunitense che, disponendo di ogni interesse politico contrario, scrisse di non poter sviluppare un quadro conclusivo. Due apparati indipendenti, con interessi divergenti, giunsero alla medesima non-conclusione. Questa convergenza è, secondo me, il dato più solido che questo studio produca sulla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dei sette studi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con la condizione di chiusura.</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 condizione non nelle nostre mani. La documentazione della Segreteria di Stato, sezione Rapporti con gli Stati, per il pontificato di Paolo VI: Turchia, minoranze cattoliche, Halki, CSCE. Condizione di chiusura: l'apertura del pontificato alla consultazione, oggi non disposta. È la sola voce che, aperta, riscriverebbe i Capitoli nono e decimo.</w:t>
      </w:r>
    </w:p>
    <w:p>
      <w:pPr>
        <w:spacing w:after="120" w:line="276"/>
        <w:jc w:val="both"/>
      </w:pPr>
      <w:r>
        <w:rPr>
          <w:rFonts w:ascii="Barlow Semi Condensed" w:cs="Barlow Semi Condensed" w:eastAsia="Barlow Semi Condensed" w:hAnsi="Barlow Semi Condensed"/>
          <w:b/>
          <w:bCs/>
          <w:sz w:val="24"/>
          <w:szCs w:val="24"/>
        </w:rPr>
        <w:t xml:space="preserve">Seconda voce, di rendimento alto e condizione eseguibile. La posizione della Farnesina di Moro sulle minoranze cristiane, su Halki e sul Patriarcato, e l'esistenza di contatti con la Segreteria di Stato. Sede: Archivio Storico Diplomatico del Ministero degli Affari Esteri, serie Turchia e serie Santa Sede 1969-1975. Condizione: consultazione diretta, tenuto conto dell'esclusione dei Telegrammi 1942-1970. Soglia che muterebbe la valutazione: il rinvenimento di anche un solo telegramma o appunto che tratti Halki, il Patriarcato o le parrocchie latine.</w:t>
      </w:r>
    </w:p>
    <w:p>
      <w:pPr>
        <w:spacing w:after="120" w:line="276"/>
        <w:jc w:val="both"/>
      </w:pPr>
      <w:r>
        <w:rPr>
          <w:rFonts w:ascii="Barlow Semi Condensed" w:cs="Barlow Semi Condensed" w:eastAsia="Barlow Semi Condensed" w:hAnsi="Barlow Semi Condensed"/>
          <w:b/>
          <w:bCs/>
          <w:sz w:val="24"/>
          <w:szCs w:val="24"/>
        </w:rPr>
        <w:t xml:space="preserve">Terza voce. L'eventuale trattazione della questione delle minoranze cristiane turche nelle sedi CSCE del 1975 e nelle riunioni di seguito. Sedi: atti della Conferenza, archivio della Segreteria di Stato, archivi diplomatici turchi. Condizione: spoglio sistematico dei verbali.</w:t>
      </w:r>
    </w:p>
    <w:p>
      <w:pPr>
        <w:spacing w:after="120" w:line="276"/>
        <w:jc w:val="both"/>
      </w:pPr>
      <w:r>
        <w:rPr>
          <w:rFonts w:ascii="Barlow Semi Condensed" w:cs="Barlow Semi Condensed" w:eastAsia="Barlow Semi Condensed" w:hAnsi="Barlow Semi Condensed"/>
          <w:b/>
          <w:bCs/>
          <w:sz w:val="24"/>
          <w:szCs w:val="24"/>
        </w:rPr>
        <w:t xml:space="preserve">Quarta voce. La documentazione roncalliana del 1940-1945 sull'assistenza agli ebrei. Sede: Archivio Apostolico Vaticano. Condizione: apertura integrale del fondo.</w:t>
      </w:r>
    </w:p>
    <w:p>
      <w:pPr>
        <w:spacing w:after="120" w:line="276"/>
        <w:jc w:val="both"/>
      </w:pPr>
      <w:r>
        <w:rPr>
          <w:rFonts w:ascii="Barlow Semi Condensed" w:cs="Barlow Semi Condensed" w:eastAsia="Barlow Semi Condensed" w:hAnsi="Barlow Semi Condensed"/>
          <w:b/>
          <w:bCs/>
          <w:sz w:val="24"/>
          <w:szCs w:val="24"/>
        </w:rPr>
        <w:t xml:space="preserve">Quinta voce. Le circostanze dell'evasione di Ağca da Kartal-Maltepe e i suoi rapporti d'ambiente, sul versante turco. Sede: archivi giudiziari turchi. Condizione: la loro accessibilità, non verificata.</w:t>
      </w:r>
    </w:p>
    <w:p>
      <w:pPr>
        <w:spacing w:after="120" w:line="276"/>
        <w:jc w:val="both"/>
      </w:pPr>
      <w:r>
        <w:rPr>
          <w:rFonts w:ascii="Barlow Semi Condensed" w:cs="Barlow Semi Condensed" w:eastAsia="Barlow Semi Condensed" w:hAnsi="Barlow Semi Condensed"/>
          <w:b/>
          <w:bCs/>
          <w:sz w:val="24"/>
          <w:szCs w:val="24"/>
        </w:rPr>
        <w:t xml:space="preserve">Sesta voce, di rendimento incerto ma decisiva sul merito. Il testo integrale delle porzioni non desecretate dei documenti statunitensi 370 e 376. Sede: CIA FOIA Electronic Reading Room. Condizione: ulteriore desecretazione. È la sola voce che potrebbe mutare il quadro probatorio sulla pista bulgara.</w:t>
      </w:r>
    </w:p>
    <w:p>
      <w:pPr>
        <w:spacing w:after="120" w:line="276"/>
        <w:jc w:val="both"/>
      </w:pPr>
      <w:r>
        <w:rPr>
          <w:rFonts w:ascii="Barlow Semi Condensed" w:cs="Barlow Semi Condensed" w:eastAsia="Barlow Semi Condensed" w:hAnsi="Barlow Semi Condensed"/>
          <w:b/>
          <w:bCs/>
          <w:sz w:val="24"/>
          <w:szCs w:val="24"/>
        </w:rPr>
        <w:t xml:space="preserve">Settima voce. I fascicoli processuali dell'attentato. Sedi: Archivio Centrale dello Stato o Corte d'assise di Roma. Condizione: autorizzazione all'accesso.</w:t>
      </w:r>
    </w:p>
    <w:p>
      <w:pPr>
        <w:pStyle w:val="Heading2"/>
        <w:spacing w:after="100" w:before="200"/>
      </w:pPr>
      <w:r>
        <w:rPr>
          <w:rFonts w:ascii="Barlow Semi Condensed" w:cs="Barlow Semi Condensed" w:eastAsia="Barlow Semi Condensed" w:hAnsi="Barlow Semi Condensed"/>
          <w:sz w:val="24"/>
          <w:szCs w:val="24"/>
        </w:rPr>
        <w:t xml:space="preserve">Nota sul bilancio dei sette studi, che chiude questa ricognizione.</w:t>
      </w:r>
    </w:p>
    <w:p>
      <w:pPr>
        <w:spacing w:after="120" w:line="276"/>
        <w:jc w:val="both"/>
      </w:pPr>
      <w:r>
        <w:rPr>
          <w:rFonts w:ascii="Barlow Semi Condensed" w:cs="Barlow Semi Condensed" w:eastAsia="Barlow Semi Condensed" w:hAnsi="Barlow Semi Condensed"/>
          <w:b/>
          <w:bCs/>
          <w:sz w:val="24"/>
          <w:szCs w:val="24"/>
        </w:rPr>
        <w:t xml:space="preserve">Sette ricognizioni hanno percorso l'attività ministeriale di Moro verso Spagna, Portogallo, Grecia, Cipro e Turchia, incrociandola con la Santa Sede e con l'Opus Dei. L'esito è costante e va enunciato senza attenuazioni: il governo italiano non compare come attore documentato in nessuno dei cinque perimetri.</w:t>
      </w:r>
    </w:p>
    <w:p>
      <w:pPr>
        <w:spacing w:after="120" w:line="276"/>
        <w:jc w:val="both"/>
      </w:pPr>
      <w:r>
        <w:rPr>
          <w:rFonts w:ascii="Barlow Semi Condensed" w:cs="Barlow Semi Condensed" w:eastAsia="Barlow Semi Condensed" w:hAnsi="Barlow Semi Condensed"/>
          <w:b/>
          <w:bCs/>
          <w:sz w:val="24"/>
          <w:szCs w:val="24"/>
        </w:rPr>
        <w:t xml:space="preserve">Verso Madrid, nessuna iniziativa. Verso Lisbona, nessun atto reperito nemmeno sull'espulsione di nove propri cittadini. Verso Atene, un solo atto forte — la seduta del Consiglio d'Europa del dicembre 1969 — e per il resto assorbimento nelle sedi multilaterali. Verso Nicosia, esclusione dalle potenze garanti, dal Consiglio di Sicurezza e dai contributori della forza di pace. Verso Ankara, presenza comunitaria documentata e assenza confessionale.</w:t>
      </w:r>
    </w:p>
    <w:p>
      <w:pPr>
        <w:spacing w:after="120" w:line="276"/>
        <w:jc w:val="both"/>
      </w:pPr>
      <w:r>
        <w:rPr>
          <w:rFonts w:ascii="Barlow Semi Condensed" w:cs="Barlow Semi Condensed" w:eastAsia="Barlow Semi Condensed" w:hAnsi="Barlow Semi Condensed"/>
          <w:b/>
          <w:bCs/>
          <w:sz w:val="24"/>
          <w:szCs w:val="24"/>
        </w:rPr>
        <w:t xml:space="preserve">E ciò che compare, ogni volta, sono soggetti diversi dallo Stato. Congregazioni religiose. Enti locali di sinistra. Cancellerie ecclesiastiche. Polizie politiche. Magistrature. Servizi di intelligence stranieri.</w:t>
      </w:r>
    </w:p>
    <w:p>
      <w:pPr>
        <w:spacing w:after="120" w:line="276"/>
        <w:jc w:val="both"/>
      </w:pPr>
      <w:r>
        <w:rPr>
          <w:rFonts w:ascii="Barlow Semi Condensed" w:cs="Barlow Semi Condensed" w:eastAsia="Barlow Semi Condensed" w:hAnsi="Barlow Semi Condensed"/>
          <w:b/>
          <w:bCs/>
          <w:sz w:val="24"/>
          <w:szCs w:val="24"/>
        </w:rPr>
        <w:t xml:space="preserve">Ne discende la constatazione che i sette studi consegnano insieme, e che nessuno di essi avrebbe prodotto da solo. Dove agiscono soggetti che tengono archivio e che pubblicano,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 È la sola lezione che sette ricognizioni consegnano con certezza. In questo settimo studio essa acquista però una forma più netta che negli altri sei: qui l'inaccessibilità non è un difetto di ricerca ma una disposizione istituzionale, e la ricerca ne prende atto anziché supplirvi con l'inferenza.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VIII · Aldo Moro Alla Farnesina, La Turchia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5.915 parole in 9 sezioni; la più ampia è §9 Altre sezioni, con 5.049.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IX — Moro, Il Mediterraneo Orientale E L'Opus Dei</w:t>
      </w:r>
    </w:p>
    <w:p>
      <w:pPr>
        <w:pStyle w:val="Heading1"/>
        <w:spacing w:after="120" w:before="240"/>
      </w:pPr>
      <w:r>
        <w:rPr>
          <w:rFonts w:ascii="Barlow Semi Condensed" w:cs="Barlow Semi Condensed" w:eastAsia="Barlow Semi Condensed" w:hAnsi="Barlow Semi Condensed"/>
          <w:sz w:val="24"/>
          <w:szCs w:val="24"/>
        </w:rPr>
        <w:t xml:space="preserve">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../originali/grecia-opus-dei-1969-1985.md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7,0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Ottava ricognizione: Grecia, Cipro, Turchia consolidate</w:t>
      </w:r>
    </w:p>
    <w:p>
      <w:pPr>
        <w:pStyle w:val="Heading2"/>
        <w:spacing w:after="100" w:before="200"/>
      </w:pPr>
      <w:r>
        <w:rPr>
          <w:rFonts w:ascii="Barlow Semi Condensed" w:cs="Barlow Semi Condensed" w:eastAsia="Barlow Semi Condensed" w:hAnsi="Barlow Semi Condensed"/>
          <w:sz w:val="24"/>
          <w:szCs w:val="24"/>
        </w:rPr>
        <w:t xml:space="preserve">Tre assenze verificate e il modello che esse stabiliscono</w:t>
      </w:r>
    </w:p>
    <w:p>
      <w:pPr>
        <w:pStyle w:val="Heading2"/>
        <w:spacing w:after="100" w:before="200"/>
      </w:pPr>
      <w:r>
        <w:rPr>
          <w:rFonts w:ascii="Barlow Semi Condensed" w:cs="Barlow Semi Condensed" w:eastAsia="Barlow Semi Condensed" w:hAnsi="Barlow Semi Condensed"/>
          <w:sz w:val="24"/>
          <w:szCs w:val="24"/>
        </w:rPr>
        <w:t xml:space="preserve">Dodici Capitoli — sette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Perché tre casi valgono più di tre studi separati</w:t>
      </w:r>
    </w:p>
    <w:p>
      <w:pPr>
        <w:spacing w:after="120" w:line="276"/>
        <w:jc w:val="both"/>
      </w:pPr>
      <w:r>
        <w:rPr>
          <w:rFonts w:ascii="Barlow Semi Condensed" w:cs="Barlow Semi Condensed" w:eastAsia="Barlow Semi Condensed" w:hAnsi="Barlow Semi Condensed"/>
          <w:b/>
          <w:bCs/>
          <w:sz w:val="24"/>
          <w:szCs w:val="24"/>
        </w:rPr>
        <w:t xml:space="preserve">Questo documento consolida tre ricognizioni condotte separatamente sul Mediterraneo orientale — Grecia, Cipro, Turchia — ciascuna incrociata con l'Opus Dei, e nessuna delle quali era finora entrata nel corpus del progetto come documento. Esse esistevano come rapporti di ricerca; qui diventano un solo studio, e la ragione non è di ordine editoriale.</w:t>
      </w:r>
    </w:p>
    <w:p>
      <w:pPr>
        <w:spacing w:after="120" w:line="276"/>
        <w:jc w:val="both"/>
      </w:pPr>
      <w:r>
        <w:rPr>
          <w:rFonts w:ascii="Barlow Semi Condensed" w:cs="Barlow Semi Condensed" w:eastAsia="Barlow Semi Condensed" w:hAnsi="Barlow Semi Condensed"/>
          <w:b/>
          <w:bCs/>
          <w:sz w:val="24"/>
          <w:szCs w:val="24"/>
        </w:rPr>
        <w:t xml:space="preserve">I tre casi, presi insieme, stabiliscono una proposizione che nessuno di essi stabilirebbe da solo. Presi separatamente, ciascuno produce un esito negativo: l'Opus Dei non è presente né in Grecia, né a Cipro, né in Turchia. Presi insieme, e confrontati con i casi iberici già studiati, essi isolano la variabile che determina l'insediamento dell'istituzione, e la isolano per via controfattuale.</w:t>
      </w:r>
    </w:p>
    <w:p>
      <w:pPr>
        <w:spacing w:after="120" w:line="276"/>
        <w:jc w:val="both"/>
      </w:pPr>
      <w:r>
        <w:rPr>
          <w:rFonts w:ascii="Barlow Semi Condensed" w:cs="Barlow Semi Condensed" w:eastAsia="Barlow Semi Condensed" w:hAnsi="Barlow Semi Condensed"/>
          <w:b/>
          <w:bCs/>
          <w:sz w:val="24"/>
          <w:szCs w:val="24"/>
        </w:rPr>
        <w:t xml:space="preserve">La proposizione è questa. La presenza dell'Opus Dei in un Paese del Mediterraneo non correla con la natura autoritaria del regime, né con la mera presenza di minoranze cattoliche; correla con la compresenza di una maggioranza cattolica e di un ceto universitario e professionale cattolico su cui l'apostolato dell'ente possa radicarsi.</w:t>
      </w:r>
    </w:p>
    <w:p>
      <w:pPr>
        <w:spacing w:after="120" w:line="276"/>
        <w:jc w:val="both"/>
      </w:pPr>
      <w:r>
        <w:rPr>
          <w:rFonts w:ascii="Barlow Semi Condensed" w:cs="Barlow Semi Condensed" w:eastAsia="Barlow Semi Condensed" w:hAnsi="Barlow Semi Condensed"/>
          <w:b/>
          <w:bCs/>
          <w:sz w:val="24"/>
          <w:szCs w:val="24"/>
        </w:rPr>
        <w:t xml:space="preserve">La dimostrazione richiede i tre casi in questo ordine, e va enunciata subito perché è l'architettura dello studio.</w:t>
      </w:r>
    </w:p>
    <w:p>
      <w:pPr>
        <w:spacing w:after="120" w:line="276"/>
        <w:jc w:val="both"/>
      </w:pPr>
      <w:r>
        <w:rPr>
          <w:rFonts w:ascii="Barlow Semi Condensed" w:cs="Barlow Semi Condensed" w:eastAsia="Barlow Semi Condensed" w:hAnsi="Barlow Semi Condensed"/>
          <w:b/>
          <w:bCs/>
          <w:sz w:val="24"/>
          <w:szCs w:val="24"/>
        </w:rPr>
        <w:t xml:space="preserve">La Grecia esclude la variabile del regime: conobbe una dittatura di destra coeva a quelle iberiche, dal 21 aprile 1967 al 23 luglio 1974, e l'ente vi è assente. Se il regime autoritario fosse la condizione dell'insediamento, la Grecia sarebbe stata un terreno propizio; non lo fu.</w:t>
      </w:r>
    </w:p>
    <w:p>
      <w:pPr>
        <w:spacing w:after="120" w:line="276"/>
        <w:jc w:val="both"/>
      </w:pPr>
      <w:r>
        <w:rPr>
          <w:rFonts w:ascii="Barlow Semi Condensed" w:cs="Barlow Semi Condensed" w:eastAsia="Barlow Semi Condensed" w:hAnsi="Barlow Semi Condensed"/>
          <w:b/>
          <w:bCs/>
          <w:sz w:val="24"/>
          <w:szCs w:val="24"/>
        </w:rPr>
        <w:t xml:space="preserve">Cipro esclude la variabile della mera presenza cattolica, ed è per questo il caso più probante dei tre. Cipro possiede minoranze cattoliche antiche, strutturate e riconosciute dalla Costituzione del 1960 — maroniti e latini — dotate di gerarchia propria, di parrocchie, di villaggi interi. Se la presenza di cattolici fosse condizione sufficiente, Cipro avrebbe dovuto ospitare l'ente; non lo ospita.</w:t>
      </w:r>
    </w:p>
    <w:p>
      <w:pPr>
        <w:spacing w:after="120" w:line="276"/>
        <w:jc w:val="both"/>
      </w:pPr>
      <w:r>
        <w:rPr>
          <w:rFonts w:ascii="Barlow Semi Condensed" w:cs="Barlow Semi Condensed" w:eastAsia="Barlow Semi Condensed" w:hAnsi="Barlow Semi Condensed"/>
          <w:b/>
          <w:bCs/>
          <w:sz w:val="24"/>
          <w:szCs w:val="24"/>
        </w:rPr>
        <w:t xml:space="preserve">La Turchia è il caso sovradeterminato: somma maggioranza musulmana, laicità dello Stato con controllo dell'istruzione religiosa, e minoranza cattolica minima e in larga parte straniera. Vi si aggiunge un dettaglio che merita attenzione e che è esposto al Capitolo nono: la medesima legge che nel 1971 chiuse il seminario del Patriarcato ecumenico vietava l'istruzione superiore privata non affiliata alle università di Stato, precludendo così anche l'eventuale radicamento educativo di enti confessionali.</w:t>
      </w:r>
    </w:p>
    <w:p>
      <w:pPr>
        <w:spacing w:after="120" w:line="276"/>
        <w:jc w:val="both"/>
      </w:pPr>
      <w:r>
        <w:rPr>
          <w:rFonts w:ascii="Barlow Semi Condensed" w:cs="Barlow Semi Condensed" w:eastAsia="Barlow Semi Condensed" w:hAnsi="Barlow Semi Condensed"/>
          <w:b/>
          <w:bCs/>
          <w:sz w:val="24"/>
          <w:szCs w:val="24"/>
        </w:rPr>
        <w:t xml:space="preserve">Il termine di confronto positivo regionale è il Libano, dal 1996, dove esiste un ceto cattolico autoctono di dimensione significativa. Dove esso esiste l'ente si insedia; dove non esiste no.</w:t>
      </w:r>
    </w:p>
    <w:p>
      <w:pPr>
        <w:spacing w:after="120" w:line="276"/>
        <w:jc w:val="both"/>
      </w:pPr>
      <w:r>
        <w:rPr>
          <w:rFonts w:ascii="Barlow Semi Condensed" w:cs="Barlow Semi Condensed" w:eastAsia="Barlow Semi Condensed" w:hAnsi="Barlow Semi Condensed"/>
          <w:b/>
          <w:bCs/>
          <w:sz w:val="24"/>
          <w:szCs w:val="24"/>
        </w:rPr>
        <w:t xml:space="preserve">Sulla natura della fonte impiegata per l'accertamento, che va dichiarata. L'assenza dei tre Paesi è verificata sull'elenco ufficiale dell'istituzione medesima relativo alle date di inizio del lavoro stabile nei vari Paesi, e sull'elenco delle sue circoscrizioni regionali. Si tratta della fonte migliore possibile su questo specifico dato, per la ragione ordinaria che un'organizzazione è la fonte più attendibile sui propri insediamenti — e la peggiore sulle proprie responsabilità, il che qui non rileva perché non si tratta di responsabilità ma di geografia.</w:t>
      </w:r>
    </w:p>
    <w:p>
      <w:pPr>
        <w:pStyle w:val="Heading2"/>
        <w:spacing w:after="100" w:before="200"/>
      </w:pPr>
      <w:r>
        <w:rPr>
          <w:rFonts w:ascii="Barlow Semi Condensed" w:cs="Barlow Semi Condensed" w:eastAsia="Barlow Semi Condensed" w:hAnsi="Barlow Semi Condensed"/>
          <w:sz w:val="24"/>
          <w:szCs w:val="24"/>
        </w:rPr>
        <w:t xml:space="preserve">Capitolo secondo — L'elenco ufficiale e le tre assenze</w:t>
      </w:r>
    </w:p>
    <w:p>
      <w:pPr>
        <w:spacing w:after="120" w:line="276"/>
        <w:jc w:val="both"/>
      </w:pPr>
      <w:r>
        <w:rPr>
          <w:rFonts w:ascii="Barlow Semi Condensed" w:cs="Barlow Semi Condensed" w:eastAsia="Barlow Semi Condensed" w:hAnsi="Barlow Semi Condensed"/>
          <w:b/>
          <w:bCs/>
          <w:sz w:val="24"/>
          <w:szCs w:val="24"/>
        </w:rPr>
        <w:t xml:space="preserve">Il capitolo espone il dato documentale su cui poggia l'intero studio, e lo espone per intero perché la verifica sia riproducibile.</w:t>
      </w:r>
    </w:p>
    <w:p>
      <w:pPr>
        <w:spacing w:after="120" w:line="276"/>
        <w:jc w:val="both"/>
      </w:pPr>
      <w:r>
        <w:rPr>
          <w:rFonts w:ascii="Barlow Semi Condensed" w:cs="Barlow Semi Condensed" w:eastAsia="Barlow Semi Condensed" w:hAnsi="Barlow Semi Condensed"/>
          <w:b/>
          <w:bCs/>
          <w:sz w:val="24"/>
          <w:szCs w:val="24"/>
        </w:rPr>
        <w:t xml:space="preserve">La fonte. L'Opus Dei pubblica sul proprio sito istituzionale, nell'articolo dedicato alla propria storia, l'elenco intitolato date di inizio del lavoro stabile dell'Opus Dei nei vari Paesi, e dichiara nella medesima pagina di essere presente in sessantotto Paesi.</w:t>
      </w:r>
    </w:p>
    <w:p>
      <w:pPr>
        <w:spacing w:after="120" w:line="276"/>
        <w:jc w:val="both"/>
      </w:pPr>
      <w:r>
        <w:rPr>
          <w:rFonts w:ascii="Barlow Semi Condensed" w:cs="Barlow Semi Condensed" w:eastAsia="Barlow Semi Condensed" w:hAnsi="Barlow Semi Condensed"/>
          <w:b/>
          <w:bCs/>
          <w:sz w:val="24"/>
          <w:szCs w:val="24"/>
        </w:rPr>
        <w:t xml:space="preserve">L'elenco, verificato integralmente.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La Spagna, patria di fondazione, è indicata nel racconto fondativo con la data del 2 ottobre 1928.</w:t>
      </w:r>
    </w:p>
    <w:p>
      <w:pPr>
        <w:spacing w:after="120" w:line="276"/>
        <w:jc w:val="both"/>
      </w:pPr>
      <w:r>
        <w:rPr>
          <w:rFonts w:ascii="Barlow Semi Condensed" w:cs="Barlow Semi Condensed" w:eastAsia="Barlow Semi Condensed" w:hAnsi="Barlow Semi Condensed"/>
          <w:b/>
          <w:bCs/>
          <w:sz w:val="24"/>
          <w:szCs w:val="24"/>
        </w:rPr>
        <w:t xml:space="preserve">Grecia, Cipro e Turchia non compaiono in alcuna posizione, a nessun anno.</w:t>
      </w:r>
    </w:p>
    <w:p>
      <w:pPr>
        <w:spacing w:after="120" w:line="276"/>
        <w:jc w:val="both"/>
      </w:pPr>
      <w:r>
        <w:rPr>
          <w:rFonts w:ascii="Barlow Semi Condensed" w:cs="Barlow Semi Condensed" w:eastAsia="Barlow Semi Condensed" w:hAnsi="Barlow Semi Condensed"/>
          <w:b/>
          <w:bCs/>
          <w:sz w:val="24"/>
          <w:szCs w:val="24"/>
        </w:rPr>
        <w:t xml:space="preserve">Il riscontro sul secondo elenco. L'articolo dedicato alle circoscrizioni regionali della Prelatura — riorganizzate in trentuno circoscrizioni a partire dal 2021, comprendenti circa settanta Paesi, e in altra versione dell'elenco indicate in ventitré — non include nessuno dei tre Paesi, né come regione, né come delegazione, né come territorio aggregato ad altra circoscrizione.</w:t>
      </w:r>
    </w:p>
    <w:p>
      <w:pPr>
        <w:spacing w:after="120" w:line="276"/>
        <w:jc w:val="both"/>
      </w:pPr>
      <w:r>
        <w:rPr>
          <w:rFonts w:ascii="Barlow Semi Condensed" w:cs="Barlow Semi Condensed" w:eastAsia="Barlow Semi Condensed" w:hAnsi="Barlow Semi Condensed"/>
          <w:b/>
          <w:bCs/>
          <w:sz w:val="24"/>
          <w:szCs w:val="24"/>
        </w:rPr>
        <w:t xml:space="preserve">Un'avvertenza che va posta per prevenire un errore. Le pagine del sito dell'ente recano, nel selettore di lingua, la voce in caratteri greci con l'indicazione della Grecia. Si tratta esclusivamente di un'opzione di localizzazione linguistica, poiché l'ente offre contenuti in lingua greca; non è una dichiarazione di presenza apostolica stabile. La distinzione è metodologicamente essenziale e va tenuta ferma, perché è il genere di dettaglio da cui nascono le attribuzioni infondate.</w:t>
      </w:r>
    </w:p>
    <w:p>
      <w:pPr>
        <w:spacing w:after="120" w:line="276"/>
        <w:jc w:val="both"/>
      </w:pPr>
      <w:r>
        <w:rPr>
          <w:rFonts w:ascii="Barlow Semi Condensed" w:cs="Barlow Semi Condensed" w:eastAsia="Barlow Semi Condensed" w:hAnsi="Barlow Semi Condensed"/>
          <w:b/>
          <w:bCs/>
          <w:sz w:val="24"/>
          <w:szCs w:val="24"/>
        </w:rPr>
        <w:t xml:space="preserve">Due occorrenze spurie del binomio Opus Dei-Turchia vanno segnalate e qualificate. La prima è una testimonianza, pubblicata dall'ente medesimo, di studenti musulmani e di un turco ortodosso ospiti di una residenza universitaria diretta da membri dell'istituzione a Strasburgo, in Francia — dunque fuori dalla Turchia. La seconda è un articolo di un quotidiano turco del 22 gennaio 2015 che accosta, sul piano puramente comparativo e polemico, la struttura di un movimento religioso turco a quella dell'Opus Dei: accostamento giornalistico privo di valore probatorio di alcuna presenza istituzionale.</w:t>
      </w:r>
    </w:p>
    <w:p>
      <w:pPr>
        <w:spacing w:after="120" w:line="276"/>
        <w:jc w:val="both"/>
      </w:pPr>
      <w:r>
        <w:rPr>
          <w:rFonts w:ascii="Barlow Semi Condensed" w:cs="Barlow Semi Condensed" w:eastAsia="Barlow Semi Condensed" w:hAnsi="Barlow Semi Condensed"/>
          <w:b/>
          <w:bCs/>
          <w:sz w:val="24"/>
          <w:szCs w:val="24"/>
        </w:rPr>
        <w:t xml:space="preserve">Un unico frammento storico collega l'ente alla Grecia, e va riportato con la massima cautela. Secondo la testimonianza di un ex membro, riportata in un'intervista giornalistica, il fondatore e Álvaro del Portillo si sarebbero recati in Grecia nel 1967 per valutare se fosse possibile portare l'Opus Dei nella Chiesa ortodossa greca, progetto presto abbandonato come impraticabile. È testimonianza unica di ex membro, controversa, relativa a un'idea esplorativa abbandonata: non attesta alcuna presenza e non muta l'esito.</w:t>
      </w:r>
    </w:p>
    <w:p>
      <w:pPr>
        <w:spacing w:after="120" w:line="276"/>
        <w:jc w:val="both"/>
      </w:pPr>
      <w:r>
        <w:rPr>
          <w:rFonts w:ascii="Barlow Semi Condensed" w:cs="Barlow Semi Condensed" w:eastAsia="Barlow Semi Condensed" w:hAnsi="Barlow Semi Condensed"/>
          <w:b/>
          <w:bCs/>
          <w:sz w:val="24"/>
          <w:szCs w:val="24"/>
        </w:rPr>
        <w:t xml:space="preserve">Si registra inoltre l'esistenza, in lingua greca, di un libello polemico intitolato all'Opus Dei in Grecia, di taglio cospirazionista, che confonde l'istituzione con movimenti laicali ortodossi greci. Non è fonte attendibile e non documenta alcun insediamento.</w:t>
      </w:r>
    </w:p>
    <w:p>
      <w:pPr>
        <w:pStyle w:val="Heading2"/>
        <w:spacing w:after="100" w:before="200"/>
      </w:pPr>
      <w:r>
        <w:rPr>
          <w:rFonts w:ascii="Barlow Semi Condensed" w:cs="Barlow Semi Condensed" w:eastAsia="Barlow Semi Condensed" w:hAnsi="Barlow Semi Condensed"/>
          <w:sz w:val="24"/>
          <w:szCs w:val="24"/>
        </w:rPr>
        <w:t xml:space="preserve">Capitolo terzo — La Grecia: il caso che esclude la variabile del regime</w:t>
      </w:r>
    </w:p>
    <w:p>
      <w:pPr>
        <w:spacing w:after="120" w:line="276"/>
        <w:jc w:val="both"/>
      </w:pPr>
      <w:r>
        <w:rPr>
          <w:rFonts w:ascii="Barlow Semi Condensed" w:cs="Barlow Semi Condensed" w:eastAsia="Barlow Semi Condensed" w:hAnsi="Barlow Semi Condensed"/>
          <w:b/>
          <w:bCs/>
          <w:sz w:val="24"/>
          <w:szCs w:val="24"/>
        </w:rPr>
        <w:t xml:space="preserve">Il capitolo espone il primo dei tre casi, e la sua funzione dimostrativa.</w:t>
      </w:r>
    </w:p>
    <w:p>
      <w:pPr>
        <w:spacing w:after="120" w:line="276"/>
        <w:jc w:val="both"/>
      </w:pPr>
      <w:r>
        <w:rPr>
          <w:rFonts w:ascii="Barlow Semi Condensed" w:cs="Barlow Semi Condensed" w:eastAsia="Barlow Semi Condensed" w:hAnsi="Barlow Semi Condensed"/>
          <w:b/>
          <w:bCs/>
          <w:sz w:val="24"/>
          <w:szCs w:val="24"/>
        </w:rPr>
        <w:t xml:space="preserve">Il regime. La Grecia conobbe una dittatura militare dal colpo di Stato del 21 aprile 1967 al crollo della giunta del 23 luglio 1974, coeva quindi al franchismo spagnolo e all'Estado Novo portoghese. Se la natura autoritaria del regime fosse la condizione dell'insediamento dell'Opus Dei, la Grecia sarebbe stata terreno propizio; l'ente non vi si insediò.</w:t>
      </w:r>
    </w:p>
    <w:p>
      <w:pPr>
        <w:spacing w:after="120" w:line="276"/>
        <w:jc w:val="both"/>
      </w:pPr>
      <w:r>
        <w:rPr>
          <w:rFonts w:ascii="Barlow Semi Condensed" w:cs="Barlow Semi Condensed" w:eastAsia="Barlow Semi Condensed" w:hAnsi="Barlow Semi Condensed"/>
          <w:b/>
          <w:bCs/>
          <w:sz w:val="24"/>
          <w:szCs w:val="24"/>
        </w:rPr>
        <w:t xml:space="preserve">La ragione, documentata, è demografico-religiosa e costituzionale. I cattolici greci sono una minoranza esigua. Una fonte vaticana del dicembre 2021 indica che essi costituiscono lo zero virgola cinque per cento della popolazione, circa cinquantamila persone, con la maggioranza ad Atene, e con Syros a ottomila e Tinos a tremila che hanno villaggi e parrocchie interamente cattolici, oltre a nuclei a Corfù, Patrasso, Salonicco, Volos e Kavala.</w:t>
      </w:r>
    </w:p>
    <w:p>
      <w:pPr>
        <w:spacing w:after="120" w:line="276"/>
        <w:jc w:val="both"/>
      </w:pPr>
      <w:r>
        <w:rPr>
          <w:rFonts w:ascii="Barlow Semi Condensed" w:cs="Barlow Semi Condensed" w:eastAsia="Barlow Semi Condensed" w:hAnsi="Barlow Semi Condensed"/>
          <w:b/>
          <w:bCs/>
          <w:sz w:val="24"/>
          <w:szCs w:val="24"/>
        </w:rPr>
        <w:t xml:space="preserve">Le stime divergono e la divergenza va riportata. Altre fonti vaticane indicano l'uno virgola due per cento, circa centotrentatremila su undici milioni; la Chiesa cattolica greca nel 2018 stimava fino a quattrocentomila cattolici comprendendo i gruppi stranieri principali — polacchi circa quarantamila, filippini circa quarantacinquemila, albanesi. Le tre cifre non sono confrontabili perché non misurano la medesima cosa.</w:t>
      </w:r>
    </w:p>
    <w:p>
      <w:pPr>
        <w:spacing w:after="120" w:line="276"/>
        <w:jc w:val="both"/>
      </w:pPr>
      <w:r>
        <w:rPr>
          <w:rFonts w:ascii="Barlow Semi Condensed" w:cs="Barlow Semi Condensed" w:eastAsia="Barlow Semi Condensed" w:hAnsi="Barlow Semi Condensed"/>
          <w:b/>
          <w:bCs/>
          <w:sz w:val="24"/>
          <w:szCs w:val="24"/>
        </w:rPr>
        <w:t xml:space="preserve">La struttura ecclesiastica latina si articola nell'arcidiocesi di Atene, nell'arcidiocesi di Naxos-Tinos-Andros-Mykonos, nell'arcidiocesi di Corfù, nella diocesi di Syros e Santorini, oltre all'esarcato apostolico greco-cattolico di rito bizantino, eretto da Pio XI nel 1932, con circa quattromila fedeli.</w:t>
      </w:r>
    </w:p>
    <w:p>
      <w:pPr>
        <w:spacing w:after="120" w:line="276"/>
        <w:jc w:val="both"/>
      </w:pPr>
      <w:r>
        <w:rPr>
          <w:rFonts w:ascii="Barlow Semi Condensed" w:cs="Barlow Semi Condensed" w:eastAsia="Barlow Semi Condensed" w:hAnsi="Barlow Semi Condensed"/>
          <w:b/>
          <w:bCs/>
          <w:sz w:val="24"/>
          <w:szCs w:val="24"/>
        </w:rPr>
        <w:t xml:space="preserve">Il dato costituzionale. La Costituzione greca riconosce alla Chiesa ortodossa orientale la posizione di religione prevalente, all'articolo terzo; e per la maggioranza degli ortodossi greci chi non è ortodosso non è considerato veramente greco, sicché le altre confessioni sono ufficialmente religioni straniere.</w:t>
      </w:r>
    </w:p>
    <w:p>
      <w:pPr>
        <w:spacing w:after="120" w:line="276"/>
        <w:jc w:val="both"/>
      </w:pPr>
      <w:r>
        <w:rPr>
          <w:rFonts w:ascii="Barlow Semi Condensed" w:cs="Barlow Semi Condensed" w:eastAsia="Barlow Semi Condensed" w:hAnsi="Barlow Semi Condensed"/>
          <w:b/>
          <w:bCs/>
          <w:sz w:val="24"/>
          <w:szCs w:val="24"/>
        </w:rPr>
        <w:t xml:space="preserve">Ne discende la constatazione del capitolo. In un contesto simile, un'istituzione di apostolato laicale che opera per santificare ambienti professionali e universitari attraverso una rete di membri cattolici non aveva un bacino sociale su cui radicarsi, indipendentemente dalla natura del regime.</w:t>
      </w:r>
    </w:p>
    <w:p>
      <w:pPr>
        <w:spacing w:after="120" w:line="276"/>
        <w:jc w:val="both"/>
      </w:pPr>
      <w:r>
        <w:rPr>
          <w:rFonts w:ascii="Barlow Semi Condensed" w:cs="Barlow Semi Condensed" w:eastAsia="Barlow Semi Condensed" w:hAnsi="Barlow Semi Condensed"/>
          <w:b/>
          <w:bCs/>
          <w:sz w:val="24"/>
          <w:szCs w:val="24"/>
        </w:rPr>
        <w:t xml:space="preserve">Un dato che conferma per via indipendente l'estraneità. Le relazioni diplomatiche fra Grecia e Santa Sede furono stabilite soltanto nel 1979 — o nel 1980 secondo altra fonte, e la divergenza si riporta — con Nunziatura apostolica ad Atene istituita immediatamente e ambasciatore greco residente inizialmente a Parigi; un'ambasciata greca presso la Santa Sede fu istituita a Roma solo nel 1988.</w:t>
      </w:r>
    </w:p>
    <w:p>
      <w:pPr>
        <w:spacing w:after="120" w:line="276"/>
        <w:jc w:val="both"/>
      </w:pPr>
      <w:r>
        <w:rPr>
          <w:rFonts w:ascii="Barlow Semi Condensed" w:cs="Barlow Semi Condensed" w:eastAsia="Barlow Semi Condensed" w:hAnsi="Barlow Semi Condensed"/>
          <w:b/>
          <w:bCs/>
          <w:sz w:val="24"/>
          <w:szCs w:val="24"/>
        </w:rPr>
        <w:t xml:space="preserve">Il Ministero degli Esteri ellenico collega esplicitamente la decisione del 1979 alle aspirazioni greche di adesione alla Comunità europea, e registra il disagio del Santo Sinodo ortodosso di fronte al riconoscimento del Vaticano come Stato dotato di autorità secolare.</w:t>
      </w:r>
    </w:p>
    <w:p>
      <w:pPr>
        <w:spacing w:after="120" w:line="276"/>
        <w:jc w:val="both"/>
      </w:pPr>
      <w:r>
        <w:rPr>
          <w:rFonts w:ascii="Barlow Semi Condensed" w:cs="Barlow Semi Condensed" w:eastAsia="Barlow Semi Condensed" w:hAnsi="Barlow Semi Condensed"/>
          <w:b/>
          <w:bCs/>
          <w:sz w:val="24"/>
          <w:szCs w:val="24"/>
        </w:rPr>
        <w:t xml:space="preserve">Per l'intero periodo qui rilevante, e a fortiori per gli anni della giunta, non esistevano dunque relazioni diplomatiche piene fra Atene e la Santa Sede. Ciò esclude alla radice l'esistenza di un canale bilaterale su cui potesse innestarsi qualunque triangolazione.</w:t>
      </w:r>
    </w:p>
    <w:p>
      <w:pPr>
        <w:pStyle w:val="Heading2"/>
        <w:spacing w:after="100" w:before="200"/>
      </w:pPr>
      <w:r>
        <w:rPr>
          <w:rFonts w:ascii="Barlow Semi Condensed" w:cs="Barlow Semi Condensed" w:eastAsia="Barlow Semi Condensed" w:hAnsi="Barlow Semi Condensed"/>
          <w:sz w:val="24"/>
          <w:szCs w:val="24"/>
        </w:rPr>
        <w:t xml:space="preserve">Capitolo quarto — Cipro: il caso probante, e perché lo è</w:t>
      </w:r>
    </w:p>
    <w:p>
      <w:pPr>
        <w:spacing w:after="120" w:line="276"/>
        <w:jc w:val="both"/>
      </w:pPr>
      <w:r>
        <w:rPr>
          <w:rFonts w:ascii="Barlow Semi Condensed" w:cs="Barlow Semi Condensed" w:eastAsia="Barlow Semi Condensed" w:hAnsi="Barlow Semi Condensed"/>
          <w:b/>
          <w:bCs/>
          <w:sz w:val="24"/>
          <w:szCs w:val="24"/>
        </w:rPr>
        <w:t xml:space="preserve">Il capitolo espone il secondo caso, che è il più importante dei tre per la dimostrazione, e ne spiega la funzione.</w:t>
      </w:r>
    </w:p>
    <w:p>
      <w:pPr>
        <w:spacing w:after="120" w:line="276"/>
        <w:jc w:val="both"/>
      </w:pPr>
      <w:r>
        <w:rPr>
          <w:rFonts w:ascii="Barlow Semi Condensed" w:cs="Barlow Semi Condensed" w:eastAsia="Barlow Semi Condensed" w:hAnsi="Barlow Semi Condensed"/>
          <w:b/>
          <w:bCs/>
          <w:sz w:val="24"/>
          <w:szCs w:val="24"/>
        </w:rPr>
        <w:t xml:space="preserve">La differenza rispetto alla Grecia va enunciata subito. Cipro possiede minoranze cattoliche antiche, strutturate e costituzionalmente riconosciute, che la Grecia non possiede nella medesima forma. Se ciò nonostante l'ente vi è assente, allora la mera presenza di cattolici non è condizione sufficiente all'insediamento — e questa è precisamente la variabile che il caso cipriota isola.</w:t>
      </w:r>
    </w:p>
    <w:p>
      <w:pPr>
        <w:spacing w:after="120" w:line="276"/>
        <w:jc w:val="both"/>
      </w:pPr>
      <w:r>
        <w:rPr>
          <w:rFonts w:ascii="Barlow Semi Condensed" w:cs="Barlow Semi Condensed" w:eastAsia="Barlow Semi Condensed" w:hAnsi="Barlow Semi Condensed"/>
          <w:b/>
          <w:bCs/>
          <w:sz w:val="24"/>
          <w:szCs w:val="24"/>
        </w:rPr>
        <w:t xml:space="preserve">Il riconoscimento costituzionale. La Costituzione del 1960 riconobbe come gruppi religiosi tre minoranze — maroniti, armeni e latini — imponendo a ciascuna l'obbligo di optare per l'appartenenza alla comunità greca o a quella turca. Le tre scelsero per voto, poco prima dell'indipendenza, la comunità greca, con cui condividevano maggiori elementi.</w:t>
      </w:r>
    </w:p>
    <w:p>
      <w:pPr>
        <w:spacing w:after="120" w:line="276"/>
        <w:jc w:val="both"/>
      </w:pPr>
      <w:r>
        <w:rPr>
          <w:rFonts w:ascii="Barlow Semi Condensed" w:cs="Barlow Semi Condensed" w:eastAsia="Barlow Semi Condensed" w:hAnsi="Barlow Semi Condensed"/>
          <w:b/>
          <w:bCs/>
          <w:sz w:val="24"/>
          <w:szCs w:val="24"/>
        </w:rPr>
        <w:t xml:space="preserve">I maroniti. Cattolici di rito antiocheno siriaco in comunione con Roma, presenti nell'isola per successive ondate migratorie dal Levante a partire dall'ottavo secolo; dopo aver toccato il quindici-venti per cento della popolazione nell'età latina, si ridussero drasticamente sotto la dominazione ottomana. Sul piano ecclesiastico opera l'Arcieparchia maronita di Cipro, retta al momento dell'indipendenza dall'arcivescovo Elie Farah, nominato nel 1954 e in carica fino al ritiro nel 1986.</w:t>
      </w:r>
    </w:p>
    <w:p>
      <w:pPr>
        <w:spacing w:after="120" w:line="276"/>
        <w:jc w:val="both"/>
      </w:pPr>
      <w:r>
        <w:rPr>
          <w:rFonts w:ascii="Barlow Semi Condensed" w:cs="Barlow Semi Condensed" w:eastAsia="Barlow Semi Condensed" w:hAnsi="Barlow Semi Condensed"/>
          <w:b/>
          <w:bCs/>
          <w:sz w:val="24"/>
          <w:szCs w:val="24"/>
        </w:rPr>
        <w:t xml:space="preserve">Le consistenze, con divergenze da riportare. Il primo censimento della Repubblica, nel 1960, registrava duemilasettecentocinquantadue maroniti, principalmente nei quattro villaggi superstiti; altre fonti indicano tremilacinquecento al momento dell'indipendenza; fonti recenti stimano la comunità attorno alle seimila unità; una fonte vaticana la indica all'uno virgola cinque per cento; l'Annuario Pontificio a fine 2013 registrava diecimilaquattrocento battezzati su ottocentotrentottomilaottocentonovantasette abitanti, pari all'uno virgola due per cento.</w:t>
      </w:r>
    </w:p>
    <w:p>
      <w:pPr>
        <w:spacing w:after="120" w:line="276"/>
        <w:jc w:val="both"/>
      </w:pPr>
      <w:r>
        <w:rPr>
          <w:rFonts w:ascii="Barlow Semi Condensed" w:cs="Barlow Semi Condensed" w:eastAsia="Barlow Semi Condensed" w:hAnsi="Barlow Semi Condensed"/>
          <w:b/>
          <w:bCs/>
          <w:sz w:val="24"/>
          <w:szCs w:val="24"/>
        </w:rPr>
        <w:t xml:space="preserve">I quattro villaggi maroniti — Kormakitis il più grande, Asomatos, Karpaseia e Agia Marina — si trovavano tutti nel nord dell'isola e, dopo l'occupazione turca del 1974, restarono al di là della Linea Verde. La maggioranza della comunità fu sfollata verso sud. Una fonte ecclesiastica registra che a Kormakitis la comunità si è ridotta a circa cento residenti permanenti, sui duemilasettecento che un tempo vi vivevano.</w:t>
      </w:r>
    </w:p>
    <w:p>
      <w:pPr>
        <w:spacing w:after="120" w:line="276"/>
        <w:jc w:val="both"/>
      </w:pPr>
      <w:r>
        <w:rPr>
          <w:rFonts w:ascii="Barlow Semi Condensed" w:cs="Barlow Semi Condensed" w:eastAsia="Barlow Semi Condensed" w:hAnsi="Barlow Semi Condensed"/>
          <w:b/>
          <w:bCs/>
          <w:sz w:val="24"/>
          <w:szCs w:val="24"/>
        </w:rPr>
        <w:t xml:space="preserve">Va registrata anche la perdita linguistica, perché è una conseguenza documentata: la dispersione dei parlanti l'arabo cipriota-maronita — il \sanna\, dialetto di ceppo aramaico-arabo — nelle comunità greco-cipriote del sud lo ha reso criticamente in pericolo.</w:t>
      </w:r>
    </w:p>
    <w:p>
      <w:pPr>
        <w:spacing w:after="120" w:line="276"/>
        <w:jc w:val="both"/>
      </w:pPr>
      <w:r>
        <w:rPr>
          <w:rFonts w:ascii="Barlow Semi Condensed" w:cs="Barlow Semi Condensed" w:eastAsia="Barlow Semi Condensed" w:hAnsi="Barlow Semi Condensed"/>
          <w:b/>
          <w:bCs/>
          <w:sz w:val="24"/>
          <w:szCs w:val="24"/>
        </w:rPr>
        <w:t xml:space="preserve">I latini. Eredi della dominazione veneziana e genovese e della fase franca, presenti con continuità dal 1192; la cura pastorale è affidata dal 1847 al Vicariato patriarcale latino di Cipro, dipendente dal Patriarcato latino di Gerusalemme. Il Vicariato conta quattro parrocchie — Nicosia, Pafos, Limassol, Larnaka — di cui una gestita dal Patriarcato e tre affidate ai francescani, presenti nell'isola dagli inizi dell'Ordine e reinsediatisi nel 1593 per concessione della Sublime Porta.</w:t>
      </w:r>
    </w:p>
    <w:p>
      <w:pPr>
        <w:spacing w:after="120" w:line="276"/>
        <w:jc w:val="both"/>
      </w:pPr>
      <w:r>
        <w:rPr>
          <w:rFonts w:ascii="Barlow Semi Condensed" w:cs="Barlow Semi Condensed" w:eastAsia="Barlow Semi Condensed" w:hAnsi="Barlow Semi Condensed"/>
          <w:b/>
          <w:bCs/>
          <w:sz w:val="24"/>
          <w:szCs w:val="24"/>
        </w:rPr>
        <w:t xml:space="preserve">Le relazioni diplomatiche con la Santa Sede, datate. La Nunziatura apostolica a Cipro fu eretta il 12 febbraio 1973, con Pio Laghi Pro-Nunzio dal 28 maggio 1973 al 27 aprile 1974, seguito da William Aquin Carew dal 13 maggio 1974. Il primo ambasciatore di Cipro presso la Santa Sede fu ricevuto da Paolo VI il 24 settembre 1973, in un'allocuzione in cui il pontefice qualificò l'evento come la prima volta che l'isola era così rappresentata presso la Sede Apostolica.</w:t>
      </w:r>
    </w:p>
    <w:p>
      <w:pPr>
        <w:spacing w:after="120" w:line="276"/>
        <w:jc w:val="both"/>
      </w:pPr>
      <w:r>
        <w:rPr>
          <w:rFonts w:ascii="Barlow Semi Condensed" w:cs="Barlow Semi Condensed" w:eastAsia="Barlow Semi Condensed" w:hAnsi="Barlow Semi Condensed"/>
          <w:b/>
          <w:bCs/>
          <w:sz w:val="24"/>
          <w:szCs w:val="24"/>
        </w:rPr>
        <w:t xml:space="preserve">Un elemento cronologico va notato e qualificato. L'erezione della Nunziatura, nel febbraio 1973, e l'accreditamento dell'ambasciatore, nel settembre 1973, cadono entrambi durante il secondo mandato ministeriale di Moro. È cronologia parallela e non nesso: nessuna fonte attesta alcun ruolo italiano in questi atti, che appartengono interamente al bilaterale fra Nicosia e la Santa Sede.</w:t>
      </w:r>
    </w:p>
    <w:p>
      <w:pPr>
        <w:spacing w:after="120" w:line="276"/>
        <w:jc w:val="both"/>
      </w:pPr>
      <w:r>
        <w:rPr>
          <w:rFonts w:ascii="Barlow Semi Condensed" w:cs="Barlow Semi Condensed" w:eastAsia="Barlow Semi Condensed" w:hAnsi="Barlow Semi Condensed"/>
          <w:b/>
          <w:bCs/>
          <w:sz w:val="24"/>
          <w:szCs w:val="24"/>
        </w:rPr>
        <w:t xml:space="preserve">E qui la risultanza del capitolo. Nonostante gerarchia propria, riconoscimento costituzionale, parrocchie, villaggi interi e Nunziatura apostolica dal 1973, l'Opus Dei non risulta avere mai avuto presenza a Cipro. Ne discende che la soglia di insediamento è più alta della semplice esistenza di cattolici: richiede la massa critica maggioritaria e il ceto professionale corrispondente.</w:t>
      </w:r>
    </w:p>
    <w:p>
      <w:pPr>
        <w:pStyle w:val="Heading2"/>
        <w:spacing w:after="100" w:before="200"/>
      </w:pPr>
      <w:r>
        <w:rPr>
          <w:rFonts w:ascii="Barlow Semi Condensed" w:cs="Barlow Semi Condensed" w:eastAsia="Barlow Semi Condensed" w:hAnsi="Barlow Semi Condensed"/>
          <w:sz w:val="24"/>
          <w:szCs w:val="24"/>
        </w:rPr>
        <w:t xml:space="preserve">Capitolo quinto — Makarios: la fusione di autorità che nessun altro caso presenta</w:t>
      </w:r>
    </w:p>
    <w:p>
      <w:pPr>
        <w:spacing w:after="120" w:line="276"/>
        <w:jc w:val="both"/>
      </w:pPr>
      <w:r>
        <w:rPr>
          <w:rFonts w:ascii="Barlow Semi Condensed" w:cs="Barlow Semi Condensed" w:eastAsia="Barlow Semi Condensed" w:hAnsi="Barlow Semi Condensed"/>
          <w:b/>
          <w:bCs/>
          <w:sz w:val="24"/>
          <w:szCs w:val="24"/>
        </w:rPr>
        <w:t xml:space="preserve">Il capitolo espone il tratto che rende Cipro unico nel periodo, e che costituisce il migliore snodo religioso dell'intera serie di ricognizioni.</w:t>
      </w:r>
    </w:p>
    <w:p>
      <w:pPr>
        <w:spacing w:after="120" w:line="276"/>
        <w:jc w:val="both"/>
      </w:pPr>
      <w:r>
        <w:rPr>
          <w:rFonts w:ascii="Barlow Semi Condensed" w:cs="Barlow Semi Condensed" w:eastAsia="Barlow Semi Condensed" w:hAnsi="Barlow Semi Condensed"/>
          <w:b/>
          <w:bCs/>
          <w:sz w:val="24"/>
          <w:szCs w:val="24"/>
        </w:rPr>
        <w:t xml:space="preserve">Il fatto. Michail Christodoulou Mouskos, in religione Makarios, fu simultaneamente arcivescovo primate della Chiesa ortodossa autocefala di Cipro e primo presidente della Repubblica, in una fusione di autorità ecclesiastica e statuale senza equivalenti nell'Europa del tempo.</w:t>
      </w:r>
    </w:p>
    <w:p>
      <w:pPr>
        <w:spacing w:after="120" w:line="276"/>
        <w:jc w:val="both"/>
      </w:pPr>
      <w:r>
        <w:rPr>
          <w:rFonts w:ascii="Barlow Semi Condensed" w:cs="Barlow Semi Condensed" w:eastAsia="Barlow Semi Condensed" w:hAnsi="Barlow Semi Condensed"/>
          <w:b/>
          <w:bCs/>
          <w:sz w:val="24"/>
          <w:szCs w:val="24"/>
        </w:rPr>
        <w:t xml:space="preserve">Le date, con divergenze da riportare. Sull'elevazione ad arcivescovo le fonti indicano il 18 ottobre 1950, il 20 ottobre 1950, e il 18 settembre 1950. La presidenza decorre dal 1960.</w:t>
      </w:r>
    </w:p>
    <w:p>
      <w:pPr>
        <w:spacing w:after="120" w:line="276"/>
        <w:jc w:val="both"/>
      </w:pPr>
      <w:r>
        <w:rPr>
          <w:rFonts w:ascii="Barlow Semi Condensed" w:cs="Barlow Semi Condensed" w:eastAsia="Barlow Semi Condensed" w:hAnsi="Barlow Semi Condensed"/>
          <w:b/>
          <w:bCs/>
          <w:sz w:val="24"/>
          <w:szCs w:val="24"/>
        </w:rPr>
        <w:t xml:space="preserve">Il fondamento canonico. La Chiesa di Cipro gode di autocefalia risalente al Concilio di Efeso del 431, quando ottenne l'indipendenza dal Patriarcato di Antiochia; il suo primate porta il titolo di arcivescovo di Nuova Giustiniana e di tutta Cipro. A questa dignità si sovrapponeva nella tradizione la funzione di etnarca, capo civile riconosciuto della comunità greco-ortodossa, eredità delle prerogative concesse dal sistema ottomano del \millet\ alle gerarchie cristiane.</w:t>
      </w:r>
    </w:p>
    <w:p>
      <w:pPr>
        <w:spacing w:after="120" w:line="276"/>
        <w:jc w:val="both"/>
      </w:pPr>
      <w:r>
        <w:rPr>
          <w:rFonts w:ascii="Barlow Semi Condensed" w:cs="Barlow Semi Condensed" w:eastAsia="Barlow Semi Condensed" w:hAnsi="Barlow Semi Condensed"/>
          <w:b/>
          <w:bCs/>
          <w:sz w:val="24"/>
          <w:szCs w:val="24"/>
        </w:rPr>
        <w:t xml:space="preserve">Ne discende una precisazione di rilievo. La fusione fra autorità ecclesiastica ed etnarcale precede di secoli l'indipendenza; ciò che il 1960 aggiunse fu la sovrapposizione di una terza titolarità, quella presidenziale, entro un ordinamento costituzionale nuovo — bicomunitario, con presidente greco-cipriota e vicepresidente turco-cipriota eletti da collegi separati.</w:t>
      </w:r>
    </w:p>
    <w:p>
      <w:pPr>
        <w:spacing w:after="120" w:line="276"/>
        <w:jc w:val="both"/>
      </w:pPr>
      <w:r>
        <w:rPr>
          <w:rFonts w:ascii="Barlow Semi Condensed" w:cs="Barlow Semi Condensed" w:eastAsia="Barlow Semi Condensed" w:hAnsi="Barlow Semi Condensed"/>
          <w:b/>
          <w:bCs/>
          <w:sz w:val="24"/>
          <w:szCs w:val="24"/>
        </w:rPr>
        <w:t xml:space="preserve">Un rilievo giuridico va enunciato. Le fonti attestano la simultaneità delle cariche e il loro fondamento nei due ordinamenti; non attestano l'esistenza di una norma di raccordo fra essi, sicché la doppia titolarità operò di fatto come cumulo consuetudinario più che come istituto giuridicamente definito.</w:t>
      </w:r>
    </w:p>
    <w:p>
      <w:pPr>
        <w:spacing w:after="120" w:line="276"/>
        <w:jc w:val="both"/>
      </w:pPr>
      <w:r>
        <w:rPr>
          <w:rFonts w:ascii="Barlow Semi Condensed" w:cs="Barlow Semi Condensed" w:eastAsia="Barlow Semi Condensed" w:hAnsi="Barlow Semi Condensed"/>
          <w:b/>
          <w:bCs/>
          <w:sz w:val="24"/>
          <w:szCs w:val="24"/>
        </w:rPr>
        <w:t xml:space="preserve">La controversia dei tre vescovi, per date. Il 2 marzo 1972, nella seduta del Santo Sinodo, i tre metropoliti — Gennadios di Pafos, Anthimos di Kition e Kyprianos di Kyrenia, ossia tre dei cinque membri dell'episcopato — presentarono una mozione chiedendo a Makarios di dimettersi dalla presidenza, sostenendo l'incompatibilità canonica fra ufficio clericale e carica civile. Makarios rispose il 19 marzo 1972 accusandoli di aver cospirato fra loro e con soggetti esterni alla Chiesa, con allusione trasparente alla giunta di Atene e a Gheorghios Grivas, capo dell'organizzazione clandestina rientrata segretamente nell'isola.</w:t>
      </w:r>
    </w:p>
    <w:p>
      <w:pPr>
        <w:spacing w:after="120" w:line="276"/>
        <w:jc w:val="both"/>
      </w:pPr>
      <w:r>
        <w:rPr>
          <w:rFonts w:ascii="Barlow Semi Condensed" w:cs="Barlow Semi Condensed" w:eastAsia="Barlow Semi Condensed" w:hAnsi="Barlow Semi Condensed"/>
          <w:b/>
          <w:bCs/>
          <w:sz w:val="24"/>
          <w:szCs w:val="24"/>
        </w:rPr>
        <w:t xml:space="preserve">L'argomento di Makarios va riportato perché è il punto teorico della vicenda. Egli sostenne che la carica di presidente della Repubblica non potesse dirsi secolare in un tempo in cui i greci ortodossi di Cipro lottavano per la propria sopravvivenza nazionale, saldando così la giustificazione della propria presidenza alla missione etnarcale della Chiesa. È posizione di parte, e come tale la si registra; ed è precisamente ciò che i suoi avversari contestavano sul piano dei canoni, invocando il principio secondo cui a un chierico è precluso l'esercizio di ufficio civile.</w:t>
      </w:r>
    </w:p>
    <w:p>
      <w:pPr>
        <w:spacing w:after="120" w:line="276"/>
        <w:jc w:val="both"/>
      </w:pPr>
      <w:r>
        <w:rPr>
          <w:rFonts w:ascii="Barlow Semi Condensed" w:cs="Barlow Semi Condensed" w:eastAsia="Barlow Semi Condensed" w:hAnsi="Barlow Semi Condensed"/>
          <w:b/>
          <w:bCs/>
          <w:sz w:val="24"/>
          <w:szCs w:val="24"/>
        </w:rPr>
        <w:t xml:space="preserve">L'esito. Rieletto senza avversari l'8 febbraio 1973, Makarios fu convocato dai tre davanti a una sessione straordinaria fissata per il 7 marzo 1973; rispose il 6 marzo dichiarando incostituzionale e invalida la convocazione e rifiutando di comparire. I tre, riuniti fra loro, lo dichiararono deposto dal trono arcivescovile e privato della grazia episcopale, riducendolo al rango di semplice laico col nome di Michail Mouskos, e designando Gennadios locum tenens.</w:t>
      </w:r>
    </w:p>
    <w:p>
      <w:pPr>
        <w:spacing w:after="120" w:line="276"/>
        <w:jc w:val="both"/>
      </w:pPr>
      <w:r>
        <w:rPr>
          <w:rFonts w:ascii="Barlow Semi Condensed" w:cs="Barlow Semi Condensed" w:eastAsia="Barlow Semi Condensed" w:hAnsi="Barlow Semi Condensed"/>
          <w:b/>
          <w:bCs/>
          <w:sz w:val="24"/>
          <w:szCs w:val="24"/>
        </w:rPr>
        <w:t xml:space="preserve">La risposta panortodossa. Makarios convocò un Grande Sinodo, riunito il 6 e 7 luglio 1973, presieduto — in assenza del Patriarca ecumenico — dal Patriarca Nicola VI di Alessandria, con sedici vescovi di fuori isola fra cui il Patriarca di Antiochia; il Patriarca di Gerusalemme non poté partecipare per motivi di salute. Il 6 luglio il Sinodo dichiarò uncanonica e nulla la deposizione; il 14 luglio 1973 depose a sua volta i tre vescovi, riducendoli allo stato laicale con una dichiarazione di circa tremila parole.</w:t>
      </w:r>
    </w:p>
    <w:p>
      <w:pPr>
        <w:spacing w:after="120" w:line="276"/>
        <w:jc w:val="both"/>
      </w:pPr>
      <w:r>
        <w:rPr>
          <w:rFonts w:ascii="Barlow Semi Condensed" w:cs="Barlow Semi Condensed" w:eastAsia="Barlow Semi Condensed" w:hAnsi="Barlow Semi Condensed"/>
          <w:b/>
          <w:bCs/>
          <w:sz w:val="24"/>
          <w:szCs w:val="24"/>
        </w:rPr>
        <w:t xml:space="preserve">Le posizioni delle altre Chiese. Alessandria, Antiochia, Gerusalemme e Mosca sostennero Makarios, seguiti dai primati di Bulgaria, Polonia e Cecoslovacchia; il Patriarca di Antiochia dichiarò l'azione dei tre assolutamente nulla, irregolare e deplorevole, e quello di Mosca nulla e senza effetto.</w:t>
      </w:r>
    </w:p>
    <w:p>
      <w:pPr>
        <w:spacing w:after="120" w:line="276"/>
        <w:jc w:val="both"/>
      </w:pPr>
      <w:r>
        <w:rPr>
          <w:rFonts w:ascii="Barlow Semi Condensed" w:cs="Barlow Semi Condensed" w:eastAsia="Barlow Semi Condensed" w:hAnsi="Barlow Semi Condensed"/>
          <w:b/>
          <w:bCs/>
          <w:sz w:val="24"/>
          <w:szCs w:val="24"/>
        </w:rPr>
        <w:t xml:space="preserve">Una divergenza va riportata perché non è risolvibile con le fonti disponibili. Una fonte attesta il sostegno del Patriarca ecumenico Dimitrios e del Santo Sinodo di Grecia; un'altra fonte cipriota afferma che il Mega-Sinodo non fu presenziato dalla Grecia né dal patriarcato di Istanbul. È possibile che la divergenza dipenda dalla distinzione fra adesione formale alla decisione e presenza fisica al Sinodo, ma le fonti non consentono di scioglierla.</w:t>
      </w:r>
    </w:p>
    <w:p>
      <w:pPr>
        <w:spacing w:after="120" w:line="276"/>
        <w:jc w:val="both"/>
      </w:pPr>
      <w:r>
        <w:rPr>
          <w:rFonts w:ascii="Barlow Semi Condensed" w:cs="Barlow Semi Condensed" w:eastAsia="Barlow Semi Condensed" w:hAnsi="Barlow Semi Condensed"/>
          <w:b/>
          <w:bCs/>
          <w:sz w:val="24"/>
          <w:szCs w:val="24"/>
        </w:rPr>
        <w:t xml:space="preserve">Il nesso con il colpo di Stato del 1974, e il suo limite. I tre vescovi deposti riapparvero dopo il colpo del 15 luglio 1974, quando Nikos Sampson nominò arcivescovo Gennadios di Pafos; al ritorno di Makarios nel dicembre 1974 furono nuovamente destituiti per cospirazione.</w:t>
      </w:r>
    </w:p>
    <w:p>
      <w:pPr>
        <w:spacing w:after="120" w:line="276"/>
        <w:jc w:val="both"/>
      </w:pPr>
      <w:r>
        <w:rPr>
          <w:rFonts w:ascii="Barlow Semi Condensed" w:cs="Barlow Semi Condensed" w:eastAsia="Barlow Semi Condensed" w:hAnsi="Barlow Semi Condensed"/>
          <w:b/>
          <w:bCs/>
          <w:sz w:val="24"/>
          <w:szCs w:val="24"/>
        </w:rPr>
        <w:t xml:space="preserve">Il limite va enunciato con forza. Le fonti attestano che i medesimi ambienti furono indicati da Makarios come mandanti tanto della manovra ecclesiastica quanto del colpo militare, e attestano la riemersione dei vescovi deposti nel governo golpista. Ciò configura una convergenza documentata dalle dichiarazioni di Makarios e dagli eventi, ma non una prova documentale di un piano unitario, che le fonti reperite non forniscono.</w:t>
      </w:r>
    </w:p>
    <w:p>
      <w:pPr>
        <w:pStyle w:val="Heading2"/>
        <w:spacing w:after="100" w:before="200"/>
      </w:pPr>
      <w:r>
        <w:rPr>
          <w:rFonts w:ascii="Barlow Semi Condensed" w:cs="Barlow Semi Condensed" w:eastAsia="Barlow Semi Condensed" w:hAnsi="Barlow Semi Condensed"/>
          <w:sz w:val="24"/>
          <w:szCs w:val="24"/>
        </w:rPr>
        <w:t xml:space="preserve">Capitolo sesto — L'esilio di Makarios e lo Stato Zero romano</w:t>
      </w:r>
    </w:p>
    <w:p>
      <w:pPr>
        <w:spacing w:after="120" w:line="276"/>
        <w:jc w:val="both"/>
      </w:pPr>
      <w:r>
        <w:rPr>
          <w:rFonts w:ascii="Barlow Semi Condensed" w:cs="Barlow Semi Condensed" w:eastAsia="Barlow Semi Condensed" w:hAnsi="Barlow Semi Condensed"/>
          <w:b/>
          <w:bCs/>
          <w:sz w:val="24"/>
          <w:szCs w:val="24"/>
        </w:rPr>
        <w:t xml:space="preserve">Il capitolo espone un accertamento negativo puntuale, e lo espone perché era stato posto come obiettivo prioritario e perché il suo esito ha valore proprio.</w:t>
      </w:r>
    </w:p>
    <w:p>
      <w:pPr>
        <w:spacing w:after="120" w:line="276"/>
        <w:jc w:val="both"/>
      </w:pPr>
      <w:r>
        <w:rPr>
          <w:rFonts w:ascii="Barlow Semi Condensed" w:cs="Barlow Semi Condensed" w:eastAsia="Barlow Semi Condensed" w:hAnsi="Barlow Semi Condensed"/>
          <w:b/>
          <w:bCs/>
          <w:sz w:val="24"/>
          <w:szCs w:val="24"/>
        </w:rPr>
        <w:t xml:space="preserve">La domanda. Se durante l'esilio del 1974 Makarios — arcivescovo ortodosso e presidente deposto — abbia fatto tappa a Roma o in Vaticano, e se vi sia stata udienza pontificia.</w:t>
      </w:r>
    </w:p>
    <w:p>
      <w:pPr>
        <w:spacing w:after="120" w:line="276"/>
        <w:jc w:val="both"/>
      </w:pPr>
      <w:r>
        <w:rPr>
          <w:rFonts w:ascii="Barlow Semi Condensed" w:cs="Barlow Semi Condensed" w:eastAsia="Barlow Semi Condensed" w:hAnsi="Barlow Semi Condensed"/>
          <w:b/>
          <w:bCs/>
          <w:sz w:val="24"/>
          <w:szCs w:val="24"/>
        </w:rPr>
        <w:t xml:space="preserve">L'itinerario, ricostruito per tappe. Fuggito dal palazzo presidenziale dopo il colpo del 15 luglio 1974, Makarios raggiunse Pafos, dove le forze britanniche, su ordine del primo ministro Harold Wilson, lo prelevarono con un elicottero — le fonti collocano l'estrazione nel pomeriggio del 16 luglio, con divergenza rispetto a chi la anticipa al 15 — trasferendolo alla base britannica di Akrotiri, di lì a Malta con un velivolo da trasporto, e infine a Londra. La stampa contemporanea conferma la tappa maltese.</w:t>
      </w:r>
    </w:p>
    <w:p>
      <w:pPr>
        <w:spacing w:after="120" w:line="276"/>
        <w:jc w:val="both"/>
      </w:pPr>
      <w:r>
        <w:rPr>
          <w:rFonts w:ascii="Barlow Semi Condensed" w:cs="Barlow Semi Condensed" w:eastAsia="Barlow Semi Condensed" w:hAnsi="Barlow Semi Condensed"/>
          <w:b/>
          <w:bCs/>
          <w:sz w:val="24"/>
          <w:szCs w:val="24"/>
        </w:rPr>
        <w:t xml:space="preserve">19 luglio 1974: il Consiglio di Sicurezza. Makarios pronunciò il proprio intervento — verbale S/PV.1780 — qualificando gli eventi come chiaramente un'invasione dall'esterno, insieme a una flagrante violazione dell'indipendenza e della sovranità della Repubblica di Cipro, e attribuendo il cosiddetto colpo agli ufficiali greci che componevano e dirigevano la Guardia nazionale.</w:t>
      </w:r>
    </w:p>
    <w:p>
      <w:pPr>
        <w:spacing w:after="120" w:line="276"/>
        <w:jc w:val="both"/>
      </w:pPr>
      <w:r>
        <w:rPr>
          <w:rFonts w:ascii="Barlow Semi Condensed" w:cs="Barlow Semi Condensed" w:eastAsia="Barlow Semi Condensed" w:hAnsi="Barlow Semi Condensed"/>
          <w:b/>
          <w:bCs/>
          <w:sz w:val="24"/>
          <w:szCs w:val="24"/>
        </w:rPr>
        <w:t xml:space="preserve">Le tappe successive. Stabilitosi a Londra, dove alloggiò al Claridge's, vi rimase per circa cinque mesi con spostamenti negli Stati Uniti: il 1 ottobre 1974 si rivolse all'Assemblea generale delle Nazioni Unite alla ventinovesima sessione; il 2 ottobre 1974 ebbe a New York un colloquio con il segretario di Stato Henry Kissinger, documentato dal memorandum di conversazione pubblicato nella serie dei \Foreign Relations of the United States\. Il rientro fu preparato dalla riunione di Atene del 30 novembre 1974 fra Makarios, il presidente reggente Glafkos Klerides e il primo ministro Karamanlis, documentata da un rapporto di intelligence della Defense Intelligence Agency. Il ritorno a Cipro è del 7 dicembre 1974.</w:t>
      </w:r>
    </w:p>
    <w:p>
      <w:pPr>
        <w:spacing w:after="120" w:line="276"/>
        <w:jc w:val="both"/>
      </w:pPr>
      <w:r>
        <w:rPr>
          <w:rFonts w:ascii="Barlow Semi Condensed" w:cs="Barlow Semi Condensed" w:eastAsia="Barlow Semi Condensed" w:hAnsi="Barlow Semi Condensed"/>
          <w:b/>
          <w:bCs/>
          <w:sz w:val="24"/>
          <w:szCs w:val="24"/>
        </w:rPr>
        <w:t xml:space="preserve">L'esito, dichiarato. Nessuna delle fonti che ricostruiscono l'itinerario menziona una sosta a Roma o in Vaticano. La sequenza documentata è Pafos-Akrotiri-Malta-Londra-New York-Londra-New York-Atene-Nicosia.</w:t>
      </w:r>
    </w:p>
    <w:p>
      <w:pPr>
        <w:spacing w:after="120" w:line="276"/>
        <w:jc w:val="both"/>
      </w:pPr>
      <w:r>
        <w:rPr>
          <w:rFonts w:ascii="Barlow Semi Condensed" w:cs="Barlow Semi Condensed" w:eastAsia="Barlow Semi Condensed" w:hAnsi="Barlow Semi Condensed"/>
          <w:b/>
          <w:bCs/>
          <w:sz w:val="24"/>
          <w:szCs w:val="24"/>
        </w:rPr>
        <w:t xml:space="preserve">Due verifiche indipendenti confermano. L'indice ufficiale dei discorsi di Paolo VI per il 1974 non registra alcun incontro con Makarios; l'unico documento pontificio relativo a Cipro in quel torno di tempo è anteriore all'esilio ed è l'allocuzione del 24 settembre 1973 al primo ambasciatore cipriota, nella quale Paolo VI saluta Sua Beatitudine l'Arcivescovo Makarios, Presidente della Repubblica — atto diplomatico del 1973 e non incontro. Inoltre, la lunga intervista rilasciata da Makarios a Oriana Fallaci nel novembre 1974, a circa quattro mesi dal colpo, non contiene riferimenti a una visita romana o a un'udienza papale.</w:t>
      </w:r>
    </w:p>
    <w:p>
      <w:pPr>
        <w:spacing w:after="120" w:line="276"/>
        <w:jc w:val="both"/>
      </w:pPr>
      <w:r>
        <w:rPr>
          <w:rFonts w:ascii="Barlow Semi Condensed" w:cs="Barlow Semi Condensed" w:eastAsia="Barlow Semi Condensed" w:hAnsi="Barlow Semi Condensed"/>
          <w:b/>
          <w:bCs/>
          <w:sz w:val="24"/>
          <w:szCs w:val="24"/>
        </w:rPr>
        <w:t xml:space="preserve">La qualificazione dell'esito. Nessuna fonte afferma in positivo che egli non vi andò; ma da tre verifiche indipendenti una tappa romano-vaticana e un'udienza con Paolo VI durante l'esilio del 1974 non risultano documentate e appaiono non avvenute.</w:t>
      </w:r>
    </w:p>
    <w:p>
      <w:pPr>
        <w:spacing w:after="120" w:line="276"/>
        <w:jc w:val="both"/>
      </w:pPr>
      <w:r>
        <w:rPr>
          <w:rFonts w:ascii="Barlow Semi Condensed" w:cs="Barlow Semi Condensed" w:eastAsia="Barlow Semi Condensed" w:hAnsi="Barlow Semi Condensed"/>
          <w:b/>
          <w:bCs/>
          <w:sz w:val="24"/>
          <w:szCs w:val="24"/>
        </w:rPr>
        <w:t xml:space="preserve">La sede di verifica definitiva sono le biografie di riferimento — Stanley Mayes, \Makarios: A Biography\, 1981 — le memorie di Klerides, \My Deposition\, 1992, e l'Archivio Apostolico Vaticano per il pontificato di Paolo VI, non aperto.</w:t>
      </w:r>
    </w:p>
    <w:p>
      <w:pPr>
        <w:spacing w:after="120" w:line="276"/>
        <w:jc w:val="both"/>
      </w:pPr>
      <w:r>
        <w:rPr>
          <w:rFonts w:ascii="Barlow Semi Condensed" w:cs="Barlow Semi Condensed" w:eastAsia="Barlow Semi Condensed" w:hAnsi="Barlow Semi Condensed"/>
          <w:b/>
          <w:bCs/>
          <w:sz w:val="24"/>
          <w:szCs w:val="24"/>
        </w:rPr>
        <w:t xml:space="preserve">Perché questo esito negativo vale. Un primate ortodosso in esilio, deposto da un colpo di Stato e privato del proprio seggio, che parla alle Nazioni Unite e vede il segretario di Stato americano, non passa per Roma. È un dato sulla distanza fra i due mondi confessionali che nessuna dichiarazione avrebbe attestato con la medesima nettezza.</w:t>
      </w:r>
    </w:p>
    <w:p>
      <w:pPr>
        <w:pStyle w:val="Heading2"/>
        <w:spacing w:after="100" w:before="200"/>
      </w:pPr>
      <w:r>
        <w:rPr>
          <w:rFonts w:ascii="Barlow Semi Condensed" w:cs="Barlow Semi Condensed" w:eastAsia="Barlow Semi Condensed" w:hAnsi="Barlow Semi Condensed"/>
          <w:sz w:val="24"/>
          <w:szCs w:val="24"/>
        </w:rPr>
        <w:t xml:space="preserve">Capitolo settimo — La Turchia: il caso sovradeterminato</w:t>
      </w:r>
    </w:p>
    <w:p>
      <w:pPr>
        <w:spacing w:after="120" w:line="276"/>
        <w:jc w:val="both"/>
      </w:pPr>
      <w:r>
        <w:rPr>
          <w:rFonts w:ascii="Barlow Semi Condensed" w:cs="Barlow Semi Condensed" w:eastAsia="Barlow Semi Condensed" w:hAnsi="Barlow Semi Condensed"/>
          <w:b/>
          <w:bCs/>
          <w:sz w:val="24"/>
          <w:szCs w:val="24"/>
        </w:rPr>
        <w:t xml:space="preserve">Il capitolo espone il terzo caso, che è il più netto e il meno interessante proprio perché il più prevedibile.</w:t>
      </w:r>
    </w:p>
    <w:p>
      <w:pPr>
        <w:spacing w:after="120" w:line="276"/>
        <w:jc w:val="both"/>
      </w:pPr>
      <w:r>
        <w:rPr>
          <w:rFonts w:ascii="Barlow Semi Condensed" w:cs="Barlow Semi Condensed" w:eastAsia="Barlow Semi Condensed" w:hAnsi="Barlow Semi Condensed"/>
          <w:b/>
          <w:bCs/>
          <w:sz w:val="24"/>
          <w:szCs w:val="24"/>
        </w:rPr>
        <w:t xml:space="preserve">I tre fattori che si sommano. Maggioranza musulmana attorno al novantanove per cento della popolazione. Laicità dello Stato con controllo statale dell'istruzione religiosa. Minoranza cattolica minima e in larga parte non autoctona.</w:t>
      </w:r>
    </w:p>
    <w:p>
      <w:pPr>
        <w:spacing w:after="120" w:line="276"/>
        <w:jc w:val="both"/>
      </w:pPr>
      <w:r>
        <w:rPr>
          <w:rFonts w:ascii="Barlow Semi Condensed" w:cs="Barlow Semi Condensed" w:eastAsia="Barlow Semi Condensed" w:hAnsi="Barlow Semi Condensed"/>
          <w:b/>
          <w:bCs/>
          <w:sz w:val="24"/>
          <w:szCs w:val="24"/>
        </w:rPr>
        <w:t xml:space="preserve">Le stime della minoranza, con le divergenze da riportare. Una fonte indica circa trentacinquemila cattolici, pari allo zero virgola zero cinque per cento; un'agenzia ecclesiale nel novembre 2025 indica circa sessantamila, equivalenti allo zero virgola zero sette per cento; una stima più ridotta, su base di un rapporto di istituto, indica venticinquemila-trentamila, meno dello zero virgola zero quattro per cento. Le tre cifre non sono confrontabili e la divergenza si registra.</w:t>
      </w:r>
    </w:p>
    <w:p>
      <w:pPr>
        <w:spacing w:after="120" w:line="276"/>
        <w:jc w:val="both"/>
      </w:pPr>
      <w:r>
        <w:rPr>
          <w:rFonts w:ascii="Barlow Semi Condensed" w:cs="Barlow Semi Condensed" w:eastAsia="Barlow Semi Condensed" w:hAnsi="Barlow Semi Condensed"/>
          <w:b/>
          <w:bCs/>
          <w:sz w:val="24"/>
          <w:szCs w:val="24"/>
        </w:rPr>
        <w:t xml:space="preserve">Il dettaglio della composizione. Vicariato apostolico di Istanbul, circa quindicimila-diciassettemila battezzati; Arcidiocesi di Smirne, poco più di milletrecento fedeli; Vicariato apostolico dell'Anatolia, circa millecinquecento; arcidiocesi armena cattolica di Istanbul, tremilaseicentosettanta; caldei, cinquemilanovecentonovantatré; siri cattolici, duemilacentocinquantacinque.</w:t>
      </w:r>
    </w:p>
    <w:p>
      <w:pPr>
        <w:spacing w:after="120" w:line="276"/>
        <w:jc w:val="both"/>
      </w:pPr>
      <w:r>
        <w:rPr>
          <w:rFonts w:ascii="Barlow Semi Condensed" w:cs="Barlow Semi Condensed" w:eastAsia="Barlow Semi Condensed" w:hAnsi="Barlow Semi Condensed"/>
          <w:b/>
          <w:bCs/>
          <w:sz w:val="24"/>
          <w:szCs w:val="24"/>
        </w:rPr>
        <w:t xml:space="preserve">Un dato di composizione va isolato perché è decisivo per il modello. Una fonte vaticana recente distingue, per il solo vicariato latino di Istanbul, poco più di diecimila fedeli locali e circa trentamila fedeli stranieri, rifugiati o migranti. La comunità cattolica di Turchia è dunque in prevalenza non autoctona — e una comunità non autoctona non genera il ceto universitario e professionale stabile su cui l'apostolato dell'ente si radica.</w:t>
      </w:r>
    </w:p>
    <w:p>
      <w:pPr>
        <w:spacing w:after="120" w:line="276"/>
        <w:jc w:val="both"/>
      </w:pPr>
      <w:r>
        <w:rPr>
          <w:rFonts w:ascii="Barlow Semi Condensed" w:cs="Barlow Semi Condensed" w:eastAsia="Barlow Semi Condensed" w:hAnsi="Barlow Semi Condensed"/>
          <w:b/>
          <w:bCs/>
          <w:sz w:val="24"/>
          <w:szCs w:val="24"/>
        </w:rPr>
        <w:t xml:space="preserve">Il dettaglio legislativo che chiude il caso, e che è il ritrovamento più fine dei tre. La medesima legge turca che nel 1971 determinò la chiusura della Scuola teologica di Halki — vietando l'istruzione superiore privata non affiliata alle università di Stato — precludeva per ciò stesso anche l'eventuale radicamento educativo di enti confessionali cattolici.</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L'Opus Dei opera storicamente attraverso residenze universitarie e opere educative: la sua prima istituzione, l'Accademia DYA del 1933, era rivolta a studenti di Diritto e Architettura. Un ordinamento che vieta l'istruzione superiore privata non affiliata allo Stato rende impraticabile quel modello di insediamento, indipendentemente dalla consistenza della minoranza cattolica.</w:t>
      </w:r>
    </w:p>
    <w:p>
      <w:pPr>
        <w:spacing w:after="120" w:line="276"/>
        <w:jc w:val="both"/>
      </w:pPr>
      <w:r>
        <w:rPr>
          <w:rFonts w:ascii="Barlow Semi Condensed" w:cs="Barlow Semi Condensed" w:eastAsia="Barlow Semi Condensed" w:hAnsi="Barlow Semi Condensed"/>
          <w:b/>
          <w:bCs/>
          <w:sz w:val="24"/>
          <w:szCs w:val="24"/>
        </w:rPr>
        <w:t xml:space="preserve">Ne discende che il caso turco è sovradeterminato: anche rimuovendo uno dei tre fattori, i restanti due sarebbero sufficienti a spiegare l'assenza. È per questo il caso meno probante dei tre sul piano logico, pur essendo il più netto sul piano descrittivo.</w:t>
      </w:r>
    </w:p>
    <w:p>
      <w:pPr>
        <w:spacing w:after="120" w:line="276"/>
        <w:jc w:val="both"/>
      </w:pPr>
      <w:r>
        <w:rPr>
          <w:rFonts w:ascii="Barlow Semi Condensed" w:cs="Barlow Semi Condensed" w:eastAsia="Barlow Semi Condensed" w:hAnsi="Barlow Semi Condensed"/>
          <w:b/>
          <w:bCs/>
          <w:sz w:val="24"/>
          <w:szCs w:val="24"/>
        </w:rPr>
        <w:t xml:space="preserve">Lo statuto giuridico, per completezza. L'interpretazione turca del Trattato di Losanna del 24 luglio 1923, articoli dal trentasette al quarantacinque, riconosce come minoranze non musulmane soltanto greco-ortodossi, armeni ed ebrei; ne restano esclusi cattolici latini, caldei e siro-cattolici, considerati religioni straniere. La rivoluzione kemalista, sopprimendo il sistema del \millet\, aveva rimosso la tutela che nel diciannovesimo secolo quattro Chiese cattoliche avevano ottenuto sotto gli Ottomani; e Losanna non la ripristinò per i cattolici.</w:t>
      </w:r>
    </w:p>
    <w:p>
      <w:pPr>
        <w:pStyle w:val="Heading2"/>
        <w:spacing w:after="100" w:before="200"/>
      </w:pPr>
      <w:r>
        <w:rPr>
          <w:rFonts w:ascii="Barlow Semi Condensed" w:cs="Barlow Semi Condensed" w:eastAsia="Barlow Semi Condensed" w:hAnsi="Barlow Semi Condensed"/>
          <w:sz w:val="24"/>
          <w:szCs w:val="24"/>
        </w:rPr>
        <w:t xml:space="preserve">Capitolo ottavo — L'Italia nei tre casi: un atto, un'esclusione, un'assenza</w:t>
      </w:r>
    </w:p>
    <w:p>
      <w:pPr>
        <w:spacing w:after="120" w:line="276"/>
        <w:jc w:val="both"/>
      </w:pPr>
      <w:r>
        <w:rPr>
          <w:rFonts w:ascii="Barlow Semi Condensed" w:cs="Barlow Semi Condensed" w:eastAsia="Barlow Semi Condensed" w:hAnsi="Barlow Semi Condensed"/>
          <w:b/>
          <w:bCs/>
          <w:sz w:val="24"/>
          <w:szCs w:val="24"/>
        </w:rPr>
        <w:t xml:space="preserve">Il capitolo raccoglie la posizione italiana nei tre perimetri, e la raccoglie insieme perché il confronto è esso stesso la risultanza.</w:t>
      </w:r>
    </w:p>
    <w:p>
      <w:pPr>
        <w:spacing w:after="120" w:line="276"/>
        <w:jc w:val="both"/>
      </w:pPr>
      <w:r>
        <w:rPr>
          <w:rFonts w:ascii="Barlow Semi Condensed" w:cs="Barlow Semi Condensed" w:eastAsia="Barlow Semi Condensed" w:hAnsi="Barlow Semi Condensed"/>
          <w:b/>
          <w:bCs/>
          <w:sz w:val="24"/>
          <w:szCs w:val="24"/>
        </w:rPr>
        <w:t xml:space="preserve">La Grecia: un atto forte, datato, e presieduto da Moro. Il 12 dicembre 1969 il Comitato dei Ministri del Consiglio d'Europa adottò la Risoluzione (69) 51 in materia di Grecia; il governo greco notificò il proprio ritiro il medesimo 12 dicembre 1969, con effetto al 31 dicembre 1970, e denunciò la Convenzione. La seduta decisiva fu presieduta da Aldo Moro nella sua qualità di rappresentante italiano.</w:t>
      </w:r>
    </w:p>
    <w:p>
      <w:pPr>
        <w:spacing w:after="120" w:line="276"/>
        <w:jc w:val="both"/>
      </w:pPr>
      <w:r>
        <w:rPr>
          <w:rFonts w:ascii="Barlow Semi Condensed" w:cs="Barlow Semi Condensed" w:eastAsia="Barlow Semi Condensed" w:hAnsi="Barlow Semi Condensed"/>
          <w:b/>
          <w:bCs/>
          <w:sz w:val="24"/>
          <w:szCs w:val="24"/>
        </w:rPr>
        <w:t xml:space="preserve">Due precisazioni vanno apposte perché la pubblicistica le omette. Primo: la Grecia si ritirò per prevenire il voto ormai certo, non fu espulsa; la formula corrente di espulsione decretata da Moro è pubblicistica. Secondo: l'iniziativa era di matrice tedesca, come attesta la documentazione statunitense secondo cui una maggioranza degli Stati membri si schierò a sostegno di una risoluzione tedesca. Moro presiedeva l'organo che stava per deliberare.</w:t>
      </w:r>
    </w:p>
    <w:p>
      <w:pPr>
        <w:spacing w:after="120" w:line="276"/>
        <w:jc w:val="both"/>
      </w:pPr>
      <w:r>
        <w:rPr>
          <w:rFonts w:ascii="Barlow Semi Condensed" w:cs="Barlow Semi Condensed" w:eastAsia="Barlow Semi Condensed" w:hAnsi="Barlow Semi Condensed"/>
          <w:b/>
          <w:bCs/>
          <w:sz w:val="24"/>
          <w:szCs w:val="24"/>
        </w:rPr>
        <w:t xml:space="preserve">Sulla data della seduta le fonti divergono fra il 12 e il 13 dicembre 1969, e la divergenza si riporta.</w:t>
      </w:r>
    </w:p>
    <w:p>
      <w:pPr>
        <w:spacing w:after="120" w:line="276"/>
        <w:jc w:val="both"/>
      </w:pPr>
      <w:r>
        <w:rPr>
          <w:rFonts w:ascii="Barlow Semi Condensed" w:cs="Barlow Semi Condensed" w:eastAsia="Barlow Semi Condensed" w:hAnsi="Barlow Semi Condensed"/>
          <w:b/>
          <w:bCs/>
          <w:sz w:val="24"/>
          <w:szCs w:val="24"/>
        </w:rPr>
        <w:t xml:space="preserve">Una tesi circolante va segnalata e qualificata. Un autore sostiene che la scelta della data del 12 dicembre 1969 per la strage di piazza Fontana non sarebbe stata casuale, coincidendo con la sconfitta diplomatica greca a Strasburgo. È tesi d'autore in opera di taglio giornalistico-documentario; la contemporaneità non costituisce prova di nesso causale, e la materia appartiene alla storiografia sulla strategia della tensione più che alla biografia diplomatica di Moro. Si registra come ipotesi circolante e non come fatto.</w:t>
      </w:r>
    </w:p>
    <w:p>
      <w:pPr>
        <w:spacing w:after="120" w:line="276"/>
        <w:jc w:val="both"/>
      </w:pPr>
      <w:r>
        <w:rPr>
          <w:rFonts w:ascii="Barlow Semi Condensed" w:cs="Barlow Semi Condensed" w:eastAsia="Barlow Semi Condensed" w:hAnsi="Barlow Semi Condensed"/>
          <w:b/>
          <w:bCs/>
          <w:sz w:val="24"/>
          <w:szCs w:val="24"/>
        </w:rPr>
        <w:t xml:space="preserve">Cipro: tre esclusioni accertate. L'Italia non figurava fra le potenze garanti di Cipro, che erano Grecia, Turchia e Regno Unito. L'Italia non era membro del Consiglio di Sicurezza nel 1974: la composizione dei non permanenti era Australia, Austria, Repubblica Socialista Sovietica Bielorussa, Camerun, Costa Rica, Indonesia, Iraq, Kenya, Mauritania e Perù. L'Italia non figurava fra i Paesi contributori della forza di pace, che erano Austria, Canada, Danimarca, Finlandia, Irlanda, Svezia e Regno Unito, con elemento di polizia civile da Australia, Austria, Danimarca, Nuova Zelanda e Svezia.</w:t>
      </w:r>
    </w:p>
    <w:p>
      <w:pPr>
        <w:spacing w:after="120" w:line="276"/>
        <w:jc w:val="both"/>
      </w:pPr>
      <w:r>
        <w:rPr>
          <w:rFonts w:ascii="Barlow Semi Condensed" w:cs="Barlow Semi Condensed" w:eastAsia="Barlow Semi Condensed" w:hAnsi="Barlow Semi Condensed"/>
          <w:b/>
          <w:bCs/>
          <w:sz w:val="24"/>
          <w:szCs w:val="24"/>
        </w:rPr>
        <w:t xml:space="preserve">Un dato di contrasto va riportato perché precisa la portata dell'esclusione. L'Italia era stata membro non permanente del Consiglio nel biennio precedente: la composizione registrata per la Risoluzione 324 del 12 dicembre 1972 sul rinnovo della forza di pace elenca l'Italia fra i non permanenti. Il voto italiano documentabile sulla questione cipriota si colloca dunque nel 1971-1972 e non nel 1974.</w:t>
      </w:r>
    </w:p>
    <w:p>
      <w:pPr>
        <w:spacing w:after="120" w:line="276"/>
        <w:jc w:val="both"/>
      </w:pPr>
      <w:r>
        <w:rPr>
          <w:rFonts w:ascii="Barlow Semi Condensed" w:cs="Barlow Semi Condensed" w:eastAsia="Barlow Semi Condensed" w:hAnsi="Barlow Semi Condensed"/>
          <w:b/>
          <w:bCs/>
          <w:sz w:val="24"/>
          <w:szCs w:val="24"/>
        </w:rPr>
        <w:t xml:space="preserve">Sull'Assemblea generale. La Risoluzione 3212 del 1 novembre 1974 fu adottata all'unanimità con centodiciassette voti a favore, nessun contrario e nessuna astensione; l'Italia concorse al consenso, ma non risulta un intervento italiano distinto nel dibattito.</w:t>
      </w:r>
    </w:p>
    <w:p>
      <w:pPr>
        <w:spacing w:after="120" w:line="276"/>
        <w:jc w:val="both"/>
      </w:pPr>
      <w:r>
        <w:rPr>
          <w:rFonts w:ascii="Barlow Semi Condensed" w:cs="Barlow Semi Condensed" w:eastAsia="Barlow Semi Condensed" w:hAnsi="Barlow Semi Condensed"/>
          <w:b/>
          <w:bCs/>
          <w:sz w:val="24"/>
          <w:szCs w:val="24"/>
        </w:rPr>
        <w:t xml:space="preserve">Un atto comunitario cade dentro il mandato di Moro e va registrato. L'Accordo di associazione fra Comunità europea e Repubblica di Cipro fu firmato il 19 dicembre 1972 ed entrò in vigore il 1 giugno 1973 — dunque cinque settimane prima dell'insediamento di Moro alla Farnesina il 7 luglio 1973. La firma per la Comunità reca i nomi del presidente in carica del Consiglio Schmelzer e del presidente della Commissione Mansholt, non di un rappresentante italiano.</w:t>
      </w:r>
    </w:p>
    <w:p>
      <w:pPr>
        <w:spacing w:after="120" w:line="276"/>
        <w:jc w:val="both"/>
      </w:pPr>
      <w:r>
        <w:rPr>
          <w:rFonts w:ascii="Barlow Semi Condensed" w:cs="Barlow Semi Condensed" w:eastAsia="Barlow Semi Condensed" w:hAnsi="Barlow Semi Condensed"/>
          <w:b/>
          <w:bCs/>
          <w:sz w:val="24"/>
          <w:szCs w:val="24"/>
        </w:rPr>
        <w:t xml:space="preserve">La Turchia: presenza comunitaria documentata e assenza confessionale. Il dato certo è la firma di Moro, a nome del Consiglio delle Comunità europee, dell'Accordo provvisorio CEE-Turchia del 27 luglio 1971. Il dato negativo è l'assenza di qualunque presa di posizione documentata sulla condizione delle minoranze cristiane, sulla chiusura di Halki o sullo statuto del Patriarcato.</w:t>
      </w:r>
    </w:p>
    <w:p>
      <w:pPr>
        <w:spacing w:after="120" w:line="276"/>
        <w:jc w:val="both"/>
      </w:pPr>
      <w:r>
        <w:rPr>
          <w:rFonts w:ascii="Barlow Semi Condensed" w:cs="Barlow Semi Condensed" w:eastAsia="Barlow Semi Condensed" w:hAnsi="Barlow Semi Condensed"/>
          <w:b/>
          <w:bCs/>
          <w:sz w:val="24"/>
          <w:szCs w:val="24"/>
        </w:rPr>
        <w:t xml:space="preserve">Il confronto dà questo, e va enunciato. Nei tre casi l'Italia compare una volta come attore, una volta come escluso, una volta come firmatario comunitario senza posizione confessionale. In nessuno dei tre compare come titolare di una politica bilaterale autonoma verso la questione religiosa.</w:t>
      </w:r>
    </w:p>
    <w:p>
      <w:pPr>
        <w:pStyle w:val="Heading2"/>
        <w:spacing w:after="100" w:before="200"/>
      </w:pPr>
      <w:r>
        <w:rPr>
          <w:rFonts w:ascii="Barlow Semi Condensed" w:cs="Barlow Semi Condensed" w:eastAsia="Barlow Semi Condensed" w:hAnsi="Barlow Semi Condensed"/>
          <w:sz w:val="24"/>
          <w:szCs w:val="24"/>
        </w:rPr>
        <w:t xml:space="preserve">Capitolo nono — La formula storiografica che spiega l'assenza italiana</w:t>
      </w:r>
    </w:p>
    <w:p>
      <w:pPr>
        <w:spacing w:after="120" w:line="276"/>
        <w:jc w:val="both"/>
      </w:pPr>
      <w:r>
        <w:rPr>
          <w:rFonts w:ascii="Barlow Semi Condensed" w:cs="Barlow Semi Condensed" w:eastAsia="Barlow Semi Condensed" w:hAnsi="Barlow Semi Condensed"/>
          <w:b/>
          <w:bCs/>
          <w:sz w:val="24"/>
          <w:szCs w:val="24"/>
        </w:rPr>
        <w:t xml:space="preserve">Il capitolo espone l'enunciato che, meglio di ogni altro reperito nelle sette ricognizioni, spiega perché l'Italia non compaia.</w:t>
      </w:r>
    </w:p>
    <w:p>
      <w:pPr>
        <w:spacing w:after="120" w:line="276"/>
        <w:jc w:val="both"/>
      </w:pPr>
      <w:r>
        <w:rPr>
          <w:rFonts w:ascii="Barlow Semi Condensed" w:cs="Barlow Semi Condensed" w:eastAsia="Barlow Semi Condensed" w:hAnsi="Barlow Semi Condensed"/>
          <w:b/>
          <w:bCs/>
          <w:sz w:val="24"/>
          <w:szCs w:val="24"/>
        </w:rPr>
        <w:t xml:space="preserve">La formula proviene da fonte scientifica e riguarda il caso portoghese, ma la sua portata è generale: essa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b/>
          <w:bCs/>
          <w:sz w:val="24"/>
          <w:szCs w:val="24"/>
        </w:rPr>
        <w:t xml:space="preserve">Applicata ai tre casi del Mediterraneo orientale, essa spiega tre cose insieme.</w:t>
      </w:r>
    </w:p>
    <w:p>
      <w:pPr>
        <w:spacing w:after="120" w:line="276"/>
        <w:jc w:val="both"/>
      </w:pPr>
      <w:r>
        <w:rPr>
          <w:rFonts w:ascii="Barlow Semi Condensed" w:cs="Barlow Semi Condensed" w:eastAsia="Barlow Semi Condensed" w:hAnsi="Barlow Semi Condensed"/>
          <w:b/>
          <w:bCs/>
          <w:sz w:val="24"/>
          <w:szCs w:val="24"/>
        </w:rPr>
        <w:t xml:space="preserve">Primo: perché sulla Grecia dei colonnelli l'atto forte sia venuto in sede multilaterale e non bilaterale. Il Consiglio d'Europa era la sede in cui l'Italia poteva agire senza incrinare il vincolo atlantico, poiché l'organo non ha competenza militare e la materia era quella dei diritti umani. Un'iniziativa bilaterale contro Atene avrebbe toccato un alleato NATO; una risoluzione a Strasburgo no.</w:t>
      </w:r>
    </w:p>
    <w:p>
      <w:pPr>
        <w:spacing w:after="120" w:line="276"/>
        <w:jc w:val="both"/>
      </w:pPr>
      <w:r>
        <w:rPr>
          <w:rFonts w:ascii="Barlow Semi Condensed" w:cs="Barlow Semi Condensed" w:eastAsia="Barlow Semi Condensed" w:hAnsi="Barlow Semi Condensed"/>
          <w:b/>
          <w:bCs/>
          <w:sz w:val="24"/>
          <w:szCs w:val="24"/>
        </w:rPr>
        <w:t xml:space="preserve">Secondo: perché su Cipro l'Italia sia rimasta al margine consultivo. Essa fu inclusa nel circuito informale dell'Alleanza — la convocazione del segretario generale del 4 luglio 1974 agli ambasciatori di Stati Uniti, Regno Unito, Francia, Germania Federale, Italia e Belgio; le consultazioni del 30 agosto 1974 sul ritiro greco — ma non nei negoziati di Ginevra, che erano riservati alle potenze garanti. L'Italia era consultata, non deliberante.</w:t>
      </w:r>
    </w:p>
    <w:p>
      <w:pPr>
        <w:spacing w:after="120" w:line="276"/>
        <w:jc w:val="both"/>
      </w:pPr>
      <w:r>
        <w:rPr>
          <w:rFonts w:ascii="Barlow Semi Condensed" w:cs="Barlow Semi Condensed" w:eastAsia="Barlow Semi Condensed" w:hAnsi="Barlow Semi Condensed"/>
          <w:b/>
          <w:bCs/>
          <w:sz w:val="24"/>
          <w:szCs w:val="24"/>
        </w:rPr>
        <w:t xml:space="preserve">Terzo: perché sulla Turchia la posizione italiana sia comunitaria e non confessionale. La questione delle minoranze cristiane in Turchia avrebbe messo l'Italia in posizione critica verso un alleato del fianco sud in un momento in cui l'Alleanza perdeva la Grecia dalla struttura militare integrata. La fedeltà atlantica prevaleva sulla solidarietà confessionale.</w:t>
      </w:r>
    </w:p>
    <w:p>
      <w:pPr>
        <w:spacing w:after="120" w:line="276"/>
        <w:jc w:val="both"/>
      </w:pPr>
      <w:r>
        <w:rPr>
          <w:rFonts w:ascii="Barlow Semi Condensed" w:cs="Barlow Semi Condensed" w:eastAsia="Barlow Semi Condensed" w:hAnsi="Barlow Semi Condensed"/>
          <w:b/>
          <w:bCs/>
          <w:sz w:val="24"/>
          <w:szCs w:val="24"/>
        </w:rPr>
        <w:t xml:space="preserve">Un elemento vaticano conferma la medesima logica per via indipendente, e va riportato perché è notevole. La Santa Sede ottenne a Helsinki, il 1 agosto 1975, l'inscrizione della libertà religiosa nel settimo principio dell'Atto finale, su proposta presentata il 7 marzo 1973. Ma la ottenne guardando a Oriente, secondo la logica della Ostpolitik e in funzione della condizione dei cattolici nei Paesi del blocco.</w:t>
      </w:r>
    </w:p>
    <w:p>
      <w:pPr>
        <w:spacing w:after="120" w:line="276"/>
        <w:jc w:val="both"/>
      </w:pPr>
      <w:r>
        <w:rPr>
          <w:rFonts w:ascii="Barlow Semi Condensed" w:cs="Barlow Semi Condensed" w:eastAsia="Barlow Semi Condensed" w:hAnsi="Barlow Semi Condensed"/>
          <w:b/>
          <w:bCs/>
          <w:sz w:val="24"/>
          <w:szCs w:val="24"/>
        </w:rPr>
        <w:t xml:space="preserve">E non risulta che il medesimo principio sia stato invocato verso Ankara, che aveva chiuso il seminario del Patriarcato quattro anni prima ed è essa stessa firmataria dell'Atto finale.</w:t>
      </w:r>
    </w:p>
    <w:p>
      <w:pPr>
        <w:spacing w:after="120" w:line="276"/>
        <w:jc w:val="both"/>
      </w:pPr>
      <w:r>
        <w:rPr>
          <w:rFonts w:ascii="Barlow Semi Condensed" w:cs="Barlow Semi Condensed" w:eastAsia="Barlow Semi Condensed" w:hAnsi="Barlow Semi Condensed"/>
          <w:b/>
          <w:bCs/>
          <w:sz w:val="24"/>
          <w:szCs w:val="24"/>
        </w:rPr>
        <w:t xml:space="preserve">Il dato va enunciato senza interpretarlo. Né l'Italia né la Santa Sede risultano avere fatto valere, verso un alleato atlantico, il principio che entrambe sostenevano verso l'avversario. Se ciò fu prudenza diplomatica, priorità gerarchica dei dossier, o altro, non è accertato da alcuna fonte reperita; e le tre spiegazioni restano aperte.</w:t>
      </w:r>
    </w:p>
    <w:p>
      <w:pPr>
        <w:pStyle w:val="Heading2"/>
        <w:spacing w:after="100" w:before="200"/>
      </w:pPr>
      <w:r>
        <w:rPr>
          <w:rFonts w:ascii="Barlow Semi Condensed" w:cs="Barlow Semi Condensed" w:eastAsia="Barlow Semi Condensed" w:hAnsi="Barlow Semi Condensed"/>
          <w:sz w:val="24"/>
          <w:szCs w:val="24"/>
        </w:rPr>
        <w:t xml:space="preserve">Capitolo decimo — Il modello consolidato e la sua forma logica</w:t>
      </w:r>
    </w:p>
    <w:p>
      <w:pPr>
        <w:spacing w:after="120" w:line="276"/>
        <w:jc w:val="both"/>
      </w:pPr>
      <w:r>
        <w:rPr>
          <w:rFonts w:ascii="Barlow Semi Condensed" w:cs="Barlow Semi Condensed" w:eastAsia="Barlow Semi Condensed" w:hAnsi="Barlow Semi Condensed"/>
          <w:b/>
          <w:bCs/>
          <w:sz w:val="24"/>
          <w:szCs w:val="24"/>
        </w:rPr>
        <w:t xml:space="preserve">Il capitolo enuncia la proposizione che i tre casi stabiliscono insieme, e ne espone la struttura dimostrativa perché sia verificabile e confutabile.</w:t>
      </w:r>
    </w:p>
    <w:p>
      <w:pPr>
        <w:spacing w:after="120" w:line="276"/>
        <w:jc w:val="both"/>
      </w:pPr>
      <w:r>
        <w:rPr>
          <w:rFonts w:ascii="Barlow Semi Condensed" w:cs="Barlow Semi Condensed" w:eastAsia="Barlow Semi Condensed" w:hAnsi="Barlow Semi Condensed"/>
          <w:b/>
          <w:bCs/>
          <w:sz w:val="24"/>
          <w:szCs w:val="24"/>
        </w:rPr>
        <w:t xml:space="preserve">La proposizione. L'insediamento dell'Opus Dei in un Paese del Mediterraneo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b/>
          <w:bCs/>
          <w:sz w:val="24"/>
          <w:szCs w:val="24"/>
        </w:rPr>
        <w:t xml:space="preserve">Il lato positivo, per date. Spagna 1928, Portogallo 1945, Italia 1946 — tre Paesi a maggioranza cattolica con ceti universitari cattolici; Libano 1996 — Paese a forte componente cristiana e cattolica con élite professionali maronite e latine.</w:t>
      </w:r>
    </w:p>
    <w:p>
      <w:pPr>
        <w:spacing w:after="120" w:line="276"/>
        <w:jc w:val="both"/>
      </w:pPr>
      <w:r>
        <w:rPr>
          <w:rFonts w:ascii="Barlow Semi Condensed" w:cs="Barlow Semi Condensed" w:eastAsia="Barlow Semi Condensed" w:hAnsi="Barlow Semi Condensed"/>
          <w:b/>
          <w:bCs/>
          <w:sz w:val="24"/>
          <w:szCs w:val="24"/>
        </w:rPr>
        <w:t xml:space="preserve">Il lato negativo, per esclusione progressiva.</w:t>
      </w:r>
    </w:p>
    <w:p>
      <w:pPr>
        <w:spacing w:after="120" w:line="276"/>
        <w:jc w:val="both"/>
      </w:pPr>
      <w:r>
        <w:rPr>
          <w:rFonts w:ascii="Barlow Semi Condensed" w:cs="Barlow Semi Condensed" w:eastAsia="Barlow Semi Condensed" w:hAnsi="Barlow Semi Condensed"/>
          <w:b/>
          <w:bCs/>
          <w:sz w:val="24"/>
          <w:szCs w:val="24"/>
        </w:rPr>
        <w:t xml:space="preserve">La Grecia esclude la variabile del regime. Dittatura di destra dal 1967 al 1974, coeva a quelle iberiche; ente assente. Se il regime fosse la condizione, la Grecia sarebbe stata propizia.</w:t>
      </w:r>
    </w:p>
    <w:p>
      <w:pPr>
        <w:spacing w:after="120" w:line="276"/>
        <w:jc w:val="both"/>
      </w:pPr>
      <w:r>
        <w:rPr>
          <w:rFonts w:ascii="Barlow Semi Condensed" w:cs="Barlow Semi Condensed" w:eastAsia="Barlow Semi Condensed" w:hAnsi="Barlow Semi Condensed"/>
          <w:b/>
          <w:bCs/>
          <w:sz w:val="24"/>
          <w:szCs w:val="24"/>
        </w:rPr>
        <w:t xml:space="preserve">Cipro esclude la variabile della mera presenza cattolica. Minoranze cattoliche antiche, strutturate, riconosciute dalla Costituzione del 1960, con gerarchia propria, parrocchie e villaggi interi, e Nunziatura apostolica dal 1973; ente assente. Se la presenza di cattolici fosse condizione sufficiente, Cipro l'avrebbe ospitato.</w:t>
      </w:r>
    </w:p>
    <w:p>
      <w:pPr>
        <w:spacing w:after="120" w:line="276"/>
        <w:jc w:val="both"/>
      </w:pPr>
      <w:r>
        <w:rPr>
          <w:rFonts w:ascii="Barlow Semi Condensed" w:cs="Barlow Semi Condensed" w:eastAsia="Barlow Semi Condensed" w:hAnsi="Barlow Semi Condensed"/>
          <w:b/>
          <w:bCs/>
          <w:sz w:val="24"/>
          <w:szCs w:val="24"/>
        </w:rPr>
        <w:t xml:space="preserve">La Turchia conferma per sovradeterminazione. Maggioranza musulmana, laicità con controllo dell'istruzione, minoranza cattolica minima e in prevalenza non autoctona, e divieto legale dell'istruzione superiore privata non affiliata allo Stato che preclude il modello di insediamento educativo dell'ente.</w:t>
      </w:r>
    </w:p>
    <w:p>
      <w:pPr>
        <w:spacing w:after="120" w:line="276"/>
        <w:jc w:val="both"/>
      </w:pPr>
      <w:r>
        <w:rPr>
          <w:rFonts w:ascii="Barlow Semi Condensed" w:cs="Barlow Semi Condensed" w:eastAsia="Barlow Semi Condensed" w:hAnsi="Barlow Semi Condensed"/>
          <w:b/>
          <w:bCs/>
          <w:sz w:val="24"/>
          <w:szCs w:val="24"/>
        </w:rPr>
        <w:t xml:space="preserve">La forma logica dello argomento va dichiarata, perché ne determina la forza. Si tratta di un argomento per casi controfattuali e non di una dimostrazione causale. Esso mostra che due variabili candidate — il regime autoritario e la presenza di cattolici — non sono condizioni sufficienti, e che una terza — maggioranza più ceto professionale — è compatibile con tutti i casi osservati.</w:t>
      </w:r>
    </w:p>
    <w:p>
      <w:pPr>
        <w:spacing w:after="120" w:line="276"/>
        <w:jc w:val="both"/>
      </w:pPr>
      <w:r>
        <w:rPr>
          <w:rFonts w:ascii="Barlow Semi Condensed" w:cs="Barlow Semi Condensed" w:eastAsia="Barlow Semi Condensed" w:hAnsi="Barlow Semi Condensed"/>
          <w:b/>
          <w:bCs/>
          <w:sz w:val="24"/>
          <w:szCs w:val="24"/>
        </w:rPr>
        <w:t xml:space="preserve">Che essa sia condizione necessaria non è dimostrato, e non lo sarebbe nemmeno con dieci casi: sarebbe necessario un caso in cui le due condizioni sussistano e l'ente sia comunque assente, 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confutazione possibile va indicata, perché una proposizione che non la ammetta non è una proposizione. Il modello sarebbe falsificato dal reperimento di un insediamento stabile dell'ente in un Paese a maggioranza non cattolica e privo di ceto cattolico autoctono. L'elenco ufficiale contiene casi che meritano verifica in questa direzione — Giappone 1958, Kenya 1958, Nigeria 1965, India 1993, Kazakhistan 1997, Indonesia 2008, Sri Lanka 2011 — e nessuno di essi è stato esaminato in questa sede.</w:t>
      </w:r>
    </w:p>
    <w:p>
      <w:pPr>
        <w:spacing w:after="120" w:line="276"/>
        <w:jc w:val="both"/>
      </w:pPr>
      <w:r>
        <w:rPr>
          <w:rFonts w:ascii="Barlow Semi Condensed" w:cs="Barlow Semi Condensed" w:eastAsia="Barlow Semi Condensed" w:hAnsi="Barlow Semi Condensed"/>
          <w:b/>
          <w:bCs/>
          <w:sz w:val="24"/>
          <w:szCs w:val="24"/>
        </w:rPr>
        <w:t xml:space="preserve">Ne discende che il modello qui proposto è provvisorio e circoscritto al Mediterraneo, e che la sua estensione richiederebbe l'esame dei casi asiatici e africani. Lo si dichiara perché presentarlo come generale sarebbe l'errore che questo progetto ha imparato a riconoscere: organizzare i casi attorno alla conclusione anziché sottoporla al caso avverso.</w:t>
      </w:r>
    </w:p>
    <w:p>
      <w:pPr>
        <w:spacing w:after="120" w:line="276"/>
        <w:jc w:val="both"/>
      </w:pPr>
      <w:r>
        <w:rPr>
          <w:rFonts w:ascii="Barlow Semi Condensed" w:cs="Barlow Semi Condensed" w:eastAsia="Barlow Semi Condensed" w:hAnsi="Barlow Semi Condensed"/>
          <w:b/>
          <w:bCs/>
          <w:sz w:val="24"/>
          <w:szCs w:val="24"/>
        </w:rPr>
        <w:t xml:space="preserve">Un rilievo finale sulla correzione di impostazione. Nella ricognizione portoghese avevo osservato che una divergenza non è una triangolazione. Qui vale il complemento: tre assenze non sono tre lacune. Sono tre osservazioni negative che, disposte in ordine di esclusione, producono una conoscenza che nessuna presenza avrebbe prodotto.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nei tre perimetri</w:t>
      </w:r>
    </w:p>
    <w:p>
      <w:pPr>
        <w:spacing w:after="120" w:line="276"/>
        <w:jc w:val="both"/>
      </w:pPr>
      <w:r>
        <w:rPr>
          <w:rFonts w:ascii="Barlow Semi Condensed" w:cs="Barlow Semi Condensed" w:eastAsia="Barlow Semi Condensed" w:hAnsi="Barlow Semi Condensed"/>
          <w:b/>
          <w:bCs/>
          <w:sz w:val="24"/>
          <w:szCs w:val="24"/>
        </w:rPr>
        <w:t xml:space="preserve">Il capitolo raccoglie le triangolazioni reperite nei tre casi,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Sulla Grecia. Prima triangolazione: la seduta del 12 dicembre 1969. Grado alto quanto al fatto: l'atto italiano è documentato dalla risoluzione del Comitato dei Ministri e dalla documentazione statunitense. Ciò che non stabilisce: nessun rapporto con l'Opus Dei, assente dal Paese; nessun ruolo vaticano, in assenza di relazioni diplomatiche fra Atene e la Santa Sede fino al 1979. È una triangolazione a due termini, non a tre.</w:t>
      </w:r>
    </w:p>
    <w:p>
      <w:pPr>
        <w:spacing w:after="120" w:line="276"/>
        <w:jc w:val="both"/>
      </w:pPr>
      <w:r>
        <w:rPr>
          <w:rFonts w:ascii="Barlow Semi Condensed" w:cs="Barlow Semi Condensed" w:eastAsia="Barlow Semi Condensed" w:hAnsi="Barlow Semi Condensed"/>
          <w:b/>
          <w:bCs/>
          <w:sz w:val="24"/>
          <w:szCs w:val="24"/>
        </w:rPr>
        <w:t xml:space="preserve">Sulla Grecia, seconda. La correlazione fra relazioni diplomatiche e adesione europea. Grado medio, su dichiarazione del Ministero ellenico che collega la decisione del 1979 alle aspirazioni comunitarie. Ciò che non stabilisce: nessun ruolo italiano documentato in quella correlazione, pur essendo l'Italia Stato membro.</w:t>
      </w:r>
    </w:p>
    <w:p>
      <w:pPr>
        <w:spacing w:after="120" w:line="276"/>
        <w:jc w:val="both"/>
      </w:pPr>
      <w:r>
        <w:rPr>
          <w:rFonts w:ascii="Barlow Semi Condensed" w:cs="Barlow Semi Condensed" w:eastAsia="Barlow Semi Condensed" w:hAnsi="Barlow Semi Condensed"/>
          <w:b/>
          <w:bCs/>
          <w:sz w:val="24"/>
          <w:szCs w:val="24"/>
        </w:rPr>
        <w:t xml:space="preserve">Su Cipro. Prima triangolazione: la Nunziatura del febbraio 1973 e l'ambasciatore del settembre 1973. Grado alto quanto ai fatti. Ciò che non stabilisce: nessun ruolo italiano; gli atti appartengono interamente al bilaterale fra Nicosia e la Santa Sede, e la coincidenza con il secondo mandato di Moro è mera contemporaneità.</w:t>
      </w:r>
    </w:p>
    <w:p>
      <w:pPr>
        <w:spacing w:after="120" w:line="276"/>
        <w:jc w:val="both"/>
      </w:pPr>
      <w:r>
        <w:rPr>
          <w:rFonts w:ascii="Barlow Semi Condensed" w:cs="Barlow Semi Condensed" w:eastAsia="Barlow Semi Condensed" w:hAnsi="Barlow Semi Condensed"/>
          <w:b/>
          <w:bCs/>
          <w:sz w:val="24"/>
          <w:szCs w:val="24"/>
        </w:rPr>
        <w:t xml:space="preserve">Su Cipro, seconda. La doppia titolarità di Makarios come unicum. Grado alto quanto al fatto canonico e costituzionale. Ciò che non stabilisce: nessun rapporto con la Santa Sede, che non aveva relazioni con Nicosia prima del 1973 e la cui gerarchia locale — maronita e latina — era estranea alla vicenda ecclesiastica ortodossa. È una triangolazione interna al mondo ortodosso.</w:t>
      </w:r>
    </w:p>
    <w:p>
      <w:pPr>
        <w:spacing w:after="120" w:line="276"/>
        <w:jc w:val="both"/>
      </w:pPr>
      <w:r>
        <w:rPr>
          <w:rFonts w:ascii="Barlow Semi Condensed" w:cs="Barlow Semi Condensed" w:eastAsia="Barlow Semi Condensed" w:hAnsi="Barlow Semi Condensed"/>
          <w:b/>
          <w:bCs/>
          <w:sz w:val="24"/>
          <w:szCs w:val="24"/>
        </w:rPr>
        <w:t xml:space="preserve">Su Cipro, terza. Lo Stato Zero romano nell'esilio del 1974. Grado alto quanto all'accertamento negativo, su tre verifiche indipendenti. È il dato più eloquente dei tre casi ciprioti, perché misura la distanza fra i due mondi confessionali meglio di qualunque dichiarazione.</w:t>
      </w:r>
    </w:p>
    <w:p>
      <w:pPr>
        <w:spacing w:after="120" w:line="276"/>
        <w:jc w:val="both"/>
      </w:pPr>
      <w:r>
        <w:rPr>
          <w:rFonts w:ascii="Barlow Semi Condensed" w:cs="Barlow Semi Condensed" w:eastAsia="Barlow Semi Condensed" w:hAnsi="Barlow Semi Condensed"/>
          <w:b/>
          <w:bCs/>
          <w:sz w:val="24"/>
          <w:szCs w:val="24"/>
        </w:rPr>
        <w:t xml:space="preserve">Sulla Turchia. Prima triangolazione: la firma di Helsinki del 1 agosto 1975. Grado alto quanto al fatto: Santa Sede, Turchia e Italia di Moro sottoscrivono il medesimo atto, e la Santa Sede vi ha ottenuto la libertà religiosa nel settimo principio. Ciò che non stabilisce: la materia era la sicurezza europea; nessun coordinamento fra le delegazioni è documentato; e — come esposto al Capitolo nono — non risulta che il principio ottenuto sia stato invocato verso il cofirmatario turco.</w:t>
      </w:r>
    </w:p>
    <w:p>
      <w:pPr>
        <w:spacing w:after="120" w:line="276"/>
        <w:jc w:val="both"/>
      </w:pPr>
      <w:r>
        <w:rPr>
          <w:rFonts w:ascii="Barlow Semi Condensed" w:cs="Barlow Semi Condensed" w:eastAsia="Barlow Semi Condensed" w:hAnsi="Barlow Semi Condensed"/>
          <w:b/>
          <w:bCs/>
          <w:sz w:val="24"/>
          <w:szCs w:val="24"/>
        </w:rPr>
        <w:t xml:space="preserve">Sulla Turchia, seconda. La sovrapposizione fra collettività italiana e minoranza latina. Grado medio.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w:t>
      </w:r>
    </w:p>
    <w:p>
      <w:pPr>
        <w:spacing w:after="120" w:line="276"/>
        <w:jc w:val="both"/>
      </w:pPr>
      <w:r>
        <w:rPr>
          <w:rFonts w:ascii="Barlow Semi Condensed" w:cs="Barlow Semi Condensed" w:eastAsia="Barlow Semi Condensed" w:hAnsi="Barlow Semi Condensed"/>
          <w:b/>
          <w:bCs/>
          <w:sz w:val="24"/>
          <w:szCs w:val="24"/>
        </w:rPr>
        <w:t xml:space="preserve">Il bilancio complessivo, ed è la settima volta consecutiva. Nessuna delle sette triangolazioni coinvolge insieme i tre termini — Italia di Moro, Santa Sede, Opus Dei — per la ragione elementare che il terzo termine è assente da tutti e tre i Paesi.</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chiude il capitolo. Chiedere le triangolazioni fra Moro e l'Opus Dei nel Mediterraneo orientale equivale a chiedere le intersezioni di un insieme con l'insieme vuoto. L'esito non è una lacuna della ricerca: è una proprietà dell'oggetto. E la sua verifica su tre Paesi consecutivi, contro la fonte ufficiale dell'ente, è quanto questo studio consegna.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degli otto studi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 la sola che possa falsificare il modello. L'esame dei casi asiatici e africani dell'elenco ufficiale — Giappone 1958, Kenya 1958, Nigeria 1965, India 1993, Kazakhistan 1997, Indonesia 2008, Sri Lanka 2011 — per verificare se in essi sussista la doppia condizione di maggioranza cattolica e ceto professionale cattolico, o se il modello vi sia falsificato. Sede: la storiografia sull'espansione dell'ente e le statistiche confessionali dei singoli Paesi. Condizione di chiusura: il reperimento di un insediamento stabile in un Paese a maggioranza non cattolica e privo di ceto cattolico autoctono, che falsificherebbe la proposizione del Capitolo decimo.</w:t>
      </w:r>
    </w:p>
    <w:p>
      <w:pPr>
        <w:spacing w:after="120" w:line="276"/>
        <w:jc w:val="both"/>
      </w:pPr>
      <w:r>
        <w:rPr>
          <w:rFonts w:ascii="Barlow Semi Condensed" w:cs="Barlow Semi Condensed" w:eastAsia="Barlow Semi Condensed" w:hAnsi="Barlow Semi Condensed"/>
          <w:b/>
          <w:bCs/>
          <w:sz w:val="24"/>
          <w:szCs w:val="24"/>
        </w:rPr>
        <w:t xml:space="preserve">Seconda voce. La consultazione integrale del prospetto ufficiale delle date di inizio del lavoro stabile e dell'elenco delle circoscrizioni regionali, per la chiusura formale delle tre assenze. Sede: il sito dell'ente e le sue pubblicazioni istituzionali, oltre al portale storico promosso dal Centro Studi dell'Università di Navarra e dall'Istituto Storico di Roma. Rendimento basso in termini di novità, alto in termini di chiusura.</w:t>
      </w:r>
    </w:p>
    <w:p>
      <w:pPr>
        <w:spacing w:after="120" w:line="276"/>
        <w:jc w:val="both"/>
      </w:pPr>
      <w:r>
        <w:rPr>
          <w:rFonts w:ascii="Barlow Semi Condensed" w:cs="Barlow Semi Condensed" w:eastAsia="Barlow Semi Condensed" w:hAnsi="Barlow Semi Condensed"/>
          <w:b/>
          <w:bCs/>
          <w:sz w:val="24"/>
          <w:szCs w:val="24"/>
        </w:rPr>
        <w:t xml:space="preserve">Terza voce. Gli atti del Consiglio d'Europa relativi alla seduta del 12 o 13 dicembre 1969, per accertare la condotta e le parole di Moro in quella sede e risolvere la divergenza sulla data. Sedi: archivio del Consiglio d'Europa a Strasburgo; 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Quarta voce. La posizione italiana su Cipro nei mesi di luglio-novembre 1974 e la posizione italiana sulla condizione delle minoranze cristiane in Turchia. Sedi: Archivio Storico Diplomatico, serie Grecia, Cipro, Turchia e Santa Sede 1969-1975, con l'avvertenza dell'esclusione dei Telegrammi 1942-1970; resoconti stenografici della sesta legislatura, non indicizzati per soggetto essendo la banca dati del sindacato ispettivo estesa soltanto dal 5 luglio 1976.</w:t>
      </w:r>
    </w:p>
    <w:p>
      <w:pPr>
        <w:spacing w:after="120" w:line="276"/>
        <w:jc w:val="both"/>
      </w:pPr>
      <w:r>
        <w:rPr>
          <w:rFonts w:ascii="Barlow Semi Condensed" w:cs="Barlow Semi Condensed" w:eastAsia="Barlow Semi Condensed" w:hAnsi="Barlow Semi Condensed"/>
          <w:b/>
          <w:bCs/>
          <w:sz w:val="24"/>
          <w:szCs w:val="24"/>
        </w:rPr>
        <w:t xml:space="preserve">Quinta voce. Le biografie di riferimento su Makarios e le memorie di Klerides, per la chiusura definitiva dello Stato Zero romano dell'esilio 1974.</w:t>
      </w:r>
    </w:p>
    <w:p>
      <w:pPr>
        <w:spacing w:after="120" w:line="276"/>
        <w:jc w:val="both"/>
      </w:pPr>
      <w:r>
        <w:rPr>
          <w:rFonts w:ascii="Barlow Semi Condensed" w:cs="Barlow Semi Condensed" w:eastAsia="Barlow Semi Condensed" w:hAnsi="Barlow Semi Condensed"/>
          <w:b/>
          <w:bCs/>
          <w:sz w:val="24"/>
          <w:szCs w:val="24"/>
        </w:rPr>
        <w:t xml:space="preserve">Sesta voce. Gli archivi dell'Arcivescovado di Cipro e della Fondazione Makarios III, per il rapporto fra la crisi ecclesiastica del 1972-1973 e il colpo del 1974.</w:t>
      </w:r>
    </w:p>
    <w:p>
      <w:pPr>
        <w:spacing w:after="120" w:line="276"/>
        <w:jc w:val="both"/>
      </w:pPr>
      <w:r>
        <w:rPr>
          <w:rFonts w:ascii="Barlow Semi Condensed" w:cs="Barlow Semi Condensed" w:eastAsia="Barlow Semi Condensed" w:hAnsi="Barlow Semi Condensed"/>
          <w:b/>
          <w:bCs/>
          <w:sz w:val="24"/>
          <w:szCs w:val="24"/>
        </w:rPr>
        <w:t xml:space="preserve">Settima voce. Il registro dei delegati alla Conferenza per la sicurezza e la cooperazione in Europa conservato presso il centro di documentazione di Praga, per la composizione delle delegazioni greca e turca e per verificare se la questione delle minoranze cristiane sia stata sollevata.</w:t>
      </w:r>
    </w:p>
    <w:p>
      <w:pPr>
        <w:pStyle w:val="Heading2"/>
        <w:spacing w:after="100" w:before="200"/>
      </w:pPr>
      <w:r>
        <w:rPr>
          <w:rFonts w:ascii="Barlow Semi Condensed" w:cs="Barlow Semi Condensed" w:eastAsia="Barlow Semi Condensed" w:hAnsi="Barlow Semi Condensed"/>
          <w:sz w:val="24"/>
          <w:szCs w:val="24"/>
        </w:rPr>
        <w:t xml:space="preserve">Nota sul bilancio degli otto studi, che chiude questa ricognizione.</w:t>
      </w:r>
    </w:p>
    <w:p>
      <w:pPr>
        <w:spacing w:after="120" w:line="276"/>
        <w:jc w:val="both"/>
      </w:pPr>
      <w:r>
        <w:rPr>
          <w:rFonts w:ascii="Barlow Semi Condensed" w:cs="Barlow Semi Condensed" w:eastAsia="Barlow Semi Condensed" w:hAnsi="Barlow Semi Condensed"/>
          <w:b/>
          <w:bCs/>
          <w:sz w:val="24"/>
          <w:szCs w:val="24"/>
        </w:rPr>
        <w:t xml:space="preserve">Otto ricognizioni hanno percorso l'attività ministeriale di Moro verso Spagna, Portogallo, Grecia, Cipro e Turchia, incrociandola con la Santa Sede e con l'Opus Dei. L'esito sul primo termine è costante: il governo italiano non compare come attore documentato in nessuno dei cinque perimetri, e le ragioni sono state esposte al Capitolo nono.</w:t>
      </w:r>
    </w:p>
    <w:p>
      <w:pPr>
        <w:spacing w:after="120" w:line="276"/>
        <w:jc w:val="both"/>
      </w:pPr>
      <w:r>
        <w:rPr>
          <w:rFonts w:ascii="Barlow Semi Condensed" w:cs="Barlow Semi Condensed" w:eastAsia="Barlow Semi Condensed" w:hAnsi="Barlow Semi Condensed"/>
          <w:b/>
          <w:bCs/>
          <w:sz w:val="24"/>
          <w:szCs w:val="24"/>
        </w:rPr>
        <w:t xml:space="preserve">L'esito sul terzo termine è ora consolidato e non più soltanto ripetuto. L'Opus Dei è presente nei due Paesi iberici cattolici e assente nei tre Paesi orientali non cattolici; e la variabile discriminante è confessionale e sociale, non politica.</w:t>
      </w:r>
    </w:p>
    <w:p>
      <w:pPr>
        <w:spacing w:after="120" w:line="276"/>
        <w:jc w:val="both"/>
      </w:pPr>
      <w:r>
        <w:rPr>
          <w:rFonts w:ascii="Barlow Semi Condensed" w:cs="Barlow Semi Condensed" w:eastAsia="Barlow Semi Condensed" w:hAnsi="Barlow Semi Condensed"/>
          <w:b/>
          <w:bCs/>
          <w:sz w:val="24"/>
          <w:szCs w:val="24"/>
        </w:rPr>
        <w:t xml:space="preserve">Ne discende la constatazione che gli otto studi consegnano insieme. Dove agiscono soggetti che tengono archivio e che pubblicano — congregazioni, riviste missionarie, cancellerie ecclesiastiche, polizie politiche,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w:t>
      </w:r>
    </w:p>
    <w:p>
      <w:pPr>
        <w:spacing w:after="120" w:line="276"/>
        <w:jc w:val="both"/>
      </w:pPr>
      <w:r>
        <w:rPr>
          <w:rFonts w:ascii="Barlow Semi Condensed" w:cs="Barlow Semi Condensed" w:eastAsia="Barlow Semi Condensed" w:hAnsi="Barlow Semi Condensed"/>
          <w:b/>
          <w:bCs/>
          <w:sz w:val="24"/>
          <w:szCs w:val="24"/>
        </w:rPr>
        <w:t xml:space="preserve">A questa lezione il presente studio aggiunge la propria, che è di segno diverso e più utile. Vi sono assenze che non sono lacune. L'assenza dell'Opus Dei da Grecia, Cipro e Turchia non è un vuoto documentale da colmare: è un insieme vuoto verificato contro il registro ufficiale del soggetto medesimo. E tre insiemi vuoti, disposti in ordine di esclusione progressiva, producono una proposizione confutabile.</w:t>
      </w:r>
    </w:p>
    <w:p>
      <w:pPr>
        <w:spacing w:after="120" w:line="276"/>
        <w:jc w:val="both"/>
      </w:pPr>
      <w:r>
        <w:rPr>
          <w:rFonts w:ascii="Barlow Semi Condensed" w:cs="Barlow Semi Condensed" w:eastAsia="Barlow Semi Condensed" w:hAnsi="Barlow Semi Condensed"/>
          <w:b/>
          <w:bCs/>
          <w:sz w:val="24"/>
          <w:szCs w:val="24"/>
        </w:rPr>
        <w:t xml:space="preserve">Distinguere l'assenza di documenti dall'assenza del fatto è la prima disciplina. Distinguere la lacuna dall'insieme vuoto è la seconda, e questo studio è servito a impararla.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IX · Moro, Il Mediterraneo Orientale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6.537 parole in 9 sezioni; la più ampia è §9 Altre sezioni, con 5.514.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128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 — Moro, Le Due Germanie E La Santa Sede</w:t>
      </w:r>
    </w:p>
    <w:p>
      <w:pPr>
        <w:pStyle w:val="Heading1"/>
        <w:spacing w:after="120" w:before="240"/>
      </w:pPr>
      <w:r>
        <w:rPr>
          <w:rFonts w:ascii="Barlow Semi Condensed" w:cs="Barlow Semi Condensed" w:eastAsia="Barlow Semi Condensed" w:hAnsi="Barlow Semi Condensed"/>
          <w:sz w:val="24"/>
          <w:szCs w:val="24"/>
        </w:rPr>
        <w:t xml:space="preserve">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../originali/santa-sede-due-germanie-oder-neisse.md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29,4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Nona ricognizione: la sequenza Oder-Neisse accertata</w:t>
      </w:r>
    </w:p>
    <w:p>
      <w:pPr>
        <w:pStyle w:val="Heading2"/>
        <w:spacing w:after="100" w:before="200"/>
      </w:pPr>
      <w:r>
        <w:rPr>
          <w:rFonts w:ascii="Barlow Semi Condensed" w:cs="Barlow Semi Condensed" w:eastAsia="Barlow Semi Condensed" w:hAnsi="Barlow Semi Condensed"/>
          <w:sz w:val="24"/>
          <w:szCs w:val="24"/>
        </w:rPr>
        <w:t xml:space="preserve">Il primo nesso documentato in nove studi, e il silenzio del testo canonico</w:t>
      </w:r>
    </w:p>
    <w:p>
      <w:pPr>
        <w:pStyle w:val="Heading2"/>
        <w:spacing w:after="100" w:before="200"/>
      </w:pPr>
      <w:r>
        <w:rPr>
          <w:rFonts w:ascii="Barlow Semi Condensed" w:cs="Barlow Semi Condensed" w:eastAsia="Barlow Semi Condensed" w:hAnsi="Barlow Semi Condensed"/>
          <w:sz w:val="24"/>
          <w:szCs w:val="24"/>
        </w:rPr>
        <w:t xml:space="preserve">Dodici Capitoli — tre correzioni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primo nesso documentato in nove ricognizioni</w:t>
      </w:r>
    </w:p>
    <w:p>
      <w:pPr>
        <w:spacing w:after="120" w:line="276"/>
        <w:jc w:val="both"/>
      </w:pPr>
      <w:r>
        <w:rPr>
          <w:rFonts w:ascii="Barlow Semi Condensed" w:cs="Barlow Semi Condensed" w:eastAsia="Barlow Semi Condensed" w:hAnsi="Barlow Semi Condensed"/>
          <w:b/>
          <w:bCs/>
          <w:sz w:val="24"/>
          <w:szCs w:val="24"/>
        </w:rPr>
        <w:t xml:space="preserve">È la nona ricognizione sull'attività ministeriale di Aldo Moro, e la prima che produca un risultato di natura diversa da tutte le precedenti. Conviene enunciarlo subito perché governa i dodici capitoli e perché muta il bilancio della serie.</w:t>
      </w:r>
    </w:p>
    <w:p>
      <w:pPr>
        <w:spacing w:after="120" w:line="276"/>
        <w:jc w:val="both"/>
      </w:pPr>
      <w:r>
        <w:rPr>
          <w:rFonts w:ascii="Barlow Semi Condensed" w:cs="Barlow Semi Condensed" w:eastAsia="Barlow Semi Condensed" w:hAnsi="Barlow Semi Condensed"/>
          <w:b/>
          <w:bCs/>
          <w:sz w:val="24"/>
          <w:szCs w:val="24"/>
        </w:rPr>
        <w:t xml:space="preserve">Le otto ricognizioni anteriori hanno prodotto convergenze, simultaneità, comunanze di ambiente e contemporaneità. Nessuna aveva prodotto un nesso, cioè un rapporto fra due atti attestato da documento e non inferito dalla prossimità delle date. Questa lo produce.</w:t>
      </w:r>
    </w:p>
    <w:p>
      <w:pPr>
        <w:spacing w:after="120" w:line="276"/>
        <w:jc w:val="both"/>
      </w:pPr>
      <w:r>
        <w:rPr>
          <w:rFonts w:ascii="Barlow Semi Condensed" w:cs="Barlow Semi Condensed" w:eastAsia="Barlow Semi Condensed" w:hAnsi="Barlow Semi Condensed"/>
          <w:b/>
          <w:bCs/>
          <w:sz w:val="24"/>
          <w:szCs w:val="24"/>
        </w:rPr>
        <w:t xml:space="preserve">Il nesso è il seguente. La Santa Sede attese la ratifica del Trattato di Varsavia prima di erigere le diocesi permanenti a oriente della linea Oder-Neisse. E lo attese dichiaratamente, poiché la comunicazione vaticana che accompagnò l'atto si riferì espressamente al trattato tedesco-polacco.</w:t>
      </w:r>
    </w:p>
    <w:p>
      <w:pPr>
        <w:spacing w:after="120" w:line="276"/>
        <w:jc w:val="both"/>
      </w:pPr>
      <w:r>
        <w:rPr>
          <w:rFonts w:ascii="Barlow Semi Condensed" w:cs="Barlow Semi Condensed" w:eastAsia="Barlow Semi Condensed" w:hAnsi="Barlow Semi Condensed"/>
          <w:b/>
          <w:bCs/>
          <w:sz w:val="24"/>
          <w:szCs w:val="24"/>
        </w:rPr>
        <w:t xml:space="preserve">La sequenza, per date. Il Trattato di Varsavia fra Repubblica Federale di Germania e Repubblica Popolare di Polonia fu firmato il 7 dicembre 1970. Fu ratificato dal Bundestag il 17 maggio 1972. Entrò in vigore con lo scambio degli strumenti di ratifica il 3 giugno 1972. Il 28 giugno 1972 Paolo VI emanò le costituzioni apostoliche che erigevano le nuove diocesi.</w:t>
      </w:r>
    </w:p>
    <w:p>
      <w:pPr>
        <w:spacing w:after="120" w:line="276"/>
        <w:jc w:val="both"/>
      </w:pPr>
      <w:r>
        <w:rPr>
          <w:rFonts w:ascii="Barlow Semi Condensed" w:cs="Barlow Semi Condensed" w:eastAsia="Barlow Semi Condensed" w:hAnsi="Barlow Semi Condensed"/>
          <w:b/>
          <w:bCs/>
          <w:sz w:val="24"/>
          <w:szCs w:val="24"/>
        </w:rPr>
        <w:t xml:space="preserve">Venticinque giorni fra l'entrata in vigore e l'atto pontificio. Quarantadue fra la ratifica e l'atto pontificio.</w:t>
      </w:r>
    </w:p>
    <w:p>
      <w:pPr>
        <w:spacing w:after="120" w:line="276"/>
        <w:jc w:val="both"/>
      </w:pPr>
      <w:r>
        <w:rPr>
          <w:rFonts w:ascii="Barlow Semi Condensed" w:cs="Barlow Semi Condensed" w:eastAsia="Barlow Semi Condensed" w:hAnsi="Barlow Semi Condensed"/>
          <w:b/>
          <w:bCs/>
          <w:sz w:val="24"/>
          <w:szCs w:val="24"/>
        </w:rPr>
        <w:t xml:space="preserve">Perché questo non è contemporaneità, e va argomentato perché è il punto metodologico dello studio. La disciplina del progetto vieta di trattare la successione temporale come prova di nesso, e giustamente. Qui però esistono tre elementi documentali che vanno oltre la successione.</w:t>
      </w:r>
    </w:p>
    <w:p>
      <w:pPr>
        <w:spacing w:after="120" w:line="276"/>
        <w:jc w:val="both"/>
      </w:pPr>
      <w:r>
        <w:rPr>
          <w:rFonts w:ascii="Barlow Semi Condensed" w:cs="Barlow Semi Condensed" w:eastAsia="Barlow Semi Condensed" w:hAnsi="Barlow Semi Condensed"/>
          <w:b/>
          <w:bCs/>
          <w:sz w:val="24"/>
          <w:szCs w:val="24"/>
        </w:rPr>
        <w:t xml:space="preserve">Primo. La Santa Sede aveva una consuetudine dichiarata di non mutare lo status delle diocesi prima di un trattato di pace, e tale consuetudine era stata comunicata al governo di Bonn dal cardinale Julius Döpfner, presidente della Conferenza episcopale tedesca, dopo consultazione a Roma: si teneva fermo a Roma, decisamente, alla nota consuetudine di non mutare nulla nello status dei vescovadi prima di un trattato di pace.</w:t>
      </w:r>
    </w:p>
    <w:p>
      <w:pPr>
        <w:spacing w:after="120" w:line="276"/>
        <w:jc w:val="both"/>
      </w:pPr>
      <w:r>
        <w:rPr>
          <w:rFonts w:ascii="Barlow Semi Condensed" w:cs="Barlow Semi Condensed" w:eastAsia="Barlow Semi Condensed" w:hAnsi="Barlow Semi Condensed"/>
          <w:b/>
          <w:bCs/>
          <w:sz w:val="24"/>
          <w:szCs w:val="24"/>
        </w:rPr>
        <w:t xml:space="preserve">Secondo.\\ La comunicazione vaticana del 28 giugno 1972 \\si riferì espressamente al trattato tedesco-polacco.</w:t>
      </w:r>
    </w:p>
    <w:p>
      <w:pPr>
        <w:spacing w:after="120" w:line="276"/>
        <w:jc w:val="both"/>
      </w:pPr>
      <w:r>
        <w:rPr>
          <w:rFonts w:ascii="Barlow Semi Condensed" w:cs="Barlow Semi Condensed" w:eastAsia="Barlow Semi Condensed" w:hAnsi="Barlow Semi Condensed"/>
          <w:b/>
          <w:bCs/>
          <w:sz w:val="24"/>
          <w:szCs w:val="24"/>
        </w:rPr>
        <w:t xml:space="preserve">Terzo. Roma reagì entro tre settimane dalla ratifica.</w:t>
      </w:r>
    </w:p>
    <w:p>
      <w:pPr>
        <w:spacing w:after="120" w:line="276"/>
        <w:jc w:val="both"/>
      </w:pPr>
      <w:r>
        <w:rPr>
          <w:rFonts w:ascii="Barlow Semi Condensed" w:cs="Barlow Semi Condensed" w:eastAsia="Barlow Semi Condensed" w:hAnsi="Barlow Semi Condensed"/>
          <w:b/>
          <w:bCs/>
          <w:sz w:val="24"/>
          <w:szCs w:val="24"/>
        </w:rPr>
        <w:t xml:space="preserve">La fonte di questi tre elementi va dichiarata perché ne determina il peso. È lo storico Karl-Joseph Hummel, allora direttore della Forschungsstelle della Kommission für Zeitgeschichte di Bonn, nel saggio pubblicato nella rivista \OST-WEST Europäische Perspektiven\, fascicolo quarto del 2005. Non è dunque fonte di parte né pubblicistica: è storiografia scientifica di istituto tedesco.</w:t>
      </w:r>
    </w:p>
    <w:p>
      <w:pPr>
        <w:spacing w:after="120" w:line="276"/>
        <w:jc w:val="both"/>
      </w:pPr>
      <w:r>
        <w:rPr>
          <w:rFonts w:ascii="Barlow Semi Condensed" w:cs="Barlow Semi Condensed" w:eastAsia="Barlow Semi Condensed" w:hAnsi="Barlow Semi Condensed"/>
          <w:b/>
          <w:bCs/>
          <w:sz w:val="24"/>
          <w:szCs w:val="24"/>
        </w:rPr>
        <w:t xml:space="preserve">E adesso la distinzione più fine di tutto lo studio, che va enunciata con la massima precisione perché è ciò che separa un accertamento da un'affermazione.</w:t>
      </w:r>
    </w:p>
    <w:p>
      <w:pPr>
        <w:spacing w:after="120" w:line="276"/>
        <w:jc w:val="both"/>
      </w:pPr>
      <w:r>
        <w:rPr>
          <w:rFonts w:ascii="Barlow Semi Condensed" w:cs="Barlow Semi Condensed" w:eastAsia="Barlow Semi Condensed" w:hAnsi="Barlow Semi Condensed"/>
          <w:b/>
          <w:bCs/>
          <w:sz w:val="24"/>
          <w:szCs w:val="24"/>
        </w:rPr>
        <w:t xml:space="preserve">Il testo canonico non dice questo. Le due costituzioni apostoliche adducono come motivazione una ragione pastorale — reggere più adattamente e da vicino il popolo cristiano — e l'accoglimento della richiesta dell'episcopato polacco. Non contengono alcuna frase che dichiari di aver atteso il trattato.</w:t>
      </w:r>
    </w:p>
    <w:p>
      <w:pPr>
        <w:spacing w:after="120" w:line="276"/>
        <w:jc w:val="both"/>
      </w:pPr>
      <w:r>
        <w:rPr>
          <w:rFonts w:ascii="Barlow Semi Condensed" w:cs="Barlow Semi Condensed" w:eastAsia="Barlow Semi Condensed" w:hAnsi="Barlow Semi Condensed"/>
          <w:b/>
          <w:bCs/>
          <w:sz w:val="24"/>
          <w:szCs w:val="24"/>
        </w:rPr>
        <w:t xml:space="preserve">Ne discende che il nesso è attestato dalla comunicazione di accompagnamento e non dalla bolla. Il documento canonico si tenne, per scelta che il Capitolo sesto argomenta come deliberata, sul solo piano pastorale; la comunicazione diplomatica che lo accompagnava rese esplicito il legame politico.</w:t>
      </w:r>
    </w:p>
    <w:p>
      <w:pPr>
        <w:spacing w:after="120" w:line="276"/>
        <w:jc w:val="both"/>
      </w:pPr>
      <w:r>
        <w:rPr>
          <w:rFonts w:ascii="Barlow Semi Condensed" w:cs="Barlow Semi Condensed" w:eastAsia="Barlow Semi Condensed" w:hAnsi="Barlow Semi Condensed"/>
          <w:b/>
          <w:bCs/>
          <w:sz w:val="24"/>
          <w:szCs w:val="24"/>
        </w:rPr>
        <w:t xml:space="preserve">Questa doppiezza non è un difetto della fonte: è un fatto sulla diplomazia pontificia,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secondo — La provvisorietà: il principio tenuto fermo per ventisette anni</w:t>
      </w:r>
    </w:p>
    <w:p>
      <w:pPr>
        <w:spacing w:after="120" w:line="276"/>
        <w:jc w:val="both"/>
      </w:pPr>
      <w:r>
        <w:rPr>
          <w:rFonts w:ascii="Barlow Semi Condensed" w:cs="Barlow Semi Condensed" w:eastAsia="Barlow Semi Condensed" w:hAnsi="Barlow Semi Condensed"/>
          <w:b/>
          <w:bCs/>
          <w:sz w:val="24"/>
          <w:szCs w:val="24"/>
        </w:rPr>
        <w:t xml:space="preserve">Il capitolo espone la ragione per cui la Santa Sede poteva attendere, ossia il principio che essa aveva tenuto fermo dal 1945.</w:t>
      </w:r>
    </w:p>
    <w:p>
      <w:pPr>
        <w:spacing w:after="120" w:line="276"/>
        <w:jc w:val="both"/>
      </w:pPr>
      <w:r>
        <w:rPr>
          <w:rFonts w:ascii="Barlow Semi Condensed" w:cs="Barlow Semi Condensed" w:eastAsia="Barlow Semi Condensed" w:hAnsi="Barlow Semi Condensed"/>
          <w:b/>
          <w:bCs/>
          <w:sz w:val="24"/>
          <w:szCs w:val="24"/>
        </w:rPr>
        <w:t xml:space="preserve">La discrasia geografico-ecclesiastica. Le diocesi di Breslavia, dell'Ermland, di Danzica, di Schneidemühl e la prelatura di Kamień-Lubusz-Piła rimasero nominalmente tedesche nella geografia ecclesiastica anche dopo che i territori in cui insistevano furono posti sotto amministrazione polacca in seguito alla Conferenza di Potsdam.</w:t>
      </w:r>
    </w:p>
    <w:p>
      <w:pPr>
        <w:spacing w:after="120" w:line="276"/>
        <w:jc w:val="both"/>
      </w:pPr>
      <w:r>
        <w:rPr>
          <w:rFonts w:ascii="Barlow Semi Condensed" w:cs="Barlow Semi Condensed" w:eastAsia="Barlow Semi Condensed" w:hAnsi="Barlow Semi Condensed"/>
          <w:b/>
          <w:bCs/>
          <w:sz w:val="24"/>
          <w:szCs w:val="24"/>
        </w:rPr>
        <w:t xml:space="preserve">La ragione, dichiarata. L'assetto uscito dalla guerra era provvisorio in attesa di un trattato di pace che regolasse definitivamente i confini; e finché quel trattato mancava, la Santa Sede non poteva mutare in via permanente la titolarità delle sedi. Il principio fu tenuto fermo sotto Pio XII e ribadito sotto Giovanni XXIII.</w:t>
      </w:r>
    </w:p>
    <w:p>
      <w:pPr>
        <w:spacing w:after="120" w:line="276"/>
        <w:jc w:val="both"/>
      </w:pPr>
      <w:r>
        <w:rPr>
          <w:rFonts w:ascii="Barlow Semi Condensed" w:cs="Barlow Semi Condensed" w:eastAsia="Barlow Semi Condensed" w:hAnsi="Barlow Semi Condensed"/>
          <w:b/>
          <w:bCs/>
          <w:sz w:val="24"/>
          <w:szCs w:val="24"/>
        </w:rPr>
        <w:t xml:space="preserve">La soluzione del 1945, e la sua forma canonica. Il 15 agosto 1945 il cardinale August Hlond, primate di Polonia, usando facoltà straordinarie ricevute da Pio XII, istituì cinque amministrazioni apostoliche — non diocesi — nei territori: Danzica-Chełmno con Andrzej Wronka; Warmia-Olsztyn con Teodor Bensch; Opole con Bolesław Kominek; Breslavia con Karol Milik; Gorzów con Edmund Nowicki.</w:t>
      </w:r>
    </w:p>
    <w:p>
      <w:pPr>
        <w:spacing w:after="120" w:line="276"/>
        <w:jc w:val="both"/>
      </w:pPr>
      <w:r>
        <w:rPr>
          <w:rFonts w:ascii="Barlow Semi Condensed" w:cs="Barlow Semi Condensed" w:eastAsia="Barlow Semi Condensed" w:hAnsi="Barlow Semi Condensed"/>
          <w:b/>
          <w:bCs/>
          <w:sz w:val="24"/>
          <w:szCs w:val="24"/>
        </w:rPr>
        <w:t xml:space="preserve">La scelta della forma va notata perché è il punto. L'amministrazione apostolica è provvisoria per natura canonica. La scelta fu deliberata proprio perché il confine non era ancora definito. La Santa Sede iscrisse la provvisorietà politica nella forma giuridica dell'atto ecclesiastico.</w:t>
      </w:r>
    </w:p>
    <w:p>
      <w:pPr>
        <w:spacing w:after="120" w:line="276"/>
        <w:jc w:val="both"/>
      </w:pPr>
      <w:r>
        <w:rPr>
          <w:rFonts w:ascii="Barlow Semi Condensed" w:cs="Barlow Semi Condensed" w:eastAsia="Barlow Semi Condensed" w:hAnsi="Barlow Semi Condensed"/>
          <w:b/>
          <w:bCs/>
          <w:sz w:val="24"/>
          <w:szCs w:val="24"/>
        </w:rPr>
        <w:t xml:space="preserve">La fonte. Lo studioso Michał Białkowski, in un saggio pubblicato nella rivista Zapiski Historyczne, volume ottantaduesimo del 2017, fascicolo terzo, ricostruisce l'intera vicenda e documenta che il termine tecnico impiegato per descrivere quell'assetto fu provvisorietà, in polacco \tymczasowość\.</w:t>
      </w:r>
    </w:p>
    <w:p>
      <w:pPr>
        <w:spacing w:after="120" w:line="276"/>
        <w:jc w:val="both"/>
      </w:pPr>
      <w:r>
        <w:rPr>
          <w:rFonts w:ascii="Barlow Semi Condensed" w:cs="Barlow Semi Condensed" w:eastAsia="Barlow Semi Condensed" w:hAnsi="Barlow Semi Condensed"/>
          <w:b/>
          <w:bCs/>
          <w:sz w:val="24"/>
          <w:szCs w:val="24"/>
        </w:rPr>
        <w:t xml:space="preserve">Un dettaglio va riportato perché è notevole. Perfino il comunicato governativo comunista del 27 gennaio 1951 parlò di liquidazione dello stato di provvisorietà nell'amministrazione ecclesiastica dei territori occidentali. Il regime polacco usava dunque la medesima categoria canonica che la Santa Sede aveva adottato, e la usava per contestarla.</w:t>
      </w:r>
    </w:p>
    <w:p>
      <w:pPr>
        <w:spacing w:after="120" w:line="276"/>
        <w:jc w:val="both"/>
      </w:pPr>
      <w:r>
        <w:rPr>
          <w:rFonts w:ascii="Barlow Semi Condensed" w:cs="Barlow Semi Condensed" w:eastAsia="Barlow Semi Condensed" w:hAnsi="Barlow Semi Condensed"/>
          <w:b/>
          <w:bCs/>
          <w:sz w:val="24"/>
          <w:szCs w:val="24"/>
        </w:rPr>
        <w:t xml:space="preserve">La durata.\\ La provvisorietà attraversò il pontificato di Giovanni XXIII e i lavori del Concilio Vaticano II, dal 1962 al 1965, \\senza mutamenti di sostanza, restando in piedi fino al 1972.</w:t>
      </w:r>
    </w:p>
    <w:p>
      <w:pPr>
        <w:spacing w:after="120" w:line="276"/>
        <w:jc w:val="both"/>
      </w:pPr>
      <w:r>
        <w:rPr>
          <w:rFonts w:ascii="Barlow Semi Condensed" w:cs="Barlow Semi Condensed" w:eastAsia="Barlow Semi Condensed" w:hAnsi="Barlow Semi Condensed"/>
          <w:b/>
          <w:bCs/>
          <w:sz w:val="24"/>
          <w:szCs w:val="24"/>
        </w:rPr>
        <w:t xml:space="preserve">Ventisette anni.\\ È la misura della coerenza del principio, e insieme la misura di ciò che accadde nel giugno 1972: \\non un atto ordinario di riorganizzazione, ma la fine di un regime giuridico durato quasi tre decenni.</w:t>
      </w:r>
    </w:p>
    <w:p>
      <w:pPr>
        <w:spacing w:after="120" w:line="276"/>
        <w:jc w:val="both"/>
      </w:pPr>
      <w:r>
        <w:rPr>
          <w:rFonts w:ascii="Barlow Semi Condensed" w:cs="Barlow Semi Condensed" w:eastAsia="Barlow Semi Condensed" w:hAnsi="Barlow Semi Condensed"/>
          <w:b/>
          <w:bCs/>
          <w:sz w:val="24"/>
          <w:szCs w:val="24"/>
        </w:rPr>
        <w:t xml:space="preserve">Un limite documentale va dichiarato qui una volta per tutte. Gli atti di governo della Santa Sede relativi ai pontificati posteriori all'ottobre 1958 non sono consultabili in Archivio Apostolico Vaticano. La ricostruzione della posizione di Giovanni XXIII e di Paolo VI si fonda dunque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terzo — Lo scambio di lettere del novembre 1965 e ciò che i tedeschi non concessero</w:t>
      </w:r>
    </w:p>
    <w:p>
      <w:pPr>
        <w:spacing w:after="120" w:line="276"/>
        <w:jc w:val="both"/>
      </w:pPr>
      <w:r>
        <w:rPr>
          <w:rFonts w:ascii="Barlow Semi Condensed" w:cs="Barlow Semi Condensed" w:eastAsia="Barlow Semi Condensed" w:hAnsi="Barlow Semi Condensed"/>
          <w:b/>
          <w:bCs/>
          <w:sz w:val="24"/>
          <w:szCs w:val="24"/>
        </w:rPr>
        <w:t xml:space="preserve">Il capitolo espone l'anello ecclesiale che precede l'atto politico di cinque anni, e ne isola il punto in cui i due episcopati non si incontrarono.</w:t>
      </w:r>
    </w:p>
    <w:p>
      <w:pPr>
        <w:spacing w:after="120" w:line="276"/>
        <w:jc w:val="both"/>
      </w:pPr>
      <w:r>
        <w:rPr>
          <w:rFonts w:ascii="Barlow Semi Condensed" w:cs="Barlow Semi Condensed" w:eastAsia="Barlow Semi Condensed" w:hAnsi="Barlow Semi Condensed"/>
          <w:b/>
          <w:bCs/>
          <w:sz w:val="24"/>
          <w:szCs w:val="24"/>
        </w:rPr>
        <w:t xml:space="preserve">Il messaggio polacco, datato. Il 18 novembre 1965, ai margini dell'ultima sessione del Concilio, i vescovi polacchi inviarono ai confratelli tedeschi un messaggio di dodici pagine contenente la frase divenuta emblematica: vi tendiamo le nostre mani accordando perdono e chiedendo perdono — in polacco \Przebaczamy i prosimy o przebaczenie\.</w:t>
      </w:r>
    </w:p>
    <w:p>
      <w:pPr>
        <w:spacing w:after="120" w:line="276"/>
        <w:jc w:val="both"/>
      </w:pPr>
      <w:r>
        <w:rPr>
          <w:rFonts w:ascii="Barlow Semi Condensed" w:cs="Barlow Semi Condensed" w:eastAsia="Barlow Semi Condensed" w:hAnsi="Barlow Semi Condensed"/>
          <w:b/>
          <w:bCs/>
          <w:sz w:val="24"/>
          <w:szCs w:val="24"/>
        </w:rPr>
        <w:t xml:space="preserve">Il documento ripercorreva la storia millenaria del cristianesimo polacco e le difficili relazioni con il popolo tedesco, con esplicito riferimento all'incertezza determinata dalla provvisorietà dei confini post-bellici sull'Oder-Neisse.</w:t>
      </w:r>
    </w:p>
    <w:p>
      <w:pPr>
        <w:spacing w:after="120" w:line="276"/>
        <w:jc w:val="both"/>
      </w:pPr>
      <w:r>
        <w:rPr>
          <w:rFonts w:ascii="Barlow Semi Condensed" w:cs="Barlow Semi Condensed" w:eastAsia="Barlow Semi Condensed" w:hAnsi="Barlow Semi Condensed"/>
          <w:b/>
          <w:bCs/>
          <w:sz w:val="24"/>
          <w:szCs w:val="24"/>
        </w:rPr>
        <w:t xml:space="preserve">La paternità, documentata. Le fonti ecclesiastiche italiane e polacche concordano nell'attribuire il testo all'arcivescovo di Breslavia Bolesław Kominek — il medesimo che nel 1945 era stato amministratore apostolico di Opole — con il concorso di Wincenty Urban, del gruppo dell'Istituto storico polacco di Roma e di gesuiti della Radio Vaticana. Il messaggio fu approvato il 18 novembre 1965 dal primate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b/>
          <w:bCs/>
          <w:sz w:val="24"/>
          <w:szCs w:val="24"/>
        </w:rPr>
        <w:t xml:space="preserve">La risposta tedesca, datata. Il 5 dicembre 1965, sotto il titolo di saluto dei vescovi tedeschi ai fratelli polacchi. Essa esprimeva gratitudine e chiedeva a sua volta perdono, con l'auspicio che mai più lo spirito malvagio dell'odio separi le nostre mani.</w:t>
      </w:r>
    </w:p>
    <w:p>
      <w:pPr>
        <w:spacing w:after="120" w:line="276"/>
        <w:jc w:val="both"/>
      </w:pPr>
      <w:r>
        <w:rPr>
          <w:rFonts w:ascii="Barlow Semi Condensed" w:cs="Barlow Semi Condensed" w:eastAsia="Barlow Semi Condensed" w:hAnsi="Barlow Semi Condensed"/>
          <w:b/>
          <w:bCs/>
          <w:sz w:val="24"/>
          <w:szCs w:val="24"/>
        </w:rPr>
        <w:t xml:space="preserve">E qui il punto che il capitolo serve a isolare.\\ \\La risposta tedesca non accettava le perdite territoriali della Germania a favore della Polonia come esito della guerra.</w:t>
      </w:r>
    </w:p>
    <w:p>
      <w:pPr>
        <w:spacing w:after="120" w:line="276"/>
        <w:jc w:val="both"/>
      </w:pPr>
      <w:r>
        <w:rPr>
          <w:rFonts w:ascii="Barlow Semi Condensed" w:cs="Barlow Semi Condensed" w:eastAsia="Barlow Semi Condensed" w:hAnsi="Barlow Semi Condensed"/>
          <w:b/>
          <w:bCs/>
          <w:sz w:val="24"/>
          <w:szCs w:val="24"/>
        </w:rPr>
        <w:t xml:space="preserve">Ne discende un esito asimmetrico che va enunciato con precisione: sul perdono vi fu reciprocità; sui confini la risposta tedesca rimase su una riserva.</w:t>
      </w:r>
    </w:p>
    <w:p>
      <w:pPr>
        <w:spacing w:after="120" w:line="276"/>
        <w:jc w:val="both"/>
      </w:pPr>
      <w:r>
        <w:rPr>
          <w:rFonts w:ascii="Barlow Semi Condensed" w:cs="Barlow Semi Condensed" w:eastAsia="Barlow Semi Condensed" w:hAnsi="Barlow Semi Condensed"/>
          <w:b/>
          <w:bCs/>
          <w:sz w:val="24"/>
          <w:szCs w:val="24"/>
        </w:rPr>
        <w:t xml:space="preserve">La delusione polacca è attestata da fonte diretta di protagonista, ed è la citazione più eloquente del capitolo. In una lettera del 1970 al cardinale Döpfner, il primate Wyszyński scrisse che la nostra mano, tesa con tanta cordialità, è stata accolta non senza riserve.</w:t>
      </w:r>
    </w:p>
    <w:p>
      <w:pPr>
        <w:spacing w:after="120" w:line="276"/>
        <w:jc w:val="both"/>
      </w:pPr>
      <w:r>
        <w:rPr>
          <w:rFonts w:ascii="Barlow Semi Condensed" w:cs="Barlow Semi Condensed" w:eastAsia="Barlow Semi Condensed" w:hAnsi="Barlow Semi Condensed"/>
          <w:b/>
          <w:bCs/>
          <w:sz w:val="24"/>
          <w:szCs w:val="24"/>
        </w:rPr>
        <w:t xml:space="preserve">Il terreno tedesco fu però preparato per altre vie, e vanno registrate. Il memorandum delle Chiese evangeliche tedesche del 1965 — la cosiddetta \Ostdenkschrift\ dell'EKD — auspicava un accordo e il riconoscimento dei confini. E successivamente il Memorandum del Bensberger Kreis, pubblicato il 3 marzo 1968 e sottoscritto da un gruppo di circa centosessanta-centottanta cattolici critici tedeschi, chiese il riconoscimento dei confini post-bellici.</w:t>
      </w:r>
    </w:p>
    <w:p>
      <w:pPr>
        <w:spacing w:after="120" w:line="276"/>
        <w:jc w:val="both"/>
      </w:pPr>
      <w:r>
        <w:rPr>
          <w:rFonts w:ascii="Barlow Semi Condensed" w:cs="Barlow Semi Condensed" w:eastAsia="Barlow Semi Condensed" w:hAnsi="Barlow Semi Condensed"/>
          <w:b/>
          <w:bCs/>
          <w:sz w:val="24"/>
          <w:szCs w:val="24"/>
        </w:rPr>
        <w:t xml:space="preserve">Ne discende che sul versante ecclesiale il terreno del riconoscimento fu preparato ben prima dell'atto politico del 1970 e dell'atto canonico del 1972.</w:t>
      </w:r>
    </w:p>
    <w:p>
      <w:pPr>
        <w:spacing w:after="120" w:line="276"/>
        <w:jc w:val="both"/>
      </w:pPr>
      <w:r>
        <w:rPr>
          <w:rFonts w:ascii="Barlow Semi Condensed" w:cs="Barlow Semi Condensed" w:eastAsia="Barlow Semi Condensed" w:hAnsi="Barlow Semi Condensed"/>
          <w:b/>
          <w:bCs/>
          <w:sz w:val="24"/>
          <w:szCs w:val="24"/>
        </w:rPr>
        <w:t xml:space="preserve">Ma la qualificazione va apposta. Ciò non implica un coordinamento fra episcopati e cancellerie, che le fonti non attestano. Attesta che una parte del mondo cattolico tedesco era disposta a ciò che il proprio episcopato, nel dicembre 1965, non aveva concesso.</w:t>
      </w:r>
    </w:p>
    <w:p>
      <w:pPr>
        <w:pStyle w:val="Heading2"/>
        <w:spacing w:after="100" w:before="200"/>
      </w:pPr>
      <w:r>
        <w:rPr>
          <w:rFonts w:ascii="Barlow Semi Condensed" w:cs="Barlow Semi Condensed" w:eastAsia="Barlow Semi Condensed" w:hAnsi="Barlow Semi Condensed"/>
          <w:sz w:val="24"/>
          <w:szCs w:val="24"/>
        </w:rPr>
        <w:t xml:space="preserve">Capitolo quarto — L'Ostpolitik di Brandt e la posizione italiana, con la correzione sul riconoscimento</w:t>
      </w:r>
    </w:p>
    <w:p>
      <w:pPr>
        <w:spacing w:after="120" w:line="276"/>
        <w:jc w:val="both"/>
      </w:pPr>
      <w:r>
        <w:rPr>
          <w:rFonts w:ascii="Barlow Semi Condensed" w:cs="Barlow Semi Condensed" w:eastAsia="Barlow Semi Condensed" w:hAnsi="Barlow Semi Condensed"/>
          <w:b/>
          <w:bCs/>
          <w:sz w:val="24"/>
          <w:szCs w:val="24"/>
        </w:rPr>
        <w:t xml:space="preserve">Il capitolo espone gli atti tedeschi e la posizione italiana su ciascuno, e corregge un'ipotesi.</w:t>
      </w:r>
    </w:p>
    <w:p>
      <w:pPr>
        <w:spacing w:after="120" w:line="276"/>
        <w:jc w:val="both"/>
      </w:pPr>
      <w:r>
        <w:rPr>
          <w:rFonts w:ascii="Barlow Semi Condensed" w:cs="Barlow Semi Condensed" w:eastAsia="Barlow Semi Condensed" w:hAnsi="Barlow Semi Condensed"/>
          <w:b/>
          <w:bCs/>
          <w:sz w:val="24"/>
          <w:szCs w:val="24"/>
        </w:rPr>
        <w:t xml:space="preserve">Il governo. La Ostpolitik fu inaugurata dal governo di coalizione fra socialdemocratici e liberali guidato da Willy Brandt, con Walter Scheel agli Esteri, insediatosi il 21 ottobre 1969 — dunque poche settimane dopo l'ingresso di Moro alla Farnesina.</w:t>
      </w:r>
    </w:p>
    <w:p>
      <w:pPr>
        <w:spacing w:after="120" w:line="276"/>
        <w:jc w:val="both"/>
      </w:pPr>
      <w:r>
        <w:rPr>
          <w:rFonts w:ascii="Barlow Semi Condensed" w:cs="Barlow Semi Condensed" w:eastAsia="Barlow Semi Condensed" w:hAnsi="Barlow Semi Condensed"/>
          <w:b/>
          <w:bCs/>
          <w:sz w:val="24"/>
          <w:szCs w:val="24"/>
        </w:rPr>
        <w:t xml:space="preserve">Il Trattato di Mosca, 12 agosto 1970. La Repubblica Federale riconosceva l'inviolabilità dei confini esistenti, inclusa la linea Oder-Neisse, e rinunciava a rivendicazioni territoriali. Su insistenza di Scheel, Mosca accettò di ricevere una lettera sull'unità tedesca — \Brief zur deutschen Einheit\ — con cui Bonn notificava che il trattato non contraddiceva l'obiettivo della riunificazione in libera autodeterminazione.</w:t>
      </w:r>
    </w:p>
    <w:p>
      <w:pPr>
        <w:spacing w:after="120" w:line="276"/>
        <w:jc w:val="both"/>
      </w:pPr>
      <w:r>
        <w:rPr>
          <w:rFonts w:ascii="Barlow Semi Condensed" w:cs="Barlow Semi Condensed" w:eastAsia="Barlow Semi Condensed" w:hAnsi="Barlow Semi Condensed"/>
          <w:b/>
          <w:bCs/>
          <w:sz w:val="24"/>
          <w:szCs w:val="24"/>
        </w:rPr>
        <w:t xml:space="preserve">Il Trattato di Varsavia, 7 dicembre 1970.\\ Quasi identico a quello di Mosca, \\salvo che vi figurava per primo il riconoscimento della linea Oder-Neisse.</w:t>
      </w:r>
    </w:p>
    <w:p>
      <w:pPr>
        <w:spacing w:after="120" w:line="276"/>
        <w:jc w:val="both"/>
      </w:pPr>
      <w:r>
        <w:rPr>
          <w:rFonts w:ascii="Barlow Semi Condensed" w:cs="Barlow Semi Condensed" w:eastAsia="Barlow Semi Condensed" w:hAnsi="Barlow Semi Condensed"/>
          <w:b/>
          <w:bCs/>
          <w:sz w:val="24"/>
          <w:szCs w:val="24"/>
        </w:rPr>
        <w:t xml:space="preserve">E qui una differenza decisiva va registrata. Verso Varsavia il governo federale rinunciò a una lettera sull'unità tedesca di accompagnamento, cosicché la Polonia interpretò il trattato come riconoscimento definitivo della frontiera. Lo stesso 7 dicembre Brandt compì a Varsavia il gesto dell'inginocchiamento davanti al monumento agli eroi del ghetto.</w:t>
      </w:r>
    </w:p>
    <w:p>
      <w:pPr>
        <w:spacing w:after="120" w:line="276"/>
        <w:jc w:val="both"/>
      </w:pPr>
      <w:r>
        <w:rPr>
          <w:rFonts w:ascii="Barlow Semi Condensed" w:cs="Barlow Semi Condensed" w:eastAsia="Barlow Semi Condensed" w:hAnsi="Barlow Semi Condensed"/>
          <w:b/>
          <w:bCs/>
          <w:sz w:val="24"/>
          <w:szCs w:val="24"/>
        </w:rPr>
        <w:t xml:space="preserve">Gli atti successivi. Accordo quadripartito su Berlino, 3 settembre 1971. Trattato fondamentale fra le due Germanie, 21 dicembre 1972. Ingresso simultaneo delle due Germanie alle Nazioni Unite, 18 settembre 1973.</w:t>
      </w:r>
    </w:p>
    <w:p>
      <w:pPr>
        <w:spacing w:after="120" w:line="276"/>
        <w:jc w:val="both"/>
      </w:pPr>
      <w:r>
        <w:rPr>
          <w:rFonts w:ascii="Barlow Semi Condensed" w:cs="Barlow Semi Condensed" w:eastAsia="Barlow Semi Condensed" w:hAnsi="Barlow Semi Condensed"/>
          <w:b/>
          <w:bCs/>
          <w:sz w:val="24"/>
          <w:szCs w:val="24"/>
        </w:rPr>
        <w:t xml:space="preserve">La ratifica, e il suo contesto parlamentare. La ratifica dei trattati orientali dal Bundestag del 17 maggio 1972 fu preceduta dal fallito voto di sfiducia costruttiva di Rainer Barzel del 24 aprile 1972 e accompagnata da una risoluzione comune di governo e opposizione. Lo scambio degli strumenti di ratifica del 3 giugno 1972 fece entrare in vigore i trattati di Mosca e Varsavia e l'Accordo quadripartito.</w:t>
      </w:r>
    </w:p>
    <w:p>
      <w:pPr>
        <w:spacing w:after="120" w:line="276"/>
        <w:jc w:val="both"/>
      </w:pPr>
      <w:r>
        <w:rPr>
          <w:rFonts w:ascii="Barlow Semi Condensed" w:cs="Barlow Semi Condensed" w:eastAsia="Barlow Semi Condensed" w:hAnsi="Barlow Semi Condensed"/>
          <w:b/>
          <w:bCs/>
          <w:sz w:val="24"/>
          <w:szCs w:val="24"/>
        </w:rPr>
        <w:t xml:space="preserve">La posizione italiana: la correzione. Il riconoscimento italiano della Repubblica Democratica Tedesca è datato con precisione dal Portale storico della Camera dei deputati, per la seduta di mercoledì 17 gennaio 1973 della sesta legislatura: l'Italia riconosce la Repubblica Democratica di Germania e i due Paesi stabiliscono relazioni diplomatiche.</w:t>
      </w:r>
    </w:p>
    <w:p>
      <w:pPr>
        <w:spacing w:after="120" w:line="276"/>
        <w:jc w:val="both"/>
      </w:pPr>
      <w:r>
        <w:rPr>
          <w:rFonts w:ascii="Barlow Semi Condensed" w:cs="Barlow Semi Condensed" w:eastAsia="Barlow Semi Condensed" w:hAnsi="Barlow Semi Condensed"/>
          <w:b/>
          <w:bCs/>
          <w:sz w:val="24"/>
          <w:szCs w:val="24"/>
        </w:rPr>
        <w:t xml:space="preserve">Ne discende una correzione che va enunciata. Il riconoscimento cadde fra i due mandati di Moro alla Farnesina — il ministro degli Esteri era allora Giuseppe Medici nel governo Andreotti — e non durante un mandato di Moro. L'ipotesi che esso fosse avvenuto sotto la sua titolarità è errata.</w:t>
      </w:r>
    </w:p>
    <w:p>
      <w:pPr>
        <w:spacing w:after="120" w:line="276"/>
        <w:jc w:val="both"/>
      </w:pPr>
      <w:r>
        <w:rPr>
          <w:rFonts w:ascii="Barlow Semi Condensed" w:cs="Barlow Semi Condensed" w:eastAsia="Barlow Semi Condensed" w:hAnsi="Barlow Semi Condensed"/>
          <w:b/>
          <w:bCs/>
          <w:sz w:val="24"/>
          <w:szCs w:val="24"/>
        </w:rPr>
        <w:t xml:space="preserve">Un elemento successivo va però registrato. Lo studio di Laura Fasanaro, \La DDR e l'Italia. Politica, commercio e ideologia nell'Europa del cambiamento, 1973-1985\, Carocci, intitola un paragrafo dopo il riconoscimento, Moro incontra Honecker — il che attesta un incontro fra Moro e il capo di Stato della Repubblica Democratica successivo al riconoscimento, ricadente nel secondo mandato o nella successiva presidenza del Consiglio.</w:t>
      </w:r>
    </w:p>
    <w:p>
      <w:pPr>
        <w:spacing w:after="120" w:line="276"/>
        <w:jc w:val="both"/>
      </w:pPr>
      <w:r>
        <w:rPr>
          <w:rFonts w:ascii="Barlow Semi Condensed" w:cs="Barlow Semi Condensed" w:eastAsia="Barlow Semi Condensed" w:hAnsi="Barlow Semi Condensed"/>
          <w:b/>
          <w:bCs/>
          <w:sz w:val="24"/>
          <w:szCs w:val="24"/>
        </w:rPr>
        <w:t xml:space="preserve">Il primo capitolo del medesimo volume si intitola le declinazioni della distensione in Italia e la Ostpolitik di Aldo Moro, e contiene una sezione su l'Italia e la questione tedesca. Ma il volume sceglie il 1973 come termine iniziale, lasciando in ombra il quadriennio precedente — che è precisamente quello del primo mandato.</w:t>
      </w:r>
    </w:p>
    <w:p>
      <w:pPr>
        <w:spacing w:after="120" w:line="276"/>
        <w:jc w:val="both"/>
      </w:pPr>
      <w:r>
        <w:rPr>
          <w:rFonts w:ascii="Barlow Semi Condensed" w:cs="Barlow Semi Condensed" w:eastAsia="Barlow Semi Condensed" w:hAnsi="Barlow Semi Condensed"/>
          <w:b/>
          <w:bCs/>
          <w:sz w:val="24"/>
          <w:szCs w:val="24"/>
        </w:rPr>
        <w:t xml:space="preserve">Per il periodo 1963-1972 esiste la tesi di dottorato di Filippo Triola discussa all'Università di Bologna sulle relazioni italo-tedesche, che va impiegata come studio specifico.</w:t>
      </w:r>
    </w:p>
    <w:p>
      <w:pPr>
        <w:spacing w:after="120" w:line="276"/>
        <w:jc w:val="both"/>
      </w:pPr>
      <w:r>
        <w:rPr>
          <w:rFonts w:ascii="Barlow Semi Condensed" w:cs="Barlow Semi Condensed" w:eastAsia="Barlow Semi Condensed" w:hAnsi="Barlow Semi Condensed"/>
          <w:b/>
          <w:bCs/>
          <w:sz w:val="24"/>
          <w:szCs w:val="24"/>
        </w:rPr>
        <w:t xml:space="preserve">Sulle rappresentanze tedesco-tedesche, per completezza.\\ Furono aperte il \\2 maggio 1974\\, con \\Günter Gaus\\ per Bonn e \\Michael Kohl\\ per Berlino Est — dunque \\in data successiva al riconoscimento italiano.</w:t>
      </w:r>
    </w:p>
    <w:p>
      <w:pPr>
        <w:spacing w:after="120" w:line="276"/>
        <w:jc w:val="both"/>
      </w:pPr>
      <w:r>
        <w:rPr>
          <w:rFonts w:ascii="Barlow Semi Condensed" w:cs="Barlow Semi Condensed" w:eastAsia="Barlow Semi Condensed" w:hAnsi="Barlow Semi Condensed"/>
          <w:b/>
          <w:bCs/>
          <w:sz w:val="24"/>
          <w:szCs w:val="24"/>
        </w:rPr>
        <w:t xml:space="preserve">Che cosa non è stato reperito. La posizione italiana su ciascuno dei cinque atti della Ostpolitik, e gli incontri documentati fra Moro e Scheel e fra Moro e Brandt con data e sede. Le sedi sono l'Archivio Storico Diplomatico, serie Germania, gli Akten zur Auswärtigen Politik der Bundesrepublik Deutschland e i Documenti Diplomatici Italiani.</w:t>
      </w:r>
    </w:p>
    <w:p>
      <w:pPr>
        <w:pStyle w:val="Heading2"/>
        <w:spacing w:after="100" w:before="200"/>
      </w:pPr>
      <w:r>
        <w:rPr>
          <w:rFonts w:ascii="Barlow Semi Condensed" w:cs="Barlow Semi Condensed" w:eastAsia="Barlow Semi Condensed" w:hAnsi="Barlow Semi Condensed"/>
          <w:sz w:val="24"/>
          <w:szCs w:val="24"/>
        </w:rPr>
        <w:t xml:space="preserve">Capitolo quinto — Le due costituzioni del 28 giugno 1972: testo, dispositivo, firme</w:t>
      </w:r>
    </w:p>
    <w:p>
      <w:pPr>
        <w:spacing w:after="120" w:line="276"/>
        <w:jc w:val="both"/>
      </w:pPr>
      <w:r>
        <w:rPr>
          <w:rFonts w:ascii="Barlow Semi Condensed" w:cs="Barlow Semi Condensed" w:eastAsia="Barlow Semi Condensed" w:hAnsi="Barlow Semi Condensed"/>
          <w:b/>
          <w:bCs/>
          <w:sz w:val="24"/>
          <w:szCs w:val="24"/>
        </w:rPr>
        <w:t xml:space="preserve">Il capitolo espone l'atto per intero, perché la verifica sia riproducibile e perché un dettaglio ne muta la comprensione.</w:t>
      </w:r>
    </w:p>
    <w:p>
      <w:pPr>
        <w:spacing w:after="120" w:line="276"/>
        <w:jc w:val="both"/>
      </w:pPr>
      <w:r>
        <w:rPr>
          <w:rFonts w:ascii="Barlow Semi Condensed" w:cs="Barlow Semi Condensed" w:eastAsia="Barlow Semi Condensed" w:hAnsi="Barlow Semi Condensed"/>
          <w:b/>
          <w:bCs/>
          <w:sz w:val="24"/>
          <w:szCs w:val="24"/>
        </w:rPr>
        <w:t xml:space="preserve">Il primo dettaglio, che corregge la formulazione corrente. Non fu una sola bolla. Furono due costituzioni apostoliche emanate lo stesso giorno: \Episcoporum Poloniae coetus\ e \Vratislaviensis-Berolinensis et aliarum\.</w:t>
      </w:r>
    </w:p>
    <w:p>
      <w:pPr>
        <w:spacing w:after="120" w:line="276"/>
        <w:jc w:val="both"/>
      </w:pPr>
      <w:r>
        <w:rPr>
          <w:rFonts w:ascii="Barlow Semi Condensed" w:cs="Barlow Semi Condensed" w:eastAsia="Barlow Semi Condensed" w:hAnsi="Barlow Semi Condensed"/>
          <w:b/>
          <w:bCs/>
          <w:sz w:val="24"/>
          <w:szCs w:val="24"/>
        </w:rPr>
        <w:t xml:space="preserve">La pubblicazione. Il testo latino è consultabile sul sito ufficiale della Santa Sede e pubblicato negli Acta Apostolicae Sedis, volume sessantaquattresimo del 1972, numero decimo, alle pagine 657 e 658, con il titolo: si costituiscono nuove diocesi in Polonia, coi nomi di Opole, Gorzów, Szczecin-Kamień, Koszalin-Kołobrzeg.</w:t>
      </w:r>
    </w:p>
    <w:p>
      <w:pPr>
        <w:spacing w:after="120" w:line="276"/>
        <w:jc w:val="both"/>
      </w:pPr>
      <w:r>
        <w:rPr>
          <w:rFonts w:ascii="Barlow Semi Condensed" w:cs="Barlow Semi Condensed" w:eastAsia="Barlow Semi Condensed" w:hAnsi="Barlow Semi Condensed"/>
          <w:b/>
          <w:bCs/>
          <w:sz w:val="24"/>
          <w:szCs w:val="24"/>
        </w:rPr>
        <w:t xml:space="preserve">L'incipit e la motivazione. L'assemblea dei vescovi di Polonia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w:t>
      </w:r>
    </w:p>
    <w:p>
      <w:pPr>
        <w:spacing w:after="120" w:line="276"/>
        <w:jc w:val="both"/>
      </w:pPr>
      <w:r>
        <w:rPr>
          <w:rFonts w:ascii="Barlow Semi Condensed" w:cs="Barlow Semi Condensed" w:eastAsia="Barlow Semi Condensed" w:hAnsi="Barlow Semi Condensed"/>
          <w:b/>
          <w:bCs/>
          <w:sz w:val="24"/>
          <w:szCs w:val="24"/>
        </w:rPr>
        <w:t xml:space="preserve">Il dispositivo, per intero. Erige quattro diocesi: Opole, suffraganea della metropolia di Breslavia; Gorzów, parimenti suffraganea di Breslavia; Szczecin-Kamień, suffraganea di Gniezno; Koszalin-Kołobrzeg, suffraganea di Gniezno.</w:t>
      </w:r>
    </w:p>
    <w:p>
      <w:pPr>
        <w:spacing w:after="120" w:line="276"/>
        <w:jc w:val="both"/>
      </w:pPr>
      <w:r>
        <w:rPr>
          <w:rFonts w:ascii="Barlow Semi Condensed" w:cs="Barlow Semi Condensed" w:eastAsia="Barlow Semi Condensed" w:hAnsi="Barlow Semi Condensed"/>
          <w:b/>
          <w:bCs/>
          <w:sz w:val="24"/>
          <w:szCs w:val="24"/>
        </w:rPr>
        <w:t xml:space="preserve">Dispone lo smembramento di territori dall'arcidiocesi di Breslavia, dalla diocesi di Berlino e dalla prelatura di Schneidemühl.</w:t>
      </w:r>
    </w:p>
    <w:p>
      <w:pPr>
        <w:spacing w:after="120" w:line="276"/>
        <w:jc w:val="both"/>
      </w:pPr>
      <w:r>
        <w:rPr>
          <w:rFonts w:ascii="Barlow Semi Condensed" w:cs="Barlow Semi Condensed" w:eastAsia="Barlow Semi Condensed" w:hAnsi="Barlow Semi Condensed"/>
          <w:b/>
          <w:bCs/>
          <w:sz w:val="24"/>
          <w:szCs w:val="24"/>
        </w:rPr>
        <w:t xml:space="preserve">Trasferisce la cattedrale di Warmia dalla metropolia di Breslavia a quella di Varsavia, cui resta soggetta perpetuo.</w:t>
      </w:r>
    </w:p>
    <w:p>
      <w:pPr>
        <w:spacing w:after="120" w:line="276"/>
        <w:jc w:val="both"/>
      </w:pPr>
      <w:r>
        <w:rPr>
          <w:rFonts w:ascii="Barlow Semi Condensed" w:cs="Barlow Semi Condensed" w:eastAsia="Barlow Semi Condensed" w:hAnsi="Barlow Semi Condensed"/>
          <w:b/>
          <w:bCs/>
          <w:sz w:val="24"/>
          <w:szCs w:val="24"/>
        </w:rPr>
        <w:t xml:space="preserve">Rende la Chiesa di Danzica, fino ad allora direttamente soggetta alla Sede Apostolica, suffraganea di Gniezno.</w:t>
      </w:r>
    </w:p>
    <w:p>
      <w:pPr>
        <w:spacing w:after="120" w:line="276"/>
        <w:jc w:val="both"/>
      </w:pPr>
      <w:r>
        <w:rPr>
          <w:rFonts w:ascii="Barlow Semi Condensed" w:cs="Barlow Semi Condensed" w:eastAsia="Barlow Semi Condensed" w:hAnsi="Barlow Semi Condensed"/>
          <w:b/>
          <w:bCs/>
          <w:sz w:val="24"/>
          <w:szCs w:val="24"/>
        </w:rPr>
        <w:t xml:space="preserve">L'esecuzione. Il Papa la delega nominativamente al cardinale Stefan Wyszyński, arcivescovo di Gniezno e Varsavia.</w:t>
      </w:r>
    </w:p>
    <w:p>
      <w:pPr>
        <w:spacing w:after="120" w:line="276"/>
        <w:jc w:val="both"/>
      </w:pPr>
      <w:r>
        <w:rPr>
          <w:rFonts w:ascii="Barlow Semi Condensed" w:cs="Barlow Semi Condensed" w:eastAsia="Barlow Semi Condensed" w:hAnsi="Barlow Semi Condensed"/>
          <w:b/>
          <w:bCs/>
          <w:sz w:val="24"/>
          <w:szCs w:val="24"/>
        </w:rPr>
        <w:t xml:space="preserve">La datazione e le firme. Roma, presso San Pietro, il ventottesimo giorno del mese di giugno dell'anno del Signore millenovecentosettantadue, decimo del Nostro Pontificato. Firmata dal cardinale Aloisius Traglia, cancelliere di Santa Romana Chiesa; dal cardinale Carlo Confalonieri, prefetto della Sacra Congregazione per i Vescovi; e da Franciscus Tinello, reggente della Cancelleria Apostolica.</w:t>
      </w:r>
    </w:p>
    <w:p>
      <w:pPr>
        <w:spacing w:after="120" w:line="276"/>
        <w:jc w:val="both"/>
      </w:pPr>
      <w:r>
        <w:rPr>
          <w:rFonts w:ascii="Barlow Semi Condensed" w:cs="Barlow Semi Condensed" w:eastAsia="Barlow Semi Condensed" w:hAnsi="Barlow Semi Condensed"/>
          <w:b/>
          <w:bCs/>
          <w:sz w:val="24"/>
          <w:szCs w:val="24"/>
        </w:rPr>
        <w:t xml:space="preserve">Le divergenze sulla data vanno riportate. Il testo primario e la quasi totalità delle fonti ecclesiastiche polacche indicano il 28 giugno 1972. Alcune voci enciclopediche tedesche e inglesi relative alle diocesi di Berlino e Breslavia indicano il 27 giugno 1972. Un sito diocesano polacco reca per errore il 26 giugno.</w:t>
      </w:r>
    </w:p>
    <w:p>
      <w:pPr>
        <w:spacing w:after="120" w:line="276"/>
        <w:jc w:val="both"/>
      </w:pPr>
      <w:r>
        <w:rPr>
          <w:rFonts w:ascii="Barlow Semi Condensed" w:cs="Barlow Semi Condensed" w:eastAsia="Barlow Semi Condensed" w:hAnsi="Barlow Semi Condensed"/>
          <w:b/>
          <w:bCs/>
          <w:sz w:val="24"/>
          <w:szCs w:val="24"/>
        </w:rPr>
        <w:t xml:space="preserve">Si adotta il 28 giugno, corrispondente alla clausola di datazione della costituzione medesima.</w:t>
      </w:r>
    </w:p>
    <w:p>
      <w:pPr>
        <w:spacing w:after="120" w:line="276"/>
        <w:jc w:val="both"/>
      </w:pPr>
      <w:r>
        <w:rPr>
          <w:rFonts w:ascii="Barlow Semi Condensed" w:cs="Barlow Semi Condensed" w:eastAsia="Barlow Semi Condensed" w:hAnsi="Barlow Semi Condensed"/>
          <w:b/>
          <w:bCs/>
          <w:sz w:val="24"/>
          <w:szCs w:val="24"/>
        </w:rPr>
        <w:t xml:space="preserve">Il rapporto cronologico, ricapitolato come accertamento. Ratifica del Bundestag 17 maggio 1972; entrata in vigore per scambio degli strumenti 3 giugno 1972; atto pontificio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b/>
          <w:bCs/>
          <w:sz w:val="24"/>
          <w:szCs w:val="24"/>
        </w:rPr>
        <w:t xml:space="preserve">E il rilievo che chiude il capitolo, e che è la ragione per cui il testo è stato riportato per intero. Nel dispositivo non compare la parola trattato. Non compare la linea Oder-Neisse. Non compare la Repubblica Federale. Compare soltanto il popolo cristiano da reggere più adattamente e la richiesta dei vescovi polacchi.</w:t>
      </w:r>
    </w:p>
    <w:p>
      <w:pPr>
        <w:spacing w:after="120" w:line="276"/>
        <w:jc w:val="both"/>
      </w:pPr>
      <w:r>
        <w:rPr>
          <w:rFonts w:ascii="Barlow Semi Condensed" w:cs="Barlow Semi Condensed" w:eastAsia="Barlow Semi Condensed" w:hAnsi="Barlow Semi Condensed"/>
          <w:b/>
          <w:bCs/>
          <w:sz w:val="24"/>
          <w:szCs w:val="24"/>
        </w:rPr>
        <w:t xml:space="preserve">Un atto che chiude un regime giuridico durato ventisette anni, e che fu atteso per ventisette anni proprio in attesa di un trattato, non nomina il trattato che lo rese possibile. Questa è, secondo me, la cosa più notevole del documento.</w:t>
      </w:r>
    </w:p>
    <w:p>
      <w:pPr>
        <w:pStyle w:val="Heading2"/>
        <w:spacing w:after="100" w:before="200"/>
      </w:pPr>
      <w:r>
        <w:rPr>
          <w:rFonts w:ascii="Barlow Semi Condensed" w:cs="Barlow Semi Condensed" w:eastAsia="Barlow Semi Condensed" w:hAnsi="Barlow Semi Condensed"/>
          <w:sz w:val="24"/>
          <w:szCs w:val="24"/>
        </w:rPr>
        <w:t xml:space="preserve">Capitolo sesto — Casaroli, Wyszyński, Döpfner: chi sapeva e chi non fu consultato</w:t>
      </w:r>
    </w:p>
    <w:p>
      <w:pPr>
        <w:spacing w:after="120" w:line="276"/>
        <w:jc w:val="both"/>
      </w:pPr>
      <w:r>
        <w:rPr>
          <w:rFonts w:ascii="Barlow Semi Condensed" w:cs="Barlow Semi Condensed" w:eastAsia="Barlow Semi Condensed" w:hAnsi="Barlow Semi Condensed"/>
          <w:b/>
          <w:bCs/>
          <w:sz w:val="24"/>
          <w:szCs w:val="24"/>
        </w:rPr>
        <w:t xml:space="preserve">Il capitolo espone la preparazione diplomatica e le reazioni, e isola l'asimmetria fra i due episcopati.</w:t>
      </w:r>
    </w:p>
    <w:p>
      <w:pPr>
        <w:spacing w:after="120" w:line="276"/>
        <w:jc w:val="both"/>
      </w:pPr>
      <w:r>
        <w:rPr>
          <w:rFonts w:ascii="Barlow Semi Condensed" w:cs="Barlow Semi Condensed" w:eastAsia="Barlow Semi Condensed" w:hAnsi="Barlow Semi Condensed"/>
          <w:b/>
          <w:bCs/>
          <w:sz w:val="24"/>
          <w:szCs w:val="24"/>
        </w:rPr>
        <w:t xml:space="preserve">La preparazione: Casaroli. Agostino Casaroli, allora segretario del Consiglio per gli Affari pubblici della Chiesa, condusse i colloqui con le autorità della Repubblica Popolare di Polonia nell'aprile e nel novembre 1971. Essi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w:t>
      </w:r>
    </w:p>
    <w:p>
      <w:pPr>
        <w:spacing w:after="120" w:line="276"/>
        <w:jc w:val="both"/>
      </w:pPr>
      <w:r>
        <w:rPr>
          <w:rFonts w:ascii="Barlow Semi Condensed" w:cs="Barlow Semi Condensed" w:eastAsia="Barlow Semi Condensed" w:hAnsi="Barlow Semi Condensed"/>
          <w:b/>
          <w:bCs/>
          <w:sz w:val="24"/>
          <w:szCs w:val="24"/>
        </w:rPr>
        <w:t xml:space="preserve">Quest'ultimo dettaglio va notato perché è il prezzo pagato. La Santa Sede, per normalizzare con Varsavia, cessò di riconoscere il rappresentante del governo in esilio che aveva riconosciuto per decenni.</w:t>
      </w:r>
    </w:p>
    <w:p>
      <w:pPr>
        <w:spacing w:after="120" w:line="276"/>
        <w:jc w:val="both"/>
      </w:pPr>
      <w:r>
        <w:rPr>
          <w:rFonts w:ascii="Barlow Semi Condensed" w:cs="Barlow Semi Condensed" w:eastAsia="Barlow Semi Condensed" w:hAnsi="Barlow Semi Condensed"/>
          <w:b/>
          <w:bCs/>
          <w:sz w:val="24"/>
          <w:szCs w:val="24"/>
        </w:rPr>
        <w:t xml:space="preserve">Il giudizio storiografico sul rapporto fra le due Ostpolitik. Una recensione del volume curato da Alberto Melloni, \Il filo sottile. L'Ostpolitik vaticana di Agostino Casaroli\, il Mulino 2006,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quelli diocesani, e Berlino Est, che cercava riconoscimento come Stato separato.</w:t>
      </w:r>
    </w:p>
    <w:p>
      <w:pPr>
        <w:spacing w:after="120" w:line="276"/>
        <w:jc w:val="both"/>
      </w:pPr>
      <w:r>
        <w:rPr>
          <w:rFonts w:ascii="Barlow Semi Condensed" w:cs="Barlow Semi Condensed" w:eastAsia="Barlow Semi Condensed" w:hAnsi="Barlow Semi Condensed"/>
          <w:b/>
          <w:bCs/>
          <w:sz w:val="24"/>
          <w:szCs w:val="24"/>
        </w:rPr>
        <w:t xml:space="preserve">La qualificazione va apposta.\\ Le fonti attestano \\una convergenza di obiettivi fra Ostpolitik tedesca e Ostpolitik vaticana, non una direzione comune né una subordinazione dell'una all'altra.</w:t>
      </w:r>
    </w:p>
    <w:p>
      <w:pPr>
        <w:spacing w:after="120" w:line="276"/>
        <w:jc w:val="both"/>
      </w:pPr>
      <w:r>
        <w:rPr>
          <w:rFonts w:ascii="Barlow Semi Condensed" w:cs="Barlow Semi Condensed" w:eastAsia="Barlow Semi Condensed" w:hAnsi="Barlow Semi Condensed"/>
          <w:b/>
          <w:bCs/>
          <w:sz w:val="24"/>
          <w:szCs w:val="24"/>
        </w:rPr>
        <w:t xml:space="preserve">Una divergenza storiografica va registrata perché è aperta. Sul valore complessivo dell'Ostpolitik di Casaroli la storiografia diverge apertamente: George Weigel, biografo di Giovanni Paolo II, ne dà un giudizio fortemente critico definendola eccessivamente cauta; ambienti vaticani e italiani la celebrano come chiave del crollo del comunismo europeo. È controversia interpretativa, non dato di fatto.</w:t>
      </w:r>
    </w:p>
    <w:p>
      <w:pPr>
        <w:spacing w:after="120" w:line="276"/>
        <w:jc w:val="both"/>
      </w:pPr>
      <w:r>
        <w:rPr>
          <w:rFonts w:ascii="Barlow Semi Condensed" w:cs="Barlow Semi Condensed" w:eastAsia="Barlow Semi Condensed" w:hAnsi="Barlow Semi Condensed"/>
          <w:b/>
          <w:bCs/>
          <w:sz w:val="24"/>
          <w:szCs w:val="24"/>
        </w:rPr>
        <w:t xml:space="preserve">Wyszyński: sollecitatore ed esecutore. La ricerca pubblicata dalla rivista Church History dell'Università di Cambridge, dalla prospettiva del primate, colloca nel 1972 uno spostamento significativo nel pensiero di Wyszyński riguardo ai negoziati polacco-vaticani, in connessione con la ratifica del trattato e la possibilità di regolare finalmente lo status delle diocesi.</w:t>
      </w:r>
    </w:p>
    <w:p>
      <w:pPr>
        <w:spacing w:after="120" w:line="276"/>
        <w:jc w:val="both"/>
      </w:pPr>
      <w:r>
        <w:rPr>
          <w:rFonts w:ascii="Barlow Semi Condensed" w:cs="Barlow Semi Condensed" w:eastAsia="Barlow Semi Condensed" w:hAnsi="Barlow Semi Condensed"/>
          <w:b/>
          <w:bCs/>
          <w:sz w:val="24"/>
          <w:szCs w:val="24"/>
        </w:rPr>
        <w:t xml:space="preserve">E adesso l'asimmetria, che è il punto del capitolo. Döpfner e la Conferenza episcopale tedesca non furono consultati prima della decisione, secondo Hummel, e stentarono ad accettare la motivazione pastorale come ragione decisiva — tanto più che Döpfner aveva in passato rassicurato Bonn, dopo consultazione a Roma, che nulla sarebbe stato mutato prima di un trattato di pace.</w:t>
      </w:r>
    </w:p>
    <w:p>
      <w:pPr>
        <w:spacing w:after="120" w:line="276"/>
        <w:jc w:val="both"/>
      </w:pPr>
      <w:r>
        <w:rPr>
          <w:rFonts w:ascii="Barlow Semi Condensed" w:cs="Barlow Semi Condensed" w:eastAsia="Barlow Semi Condensed" w:hAnsi="Barlow Semi Condensed"/>
          <w:b/>
          <w:bCs/>
          <w:sz w:val="24"/>
          <w:szCs w:val="24"/>
        </w:rPr>
        <w:t xml:space="preserve">Ne discende che il medesimo cardinale che aveva trasmesso a Bonn la garanzia romana si trovò a subire l'atto che la superava, senza essere stato interpellato.</w:t>
      </w:r>
    </w:p>
    <w:p>
      <w:pPr>
        <w:spacing w:after="120" w:line="276"/>
        <w:jc w:val="both"/>
      </w:pPr>
      <w:r>
        <w:rPr>
          <w:rFonts w:ascii="Barlow Semi Condensed" w:cs="Barlow Semi Condensed" w:eastAsia="Barlow Semi Condensed" w:hAnsi="Barlow Semi Condensed"/>
          <w:b/>
          <w:bCs/>
          <w:sz w:val="24"/>
          <w:szCs w:val="24"/>
        </w:rPr>
        <w:t xml:space="preserve">La misura di compensazione, documentata. Contestualmente la Santa Sede nominò tre Visitatori apostolici per i cattolici tedeschi espulsi — dall'arcidiocesi di Breslavia, dalla diocesi di Warmia e dalla prelatura di Schneidemühl.</w:t>
      </w:r>
    </w:p>
    <w:p>
      <w:pPr>
        <w:spacing w:after="120" w:line="276"/>
        <w:jc w:val="both"/>
      </w:pPr>
      <w:r>
        <w:rPr>
          <w:rFonts w:ascii="Barlow Semi Condensed" w:cs="Barlow Semi Condensed" w:eastAsia="Barlow Semi Condensed" w:hAnsi="Barlow Semi Condensed"/>
          <w:b/>
          <w:bCs/>
          <w:sz w:val="24"/>
          <w:szCs w:val="24"/>
        </w:rPr>
        <w:t xml:space="preserve">Le reazioni, riportate con il loro statuto di posizioni nazionali contrapposte. Le fonti ecclesiastiche polacche celebrarono l'atto come fine dello stato di provvisorietà. La stampa delle organizzazioni tedesche degli espulsi reagì con allarme già prima dell'atto: l'organo della Landsmannschaft Ostpreußen, \Das Ostpreußenblatt\, nel numero del 24 giugno 1972 titolò Bonn ha dato al Vaticano il via libera?</w:t>
      </w:r>
    </w:p>
    <w:p>
      <w:pPr>
        <w:spacing w:after="120" w:line="276"/>
        <w:jc w:val="both"/>
      </w:pPr>
      <w:r>
        <w:rPr>
          <w:rFonts w:ascii="Barlow Semi Condensed" w:cs="Barlow Semi Condensed" w:eastAsia="Barlow Semi Condensed" w:hAnsi="Barlow Semi Condensed"/>
          <w:b/>
          <w:bCs/>
          <w:sz w:val="24"/>
          <w:szCs w:val="24"/>
        </w:rPr>
        <w:t xml:space="preserve">Questo dettaglio va isolato perché è cronologicamente notevole: quattro giorni prima dell'atto, le organizzazioni degli espulsi sapevano che stava arrivando.</w:t>
      </w:r>
    </w:p>
    <w:p>
      <w:pPr>
        <w:spacing w:after="120" w:line="276"/>
        <w:jc w:val="both"/>
      </w:pPr>
      <w:r>
        <w:rPr>
          <w:rFonts w:ascii="Barlow Semi Condensed" w:cs="Barlow Semi Condensed" w:eastAsia="Barlow Semi Condensed" w:hAnsi="Barlow Semi Condensed"/>
          <w:b/>
          <w:bCs/>
          <w:sz w:val="24"/>
          <w:szCs w:val="24"/>
        </w:rPr>
        <w:t xml:space="preserve">La lettura della cautela vaticana. La Santa Sede curò di presentare l'atto come rispondente a necessità pastorali e non come riconoscimento politico della frontiera; la storiografia anglofona legge tale scelta come deliberata volontà di offrire qualcosa di meno del riconoscimento formale della linea Oder-Neisse.</w:t>
      </w:r>
    </w:p>
    <w:p>
      <w:pPr>
        <w:spacing w:after="120" w:line="276"/>
        <w:jc w:val="both"/>
      </w:pPr>
      <w:r>
        <w:rPr>
          <w:rFonts w:ascii="Barlow Semi Condensed" w:cs="Barlow Semi Condensed" w:eastAsia="Barlow Semi Condensed" w:hAnsi="Barlow Semi Condensed"/>
          <w:b/>
          <w:bCs/>
          <w:sz w:val="24"/>
          <w:szCs w:val="24"/>
        </w:rPr>
        <w:t xml:space="preserve">Ne discende la conclusione del capitolo. Il silenzio del testo canonico sul trattato, esposto al Capitolo quinto, non fu dimenticanza né pudore: fu tecnica diplomatica. La Santa Sede fece ciò che il trattato rendeva possibile, lo disse alla stampa nella comunicazione di accompagnamento, e non lo scrisse nell'atto — così da non costituire essa stessa un riconoscimento politico di confine.</w:t>
      </w:r>
    </w:p>
    <w:p>
      <w:pPr>
        <w:pStyle w:val="Heading2"/>
        <w:spacing w:after="100" w:before="200"/>
      </w:pPr>
      <w:r>
        <w:rPr>
          <w:rFonts w:ascii="Barlow Semi Condensed" w:cs="Barlow Semi Condensed" w:eastAsia="Barlow Semi Condensed" w:hAnsi="Barlow Semi Condensed"/>
          <w:sz w:val="24"/>
          <w:szCs w:val="24"/>
        </w:rPr>
        <w:t xml:space="preserve">Capitolo settimo — La Repubblica Democratica Tedesca: la soluzione diversa e la ragione della differenza</w:t>
      </w:r>
    </w:p>
    <w:p>
      <w:pPr>
        <w:spacing w:after="120" w:line="276"/>
        <w:jc w:val="both"/>
      </w:pPr>
      <w:r>
        <w:rPr>
          <w:rFonts w:ascii="Barlow Semi Condensed" w:cs="Barlow Semi Condensed" w:eastAsia="Barlow Semi Condensed" w:hAnsi="Barlow Semi Condensed"/>
          <w:b/>
          <w:bCs/>
          <w:sz w:val="24"/>
          <w:szCs w:val="24"/>
        </w:rPr>
        <w:t xml:space="preserve">Il capitolo espone il contrappunto orientale, e la sua differenza è essa stessa una prova del modello esposto al Capitolo primo.</w:t>
      </w:r>
    </w:p>
    <w:p>
      <w:pPr>
        <w:spacing w:after="120" w:line="276"/>
        <w:jc w:val="both"/>
      </w:pPr>
      <w:r>
        <w:rPr>
          <w:rFonts w:ascii="Barlow Semi Condensed" w:cs="Barlow Semi Condensed" w:eastAsia="Barlow Semi Condensed" w:hAnsi="Barlow Semi Condensed"/>
          <w:b/>
          <w:bCs/>
          <w:sz w:val="24"/>
          <w:szCs w:val="24"/>
        </w:rPr>
        <w:t xml:space="preserve">Il fatto, datato.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Schwerin, già di Osnabrück.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w:t>
      </w:r>
    </w:p>
    <w:p>
      <w:pPr>
        <w:spacing w:after="120" w:line="276"/>
        <w:jc w:val="both"/>
      </w:pPr>
      <w:r>
        <w:rPr>
          <w:rFonts w:ascii="Barlow Semi Condensed" w:cs="Barlow Semi Condensed" w:eastAsia="Barlow Semi Condensed" w:hAnsi="Barlow Semi Condensed"/>
          <w:b/>
          <w:bCs/>
          <w:sz w:val="24"/>
          <w:szCs w:val="24"/>
        </w:rPr>
        <w:t xml:space="preserve">E qui la differenza decisiva, che va enunciata perché conferma il principio. Nella Repubblica Democratica Tedesca la Santa Sede non eresse diocesi permanenti nel 1972-1973, ma si fermò alla figura dell'amministratore apostolico e dell'ufficio vescovile.</w:t>
      </w:r>
    </w:p>
    <w:p>
      <w:pPr>
        <w:spacing w:after="120" w:line="276"/>
        <w:jc w:val="both"/>
      </w:pPr>
      <w:r>
        <w:rPr>
          <w:rFonts w:ascii="Barlow Semi Condensed" w:cs="Barlow Semi Condensed" w:eastAsia="Barlow Semi Condensed" w:hAnsi="Barlow Semi Condensed"/>
          <w:b/>
          <w:bCs/>
          <w:sz w:val="24"/>
          <w:szCs w:val="24"/>
        </w:rPr>
        <w:t xml:space="preserve">La ragione, dichiarata dalle fonti.\\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b/>
          <w:bCs/>
          <w:sz w:val="24"/>
          <w:szCs w:val="24"/>
        </w:rPr>
        <w:t xml:space="preserve">Ne discende una conferma per via indipendente del principio esposto ai Capitoli primo e secondo. In Polonia il trattato aveva chiuso la questione del confine, e la Santa Sede erse diocesi permanenti. In Germania orientale nessun trattato aveva chiuso la questione dell'unità, e la Santa Sede si fermò alla forma provvisoria — la medesima forma che in Polonia aveva tenuto per ventisette anni.</w:t>
      </w:r>
    </w:p>
    <w:p>
      <w:pPr>
        <w:spacing w:after="120" w:line="276"/>
        <w:jc w:val="both"/>
      </w:pPr>
      <w:r>
        <w:rPr>
          <w:rFonts w:ascii="Barlow Semi Condensed" w:cs="Barlow Semi Condensed" w:eastAsia="Barlow Semi Condensed" w:hAnsi="Barlow Semi Condensed"/>
          <w:b/>
          <w:bCs/>
          <w:sz w:val="24"/>
          <w:szCs w:val="24"/>
        </w:rPr>
        <w:t xml:space="preserve">La coerenza è totale, e la si registra come tale: la Santa Sede applicò il medesimo criterio in due direzioni opposte, e in entrambe lo fece dipendere dall'esistenza di un atto politico che chiudesse la questione territoriale.</w:t>
      </w:r>
    </w:p>
    <w:p>
      <w:pPr>
        <w:spacing w:after="120" w:line="276"/>
        <w:jc w:val="both"/>
      </w:pPr>
      <w:r>
        <w:rPr>
          <w:rFonts w:ascii="Barlow Semi Condensed" w:cs="Barlow Semi Condensed" w:eastAsia="Barlow Semi Condensed" w:hAnsi="Barlow Semi Condensed"/>
          <w:b/>
          <w:bCs/>
          <w:sz w:val="24"/>
          <w:szCs w:val="24"/>
        </w:rPr>
        <w:t xml:space="preserve">Casaroli e Berlino Est, per date. Nel 1973, a Roma, egli incontrò Werner Lamberz, membro del Politbüro della SED. Il 9 giugno 1975 si recò nella Repubblica Democratica, dove fu ricevuto dal presidente del Consiglio dei ministri Horst Sindermann, dal ministro degli Esteri Oskar Fischer e dal segretario di Stato per le questioni ecclesiastiche Hans Seigewasser.</w:t>
      </w:r>
    </w:p>
    <w:p>
      <w:pPr>
        <w:spacing w:after="120" w:line="276"/>
        <w:jc w:val="both"/>
      </w:pPr>
      <w:r>
        <w:rPr>
          <w:rFonts w:ascii="Barlow Semi Condensed" w:cs="Barlow Semi Condensed" w:eastAsia="Barlow Semi Condensed" w:hAnsi="Barlow Semi Condensed"/>
          <w:b/>
          <w:bCs/>
          <w:sz w:val="24"/>
          <w:szCs w:val="24"/>
        </w:rPr>
        <w:t xml:space="preserve">La diffidenza dei vescovi tedeschi. I cardinali Alfred Bengsch e Döpfner guardarono con diffidenza all'atteggiamento accomodante del Vaticano, temendo per l'unità della Chiesa cattolica in Germania. È la seconda volta, nello studio, che Döpfner compare come contrappeso critico della Ostpolitik vaticana.</w:t>
      </w:r>
    </w:p>
    <w:p>
      <w:pPr>
        <w:spacing w:after="120" w:line="276"/>
        <w:jc w:val="both"/>
      </w:pPr>
      <w:r>
        <w:rPr>
          <w:rFonts w:ascii="Barlow Semi Condensed" w:cs="Barlow Semi Condensed" w:eastAsia="Barlow Semi Condensed" w:hAnsi="Barlow Semi Condensed"/>
          <w:b/>
          <w:bCs/>
          <w:sz w:val="24"/>
          <w:szCs w:val="24"/>
        </w:rPr>
        <w:t xml:space="preserve">Non vi furono relazioni diplomatiche fra la Santa Sede e il governo di Berlino Est.</w:t>
      </w:r>
    </w:p>
    <w:p>
      <w:pPr>
        <w:spacing w:after="120" w:line="276"/>
        <w:jc w:val="both"/>
      </w:pPr>
      <w:r>
        <w:rPr>
          <w:rFonts w:ascii="Barlow Semi Condensed" w:cs="Barlow Semi Condensed" w:eastAsia="Barlow Semi Condensed" w:hAnsi="Barlow Semi Condensed"/>
          <w:b/>
          <w:bCs/>
          <w:sz w:val="24"/>
          <w:szCs w:val="24"/>
        </w:rPr>
        <w:t xml:space="preserve">Nel 1976 la Berliner Ordinarienkonferenz fu trasformata in Berliner Bischofskonferenz, forum di comunicazione fra gli amministratori apostolici e i vescovi di Berlino e Dresda-Meissen.</w:t>
      </w:r>
    </w:p>
    <w:p>
      <w:pPr>
        <w:spacing w:after="120" w:line="276"/>
        <w:jc w:val="both"/>
      </w:pPr>
      <w:r>
        <w:rPr>
          <w:rFonts w:ascii="Barlow Semi Condensed" w:cs="Barlow Semi Condensed" w:eastAsia="Barlow Semi Condensed" w:hAnsi="Barlow Semi Condensed"/>
          <w:b/>
          <w:bCs/>
          <w:sz w:val="24"/>
          <w:szCs w:val="24"/>
        </w:rPr>
        <w:t xml:space="preserve">Un progetto non attuato va registrato perché la ragione della mancata attuazione è datata.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w:t>
      </w:r>
    </w:p>
    <w:p>
      <w:pPr>
        <w:spacing w:after="120" w:line="276"/>
        <w:jc w:val="both"/>
      </w:pPr>
      <w:r>
        <w:rPr>
          <w:rFonts w:ascii="Barlow Semi Condensed" w:cs="Barlow Semi Condensed" w:eastAsia="Barlow Semi Condensed" w:hAnsi="Barlow Semi Condensed"/>
          <w:b/>
          <w:bCs/>
          <w:sz w:val="24"/>
          <w:szCs w:val="24"/>
        </w:rPr>
        <w:t xml:space="preserve">La circoscrizione definitiva in diocesi avvenne solo dopo la riunificazione, con le bolle di Giovanni Paolo II del 27 giugno 1994: \Quo aptius\ per Erfurt, \Cum gaudio et spe\ per Magdeburgo.</w:t>
      </w:r>
    </w:p>
    <w:p>
      <w:pPr>
        <w:spacing w:after="120" w:line="276"/>
        <w:jc w:val="both"/>
      </w:pPr>
      <w:r>
        <w:rPr>
          <w:rFonts w:ascii="Barlow Semi Condensed" w:cs="Barlow Semi Condensed" w:eastAsia="Barlow Semi Condensed" w:hAnsi="Barlow Semi Condensed"/>
          <w:b/>
          <w:bCs/>
          <w:sz w:val="24"/>
          <w:szCs w:val="24"/>
        </w:rPr>
        <w:t xml:space="preserve">Ventuno anni dopo il 1973, e ventidue anni dopo il 1972. La forma provvisoria tenne fino a quando la questione politica non fu chiusa — e fu chiusa dalla riunificazione, non da un trattato di pace.</w:t>
      </w:r>
    </w:p>
    <w:p>
      <w:pPr>
        <w:pStyle w:val="Heading2"/>
        <w:spacing w:after="100" w:before="200"/>
      </w:pPr>
      <w:r>
        <w:rPr>
          <w:rFonts w:ascii="Barlow Semi Condensed" w:cs="Barlow Semi Condensed" w:eastAsia="Barlow Semi Condensed" w:hAnsi="Barlow Semi Condensed"/>
          <w:sz w:val="24"/>
          <w:szCs w:val="24"/>
        </w:rPr>
        <w:t xml:space="preserve">Capitolo ottavo — Il Vertice dell'Aja e il giallo della malattia</w:t>
      </w:r>
    </w:p>
    <w:p>
      <w:pPr>
        <w:spacing w:after="120" w:line="276"/>
        <w:jc w:val="both"/>
      </w:pPr>
      <w:r>
        <w:rPr>
          <w:rFonts w:ascii="Barlow Semi Condensed" w:cs="Barlow Semi Condensed" w:eastAsia="Barlow Semi Condensed" w:hAnsi="Barlow Semi Condensed"/>
          <w:b/>
          <w:bCs/>
          <w:sz w:val="24"/>
          <w:szCs w:val="24"/>
        </w:rPr>
        <w:t xml:space="preserve">Il capitolo espone un episodio della biografia diplomatica di Moro che le ricognizioni anteriori avevano soltanto nominato, e ne riporta il dettaglio.</w:t>
      </w:r>
    </w:p>
    <w:p>
      <w:pPr>
        <w:spacing w:after="120" w:line="276"/>
        <w:jc w:val="both"/>
      </w:pPr>
      <w:r>
        <w:rPr>
          <w:rFonts w:ascii="Barlow Semi Condensed" w:cs="Barlow Semi Condensed" w:eastAsia="Barlow Semi Condensed" w:hAnsi="Barlow Semi Condensed"/>
          <w:b/>
          <w:bCs/>
          <w:sz w:val="24"/>
          <w:szCs w:val="24"/>
        </w:rPr>
        <w:t xml:space="preserve">Il fatto. Il Vertice dell'Aja si tenne il 1 e 2 dicembre 1969 nella Ridderzaal del Binnenhof.</w:t>
      </w:r>
    </w:p>
    <w:p>
      <w:pPr>
        <w:spacing w:after="120" w:line="276"/>
        <w:jc w:val="both"/>
      </w:pPr>
      <w:r>
        <w:rPr>
          <w:rFonts w:ascii="Barlow Semi Condensed" w:cs="Barlow Semi Condensed" w:eastAsia="Barlow Semi Condensed" w:hAnsi="Barlow Semi Condensed"/>
          <w:b/>
          <w:bCs/>
          <w:sz w:val="24"/>
          <w:szCs w:val="24"/>
        </w:rPr>
        <w:t xml:space="preserve">Il giudizio storiografico, già acquisito. Secondo Guido Levi, nel saggio pubblicato in \Spagna contemporanea\, anno venticinquesimo, numero quarantanove del 2016, alle pagine 69-102, al Vertice l'Italia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b/>
          <w:bCs/>
          <w:sz w:val="24"/>
          <w:szCs w:val="24"/>
        </w:rPr>
        <w:t xml:space="preserve">Il giallo della data, documentato. La fonte accademica Officina della Storia ricostruisce che il vertice, dapprima fissato per il 17 e 18 novembre, fu spostato al 1 e 2 dicembre a causa di una presunta malattia del ministro degli Esteri italiano — e le virgolette sulla parola malattia sono della fonte, non mie. Lo spostamento scatenò non poche illazioni e commenti sulla stampa europea circa le vere ragioni, legate alle difficoltà di Moro.</w:t>
      </w:r>
    </w:p>
    <w:p>
      <w:pPr>
        <w:spacing w:after="120" w:line="276"/>
        <w:jc w:val="both"/>
      </w:pPr>
      <w:r>
        <w:rPr>
          <w:rFonts w:ascii="Barlow Semi Condensed" w:cs="Barlow Semi Condensed" w:eastAsia="Barlow Semi Condensed" w:hAnsi="Barlow Semi Condensed"/>
          <w:b/>
          <w:bCs/>
          <w:sz w:val="24"/>
          <w:szCs w:val="24"/>
        </w:rPr>
        <w:t xml:space="preserve">E un secondo elemento della medesima fonte va riportato perché corregge in parte il giudizio di marginalità. Moro ingaggiò un braccio di ferro con il governo francese, arrivando addirittura a minacciare di non partecipare al vertice se Pompidou non avesse inserito nel comunicato finale una data d'inizio dei negoziati con la Gran Bretagna.</w:t>
      </w:r>
    </w:p>
    <w:p>
      <w:pPr>
        <w:spacing w:after="120" w:line="276"/>
        <w:jc w:val="both"/>
      </w:pPr>
      <w:r>
        <w:rPr>
          <w:rFonts w:ascii="Barlow Semi Condensed" w:cs="Barlow Semi Condensed" w:eastAsia="Barlow Semi Condensed" w:hAnsi="Barlow Semi Condensed"/>
          <w:b/>
          <w:bCs/>
          <w:sz w:val="24"/>
          <w:szCs w:val="24"/>
        </w:rPr>
        <w:t xml:space="preserve">Ne discende una qualificazione più precisa del ruolo italiano. L'Italia fu marginale nella conduzione, ma non passiva quanto all'obiettivo: la posizione italiana era a sostegno dell'ingresso britannico e tesa a bilanciare l'asse franco-tedesco, e su quel punto Moro esercitò una pressione documentata.</w:t>
      </w:r>
    </w:p>
    <w:p>
      <w:pPr>
        <w:spacing w:after="120" w:line="276"/>
        <w:jc w:val="both"/>
      </w:pPr>
      <w:r>
        <w:rPr>
          <w:rFonts w:ascii="Barlow Semi Condensed" w:cs="Barlow Semi Condensed" w:eastAsia="Barlow Semi Condensed" w:hAnsi="Barlow Semi Condensed"/>
          <w:b/>
          <w:bCs/>
          <w:sz w:val="24"/>
          <w:szCs w:val="24"/>
        </w:rPr>
        <w:t xml:space="preserve">Il ruolo tedesco fu di primo piano nel rilancio: il Vertice varò l'obiettivo dell'unione economica e monetaria e dell'allargamento.</w:t>
      </w:r>
    </w:p>
    <w:p>
      <w:pPr>
        <w:spacing w:after="120" w:line="276"/>
        <w:jc w:val="both"/>
      </w:pPr>
      <w:r>
        <w:rPr>
          <w:rFonts w:ascii="Barlow Semi Condensed" w:cs="Barlow Semi Condensed" w:eastAsia="Barlow Semi Condensed" w:hAnsi="Barlow Semi Condensed"/>
          <w:b/>
          <w:bCs/>
          <w:sz w:val="24"/>
          <w:szCs w:val="24"/>
        </w:rPr>
        <w:t xml:space="preserve">Un elemento istituzionale va notato.\\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b/>
          <w:bCs/>
          <w:sz w:val="24"/>
          <w:szCs w:val="24"/>
        </w:rPr>
        <w:t xml:space="preserve">Il seguito monetario, con le divergenze da riportare. Dal mandato dell'Aja discese il Piano Werner, elaborato dal comitato presieduto dal primo ministro lussemburghese Pierre Werner, presentato al Consiglio nel giugno 1970 e recepito con risoluzione del 22 marzo 1971, che avviava la prima tappa dell'unione economica e monetaria da realizzarsi in dieci anni.</w:t>
      </w:r>
    </w:p>
    <w:p>
      <w:pPr>
        <w:spacing w:after="120" w:line="276"/>
        <w:jc w:val="both"/>
      </w:pPr>
      <w:r>
        <w:rPr>
          <w:rFonts w:ascii="Barlow Semi Condensed" w:cs="Barlow Semi Condensed" w:eastAsia="Barlow Semi Condensed" w:hAnsi="Barlow Semi Condensed"/>
          <w:b/>
          <w:bCs/>
          <w:sz w:val="24"/>
          <w:szCs w:val="24"/>
        </w:rPr>
        <w:t xml:space="preserve">Sul Serpente monetario le fonti divergono e la divergenza si riporta. Una fonte colloca i primi provvedimenti al 21 marzo 1972, perfezionati nell'accordo di Basilea del 10 aprile 1972 ed entrati in vigore il 24 aprile 1972, con margini di fluttuazione del due virgola venticinque per cento; un'altra colloca l'accordo di Basilea al 24 aprile 1972; una lezione universitaria colloca la nascita nel marzo 1972.</w:t>
      </w:r>
    </w:p>
    <w:p>
      <w:pPr>
        <w:spacing w:after="120" w:line="276"/>
        <w:jc w:val="both"/>
      </w:pPr>
      <w:r>
        <w:rPr>
          <w:rFonts w:ascii="Barlow Semi Condensed" w:cs="Barlow Semi Condensed" w:eastAsia="Barlow Semi Condensed" w:hAnsi="Barlow Semi Condensed"/>
          <w:b/>
          <w:bCs/>
          <w:sz w:val="24"/>
          <w:szCs w:val="24"/>
        </w:rPr>
        <w:t xml:space="preserve">L'uscita della lira è datata concordemente al 13 febbraio 1973\\, in coincidenza con la seconda svalutazione del dollaro; la lira restò fuori dal sistema \\fino alla vigilia dell'entrata in funzione del Sistema monetario europeo nel 1979.</w:t>
      </w:r>
    </w:p>
    <w:p>
      <w:pPr>
        <w:spacing w:after="120" w:line="276"/>
        <w:jc w:val="both"/>
      </w:pPr>
      <w:r>
        <w:rPr>
          <w:rFonts w:ascii="Barlow Semi Condensed" w:cs="Barlow Semi Condensed" w:eastAsia="Barlow Semi Condensed" w:hAnsi="Barlow Semi Condensed"/>
          <w:b/>
          <w:bCs/>
          <w:sz w:val="24"/>
          <w:szCs w:val="24"/>
        </w:rPr>
        <w:t xml:space="preserve">La materia monetaria è di ambito comunitario e non tocca la questione tedesca ecclesiastica; se ne dà conto perché parte del ruolo tedesco nel processo di integrazione, e il capitolo si chiude qui perché oltre questo il materiale non porta.</w:t>
      </w:r>
    </w:p>
    <w:p>
      <w:pPr>
        <w:pStyle w:val="Heading2"/>
        <w:spacing w:after="100" w:before="200"/>
      </w:pPr>
      <w:r>
        <w:rPr>
          <w:rFonts w:ascii="Barlow Semi Condensed" w:cs="Barlow Semi Condensed" w:eastAsia="Barlow Semi Condensed" w:hAnsi="Barlow Semi Condensed"/>
          <w:sz w:val="24"/>
          <w:szCs w:val="24"/>
        </w:rPr>
        <w:t xml:space="preserve">Capitolo nono — Il Reichskonkordat del 1933 e la sua sopravvivenza</w:t>
      </w:r>
    </w:p>
    <w:p>
      <w:pPr>
        <w:spacing w:after="120" w:line="276"/>
        <w:jc w:val="both"/>
      </w:pPr>
      <w:r>
        <w:rPr>
          <w:rFonts w:ascii="Barlow Semi Condensed" w:cs="Barlow Semi Condensed" w:eastAsia="Barlow Semi Condensed" w:hAnsi="Barlow Semi Condensed"/>
          <w:b/>
          <w:bCs/>
          <w:sz w:val="24"/>
          <w:szCs w:val="24"/>
        </w:rPr>
        <w:t xml:space="preserve">Il capitolo espone il quadro concordatario tedesco, e contiene il dato che più colpisce di tutto lo studio sul piano della continuità giuridica.</w:t>
      </w:r>
    </w:p>
    <w:p>
      <w:pPr>
        <w:spacing w:after="120" w:line="276"/>
        <w:jc w:val="both"/>
      </w:pPr>
      <w:r>
        <w:rPr>
          <w:rFonts w:ascii="Barlow Semi Condensed" w:cs="Barlow Semi Condensed" w:eastAsia="Barlow Semi Condensed" w:hAnsi="Barlow Semi Condensed"/>
          <w:b/>
          <w:bCs/>
          <w:sz w:val="24"/>
          <w:szCs w:val="24"/>
        </w:rPr>
        <w:t xml:space="preserve">La firma. Il Concordato fra Santa Sede e Reich germanico fu firmato il 20 luglio 1933 dal cardinale segretario di Stato Eugenio Pacelli e dal vicecancelliere Franz von Papen — il medesimo von Papen che, come ambasciatore a Istanbul, comparirà nella settima ricognizione come interlocutore di Roncalli per il salvataggio degli ebrei.</w:t>
      </w:r>
    </w:p>
    <w:p>
      <w:pPr>
        <w:spacing w:after="120" w:line="276"/>
        <w:jc w:val="both"/>
      </w:pPr>
      <w:r>
        <w:rPr>
          <w:rFonts w:ascii="Barlow Semi Condensed" w:cs="Barlow Semi Condensed" w:eastAsia="Barlow Semi Condensed" w:hAnsi="Barlow Semi Condensed"/>
          <w:b/>
          <w:bCs/>
          <w:sz w:val="24"/>
          <w:szCs w:val="24"/>
        </w:rPr>
        <w:t xml:space="preserve">Il negoziato, per date. Due tornate: 10-20 aprile e 29 giugno - 5 luglio 1933, con la partecipazione di Ludwig Kaas per il Zentrum. Il testo paraphato l'8 luglio fu approvato dal gabinetto del Reich il 14 luglio. Pubblicato nel Reichsgesetzblatt 1933, parte seconda, pagina 679; entrato in vigore con lo scambio degli strumenti di ratifica il 10 settembre 1933.</w:t>
      </w:r>
    </w:p>
    <w:p>
      <w:pPr>
        <w:spacing w:after="120" w:line="276"/>
        <w:jc w:val="both"/>
      </w:pPr>
      <w:r>
        <w:rPr>
          <w:rFonts w:ascii="Barlow Semi Condensed" w:cs="Barlow Semi Condensed" w:eastAsia="Barlow Semi Condensed" w:hAnsi="Barlow Semi Condensed"/>
          <w:b/>
          <w:bCs/>
          <w:sz w:val="24"/>
          <w:szCs w:val="24"/>
        </w:rPr>
        <w:t xml:space="preserve">E il dato che va isolato.\\ Il Reichskonkordat è \\l'unico accordo di politica estera dell'epoca nazista ancora oggi vigente.</w:t>
      </w:r>
    </w:p>
    <w:p>
      <w:pPr>
        <w:spacing w:after="120" w:line="276"/>
        <w:jc w:val="both"/>
      </w:pPr>
      <w:r>
        <w:rPr>
          <w:rFonts w:ascii="Barlow Semi Condensed" w:cs="Barlow Semi Condensed" w:eastAsia="Barlow Semi Condensed" w:hAnsi="Barlow Semi Condensed"/>
          <w:b/>
          <w:bCs/>
          <w:sz w:val="24"/>
          <w:szCs w:val="24"/>
        </w:rPr>
        <w:t xml:space="preserve">La controversia storiografica va registrata perché è aperta. La cosiddetta polemica Repgen-Scholder verte sul se il Concordato fu, secondo Konrad Repgen, un \Defensivvertrag\ con cui la Chiesa cercò di proteggere i cattolici, o piuttosto uno strumento che contribuì a consolidare il regime. È dibattito scientifico aperto e non dato di fatto.</w:t>
      </w:r>
    </w:p>
    <w:p>
      <w:pPr>
        <w:spacing w:after="120" w:line="276"/>
        <w:jc w:val="both"/>
      </w:pPr>
      <w:r>
        <w:rPr>
          <w:rFonts w:ascii="Barlow Semi Condensed" w:cs="Barlow Semi Condensed" w:eastAsia="Barlow Semi Condensed" w:hAnsi="Barlow Semi Condensed"/>
          <w:b/>
          <w:bCs/>
          <w:sz w:val="24"/>
          <w:szCs w:val="24"/>
        </w:rPr>
        <w:t xml:space="preserve">La vigenza nella Repubblica Federale: la sentenza. La fonte primaria è la sentenza della Corte costituzionale federale nota come Konkordatsurteil, in materia della legge scolastica della Bassa Sassonia sulle scuole confessionali, citata come BVerfGE 6, 309, procedimento 2 BvG 1/55.</w:t>
      </w:r>
    </w:p>
    <w:p>
      <w:pPr>
        <w:spacing w:after="120" w:line="276"/>
        <w:jc w:val="both"/>
      </w:pPr>
      <w:r>
        <w:rPr>
          <w:rFonts w:ascii="Barlow Semi Condensed" w:cs="Barlow Semi Condensed" w:eastAsia="Barlow Semi Condensed" w:hAnsi="Barlow Semi Condensed"/>
          <w:b/>
          <w:bCs/>
          <w:sz w:val="24"/>
          <w:szCs w:val="24"/>
        </w:rPr>
        <w:t xml:space="preserve">Sulla data le fonti divergono e la divergenza va riportata. Più fonti indicano il 26 marzo 1957; altre — un documento del servizio scientifico del Bundestag e un passaggio di un portale ecclesiale — indicano il 23 marzo 1957.</w:t>
      </w:r>
    </w:p>
    <w:p>
      <w:pPr>
        <w:spacing w:after="120" w:line="276"/>
        <w:jc w:val="both"/>
      </w:pPr>
      <w:r>
        <w:rPr>
          <w:rFonts w:ascii="Barlow Semi Condensed" w:cs="Barlow Semi Condensed" w:eastAsia="Barlow Semi Condensed" w:hAnsi="Barlow Semi Condensed"/>
          <w:b/>
          <w:bCs/>
          <w:sz w:val="24"/>
          <w:szCs w:val="24"/>
        </w:rPr>
        <w:t xml:space="preserve">Il contenuto, che è a doppio taglio.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w:t>
      </w:r>
    </w:p>
    <w:p>
      <w:pPr>
        <w:spacing w:after="120" w:line="276"/>
        <w:jc w:val="both"/>
      </w:pPr>
      <w:r>
        <w:rPr>
          <w:rFonts w:ascii="Barlow Semi Condensed" w:cs="Barlow Semi Condensed" w:eastAsia="Barlow Semi Condensed" w:hAnsi="Barlow Semi Condensed"/>
          <w:b/>
          <w:bCs/>
          <w:sz w:val="24"/>
          <w:szCs w:val="24"/>
        </w:rPr>
        <w:t xml:space="preserve">Ne discende un esito paradossale che va enunciato: il Concordato fu dichiarato vigente e insieme inapplicabile nella materia su cui era stato invocato.</w:t>
      </w:r>
    </w:p>
    <w:p>
      <w:pPr>
        <w:spacing w:after="120" w:line="276"/>
        <w:jc w:val="both"/>
      </w:pPr>
      <w:r>
        <w:rPr>
          <w:rFonts w:ascii="Barlow Semi Condensed" w:cs="Barlow Semi Condensed" w:eastAsia="Barlow Semi Condensed" w:hAnsi="Barlow Semi Condensed"/>
          <w:b/>
          <w:bCs/>
          <w:sz w:val="24"/>
          <w:szCs w:val="24"/>
        </w:rPr>
        <w:t xml:space="preserve">I concordati regionali\\ precedono e affiancano il Reichskonkordat: \\Baviera 1924, Prussia 1929, Baden 1932.</w:t>
      </w:r>
    </w:p>
    <w:p>
      <w:pPr>
        <w:spacing w:after="120" w:line="276"/>
        <w:jc w:val="both"/>
      </w:pPr>
      <w:r>
        <w:rPr>
          <w:rFonts w:ascii="Barlow Semi Condensed" w:cs="Barlow Semi Condensed" w:eastAsia="Barlow Semi Condensed" w:hAnsi="Barlow Semi Condensed"/>
          <w:b/>
          <w:bCs/>
          <w:sz w:val="24"/>
          <w:szCs w:val="24"/>
        </w:rPr>
        <w:t xml:space="preserve">La Repubblica Democratica Tedesca non riconosceva il Concordato, coerentemente con la sua dottrina di non successione al Reich.</w:t>
      </w:r>
    </w:p>
    <w:p>
      <w:pPr>
        <w:spacing w:after="120" w:line="276"/>
        <w:jc w:val="both"/>
      </w:pPr>
      <w:r>
        <w:rPr>
          <w:rFonts w:ascii="Barlow Semi Condensed" w:cs="Barlow Semi Condensed" w:eastAsia="Barlow Semi Condensed" w:hAnsi="Barlow Semi Condensed"/>
          <w:b/>
          <w:bCs/>
          <w:sz w:val="24"/>
          <w:szCs w:val="24"/>
        </w:rPr>
        <w:t xml:space="preserve">Il confronto lateranense, che è la ragione per cui il capitolo appartiene a questo studio. Il Concordato lateranense italiano fu firmato l'11 febbraio 1929 e revisionato con l'Accordo di Villa Madama concluso il 18 febbraio 1984, come accertato in ricognizione anteriore.</w:t>
      </w:r>
    </w:p>
    <w:p>
      <w:pPr>
        <w:spacing w:after="120" w:line="276"/>
        <w:jc w:val="both"/>
      </w:pPr>
      <w:r>
        <w:rPr>
          <w:rFonts w:ascii="Barlow Semi Condensed" w:cs="Barlow Semi Condensed" w:eastAsia="Barlow Semi Condensed" w:hAnsi="Barlow Semi Condensed"/>
          <w:b/>
          <w:bCs/>
          <w:sz w:val="24"/>
          <w:szCs w:val="24"/>
        </w:rPr>
        <w:t xml:space="preserve">La differenza di traiettoria va enunciata. In Italia il concordato fu oggetto di una revisione bilaterale integrale e consensuale; in Germania il Reichskonkordat rimase in vigore immutato nella sua cornice, con adattamenti affidati alla giurisprudenza costituzionale e ai concordati dei Länder.</w:t>
      </w:r>
    </w:p>
    <w:p>
      <w:pPr>
        <w:spacing w:after="120" w:line="276"/>
        <w:jc w:val="both"/>
      </w:pPr>
      <w:r>
        <w:rPr>
          <w:rFonts w:ascii="Barlow Semi Condensed" w:cs="Barlow Semi Condensed" w:eastAsia="Barlow Semi Condensed" w:hAnsi="Barlow Semi Condensed"/>
          <w:b/>
          <w:bCs/>
          <w:sz w:val="24"/>
          <w:szCs w:val="24"/>
        </w:rPr>
        <w:t xml:space="preserve">Cinquantacinque anni per la revisione italiana. Nessuna revisione per quella tedesca, a novantadue anni dalla firma.</w:t>
      </w:r>
    </w:p>
    <w:p>
      <w:pPr>
        <w:pStyle w:val="Heading2"/>
        <w:spacing w:after="100" w:before="200"/>
      </w:pPr>
      <w:r>
        <w:rPr>
          <w:rFonts w:ascii="Barlow Semi Condensed" w:cs="Barlow Semi Condensed" w:eastAsia="Barlow Semi Condensed" w:hAnsi="Barlow Semi Condensed"/>
          <w:sz w:val="24"/>
          <w:szCs w:val="24"/>
        </w:rPr>
        <w:t xml:space="preserve">Capitolo decimo — Helsinki 1975 e una correzione sulla lettera tedesca</w:t>
      </w:r>
    </w:p>
    <w:p>
      <w:pPr>
        <w:spacing w:after="120" w:line="276"/>
        <w:jc w:val="both"/>
      </w:pPr>
      <w:r>
        <w:rPr>
          <w:rFonts w:ascii="Barlow Semi Condensed" w:cs="Barlow Semi Condensed" w:eastAsia="Barlow Semi Condensed" w:hAnsi="Barlow Semi Condensed"/>
          <w:b/>
          <w:bCs/>
          <w:sz w:val="24"/>
          <w:szCs w:val="24"/>
        </w:rPr>
        <w:t xml:space="preserve">Il capitolo espone il momento in cui i soggetti convergono, e corregge un'ipotesi che avevo posto nella formulazione della ricerca.</w:t>
      </w:r>
    </w:p>
    <w:p>
      <w:pPr>
        <w:spacing w:after="120" w:line="276"/>
        <w:jc w:val="both"/>
      </w:pPr>
      <w:r>
        <w:rPr>
          <w:rFonts w:ascii="Barlow Semi Condensed" w:cs="Barlow Semi Condensed" w:eastAsia="Barlow Semi Condensed" w:hAnsi="Barlow Semi Condensed"/>
          <w:b/>
          <w:bCs/>
          <w:sz w:val="24"/>
          <w:szCs w:val="24"/>
        </w:rPr>
        <w:t xml:space="preserve">Le fasi. Fase multilaterale preparatoria dal novembre 1972; negoziati dal 3 luglio 1973; Atto finale firmato a Helsinki il 1 agosto 1975 da trentacinque Stati.</w:t>
      </w:r>
    </w:p>
    <w:p>
      <w:pPr>
        <w:spacing w:after="120" w:line="276"/>
        <w:jc w:val="both"/>
      </w:pPr>
      <w:r>
        <w:rPr>
          <w:rFonts w:ascii="Barlow Semi Condensed" w:cs="Barlow Semi Condensed" w:eastAsia="Barlow Semi Condensed" w:hAnsi="Barlow Semi Condensed"/>
          <w:b/>
          <w:bCs/>
          <w:sz w:val="24"/>
          <w:szCs w:val="24"/>
        </w:rPr>
        <w:t xml:space="preserve">Le firme tedesche. Entrambe le Germanie parteciparono alla pari. Per la Repubblica Federale firmò il cancelliere Helmut Schmidt; per la Repubblica Democratica il segretario generale Erich Honecker.</w:t>
      </w:r>
    </w:p>
    <w:p>
      <w:pPr>
        <w:spacing w:after="120" w:line="276"/>
        <w:jc w:val="both"/>
      </w:pPr>
      <w:r>
        <w:rPr>
          <w:rFonts w:ascii="Barlow Semi Condensed" w:cs="Barlow Semi Condensed" w:eastAsia="Barlow Semi Condensed" w:hAnsi="Barlow Semi Condensed"/>
          <w:b/>
          <w:bCs/>
          <w:sz w:val="24"/>
          <w:szCs w:val="24"/>
        </w:rPr>
        <w:t xml:space="preserve">Il principio decisivo. Il principio terzo dell'Atto finale sancisce l'inviolabilità delle frontiere. La clausola sulla loro modificabilità per via pacifica — secondo cui le frontiere possono essere mutate solo con mezzi pacifici e per accordo — fu essenziale per la Repubblica Federale perché lasciava aperta la possibilità giuridica della riunificazione senza contraddire il riconoscimento dello status quo.</w:t>
      </w:r>
    </w:p>
    <w:p>
      <w:pPr>
        <w:spacing w:after="120" w:line="276"/>
        <w:jc w:val="both"/>
      </w:pPr>
      <w:r>
        <w:rPr>
          <w:rFonts w:ascii="Barlow Semi Condensed" w:cs="Barlow Semi Condensed" w:eastAsia="Barlow Semi Condensed" w:hAnsi="Barlow Semi Condensed"/>
          <w:b/>
          <w:bCs/>
          <w:sz w:val="24"/>
          <w:szCs w:val="24"/>
        </w:rPr>
        <w:t xml:space="preserve">E qui la correzione. Nella formulazione della ricerca avevo ipotizzato l'esistenza di una lettera tedesca sull'unità nazionale allegata all'Atto finale, sul modello di quelle allegate ai trattati del 1970 e del 1972. Tale lettera non risulta esistere.</w:t>
      </w:r>
    </w:p>
    <w:p>
      <w:pPr>
        <w:spacing w:after="120" w:line="276"/>
        <w:jc w:val="both"/>
      </w:pPr>
      <w:r>
        <w:rPr>
          <w:rFonts w:ascii="Barlow Semi Condensed" w:cs="Barlow Semi Condensed" w:eastAsia="Barlow Semi Condensed" w:hAnsi="Barlow Semi Condensed"/>
          <w:b/>
          <w:bCs/>
          <w:sz w:val="24"/>
          <w:szCs w:val="24"/>
        </w:rPr>
        <w:t xml:space="preserve">Le fonti attestano che il \Brief zur deutschen Einheit\ fu allegato al Trattato di Mosca del 1970 e al Trattato fondamentale del 1972, mentre a Helsinki lo strumento rilevante fu la clausola di modificabilità pacifica delle frontiere.</w:t>
      </w:r>
    </w:p>
    <w:p>
      <w:pPr>
        <w:spacing w:after="120" w:line="276"/>
        <w:jc w:val="both"/>
      </w:pPr>
      <w:r>
        <w:rPr>
          <w:rFonts w:ascii="Barlow Semi Condensed" w:cs="Barlow Semi Condensed" w:eastAsia="Barlow Semi Condensed" w:hAnsi="Barlow Semi Condensed"/>
          <w:b/>
          <w:bCs/>
          <w:sz w:val="24"/>
          <w:szCs w:val="24"/>
        </w:rPr>
        <w:t xml:space="preserve">Si registra dunque come esito parzialmente negativo: nessuna lettera tedesca allegata all'Atto finale è documentata; la funzione che avevo ipotizzato fu assolta dalla clausola, non da una lettera.</w:t>
      </w:r>
    </w:p>
    <w:p>
      <w:pPr>
        <w:spacing w:after="120" w:line="276"/>
        <w:jc w:val="both"/>
      </w:pPr>
      <w:r>
        <w:rPr>
          <w:rFonts w:ascii="Barlow Semi Condensed" w:cs="Barlow Semi Condensed" w:eastAsia="Barlow Semi Condensed" w:hAnsi="Barlow Semi Condensed"/>
          <w:b/>
          <w:bCs/>
          <w:sz w:val="24"/>
          <w:szCs w:val="24"/>
        </w:rPr>
        <w:t xml:space="preserve">La correzione va notata anche per il metodo che la produce. Avevo formulato l'ipotesi con la clausola \se esistente\, e l'ipotesi è caduta. È il funzionamento corretto di una domanda di ricerca: essa deve poter tornare negativa, e questa lo ha fatto.</w:t>
      </w:r>
    </w:p>
    <w:p>
      <w:pPr>
        <w:spacing w:after="120" w:line="276"/>
        <w:jc w:val="both"/>
      </w:pPr>
      <w:r>
        <w:rPr>
          <w:rFonts w:ascii="Barlow Semi Condensed" w:cs="Barlow Semi Condensed" w:eastAsia="Barlow Semi Condensed" w:hAnsi="Barlow Semi Condensed"/>
          <w:b/>
          <w:bCs/>
          <w:sz w:val="24"/>
          <w:szCs w:val="24"/>
        </w:rPr>
        <w:t xml:space="preserve">La firma italiana. Per l'Italia firmò Aldo Moro, nella duplice qualità di presidente del Consiglio e di presidente di turno della Comunità europea. Una fonte giornalistica qualificata riporta il suo intervento: i Nove, per le materie di competenza comunitaria, avevano esaminato le conclusioni della Conferenza e le accettavano, di conseguenza firmerò l'Atto finale nella mia duplice qualità.</w:t>
      </w:r>
    </w:p>
    <w:p>
      <w:pPr>
        <w:spacing w:after="120" w:line="276"/>
        <w:jc w:val="both"/>
      </w:pPr>
      <w:r>
        <w:rPr>
          <w:rFonts w:ascii="Barlow Semi Condensed" w:cs="Barlow Semi Condensed" w:eastAsia="Barlow Semi Condensed" w:hAnsi="Barlow Semi Condensed"/>
          <w:b/>
          <w:bCs/>
          <w:sz w:val="24"/>
          <w:szCs w:val="24"/>
        </w:rPr>
        <w:t xml:space="preserve">Un nome va registrato perché è quello dell'operatore. L'ambasciatore Luigi Vittorio Ferraris fu tessitore per l'Italia di quella Conferenza.</w:t>
      </w:r>
    </w:p>
    <w:p>
      <w:pPr>
        <w:spacing w:after="120" w:line="276"/>
        <w:jc w:val="both"/>
      </w:pPr>
      <w:r>
        <w:rPr>
          <w:rFonts w:ascii="Barlow Semi Condensed" w:cs="Barlow Semi Condensed" w:eastAsia="Barlow Semi Condensed" w:hAnsi="Barlow Semi Condensed"/>
          <w:b/>
          <w:bCs/>
          <w:sz w:val="24"/>
          <w:szCs w:val="24"/>
        </w:rPr>
        <w:t xml:space="preserve">La firma vaticana. Anche la Santa Sede fu firmataria, avendo perseguito l'inserimento delle clausole sui diritti umani e sulla libertà religiosa.</w:t>
      </w:r>
    </w:p>
    <w:p>
      <w:pPr>
        <w:spacing w:after="120" w:line="276"/>
        <w:jc w:val="both"/>
      </w:pPr>
      <w:r>
        <w:rPr>
          <w:rFonts w:ascii="Barlow Semi Condensed" w:cs="Barlow Semi Condensed" w:eastAsia="Barlow Semi Condensed" w:hAnsi="Barlow Semi Condensed"/>
          <w:b/>
          <w:bCs/>
          <w:sz w:val="24"/>
          <w:szCs w:val="24"/>
        </w:rPr>
        <w:t xml:space="preserve">La qualificazione della convergenza, e va apposta con la consueta precisione. La convergenza fra posizione italiana, posizione comunitaria e posizione della Santa Sede a Helsinki è documentata come convergenza di obiettivo e comunanza di ambiente diplomatico, non come coordinamento formale fra Roma politica e Roma pontificia, che le fonti non attestano.</w:t>
      </w:r>
    </w:p>
    <w:p>
      <w:pPr>
        <w:spacing w:after="120" w:line="276"/>
        <w:jc w:val="both"/>
      </w:pPr>
      <w:r>
        <w:rPr>
          <w:rFonts w:ascii="Barlow Semi Condensed" w:cs="Barlow Semi Condensed" w:eastAsia="Barlow Semi Condensed" w:hAnsi="Barlow Semi Condensed"/>
          <w:b/>
          <w:bCs/>
          <w:sz w:val="24"/>
          <w:szCs w:val="24"/>
        </w:rPr>
        <w:t xml:space="preserve">Un rilievo comparativo chiude il capitolo. Nella settima ricognizione si era osservato che la Santa Sede ottenne a Helsinki la libertà religiosa guardando a Oriente, e che non risultava averla invocata verso Ankara. Qui va aggiunto il complemento tedesco: la medesima Conferenza fornì alla Repubblica Federale la clausola che teneva aperta la riunificazione, e alla Santa Sede il principio che teneva aperta la libertà religiosa nei Paesi del blocco. Due soggetti diversi ottennero dal medesimo atto due clausole di apertura verso il medesimo Oriente.</w:t>
      </w:r>
    </w:p>
    <w:p>
      <w:pPr>
        <w:pStyle w:val="Heading2"/>
        <w:spacing w:after="100" w:before="200"/>
      </w:pPr>
      <w:r>
        <w:rPr>
          <w:rFonts w:ascii="Barlow Semi Condensed" w:cs="Barlow Semi Condensed" w:eastAsia="Barlow Semi Condensed" w:hAnsi="Barlow Semi Condensed"/>
          <w:sz w:val="24"/>
          <w:szCs w:val="24"/>
        </w:rPr>
        <w:t xml:space="preserve">Capitolo undicesimo — Il versante RAF e una correzione di data nella tavola del progetto</w:t>
      </w:r>
    </w:p>
    <w:p>
      <w:pPr>
        <w:spacing w:after="120" w:line="276"/>
        <w:jc w:val="both"/>
      </w:pPr>
      <w:r>
        <w:rPr>
          <w:rFonts w:ascii="Barlow Semi Condensed" w:cs="Barlow Semi Condensed" w:eastAsia="Barlow Semi Condensed" w:hAnsi="Barlow Semi Condensed"/>
          <w:b/>
          <w:bCs/>
          <w:sz w:val="24"/>
          <w:szCs w:val="24"/>
        </w:rPr>
        <w:t xml:space="preserve">Il capitolo tocca una voce aperta della tavola delle acquisizioni del progetto, e ne corregge un dato.</w:t>
      </w:r>
    </w:p>
    <w:p>
      <w:pPr>
        <w:spacing w:after="120" w:line="276"/>
        <w:jc w:val="both"/>
      </w:pPr>
      <w:r>
        <w:rPr>
          <w:rFonts w:ascii="Barlow Semi Condensed" w:cs="Barlow Semi Condensed" w:eastAsia="Barlow Semi Condensed" w:hAnsi="Barlow Semi Condensed"/>
          <w:b/>
          <w:bCs/>
          <w:sz w:val="24"/>
          <w:szCs w:val="24"/>
        </w:rPr>
        <w:t xml:space="preserve">La correzione, enunciata subito. Willy Peter Stoll, militante della Rote Armee Fraktion, nato a Stoccarda il 12 giugno 1950, fu ucciso dalla polizia a Düsseldorf il 6 settembre 1978, non l'11 settembre. La \Stuttgarter Zeitung\ colloca l'episodio la sera del 6 settembre 1978 nel ristorante cinese Shanghai di Düsseldorf.</w:t>
      </w:r>
    </w:p>
    <w:p>
      <w:pPr>
        <w:spacing w:after="120" w:line="276"/>
        <w:jc w:val="both"/>
      </w:pPr>
      <w:r>
        <w:rPr>
          <w:rFonts w:ascii="Barlow Semi Condensed" w:cs="Barlow Semi Condensed" w:eastAsia="Barlow Semi Condensed" w:hAnsi="Barlow Semi Condensed"/>
          <w:b/>
          <w:bCs/>
          <w:sz w:val="24"/>
          <w:szCs w:val="24"/>
        </w:rPr>
        <w:t xml:space="preserve">La voce quindicesima della tavola del memorandum Moro reca dunque una data errata, e va emendata.</w:t>
      </w:r>
    </w:p>
    <w:p>
      <w:pPr>
        <w:spacing w:after="120" w:line="276"/>
        <w:jc w:val="both"/>
      </w:pPr>
      <w:r>
        <w:rPr>
          <w:rFonts w:ascii="Barlow Semi Condensed" w:cs="Barlow Semi Condensed" w:eastAsia="Barlow Semi Condensed" w:hAnsi="Barlow Semi Condensed"/>
          <w:b/>
          <w:bCs/>
          <w:sz w:val="24"/>
          <w:szCs w:val="24"/>
        </w:rPr>
        <w:t xml:space="preserve">Ciò che si afferma nei materiali italiani, con il suo statuto.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w:t>
      </w:r>
    </w:p>
    <w:p>
      <w:pPr>
        <w:spacing w:after="120" w:line="276"/>
        <w:jc w:val="both"/>
      </w:pPr>
      <w:r>
        <w:rPr>
          <w:rFonts w:ascii="Barlow Semi Condensed" w:cs="Barlow Semi Condensed" w:eastAsia="Barlow Semi Condensed" w:hAnsi="Barlow Semi Condensed"/>
          <w:b/>
          <w:bCs/>
          <w:sz w:val="24"/>
          <w:szCs w:val="24"/>
        </w:rPr>
        <w:t xml:space="preserve">La qualificazione è vincolante e va apposta con precisione.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w:t>
      </w:r>
    </w:p>
    <w:p>
      <w:pPr>
        <w:spacing w:after="120" w:line="276"/>
        <w:jc w:val="both"/>
      </w:pPr>
      <w:r>
        <w:rPr>
          <w:rFonts w:ascii="Barlow Semi Condensed" w:cs="Barlow Semi Condensed" w:eastAsia="Barlow Semi Condensed" w:hAnsi="Barlow Semi Condensed"/>
          <w:b/>
          <w:bCs/>
          <w:sz w:val="24"/>
          <w:szCs w:val="24"/>
        </w:rPr>
        <w:t xml:space="preserve">Che cosa la documentazione parlamentare attesta. Gli atti della Commissione Moro attestano l'esistenza di un filone d'indagine sui possibili contatti operativi fra Brigate Rosse e RAF nel periodo immediatamente precedente il sequestro, incluso il tema di un presunto infiltrato dei servizi tedeschi a Milano.</w:t>
      </w:r>
    </w:p>
    <w:p>
      <w:pPr>
        <w:spacing w:after="120" w:line="276"/>
        <w:jc w:val="both"/>
      </w:pPr>
      <w:r>
        <w:rPr>
          <w:rFonts w:ascii="Barlow Semi Condensed" w:cs="Barlow Semi Condensed" w:eastAsia="Barlow Semi Condensed" w:hAnsi="Barlow Semi Condensed"/>
          <w:b/>
          <w:bCs/>
          <w:sz w:val="24"/>
          <w:szCs w:val="24"/>
        </w:rPr>
        <w:t xml:space="preserve">Che cosa non è sostenuto.\\ \\Le tesi circolanti nella pubblicistica su una eterodirezione del sequestro Moro, non trovando riscontro nelle fonti primarie giudiziarie, vanno qualificate come non sostenute.</w:t>
      </w:r>
    </w:p>
    <w:p>
      <w:pPr>
        <w:spacing w:after="120" w:line="276"/>
        <w:jc w:val="both"/>
      </w:pPr>
      <w:r>
        <w:rPr>
          <w:rFonts w:ascii="Barlow Semi Condensed" w:cs="Barlow Semi Condensed" w:eastAsia="Barlow Semi Condensed" w:hAnsi="Barlow Semi Condensed"/>
          <w:b/>
          <w:bCs/>
          <w:sz w:val="24"/>
          <w:szCs w:val="24"/>
        </w:rPr>
        <w:t xml:space="preserve">Il precedente immediato, per date. Hanns Martin Schleyer, presidente della Confindustria tedesca, fu rapito a Colonia il 5 settembre 1977 dal commando \Siegfried Hausner\ della RAF e ucciso in ottobre. La linea tedesca della fermezza fu gestita da un Krisenstab e culminò nel blitz di Mogadiscio del 18 ottobre 1977.</w:t>
      </w:r>
    </w:p>
    <w:p>
      <w:pPr>
        <w:spacing w:after="120" w:line="276"/>
        <w:jc w:val="both"/>
      </w:pPr>
      <w:r>
        <w:rPr>
          <w:rFonts w:ascii="Barlow Semi Condensed" w:cs="Barlow Semi Condensed" w:eastAsia="Barlow Semi Condensed" w:hAnsi="Barlow Semi Condensed"/>
          <w:b/>
          <w:bCs/>
          <w:sz w:val="24"/>
          <w:szCs w:val="24"/>
        </w:rPr>
        <w:t xml:space="preserve">Il sequestro Moro si colloca fra il 16 marzo e il 9 maggio 1978 — dunque a cinque mesi dalla conclusione del caso Schleyer.</w:t>
      </w:r>
    </w:p>
    <w:p>
      <w:pPr>
        <w:spacing w:after="120" w:line="276"/>
        <w:jc w:val="both"/>
      </w:pPr>
      <w:r>
        <w:rPr>
          <w:rFonts w:ascii="Barlow Semi Condensed" w:cs="Barlow Semi Condensed" w:eastAsia="Barlow Semi Condensed" w:hAnsi="Barlow Semi Condensed"/>
          <w:b/>
          <w:bCs/>
          <w:sz w:val="24"/>
          <w:szCs w:val="24"/>
        </w:rPr>
        <w:t xml:space="preserve">Il rilievo cronologico va enunciato senza inferirne alcun nesso. La linea della fermezza tedesca era stata applicata e aveva prodotto la morte dell'ostaggio cinque mesi prima che il sequestro italiano cominciasse. Che questo abbia influito sulla decisione italiana è ipotesi storiografica corrente e non accertamento; le fonti reperite non la documentano come nesso.</w:t>
      </w:r>
    </w:p>
    <w:p>
      <w:pPr>
        <w:spacing w:after="120" w:line="276"/>
        <w:jc w:val="both"/>
      </w:pPr>
      <w:r>
        <w:rPr>
          <w:rFonts w:ascii="Barlow Semi Condensed" w:cs="Barlow Semi Condensed" w:eastAsia="Barlow Semi Condensed" w:hAnsi="Barlow Semi Condensed"/>
          <w:b/>
          <w:bCs/>
          <w:sz w:val="24"/>
          <w:szCs w:val="24"/>
        </w:rPr>
        <w:t xml:space="preserve">Che cosa resta aperto. La cooperazione italo-tedesca in materia di terrorismo durante il sequestro Moro, con il ruolo del Bundeskriminalamt e le offerte di collaborazione tedesca, non è accertata dalle fonti edite reperite. Le sedi sono gli atti della Commissione parlamentare d'inchiesta e gli archivi del Bundeskriminalamt.</w:t>
      </w:r>
    </w:p>
    <w:p>
      <w:pPr>
        <w:spacing w:after="120" w:line="276"/>
        <w:jc w:val="both"/>
      </w:pPr>
      <w:r>
        <w:rPr>
          <w:rFonts w:ascii="Barlow Semi Condensed" w:cs="Barlow Semi Condensed" w:eastAsia="Barlow Semi Condensed" w:hAnsi="Barlow Semi Condensed"/>
          <w:b/>
          <w:bCs/>
          <w:sz w:val="24"/>
          <w:szCs w:val="24"/>
        </w:rPr>
        <w:t xml:space="preserve">Il capitolo è più breve degli altri e ne dichiara la ragione: su questa materia il materiale edito è insufficiente, e supplirvi con l'inferenza sarebbe esattamente l'errore che la disciplina del progetto vieta.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nove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Il testo integrale della comunicazione vaticana del 28 giugno 1972, quella che secondo Hummel si riferì espressamente al trattato tedesco-polacco. È il documento che regge l'intero accertamento di questo studio, e finora se ne conosce il contenuto per via di citazione storiografica. Sedi: Acta Apostolicae Sedis, volume sessantaquattresimo del 1972, e i volumi di Hansjakob Stehle, \Die Ostpolitik des Vatikans\, Monaco 1975, di Andrea Riccardi, e la raccolta curata da Alberto Melloni, \Il filo sottile\, il Mulino 2006. Per il versante polacco: la raccolta curata da Wojciech Kucharski, \Droga do stabilizacji polskiej administracji kościelnej na Ziemiach Zachodnich i Północnych po II wojnie światowej\, Breslavia 2013. Condizione di chiusura: la lettura del testo integrale della comunicazione.</w:t>
      </w:r>
    </w:p>
    <w:p>
      <w:pPr>
        <w:spacing w:after="120" w:line="276"/>
        <w:jc w:val="both"/>
      </w:pPr>
      <w:r>
        <w:rPr>
          <w:rFonts w:ascii="Barlow Semi Condensed" w:cs="Barlow Semi Condensed" w:eastAsia="Barlow Semi Condensed" w:hAnsi="Barlow Semi Condensed"/>
          <w:b/>
          <w:bCs/>
          <w:sz w:val="24"/>
          <w:szCs w:val="24"/>
        </w:rPr>
        <w:t xml:space="preserve">Seconda voce. La posizione italiana sui cinque atti della Ostpolitik e gli incontri di Moro con Scheel e con Brandt, con data e sede. Sedi: Archivio Storico Diplomatico, serie Germania; Akten zur Auswärtigen Politik der Bundesrepublik Deutschland; Documenti Diplomatici Italiani. Condizione: spoglio, tenuto conto dell'esclusione dei Telegrammi 1942-1970.</w:t>
      </w:r>
    </w:p>
    <w:p>
      <w:pPr>
        <w:spacing w:after="120" w:line="276"/>
        <w:jc w:val="both"/>
      </w:pPr>
      <w:r>
        <w:rPr>
          <w:rFonts w:ascii="Barlow Semi Condensed" w:cs="Barlow Semi Condensed" w:eastAsia="Barlow Semi Condensed" w:hAnsi="Barlow Semi Condensed"/>
          <w:b/>
          <w:bCs/>
          <w:sz w:val="24"/>
          <w:szCs w:val="24"/>
        </w:rPr>
        <w:t xml:space="preserve">Terza voce. La tesi di dottorato di Filippo Triola sulle relazioni italo-tedesche 1963-1972, discussa all'Università di Bologna, che copre esattamente il quadriennio che il volume di Fasanaro lascia in ombra.</w:t>
      </w:r>
    </w:p>
    <w:p>
      <w:pPr>
        <w:spacing w:after="120" w:line="276"/>
        <w:jc w:val="both"/>
      </w:pPr>
      <w:r>
        <w:rPr>
          <w:rFonts w:ascii="Barlow Semi Condensed" w:cs="Barlow Semi Condensed" w:eastAsia="Barlow Semi Condensed" w:hAnsi="Barlow Semi Condensed"/>
          <w:b/>
          <w:bCs/>
          <w:sz w:val="24"/>
          <w:szCs w:val="24"/>
        </w:rPr>
        <w:t xml:space="preserve">Quarta voce. L'eventuale posizione italiana sulla riorganizzazione diocesana del 1972. Sedi: Documenti Diplomatici Italiani; Archivio Storico Diplomatico, serie Santa Sede; carte dell'Ambasciata d'Italia presso la Santa Sede. Si segnala che l'esito atteso è negativo e coerente: la materia fu trilaterale — Santa Sede, Polonia, Repubblica Federale — e priva di interesse giuridico italiano.</w:t>
      </w:r>
    </w:p>
    <w:p>
      <w:pPr>
        <w:spacing w:after="120" w:line="276"/>
        <w:jc w:val="both"/>
      </w:pPr>
      <w:r>
        <w:rPr>
          <w:rFonts w:ascii="Barlow Semi Condensed" w:cs="Barlow Semi Condensed" w:eastAsia="Barlow Semi Condensed" w:hAnsi="Barlow Semi Condensed"/>
          <w:b/>
          <w:bCs/>
          <w:sz w:val="24"/>
          <w:szCs w:val="24"/>
        </w:rPr>
        <w:t xml:space="preserve">Quinta voce. La posizione italiana sulla dottrina Hallstein e sul suo superamento. Sede: archivi diplomatici.</w:t>
      </w:r>
    </w:p>
    <w:p>
      <w:pPr>
        <w:spacing w:after="120" w:line="276"/>
        <w:jc w:val="both"/>
      </w:pPr>
      <w:r>
        <w:rPr>
          <w:rFonts w:ascii="Barlow Semi Condensed" w:cs="Barlow Semi Condensed" w:eastAsia="Barlow Semi Condensed" w:hAnsi="Barlow Semi Condensed"/>
          <w:b/>
          <w:bCs/>
          <w:sz w:val="24"/>
          <w:szCs w:val="24"/>
        </w:rPr>
        <w:t xml:space="preserve">Sesta voce. La cooperazione italo-tedesca sul terrorismo durante il sequestro Moro. Sedi: atti della Commissione parlamentare d'inchiesta; archivi del Bundeskriminalamt.</w:t>
      </w:r>
    </w:p>
    <w:p>
      <w:pPr>
        <w:spacing w:after="120" w:line="276"/>
        <w:jc w:val="both"/>
      </w:pPr>
      <w:r>
        <w:rPr>
          <w:rFonts w:ascii="Barlow Semi Condensed" w:cs="Barlow Semi Condensed" w:eastAsia="Barlow Semi Condensed" w:hAnsi="Barlow Semi Condensed"/>
          <w:b/>
          <w:bCs/>
          <w:sz w:val="24"/>
          <w:szCs w:val="24"/>
        </w:rPr>
        <w:t xml:space="preserve">Settima voce. Le carte del cardinale Döpfner, per accertare quando egli apprese dell'atto del 1972 e come reagì. Sedi: archivio della Conferenza episcopale tedesca; archivio dell'arcidiocesi di Monaco.</w:t>
      </w:r>
    </w:p>
    <w:p>
      <w:pPr>
        <w:pStyle w:val="Heading2"/>
        <w:spacing w:after="100" w:before="200"/>
      </w:pPr>
      <w:r>
        <w:rPr>
          <w:rFonts w:ascii="Barlow Semi Condensed" w:cs="Barlow Semi Condensed" w:eastAsia="Barlow Semi Condensed" w:hAnsi="Barlow Semi Condensed"/>
          <w:sz w:val="24"/>
          <w:szCs w:val="24"/>
        </w:rPr>
        <w:t xml:space="preserve">Nota sul bilancio delle nove ricognizioni, che chiude questo studio.</w:t>
      </w:r>
    </w:p>
    <w:p>
      <w:pPr>
        <w:spacing w:after="120" w:line="276"/>
        <w:jc w:val="both"/>
      </w:pPr>
      <w:r>
        <w:rPr>
          <w:rFonts w:ascii="Barlow Semi Condensed" w:cs="Barlow Semi Condensed" w:eastAsia="Barlow Semi Condensed" w:hAnsi="Barlow Semi Condensed"/>
          <w:b/>
          <w:bCs/>
          <w:sz w:val="24"/>
          <w:szCs w:val="24"/>
        </w:rPr>
        <w:t xml:space="preserve">Nove ricognizioni hanno percorso l'attività ministeriale di Moro verso Spagna, Portogallo, Grecia, Cipro, Turchia e Germania, incrociandola con la Santa Sede e con l'Opus Dei.</w:t>
      </w:r>
    </w:p>
    <w:p>
      <w:pPr>
        <w:spacing w:after="120" w:line="276"/>
        <w:jc w:val="both"/>
      </w:pPr>
      <w:r>
        <w:rPr>
          <w:rFonts w:ascii="Barlow Semi Condensed" w:cs="Barlow Semi Condensed" w:eastAsia="Barlow Semi Condensed" w:hAnsi="Barlow Semi Condensed"/>
          <w:b/>
          <w:bCs/>
          <w:sz w:val="24"/>
          <w:szCs w:val="24"/>
        </w:rPr>
        <w:t xml:space="preserve">Le prime otto avevano prodotto una conclusione costante: il governo italiano non compare come attore documentato. Questa nona la conferma quanto all'Italia — la posizione italiana sui cinque atti della Ostpolitik resta da reperire, e il riconoscimento della Repubblica Democratica cadde fra i due mandati di Moro — ma produce, sull'altro asse, un risultato che nessuna delle precedenti aveva prodotto.</w:t>
      </w:r>
    </w:p>
    <w:p>
      <w:pPr>
        <w:spacing w:after="120" w:line="276"/>
        <w:jc w:val="both"/>
      </w:pPr>
      <w:r>
        <w:rPr>
          <w:rFonts w:ascii="Barlow Semi Condensed" w:cs="Barlow Semi Condensed" w:eastAsia="Barlow Semi Condensed" w:hAnsi="Barlow Semi Condensed"/>
          <w:b/>
          <w:bCs/>
          <w:sz w:val="24"/>
          <w:szCs w:val="24"/>
        </w:rPr>
        <w:t xml:space="preserve">Per la prima volta in nove studi è documentato un nesso e non una coincidenza. La Santa Sede attese la ratifica del Trattato di Varsavia prima di erigere le diocesi, e lo attese dichiaratamente: la consuenza era stata comunicata a Bonn, la comunicazione di accompagnamento si riferì espressamente al trattato, e la reazione romana giunse entro tre settimane.</w:t>
      </w:r>
    </w:p>
    <w:p>
      <w:pPr>
        <w:spacing w:after="120" w:line="276"/>
        <w:jc w:val="both"/>
      </w:pPr>
      <w:r>
        <w:rPr>
          <w:rFonts w:ascii="Barlow Semi Condensed" w:cs="Barlow Semi Condensed" w:eastAsia="Barlow Semi Condensed" w:hAnsi="Barlow Semi Condensed"/>
          <w:b/>
          <w:bCs/>
          <w:sz w:val="24"/>
          <w:szCs w:val="24"/>
        </w:rPr>
        <w:t xml:space="preserve">E il modo in cui lo fece è la cosa più istruttiva. Nel testo canonico non compare la parola trattato. Compare soltanto il popolo cristiano da reggere e la richiesta dei vescovi polacchi. La Santa Sede fece ciò che il trattato rendeva possibile, lo disse alla stampa, e non lo scrisse nell'atto — così da non costituire essa stessa un riconoscimento politico di confine.</w:t>
      </w:r>
    </w:p>
    <w:p>
      <w:pPr>
        <w:spacing w:after="120" w:line="276"/>
        <w:jc w:val="both"/>
      </w:pPr>
      <w:r>
        <w:rPr>
          <w:rFonts w:ascii="Barlow Semi Condensed" w:cs="Barlow Semi Condensed" w:eastAsia="Barlow Semi Condensed" w:hAnsi="Barlow Semi Condensed"/>
          <w:b/>
          <w:bCs/>
          <w:sz w:val="24"/>
          <w:szCs w:val="24"/>
        </w:rPr>
        <w:t xml:space="preserve">Ne discende la lezione che questo nono studio aggiunge alle precedenti, e che è di ordine diverso.</w:t>
      </w:r>
    </w:p>
    <w:p>
      <w:pPr>
        <w:spacing w:after="120" w:line="276"/>
        <w:jc w:val="both"/>
      </w:pPr>
      <w:r>
        <w:rPr>
          <w:rFonts w:ascii="Barlow Semi Condensed" w:cs="Barlow Semi Condensed" w:eastAsia="Barlow Semi Condensed" w:hAnsi="Barlow Semi Condensed"/>
          <w:b/>
          <w:bCs/>
          <w:sz w:val="24"/>
          <w:szCs w:val="24"/>
        </w:rPr>
        <w:t xml:space="preserve">Le prime otto avevano insegnato che l'assenza di traccia non è l'assenza dell'atto, e che vi sono assenze che non sono lacune.</w:t>
      </w:r>
    </w:p>
    <w:p>
      <w:pPr>
        <w:spacing w:after="120" w:line="276"/>
        <w:jc w:val="both"/>
      </w:pPr>
      <w:r>
        <w:rPr>
          <w:rFonts w:ascii="Barlow Semi Condensed" w:cs="Barlow Semi Condensed" w:eastAsia="Barlow Semi Condensed" w:hAnsi="Barlow Semi Condensed"/>
          <w:b/>
          <w:bCs/>
          <w:sz w:val="24"/>
          <w:szCs w:val="24"/>
        </w:rPr>
        <w:t xml:space="preserve">Questa insegna che vi sono nessi che i documenti principali tacciono deliberatamente, e che stanno scritti soltanto negli atti accessori. Chi avesse letto la sola costituzione apostolica avrebbe concluso che l'erezione delle quattro diocesi fu un atto pastorale. Chi legge la comunicazione che l'accompagnava trova il trattato.</w:t>
      </w:r>
    </w:p>
    <w:p>
      <w:pPr>
        <w:spacing w:after="120" w:line="276"/>
        <w:jc w:val="both"/>
      </w:pPr>
      <w:r>
        <w:rPr>
          <w:rFonts w:ascii="Barlow Semi Condensed" w:cs="Barlow Semi Condensed" w:eastAsia="Barlow Semi Condensed" w:hAnsi="Barlow Semi Condensed"/>
          <w:b/>
          <w:bCs/>
          <w:sz w:val="24"/>
          <w:szCs w:val="24"/>
        </w:rPr>
        <w:t xml:space="preserve">Cercare il nesso nel documento principale, e non trovandovelo concludere che non esiste, è un errore simmetrico a quello di inferirlo dalla contemporaneità. Le nove ricognizioni consegnano insieme questa doppia disciplina, e la seconda metà è la più difficile.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 · Moro, Le Due Germanie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6.253 parole in 9 sezioni; la più ampia è §9 Altre sezioni, con 5.313.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 — Moro, La Germania E L'Opus Dei</w:t>
      </w:r>
    </w:p>
    <w:p>
      <w:pPr>
        <w:pStyle w:val="Heading1"/>
        <w:spacing w:after="120" w:before="240"/>
      </w:pPr>
      <w:r>
        <w:rPr>
          <w:rFonts w:ascii="Barlow Semi Condensed" w:cs="Barlow Semi Condensed" w:eastAsia="Barlow Semi Condensed" w:hAnsi="Barlow Semi Condensed"/>
          <w:sz w:val="24"/>
          <w:szCs w:val="24"/>
        </w:rPr>
        <w:t xml:space="preserve">MORO, LA GERMANIA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../originali/germania-opus-dei-1952-1985.md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14,7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Decima ricognizione: atto di revisione del modello</w:t>
      </w:r>
    </w:p>
    <w:p>
      <w:pPr>
        <w:pStyle w:val="Heading2"/>
        <w:spacing w:after="100" w:before="200"/>
      </w:pPr>
      <w:r>
        <w:rPr>
          <w:rFonts w:ascii="Barlow Semi Condensed" w:cs="Barlow Semi Condensed" w:eastAsia="Barlow Semi Condensed" w:hAnsi="Barlow Semi Condensed"/>
          <w:sz w:val="24"/>
          <w:szCs w:val="24"/>
        </w:rPr>
        <w:t xml:space="preserve">La prima condizione e falsificata. Britannia 1946, Germania 1952, Svezia 1984</w:t>
      </w:r>
    </w:p>
    <w:p>
      <w:pPr>
        <w:pStyle w:val="Heading2"/>
        <w:spacing w:after="100" w:before="200"/>
      </w:pPr>
      <w:r>
        <w:rPr>
          <w:rFonts w:ascii="Barlow Semi Condensed" w:cs="Barlow Semi Condensed" w:eastAsia="Barlow Semi Condensed" w:hAnsi="Barlow Semi Condensed"/>
          <w:sz w:val="24"/>
          <w:szCs w:val="24"/>
        </w:rPr>
        <w:t xml:space="preserve">Dodici Capitoli — una proposizione emendata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Atto di revisione di una proposizione del Registro</w:t>
      </w:r>
    </w:p>
    <w:p>
      <w:pPr>
        <w:spacing w:after="120" w:line="276"/>
        <w:jc w:val="both"/>
      </w:pPr>
      <w:r>
        <w:rPr>
          <w:rFonts w:ascii="Barlow Semi Condensed" w:cs="Barlow Semi Condensed" w:eastAsia="Barlow Semi Condensed" w:hAnsi="Barlow Semi Condensed"/>
          <w:b/>
          <w:bCs/>
          <w:sz w:val="24"/>
          <w:szCs w:val="24"/>
        </w:rPr>
        <w:t xml:space="preserve">Questo documento non aggiunge un perimetro: ne corregge uno già scritto. Nell'ottava ricognizione, consolidando i casi di Grecia, Cipro e Turchia, avevo enunciato una proposizione e l'avevo dichiarata confutabile. La ricerca sul caso tedesco l'ha confutata per metà. Poiché quel risultato è rimasto finora allo stato di rapporto e non è entrato nel corpus, il Registro contiene tuttora una proposizione che una ricerca successiva ha superato. Questo documento la revisiona.</w:t>
      </w:r>
    </w:p>
    <w:p>
      <w:pPr>
        <w:spacing w:after="120" w:line="276"/>
        <w:jc w:val="both"/>
      </w:pPr>
      <w:r>
        <w:rPr>
          <w:rFonts w:ascii="Barlow Semi Condensed" w:cs="Barlow Semi Condensed" w:eastAsia="Barlow Semi Condensed" w:hAnsi="Barlow Semi Condensed"/>
          <w:b/>
          <w:bCs/>
          <w:sz w:val="24"/>
          <w:szCs w:val="24"/>
        </w:rPr>
        <w:t xml:space="preserve">La proposizione originaria, per come fu enunciata. L'insediamento dell'Opus Dei in un Paese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b/>
          <w:bCs/>
          <w:sz w:val="24"/>
          <w:szCs w:val="24"/>
        </w:rPr>
        <w:t xml:space="preserve">La condizione di falsificazione, per come fu dichiarata. La proposizione sarebbe stata falsificata dal reperimento di un insediamento stabile in un Paese a maggioranza non cattolica e privo di ceto cattolico autoctono. Furono elencati come casi non esaminati e potenzialmente confutanti: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Che cosa il caso tedesco stabilisce. La Repubblica Federale non era a maggioranza cattolica nel 1952 e non lo divenne mai nel periodo considerato, e l'Opus Dei vi si insediò stabilmente. La prima condizione è dunque falsificata: essa non è necessaria.</w:t>
      </w:r>
    </w:p>
    <w:p>
      <w:pPr>
        <w:spacing w:after="120" w:line="276"/>
        <w:jc w:val="both"/>
      </w:pPr>
      <w:r>
        <w:rPr>
          <w:rFonts w:ascii="Barlow Semi Condensed" w:cs="Barlow Semi Condensed" w:eastAsia="Barlow Semi Condensed" w:hAnsi="Barlow Semi Condensed"/>
          <w:b/>
          <w:bCs/>
          <w:sz w:val="24"/>
          <w:szCs w:val="24"/>
        </w:rPr>
        <w:t xml:space="preserve">Che cosa il caso tedesco non stabilisce, e va enunciato con eguale precisione perché la correttezza logica lo impone. La Germania soddisfa il primo requisito della condizione di falsificazione — maggioranza non cattolica — ma non il secondo, poiché essa è al contrario Paese dotatissimo di ceto cattolico autoctono. Il caso tedesco falsifica la sola prima condizione; non costituisce la confutazione integrale della proposizione congiunta, che richiederebbe un insediamento in un Paese difettoso di entrambe.</w:t>
      </w:r>
    </w:p>
    <w:p>
      <w:pPr>
        <w:spacing w:after="120" w:line="276"/>
        <w:jc w:val="both"/>
      </w:pPr>
      <w:r>
        <w:rPr>
          <w:rFonts w:ascii="Barlow Semi Condensed" w:cs="Barlow Semi Condensed" w:eastAsia="Barlow Semi Condensed" w:hAnsi="Barlow Semi Condensed"/>
          <w:b/>
          <w:bCs/>
          <w:sz w:val="24"/>
          <w:szCs w:val="24"/>
        </w:rPr>
        <w:t xml:space="preserve">La revisione che ne discende, enunciata qui e argomentata nei capitoli seguenti. La variabile discriminante non è la maggioranza cattolica nazionale, ma la disponibilità di un ceto universitario e professionale cattolico autoctono. La prima condizione va espunta; la seconda resta, e diventa la sola.</w:t>
      </w:r>
    </w:p>
    <w:p>
      <w:pPr>
        <w:spacing w:after="120" w:line="276"/>
        <w:jc w:val="both"/>
      </w:pPr>
      <w:r>
        <w:rPr>
          <w:rFonts w:ascii="Barlow Semi Condensed" w:cs="Barlow Semi Condensed" w:eastAsia="Barlow Semi Condensed" w:hAnsi="Barlow Semi Condensed"/>
          <w:b/>
          <w:bCs/>
          <w:sz w:val="24"/>
          <w:szCs w:val="24"/>
        </w:rPr>
        <w:t xml:space="preserve">E una conseguenza retroattiva va tratta, perché è il guadagno maggiore della revisione. Il modello rivisto spiega i tre casi orientali meglio di quello originario. Grecia, Cipro e Turchia non difettano della maggioranza cattolica — che non era la variabile operante — ma del ceto cattolico professionale autoctono. E ciò rende il caso cipriota, che nell'ottava ricognizione era il più probante ma anche il più anomalo, coerente anziché eccezionale: Cipro aveva comunità cattoliche riconosciute, ma erano contadini maroniti di quattro villaggi e un vicariato latino di quattro parrocchie, non un ceto universitario e professionale.</w:t>
      </w:r>
    </w:p>
    <w:p>
      <w:pPr>
        <w:spacing w:after="120" w:line="276"/>
        <w:jc w:val="both"/>
      </w:pPr>
      <w:r>
        <w:rPr>
          <w:rFonts w:ascii="Barlow Semi Condensed" w:cs="Barlow Semi Condensed" w:eastAsia="Barlow Semi Condensed" w:hAnsi="Barlow Semi Condensed"/>
          <w:b/>
          <w:bCs/>
          <w:sz w:val="24"/>
          <w:szCs w:val="24"/>
        </w:rPr>
        <w:t xml:space="preserve">Sulla natura di questo atto. Il progetto ha già eseguito un Atto di Declassamento, riducendo la distribuzione di Livello A dal sessantuno al quarantanove virgola due per cento del corpus Moro applicando il criterio di indipendenza genealogica. Questo è il secondo atto di quel genere, e riguarda non un grado probatorio ma una proposizione analitica.</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tedesco: date, luoghi, nomi</w:t>
      </w:r>
    </w:p>
    <w:p>
      <w:pPr>
        <w:spacing w:after="120" w:line="276"/>
        <w:jc w:val="both"/>
      </w:pPr>
      <w:r>
        <w:rPr>
          <w:rFonts w:ascii="Barlow Semi Condensed" w:cs="Barlow Semi Condensed" w:eastAsia="Barlow Semi Condensed" w:hAnsi="Barlow Semi Condensed"/>
          <w:b/>
          <w:bCs/>
          <w:sz w:val="24"/>
          <w:szCs w:val="24"/>
        </w:rPr>
        <w:t xml:space="preserve">Il capitolo espone i fatti su cui poggia la falsificazione, e li espone per intero perché la verifica sia riproducibile.</w:t>
      </w:r>
    </w:p>
    <w:p>
      <w:pPr>
        <w:spacing w:after="120" w:line="276"/>
        <w:jc w:val="both"/>
      </w:pPr>
      <w:r>
        <w:rPr>
          <w:rFonts w:ascii="Barlow Semi Condensed" w:cs="Barlow Semi Condensed" w:eastAsia="Barlow Semi Condensed" w:hAnsi="Barlow Semi Condensed"/>
          <w:b/>
          <w:bCs/>
          <w:sz w:val="24"/>
          <w:szCs w:val="24"/>
        </w:rPr>
        <w:t xml:space="preserve">La fonte. Un documento della Prelatura intitolato \Kurzdarstellung der Anfänge des Opus Dei in Deutschland\, datato 21 marzo 2006 e pubblicato sul sito dell'ente. Come nelle ricognizioni anteriori, la fonte ufficiale è impiegata per i dati di fatto sui propri insediamenti — dove essa è la migliore possibile — e non per le valutazioni di responsabilità; ed è verificata contro fonti indipendenti, che convergono su date e luoghi.</w:t>
      </w:r>
    </w:p>
    <w:p>
      <w:pPr>
        <w:spacing w:after="120" w:line="276"/>
        <w:jc w:val="both"/>
      </w:pPr>
      <w:r>
        <w:rPr>
          <w:rFonts w:ascii="Barlow Semi Condensed" w:cs="Barlow Semi Condensed" w:eastAsia="Barlow Semi Condensed" w:hAnsi="Barlow Semi Condensed"/>
          <w:b/>
          <w:bCs/>
          <w:sz w:val="24"/>
          <w:szCs w:val="24"/>
        </w:rPr>
        <w:t xml:space="preserve">I primi tre membri, nominati. Giunsero in Germania nel 1952: Alfons Par, in spagnolo Alfonso, 1922-2002, ingegnere diplomato e sacerdote dal 1951; Fernando Echeverría, 1924-2015, commercialista; Fernando Inciarte, 1929-2000, filosofo, che sarebbe divenuto ordinario a Münster.</w:t>
      </w:r>
    </w:p>
    <w:p>
      <w:pPr>
        <w:spacing w:after="120" w:line="276"/>
        <w:jc w:val="both"/>
      </w:pPr>
      <w:r>
        <w:rPr>
          <w:rFonts w:ascii="Barlow Semi Condensed" w:cs="Barlow Semi Condensed" w:eastAsia="Barlow Semi Condensed" w:hAnsi="Barlow Semi Condensed"/>
          <w:b/>
          <w:bCs/>
          <w:sz w:val="24"/>
          <w:szCs w:val="24"/>
        </w:rPr>
        <w:t xml:space="preserve">Il profilo va notato subito perché è la chiave del capitolo: un ingegnere-sacerdote, un commercialista e un filosofo destinato alla cattedra. Non missionari generici: quadri professionali e accademici.</w:t>
      </w:r>
    </w:p>
    <w:p>
      <w:pPr>
        <w:spacing w:after="120" w:line="276"/>
        <w:jc w:val="both"/>
      </w:pPr>
      <w:r>
        <w:rPr>
          <w:rFonts w:ascii="Barlow Semi Condensed" w:cs="Barlow Semi Condensed" w:eastAsia="Barlow Semi Condensed" w:hAnsi="Barlow Semi Condensed"/>
          <w:b/>
          <w:bCs/>
          <w:sz w:val="24"/>
          <w:szCs w:val="24"/>
        </w:rPr>
        <w:t xml:space="preserve">La prima residenza.\\ Aperta nel \\1953\\ all'\\Adenauerallee di Bonn\\, divenne poi lo \\Studentenheim Althaus\\, che la fonte ufficiale qualifica come \\l'unico centro tedesco ancora oggi esistente a essere stato visitato dal fondatore.</w:t>
      </w:r>
    </w:p>
    <w:p>
      <w:pPr>
        <w:spacing w:after="120" w:line="276"/>
        <w:jc w:val="both"/>
      </w:pPr>
      <w:r>
        <w:rPr>
          <w:rFonts w:ascii="Barlow Semi Condensed" w:cs="Barlow Semi Condensed" w:eastAsia="Barlow Semi Condensed" w:hAnsi="Barlow Semi Condensed"/>
          <w:b/>
          <w:bCs/>
          <w:sz w:val="24"/>
          <w:szCs w:val="24"/>
        </w:rPr>
        <w:t xml:space="preserve">Una divergenza va riportata. La fonte ufficiale tedesca colloca l'apertura della residenza nel 1953; altre fonti dell'ente in altre lingue, e larga parte della pubblicistica anche critica, indicano il 1952. La discrepanza si spiega verosimilmente con la distinzione fra l'arrivo dei primi membri e l'apertura formale della residenza, ma resta divergenza documentale da segnalare.</w:t>
      </w:r>
    </w:p>
    <w:p>
      <w:pPr>
        <w:spacing w:after="120" w:line="276"/>
        <w:jc w:val="both"/>
      </w:pPr>
      <w:r>
        <w:rPr>
          <w:rFonts w:ascii="Barlow Semi Condensed" w:cs="Barlow Semi Condensed" w:eastAsia="Barlow Semi Condensed" w:hAnsi="Barlow Semi Condensed"/>
          <w:b/>
          <w:bCs/>
          <w:sz w:val="24"/>
          <w:szCs w:val="24"/>
        </w:rPr>
        <w:t xml:space="preserve">Il lavoro femminile. Iniziò nel 1956 con l'apertura dello Studentinnenheim Eigelstein, nella Hülchrather Straße a Colonia.</w:t>
      </w:r>
    </w:p>
    <w:p>
      <w:pPr>
        <w:spacing w:after="120" w:line="276"/>
        <w:jc w:val="both"/>
      </w:pPr>
      <w:r>
        <w:rPr>
          <w:rFonts w:ascii="Barlow Semi Condensed" w:cs="Barlow Semi Condensed" w:eastAsia="Barlow Semi Condensed" w:hAnsi="Barlow Semi Condensed"/>
          <w:b/>
          <w:bCs/>
          <w:sz w:val="24"/>
          <w:szCs w:val="24"/>
        </w:rPr>
        <w:t xml:space="preserve">E qui due nomi che valgono come prova del modello rivisto. Le due tedesche che accolsero le prime tre spagnole alla stazione centrale di Colonia il 12 ottobre 1956 furono Käthe Retz, 1928-2018, assistente all'Università di Bonn dove aveva studiato psicologia, e Marlies Kücking, nata nel 1936, all'epoca matricola universitaria.</w:t>
      </w:r>
    </w:p>
    <w:p>
      <w:pPr>
        <w:spacing w:after="120" w:line="276"/>
        <w:jc w:val="both"/>
      </w:pPr>
      <w:r>
        <w:rPr>
          <w:rFonts w:ascii="Barlow Semi Condensed" w:cs="Barlow Semi Condensed" w:eastAsia="Barlow Semi Condensed" w:hAnsi="Barlow Semi Condensed"/>
          <w:b/>
          <w:bCs/>
          <w:sz w:val="24"/>
          <w:szCs w:val="24"/>
        </w:rPr>
        <w:t xml:space="preserve">Espressione diretta e nominata del ceto accademico cattolico su cui l'apostolato poteva radicarsi.</w:t>
      </w:r>
    </w:p>
    <w:p>
      <w:pPr>
        <w:spacing w:after="120" w:line="276"/>
        <w:jc w:val="both"/>
      </w:pPr>
      <w:r>
        <w:rPr>
          <w:rFonts w:ascii="Barlow Semi Condensed" w:cs="Barlow Semi Condensed" w:eastAsia="Barlow Semi Condensed" w:hAnsi="Barlow Semi Condensed"/>
          <w:b/>
          <w:bCs/>
          <w:sz w:val="24"/>
          <w:szCs w:val="24"/>
        </w:rPr>
        <w:t xml:space="preserve">L'espansione, per date, ed è il dato geografico decisivo. Per gli uomini: Essen 1969, Aquisgrana 1971, Treviri e Berlino 1972, Münster 1976, Monaco 1977. Per le donne: Essen 1971, Aquisgrana 1976, Jülich 1978 — dove alcune insegnavano in un liceo femminile — Münster 1979, Monaco 1980, Treviri 1987, Berlino 1992.</w:t>
      </w:r>
    </w:p>
    <w:p>
      <w:pPr>
        <w:spacing w:after="120" w:line="276"/>
        <w:jc w:val="both"/>
      </w:pPr>
      <w:r>
        <w:rPr>
          <w:rFonts w:ascii="Barlow Semi Condensed" w:cs="Barlow Semi Condensed" w:eastAsia="Barlow Semi Condensed" w:hAnsi="Barlow Semi Condensed"/>
          <w:b/>
          <w:bCs/>
          <w:sz w:val="24"/>
          <w:szCs w:val="24"/>
        </w:rPr>
        <w:t xml:space="preserve">La Baviera fu raggiunta tardi, e questo va enunciato perché contraddice l'aspettativa. Monaco nel 1977 per gli uomini e nel 1980 per le donne: un quarto di secolo dopo l'insediamento renano. Il cuore cattolico del sud tedesco non fu il punto d'ingresso.</w:t>
      </w:r>
    </w:p>
    <w:p>
      <w:pPr>
        <w:spacing w:after="120" w:line="276"/>
        <w:jc w:val="both"/>
      </w:pPr>
      <w:r>
        <w:rPr>
          <w:rFonts w:ascii="Barlow Semi Condensed" w:cs="Barlow Semi Condensed" w:eastAsia="Barlow Semi Condensed" w:hAnsi="Barlow Semi Condensed"/>
          <w:b/>
          <w:bCs/>
          <w:sz w:val="24"/>
          <w:szCs w:val="24"/>
        </w:rPr>
        <w:t xml:space="preserve">Un elemento di rango va registrato.\\ Dal \\1962\\ operò a Colonia, con interruzioni, \\José María Hernández de Garnica\\, 1913-1972, \\uno dei tre primissimi sacerdoti dell'Opus Dei in assoluto.</w:t>
      </w:r>
    </w:p>
    <w:p>
      <w:pPr>
        <w:spacing w:after="120" w:line="276"/>
        <w:jc w:val="both"/>
      </w:pPr>
      <w:r>
        <w:rPr>
          <w:rFonts w:ascii="Barlow Semi Condensed" w:cs="Barlow Semi Condensed" w:eastAsia="Barlow Semi Condensed" w:hAnsi="Barlow Semi Condensed"/>
          <w:b/>
          <w:bCs/>
          <w:sz w:val="24"/>
          <w:szCs w:val="24"/>
        </w:rPr>
        <w:t xml:space="preserve">Le strutture collegate, documentate dalla fonte ufficiale: la Studentische Kulturgemeinschaft, fondata nel 1953 come organizzazione-quadro dello Studentenheim di Bonn e di successivi centri — \Hoher Weg\ ad Augsburg, \Fausenburg\ a Treviri, \Am Städel\ a Francoforte, \Weidenau\ a Monaco — e le case di formazione Aufderhöhe a Solingen, Zieglerhof a Ettal in Baviera e Haus Hardtberg nell'Eifel.</w:t>
      </w:r>
    </w:p>
    <w:p>
      <w:pPr>
        <w:spacing w:after="120" w:line="276"/>
        <w:jc w:val="both"/>
      </w:pPr>
      <w:r>
        <w:rPr>
          <w:rFonts w:ascii="Barlow Semi Condensed" w:cs="Barlow Semi Condensed" w:eastAsia="Barlow Semi Condensed" w:hAnsi="Barlow Semi Condensed"/>
          <w:b/>
          <w:bCs/>
          <w:sz w:val="24"/>
          <w:szCs w:val="24"/>
        </w:rPr>
        <w:t xml:space="preserve">La consistenza attuale, dalla fonte ufficiale: poco meno di seicento membri, oltre mille includendo i cooperatori attivi. Per il periodo 1952-1985 la consistenza puntuale non è documentata dalle fonti aperte e costituisce Stato Zero, con sede nell'archivio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terzo — Frings: l'insediamento fu sollecitato dall'ordinario</w:t>
      </w:r>
    </w:p>
    <w:p>
      <w:pPr>
        <w:spacing w:after="120" w:line="276"/>
        <w:jc w:val="both"/>
      </w:pPr>
      <w:r>
        <w:rPr>
          <w:rFonts w:ascii="Barlow Semi Condensed" w:cs="Barlow Semi Condensed" w:eastAsia="Barlow Semi Condensed" w:hAnsi="Barlow Semi Condensed"/>
          <w:b/>
          <w:bCs/>
          <w:sz w:val="24"/>
          <w:szCs w:val="24"/>
        </w:rPr>
        <w:t xml:space="preserve">Il capitolo espone il dato che qualifica la natura dell'ingresso, e lo distingue da un'attribuzione non sostenuta.</w:t>
      </w:r>
    </w:p>
    <w:p>
      <w:pPr>
        <w:spacing w:after="120" w:line="276"/>
        <w:jc w:val="both"/>
      </w:pPr>
      <w:r>
        <w:rPr>
          <w:rFonts w:ascii="Barlow Semi Condensed" w:cs="Barlow Semi Condensed" w:eastAsia="Barlow Semi Condensed" w:hAnsi="Barlow Semi Condensed"/>
          <w:b/>
          <w:bCs/>
          <w:sz w:val="24"/>
          <w:szCs w:val="24"/>
        </w:rPr>
        <w:t xml:space="preserve">Il fatto. Secondo una lettera del nunzio apostolico Giovanni Lajolo al vicario regionale Christoph Bockamp, ripresa dall'ente in occasione del cinquantenario, fu per la petizione del cardinale Josef Frings, allora arcivescovo di Colonia, che i primi membri dell'Opus Dei giunsero a Colonia nel 1952.</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Non si tratta di tolleranza né di semplice accoglienza: si tratta di sollecitazione attiva da parte dell'ordinario diocesano. L'ente non entrò in Germania nonostante la gerarchia, né accanto a essa: vi entrò su richiesta.</w:t>
      </w:r>
    </w:p>
    <w:p>
      <w:pPr>
        <w:spacing w:after="120" w:line="276"/>
        <w:jc w:val="both"/>
      </w:pPr>
      <w:r>
        <w:rPr>
          <w:rFonts w:ascii="Barlow Semi Condensed" w:cs="Barlow Semi Condensed" w:eastAsia="Barlow Semi Condensed" w:hAnsi="Barlow Semi Condensed"/>
          <w:b/>
          <w:bCs/>
          <w:sz w:val="24"/>
          <w:szCs w:val="24"/>
        </w:rPr>
        <w:t xml:space="preserve">Il dato è corroborato da fonti ecclesiastiche successive. Il vicario generale di Colonia Dominik Schwaderlapp ha ricordato che già dai tempi del cardinale Frings l'Opus Dei è attivo nell'arcidiocesi di Colonia e appartiene alla molteplice ricchezza della vita ecclesiale. Il cardinale Joachim Meisner, in una predica del 19 gennaio 2002, ringraziò espressamente i predecessori Frings e Höffner per aver fatto sì che l'Opus Dei potesse mettere radici a Colonia, definendo il duomo quasi un luogo commemorativo di Escrivá. La pubblicistica ha inoltre rilevato che Frings, ancora nel 1975, si adoperò presso il papa per una rapida beatificazione e canonizzazione del fondatore.</w:t>
      </w:r>
    </w:p>
    <w:p>
      <w:pPr>
        <w:spacing w:after="120" w:line="276"/>
        <w:jc w:val="both"/>
      </w:pPr>
      <w:r>
        <w:rPr>
          <w:rFonts w:ascii="Barlow Semi Condensed" w:cs="Barlow Semi Condensed" w:eastAsia="Barlow Semi Condensed" w:hAnsi="Barlow Semi Condensed"/>
          <w:b/>
          <w:bCs/>
          <w:sz w:val="24"/>
          <w:szCs w:val="24"/>
        </w:rPr>
        <w:t xml:space="preserve">Il confronto con il caso portoghese va fatto perché è istruttivo per contrasto. In Portogallo il cardinale patriarca Cerejeira fu reticente verso i movimenti di origine straniera, sostenendo che l'Azione Cattolica Portoghese supplisse alle necessità, sicché l'ente dovette entrare dalle diocesi periferiche. In Germania l'ordinario della diocesi più importante lo chiamò.</w:t>
      </w:r>
    </w:p>
    <w:p>
      <w:pPr>
        <w:spacing w:after="120" w:line="276"/>
        <w:jc w:val="both"/>
      </w:pPr>
      <w:r>
        <w:rPr>
          <w:rFonts w:ascii="Barlow Semi Condensed" w:cs="Barlow Semi Condensed" w:eastAsia="Barlow Semi Condensed" w:hAnsi="Barlow Semi Condensed"/>
          <w:b/>
          <w:bCs/>
          <w:sz w:val="24"/>
          <w:szCs w:val="24"/>
        </w:rPr>
        <w:t xml:space="preserve">Ne discende che la variabile dell'accoglienza gerarchica è indipendente da quella confessionale, e che i due casi si dispongono agli estremi opposti: sollecitazione a Colonia, reticenza a Lisbona, e in entrambi i casi l'insediamento avvenne — più rapido dove fu chiamato, più laterale dove fu tollerato.</w:t>
      </w:r>
    </w:p>
    <w:p>
      <w:pPr>
        <w:spacing w:after="120" w:line="276"/>
        <w:jc w:val="both"/>
      </w:pPr>
      <w:r>
        <w:rPr>
          <w:rFonts w:ascii="Barlow Semi Condensed" w:cs="Barlow Semi Condensed" w:eastAsia="Barlow Semi Condensed" w:hAnsi="Barlow Semi Condensed"/>
          <w:b/>
          <w:bCs/>
          <w:sz w:val="24"/>
          <w:szCs w:val="24"/>
        </w:rPr>
        <w:t xml:space="preserve">E adesso l'attribuzione non sostenuta, che va segnalata e qualificata.\\ Un portale tedesco ha talora incluso i cardinali di Colonia \\Frings, Höffner e Meisner fra i membri dell'ente.</w:t>
      </w:r>
    </w:p>
    <w:p>
      <w:pPr>
        <w:spacing w:after="120" w:line="276"/>
        <w:jc w:val="both"/>
      </w:pPr>
      <w:r>
        <w:rPr>
          <w:rFonts w:ascii="Barlow Semi Condensed" w:cs="Barlow Semi Condensed" w:eastAsia="Barlow Semi Condensed" w:hAnsi="Barlow Semi Condensed"/>
          <w:b/>
          <w:bCs/>
          <w:sz w:val="24"/>
          <w:szCs w:val="24"/>
        </w:rPr>
        <w:t xml:space="preserve">Questa affermazione non è sostenuta da fonti primarie e va qualificata come non provata. Il sostegno di un ordinario all'attività di un ente nella propria diocesi, per quanto convinto e prolungato, non equivale all'appartenenza personale, e la prescrizione che governa l'intera serie impone di non trattare l'uno come prova dell'altra.</w:t>
      </w:r>
    </w:p>
    <w:p>
      <w:pPr>
        <w:spacing w:after="120" w:line="276"/>
        <w:jc w:val="both"/>
      </w:pPr>
      <w:r>
        <w:rPr>
          <w:rFonts w:ascii="Barlow Semi Condensed" w:cs="Barlow Semi Condensed" w:eastAsia="Barlow Semi Condensed" w:hAnsi="Barlow Semi Condensed"/>
          <w:b/>
          <w:bCs/>
          <w:sz w:val="24"/>
          <w:szCs w:val="24"/>
        </w:rPr>
        <w:t xml:space="preserve">Ciò che le fonti attestano con certezza è il patrocinio di Frings all'insediamento del 1952 e la benevolenza continuativa degli arcivescovi di Colonia. Ciò che non attestano è l'appartenenza personale dei tre cardinali, che resta tesi pubblicistica non riscontrata.</w:t>
      </w:r>
    </w:p>
    <w:p>
      <w:pPr>
        <w:pStyle w:val="Heading2"/>
        <w:spacing w:after="100" w:before="200"/>
      </w:pPr>
      <w:r>
        <w:rPr>
          <w:rFonts w:ascii="Barlow Semi Condensed" w:cs="Barlow Semi Condensed" w:eastAsia="Barlow Semi Condensed" w:hAnsi="Barlow Semi Condensed"/>
          <w:sz w:val="24"/>
          <w:szCs w:val="24"/>
        </w:rPr>
        <w:t xml:space="preserve">Capitolo quarto — I dati confessionali: la falsificazione della prima condizione</w:t>
      </w:r>
    </w:p>
    <w:p>
      <w:pPr>
        <w:spacing w:after="120" w:line="276"/>
        <w:jc w:val="both"/>
      </w:pPr>
      <w:r>
        <w:rPr>
          <w:rFonts w:ascii="Barlow Semi Condensed" w:cs="Barlow Semi Condensed" w:eastAsia="Barlow Semi Condensed" w:hAnsi="Barlow Semi Condensed"/>
          <w:b/>
          <w:bCs/>
          <w:sz w:val="24"/>
          <w:szCs w:val="24"/>
        </w:rPr>
        <w:t xml:space="preserve">Il capitolo espone i numeri su cui la prima condizione cade, con le divergenze mantenute.</w:t>
      </w:r>
    </w:p>
    <w:p>
      <w:pPr>
        <w:spacing w:after="120" w:line="276"/>
        <w:jc w:val="both"/>
      </w:pPr>
      <w:r>
        <w:rPr>
          <w:rFonts w:ascii="Barlow Semi Condensed" w:cs="Barlow Semi Condensed" w:eastAsia="Barlow Semi Condensed" w:hAnsi="Barlow Semi Condensed"/>
          <w:b/>
          <w:bCs/>
          <w:sz w:val="24"/>
          <w:szCs w:val="24"/>
        </w:rPr>
        <w:t xml:space="preserve">La serie principale. I dati elaborati dalla Forschungsgruppe Weltanschauungen in Deutschland su base dei censimenti dell'ufficio federale di statistica attestano che nel 1950 la ripartizione confessionale della Repubblica Federale vedeva i protestanti al cinquanta virgola sei per cento e i cattolici al quarantacinque virgola otto, con il novantasei virgola quattro per cento della popolazione appartenente a una delle due grandi Chiese.</w:t>
      </w:r>
    </w:p>
    <w:p>
      <w:pPr>
        <w:spacing w:after="120" w:line="276"/>
        <w:jc w:val="both"/>
      </w:pPr>
      <w:r>
        <w:rPr>
          <w:rFonts w:ascii="Barlow Semi Condensed" w:cs="Barlow Semi Condensed" w:eastAsia="Barlow Semi Condensed" w:hAnsi="Barlow Semi Condensed"/>
          <w:b/>
          <w:bCs/>
          <w:sz w:val="24"/>
          <w:szCs w:val="24"/>
        </w:rPr>
        <w:t xml:space="preserve">La serie divergente, che va riportata. Un saggio storiografico del portale accademico europeo fornisce per il 1950 valori leggermente diversi — protestanti al cinquantuno virgola due, cattolici al quarantacinque virgola due — e precisa che i cattolici uscirono definitivamente dalla situazione di minoranza soltanto nel 1976, quando fu raggiunta la parità. La divergenza fra le due serie non incide sulla sostanza.</w:t>
      </w:r>
    </w:p>
    <w:p>
      <w:pPr>
        <w:spacing w:after="120" w:line="276"/>
        <w:jc w:val="both"/>
      </w:pPr>
      <w:r>
        <w:rPr>
          <w:rFonts w:ascii="Barlow Semi Condensed" w:cs="Barlow Semi Condensed" w:eastAsia="Barlow Semi Condensed" w:hAnsi="Barlow Semi Condensed"/>
          <w:b/>
          <w:bCs/>
          <w:sz w:val="24"/>
          <w:szCs w:val="24"/>
        </w:rPr>
        <w:t xml:space="preserve">Nel 1970: protestanti al quarantasette virgola sette, cattolici al quarantaquattro virgola sei, con il novantadue-novantatré per cento ancora nelle due Chiese.</w:t>
      </w:r>
    </w:p>
    <w:p>
      <w:pPr>
        <w:spacing w:after="120" w:line="276"/>
        <w:jc w:val="both"/>
      </w:pPr>
      <w:r>
        <w:rPr>
          <w:rFonts w:ascii="Barlow Semi Condensed" w:cs="Barlow Semi Condensed" w:eastAsia="Barlow Semi Condensed" w:hAnsi="Barlow Semi Condensed"/>
          <w:b/>
          <w:bCs/>
          <w:sz w:val="24"/>
          <w:szCs w:val="24"/>
        </w:rPr>
        <w:t xml:space="preserve">Il dato dirimente, enunciato. Nella Repubblica Federale del secondo dopoguerra i cattolici erano una minoranza relativa, non una maggioranza — benché minoranza molto ampia e prossima alla metà.</w:t>
      </w:r>
    </w:p>
    <w:p>
      <w:pPr>
        <w:spacing w:after="120" w:line="276"/>
        <w:jc w:val="both"/>
      </w:pPr>
      <w:r>
        <w:rPr>
          <w:rFonts w:ascii="Barlow Semi Condensed" w:cs="Barlow Semi Condensed" w:eastAsia="Barlow Semi Condensed" w:hAnsi="Barlow Semi Condensed"/>
          <w:b/>
          <w:bCs/>
          <w:sz w:val="24"/>
          <w:szCs w:val="24"/>
        </w:rPr>
        <w:t xml:space="preserve">Ne discende la falsificazione della prima condizione: la Germania federale era a maggioranza relativa protestante, e l'Opus Dei vi si insediò comunque stabilmente nel 1952.</w:t>
      </w:r>
    </w:p>
    <w:p>
      <w:pPr>
        <w:spacing w:after="120" w:line="276"/>
        <w:jc w:val="both"/>
      </w:pPr>
      <w:r>
        <w:rPr>
          <w:rFonts w:ascii="Barlow Semi Condensed" w:cs="Barlow Semi Condensed" w:eastAsia="Barlow Semi Condensed" w:hAnsi="Barlow Semi Condensed"/>
          <w:b/>
          <w:bCs/>
          <w:sz w:val="24"/>
          <w:szCs w:val="24"/>
        </w:rPr>
        <w:t xml:space="preserve">La causa storica dell'assetto va registrata perché spiega il dato. La divisione della Germania fu determinante: la perdita dei territori orientali e la costituzione della Repubblica Democratica modificarono il peso confessionale relativo rispetto al Reich del 1871, quando i protestanti superavano il sessanta per cento ed erano religione di Stato. Sul territorio dei Länder poi confluiti nella Federale esisteva invece una proporzione quasi paritaria, dell'ordine di cinquantuno a quarantotto o cinquantadue a quarantasette.</w:t>
      </w:r>
    </w:p>
    <w:p>
      <w:pPr>
        <w:spacing w:after="120" w:line="276"/>
        <w:jc w:val="both"/>
      </w:pPr>
      <w:r>
        <w:rPr>
          <w:rFonts w:ascii="Barlow Semi Condensed" w:cs="Barlow Semi Condensed" w:eastAsia="Barlow Semi Condensed" w:hAnsi="Barlow Semi Condensed"/>
          <w:b/>
          <w:bCs/>
          <w:sz w:val="24"/>
          <w:szCs w:val="24"/>
        </w:rPr>
        <w:t xml:space="preserve">La distribuzione regionale mantenne concentrazioni cattoliche nettissime: Baviera, Renania, Vestfalia e Saarland, quest'ultimo con il novantotto virgola due per cento di appartenenti alle Chiese nel 1950 e schiacciante maggioranza cattolica. Fino al 1970 il cattolicesimo restò religione di maggioranza nella Renania-Vestfalia — cioè esattamente dove l'ente si insediò.</w:t>
      </w:r>
    </w:p>
    <w:p>
      <w:pPr>
        <w:spacing w:after="120" w:line="276"/>
        <w:jc w:val="both"/>
      </w:pPr>
      <w:r>
        <w:rPr>
          <w:rFonts w:ascii="Barlow Semi Condensed" w:cs="Barlow Semi Condensed" w:eastAsia="Barlow Semi Condensed" w:hAnsi="Barlow Semi Condensed"/>
          <w:b/>
          <w:bCs/>
          <w:sz w:val="24"/>
          <w:szCs w:val="24"/>
        </w:rPr>
        <w:t xml:space="preserve">Un elemento che complica il quadro e va riportato. L'espulsione dei tedeschi dai territori orientali — Sudeti, Slesia, Prussia orientale — produsse mescolanza confessionale nelle regioni di accoglienza, con effetti di erosione del milieu cattolico documentati dalla storiografia specialistica. La monografia di Michael Hirschfeld, \Katholisches Milieu und Vertriebene. Eine Fallstudie am Beispiel des Oldenburger Landes 1945-1965\, colloca l'inizio dell'erosione già nell'immediato dopoguerra, per effetto dell'afflusso dei profughi, anticipandolo rispetto alla lettura corrente che lo legava alla contestazione del 1968.</w:t>
      </w:r>
    </w:p>
    <w:p>
      <w:pPr>
        <w:spacing w:after="120" w:line="276"/>
        <w:jc w:val="both"/>
      </w:pPr>
      <w:r>
        <w:rPr>
          <w:rFonts w:ascii="Barlow Semi Condensed" w:cs="Barlow Semi Condensed" w:eastAsia="Barlow Semi Condensed" w:hAnsi="Barlow Semi Condensed"/>
          <w:b/>
          <w:bCs/>
          <w:sz w:val="24"/>
          <w:szCs w:val="24"/>
        </w:rPr>
        <w:t xml:space="preserve">Ne discende una precisazione cronologica non banale: l'ente si insediò in un milieu cattolico che era già in fase di erosione iniziale, e vi si insediò comunque.</w:t>
      </w:r>
    </w:p>
    <w:p>
      <w:pPr>
        <w:pStyle w:val="Heading2"/>
        <w:spacing w:after="100" w:before="200"/>
      </w:pPr>
      <w:r>
        <w:rPr>
          <w:rFonts w:ascii="Barlow Semi Condensed" w:cs="Barlow Semi Condensed" w:eastAsia="Barlow Semi Condensed" w:hAnsi="Barlow Semi Condensed"/>
          <w:sz w:val="24"/>
          <w:szCs w:val="24"/>
        </w:rPr>
        <w:t xml:space="preserve">Capitolo quinto — Il milieu cattolico tedesco: la condizione che regge</w:t>
      </w:r>
    </w:p>
    <w:p>
      <w:pPr>
        <w:spacing w:after="120" w:line="276"/>
        <w:jc w:val="both"/>
      </w:pPr>
      <w:r>
        <w:rPr>
          <w:rFonts w:ascii="Barlow Semi Condensed" w:cs="Barlow Semi Condensed" w:eastAsia="Barlow Semi Condensed" w:hAnsi="Barlow Semi Condensed"/>
          <w:b/>
          <w:bCs/>
          <w:sz w:val="24"/>
          <w:szCs w:val="24"/>
        </w:rPr>
        <w:t xml:space="preserve">Il capitolo espone la seconda condizione, e mostra che in Germania essa è soddisfatta nella forma più robusta possibile.</w:t>
      </w:r>
    </w:p>
    <w:p>
      <w:pPr>
        <w:spacing w:after="120" w:line="276"/>
        <w:jc w:val="both"/>
      </w:pPr>
      <w:r>
        <w:rPr>
          <w:rFonts w:ascii="Barlow Semi Condensed" w:cs="Barlow Semi Condensed" w:eastAsia="Barlow Semi Condensed" w:hAnsi="Barlow Semi Condensed"/>
          <w:b/>
          <w:bCs/>
          <w:sz w:val="24"/>
          <w:szCs w:val="24"/>
        </w:rPr>
        <w:t xml:space="preserve">La categoria storiografica esiste ed è consolidata. La storiografia tedesca dispone del concetto di katholisches Milieu, milieu cattolico socialmente organizzato, e ne individua indicatori precisi.</w:t>
      </w:r>
    </w:p>
    <w:p>
      <w:pPr>
        <w:spacing w:after="120" w:line="276"/>
        <w:jc w:val="both"/>
      </w:pPr>
      <w:r>
        <w:rPr>
          <w:rFonts w:ascii="Barlow Semi Condensed" w:cs="Barlow Semi Condensed" w:eastAsia="Barlow Semi Condensed" w:hAnsi="Barlow Semi Condensed"/>
          <w:b/>
          <w:bCs/>
          <w:sz w:val="24"/>
          <w:szCs w:val="24"/>
        </w:rPr>
        <w:t xml:space="preserve">Gli indicatori, elencati. Una tradizione partitica di lungo periodo — lo Zentrum, poi confluito insieme alla bavarese Bayerische Volkspartei nell'interconfessionale CDU/CSU del dopoguerra. Una fitta rete associativa e caritativa: il Kolpingwerk, i Katholikentag, le opere assistenziali Misereor e Adveniat, entrambe promosse proprio da Frings. Una stampa cattolica strutturata. Le associazioni studentesche cattoliche organizzate nel Cartellverband, l'associazione degli accademici cattolici Katholischer Akademikerverband, la Görres-Gesellschaft per la promozione della scienza. E il sistema delle facoltà teologiche di Stato.</w:t>
      </w:r>
    </w:p>
    <w:p>
      <w:pPr>
        <w:spacing w:after="120" w:line="276"/>
        <w:jc w:val="both"/>
      </w:pPr>
      <w:r>
        <w:rPr>
          <w:rFonts w:ascii="Barlow Semi Condensed" w:cs="Barlow Semi Condensed" w:eastAsia="Barlow Semi Condensed" w:hAnsi="Barlow Semi Condensed"/>
          <w:b/>
          <w:bCs/>
          <w:sz w:val="24"/>
          <w:szCs w:val="24"/>
        </w:rPr>
        <w:t xml:space="preserve">La formula politologica va riportata perché è precisa. La letteratura descrive per la Germania un'asimmetria confessionale-politica: esisteva un milieu cattolico, una partitica cattolica, un cattolicesimo politico, senza un equivalente protestante di pari organizzazione.</w:t>
      </w:r>
    </w:p>
    <w:p>
      <w:pPr>
        <w:spacing w:after="120" w:line="276"/>
        <w:jc w:val="both"/>
      </w:pPr>
      <w:r>
        <w:rPr>
          <w:rFonts w:ascii="Barlow Semi Condensed" w:cs="Barlow Semi Condensed" w:eastAsia="Barlow Semi Condensed" w:hAnsi="Barlow Semi Condensed"/>
          <w:b/>
          <w:bCs/>
          <w:sz w:val="24"/>
          <w:szCs w:val="24"/>
        </w:rPr>
        <w:t xml:space="preserve">Ne discende che la maggioranza numerica era protestante ma l'organizzazione era cattolica — e questa asimmetria, secondo me, è la spiegazione esatta del caso tedesco.</w:t>
      </w:r>
    </w:p>
    <w:p>
      <w:pPr>
        <w:spacing w:after="120" w:line="276"/>
        <w:jc w:val="both"/>
      </w:pPr>
      <w:r>
        <w:rPr>
          <w:rFonts w:ascii="Barlow Semi Condensed" w:cs="Barlow Semi Condensed" w:eastAsia="Barlow Semi Condensed" w:hAnsi="Barlow Semi Condensed"/>
          <w:b/>
          <w:bCs/>
          <w:sz w:val="24"/>
          <w:szCs w:val="24"/>
        </w:rPr>
        <w:t xml:space="preserve">La prova per via degli insediamenti, già esposta al Capitolo secondo e qui riletta. L'ente si radicò precisamente sul ceto studentesco e professionale cattolico delle città renane universitarie: la prima residenza fu uno Studentenheim a Bonn, sede dell'università e della capitale federale; il primo lavoro femminile a Colonia fu uno Studentinnenheim; le due tedesche del 1956 erano un'assistente universitaria e una matricola; i tre membri del 1952 erano un ingegnere-sacerdote, un commercialista e un futuro ordinario.</w:t>
      </w:r>
    </w:p>
    <w:p>
      <w:pPr>
        <w:spacing w:after="120" w:line="276"/>
        <w:jc w:val="both"/>
      </w:pPr>
      <w:r>
        <w:rPr>
          <w:rFonts w:ascii="Barlow Semi Condensed" w:cs="Barlow Semi Condensed" w:eastAsia="Barlow Semi Condensed" w:hAnsi="Barlow Semi Condensed"/>
          <w:b/>
          <w:bCs/>
          <w:sz w:val="24"/>
          <w:szCs w:val="24"/>
        </w:rPr>
        <w:t xml:space="preserve">Ogni singolo elemento dell'insediamento è accademico o professionale. Nessuno è popolare o rurale.</w:t>
      </w:r>
    </w:p>
    <w:p>
      <w:pPr>
        <w:spacing w:after="120" w:line="276"/>
        <w:jc w:val="both"/>
      </w:pPr>
      <w:r>
        <w:rPr>
          <w:rFonts w:ascii="Barlow Semi Condensed" w:cs="Barlow Semi Condensed" w:eastAsia="Barlow Semi Condensed" w:hAnsi="Barlow Semi Condensed"/>
          <w:b/>
          <w:bCs/>
          <w:sz w:val="24"/>
          <w:szCs w:val="24"/>
        </w:rPr>
        <w:t xml:space="preserve">La coerenza con la strategia originaria dell'ente va notata. L'Opus Dei si rivolse sin dagli anni spagnoli anzitutto agli intellettuali e agli studenti universitari: la prima istituzione, l'Accademia DYA del 1933, era rivolta a studenti di Diritto e Architettura.</w:t>
      </w:r>
    </w:p>
    <w:p>
      <w:pPr>
        <w:spacing w:after="120" w:line="276"/>
        <w:jc w:val="both"/>
      </w:pPr>
      <w:r>
        <w:rPr>
          <w:rFonts w:ascii="Barlow Semi Condensed" w:cs="Barlow Semi Condensed" w:eastAsia="Barlow Semi Condensed" w:hAnsi="Barlow Semi Condensed"/>
          <w:b/>
          <w:bCs/>
          <w:sz w:val="24"/>
          <w:szCs w:val="24"/>
        </w:rPr>
        <w:t xml:space="preserve">Ne discende la formulazione della condizione superstite, che è la risultanza del capitolo. L'ente si radica dove esiste un ceto universitario e professionale cattolico organizzato, e la sua strategia di insediamento — residenze studentesche, opere educative, formazione professionale — è costruita per quel ceto e non per altri. Dove quel ceto manca, la strategia non ha su che cosa poggiare, indipendentemente da quanti cattolici vi siano.</w:t>
      </w:r>
    </w:p>
    <w:p>
      <w:pPr>
        <w:pStyle w:val="Heading2"/>
        <w:spacing w:after="100" w:before="200"/>
      </w:pPr>
      <w:r>
        <w:rPr>
          <w:rFonts w:ascii="Barlow Semi Condensed" w:cs="Barlow Semi Condensed" w:eastAsia="Barlow Semi Condensed" w:hAnsi="Barlow Semi Condensed"/>
          <w:sz w:val="24"/>
          <w:szCs w:val="24"/>
        </w:rPr>
        <w:t xml:space="preserve">Capitolo sesto — Il confronto europeo: Gran Bretagna 1946 e Svezia 1984</w:t>
      </w:r>
    </w:p>
    <w:p>
      <w:pPr>
        <w:spacing w:after="120" w:line="276"/>
        <w:jc w:val="both"/>
      </w:pPr>
      <w:r>
        <w:rPr>
          <w:rFonts w:ascii="Barlow Semi Condensed" w:cs="Barlow Semi Condensed" w:eastAsia="Barlow Semi Condensed" w:hAnsi="Barlow Semi Condensed"/>
          <w:b/>
          <w:bCs/>
          <w:sz w:val="24"/>
          <w:szCs w:val="24"/>
        </w:rPr>
        <w:t xml:space="preserve">Il capitolo verifica la revisione contro gli altri casi europei, e ne trae due conferme e un raffinamento.</w:t>
      </w:r>
    </w:p>
    <w:p>
      <w:pPr>
        <w:spacing w:after="120" w:line="276"/>
        <w:jc w:val="both"/>
      </w:pPr>
      <w:r>
        <w:rPr>
          <w:rFonts w:ascii="Barlow Semi Condensed" w:cs="Barlow Semi Condensed" w:eastAsia="Barlow Semi Condensed" w:hAnsi="Barlow Semi Condensed"/>
          <w:b/>
          <w:bCs/>
          <w:sz w:val="24"/>
          <w:szCs w:val="24"/>
        </w:rPr>
        <w:t xml:space="preserve">La cronologia europea, dalla fonte ufficiale. Portogallo 1945; Italia e Gran Bretagna 1946; Francia e Irlanda 1947; Germania 1952; Svizzera 1956; Austria 1957; Olanda 1959 o 1960, con divergenza fra le fonti dell'ente da riportare; Belgio 1965; Svezia 1984.</w:t>
      </w:r>
    </w:p>
    <w:p>
      <w:pPr>
        <w:spacing w:after="120" w:line="276"/>
        <w:jc w:val="both"/>
      </w:pPr>
      <w:r>
        <w:rPr>
          <w:rFonts w:ascii="Barlow Semi Condensed" w:cs="Barlow Semi Condensed" w:eastAsia="Barlow Semi Condensed" w:hAnsi="Barlow Semi Condensed"/>
          <w:b/>
          <w:bCs/>
          <w:sz w:val="24"/>
          <w:szCs w:val="24"/>
        </w:rPr>
        <w:t xml:space="preserve">Primo caso dirimente: la Gran Bretagna, e precede la Germania di sei anni. Il lavoro iniziò il 28 dicembre 1946 con l'arrivo a Londra dello spagnolo Juan Antonio Galarraga, 1920-2005, numerario dal 1940, giunto per proseguire la ricerca post-dottorale in farmacia alla London University. La prima residenza fu a Rutland Court, poi trasferita a Netherhall House ad Hampstead; il primo centro femminile aprì nel 1952.</w:t>
      </w:r>
    </w:p>
    <w:p>
      <w:pPr>
        <w:spacing w:after="120" w:line="276"/>
        <w:jc w:val="both"/>
      </w:pPr>
      <w:r>
        <w:rPr>
          <w:rFonts w:ascii="Barlow Semi Condensed" w:cs="Barlow Semi Condensed" w:eastAsia="Barlow Semi Condensed" w:hAnsi="Barlow Semi Condensed"/>
          <w:b/>
          <w:bCs/>
          <w:sz w:val="24"/>
          <w:szCs w:val="24"/>
        </w:rPr>
        <w:t xml:space="preserve">Il rilievo va enunciato. La Gran Bretagna era ed è a maggioranza protestante anglicana, con una minoranza cattolica organizzata. Il caso conferma indipendentemente dalla Germania che la maggioranza cattolica non è condizione necessaria — e lo conferma sei anni prima, il che significa che l'ente non selezionò mai i Paesi in base alla confessione maggioritaria, fin dalla propria prima espansione europea.</w:t>
      </w:r>
    </w:p>
    <w:p>
      <w:pPr>
        <w:spacing w:after="120" w:line="276"/>
        <w:jc w:val="both"/>
      </w:pPr>
      <w:r>
        <w:rPr>
          <w:rFonts w:ascii="Barlow Semi Condensed" w:cs="Barlow Semi Condensed" w:eastAsia="Barlow Semi Condensed" w:hAnsi="Barlow Semi Condensed"/>
          <w:b/>
          <w:bCs/>
          <w:sz w:val="24"/>
          <w:szCs w:val="24"/>
        </w:rPr>
        <w:t xml:space="preserve">Ne discende una correzione della mia cronologia analitica: non è la Germania il primo caso falsificante, è la Gran Bretagna. La Germania è il caso più probante perché il milieu vi è più documentato, non il caso più antico.</w:t>
      </w:r>
    </w:p>
    <w:p>
      <w:pPr>
        <w:spacing w:after="120" w:line="276"/>
        <w:jc w:val="both"/>
      </w:pPr>
      <w:r>
        <w:rPr>
          <w:rFonts w:ascii="Barlow Semi Condensed" w:cs="Barlow Semi Condensed" w:eastAsia="Barlow Semi Condensed" w:hAnsi="Barlow Semi Condensed"/>
          <w:b/>
          <w:bCs/>
          <w:sz w:val="24"/>
          <w:szCs w:val="24"/>
        </w:rPr>
        <w:t xml:space="preserve">Secondo caso dirimente: la Svezia 1984, e produce il raffinamento. È il caso a maggioranza protestante più estremo, con minoranza cattolica minima e in larga parte non autoctona.</w:t>
      </w:r>
    </w:p>
    <w:p>
      <w:pPr>
        <w:spacing w:after="120" w:line="276"/>
        <w:jc w:val="both"/>
      </w:pPr>
      <w:r>
        <w:rPr>
          <w:rFonts w:ascii="Barlow Semi Condensed" w:cs="Barlow Semi Condensed" w:eastAsia="Barlow Semi Condensed" w:hAnsi="Barlow Semi Condensed"/>
          <w:b/>
          <w:bCs/>
          <w:sz w:val="24"/>
          <w:szCs w:val="24"/>
        </w:rPr>
        <w:t xml:space="preserve">Un dato va riportato con la sua fonte critica.\\ Una fonte specializzata segnala che nei Paesi di più recente impianto — \\Svezia, Ungheria, Russia\\ — \\la grande maggioranza dei numerari è di provenienza spagnola.</w:t>
      </w:r>
    </w:p>
    <w:p>
      <w:pPr>
        <w:spacing w:after="120" w:line="276"/>
        <w:jc w:val="both"/>
      </w:pPr>
      <w:r>
        <w:rPr>
          <w:rFonts w:ascii="Barlow Semi Condensed" w:cs="Barlow Semi Condensed" w:eastAsia="Barlow Semi Condensed" w:hAnsi="Barlow Semi Condensed"/>
          <w:b/>
          <w:bCs/>
          <w:sz w:val="24"/>
          <w:szCs w:val="24"/>
        </w:rPr>
        <w:t xml:space="preserve">Ne discende il raffinamento del modello, ed è il guadagno del capitolo. Là dove manca il ceto cattolico autoctono, l'ente non rinuncia all'insediamento: procede per trapianto di personale anziché per radicamento locale. L'insediamento formale avviene, ma la sua natura è diversa.</w:t>
      </w:r>
    </w:p>
    <w:p>
      <w:pPr>
        <w:spacing w:after="120" w:line="276"/>
        <w:jc w:val="both"/>
      </w:pPr>
      <w:r>
        <w:rPr>
          <w:rFonts w:ascii="Barlow Semi Condensed" w:cs="Barlow Semi Condensed" w:eastAsia="Barlow Semi Condensed" w:hAnsi="Barlow Semi Condensed"/>
          <w:b/>
          <w:bCs/>
          <w:sz w:val="24"/>
          <w:szCs w:val="24"/>
        </w:rPr>
        <w:t xml:space="preserve">Il modello rivisto va dunque formulato in due proposizioni anziché in una. Prima: dove esiste un ceto cattolico professionale autoctono, l'ente si radica su di esso, indipendentemente dalla confessione maggioritaria del Paese. Seconda: dove tale ceto manca, l'ente si insedia per trapianto e non si radica.</w:t>
      </w:r>
    </w:p>
    <w:p>
      <w:pPr>
        <w:spacing w:after="120" w:line="276"/>
        <w:jc w:val="both"/>
      </w:pPr>
      <w:r>
        <w:rPr>
          <w:rFonts w:ascii="Barlow Semi Condensed" w:cs="Barlow Semi Condensed" w:eastAsia="Barlow Semi Condensed" w:hAnsi="Barlow Semi Condensed"/>
          <w:b/>
          <w:bCs/>
          <w:sz w:val="24"/>
          <w:szCs w:val="24"/>
        </w:rPr>
        <w:t xml:space="preserve">Gli altri casi europei confermano. La Svizzera 1956, primo centro a Zurigo, città a forte componente protestante, con l'arrivo dall'Italia dell'architetto Pedro Turull e del sacerdote-psichiatra Johannes B. Torelló, entrambi provenienti dall'attività a Napoli, Milano e Palermo — dunque anch'essa per trapianto iniziale in ambiente universitario. L'Austria 1957, Vienna, cattolica, concepita dal fondatore come porta verso l'Europa centro-orientale. Il Belgio 1965, cattolico. L'Olanda, mista con forte minoranza cattolica.</w:t>
      </w:r>
    </w:p>
    <w:p>
      <w:pPr>
        <w:spacing w:after="120" w:line="276"/>
        <w:jc w:val="both"/>
      </w:pPr>
      <w:r>
        <w:rPr>
          <w:rFonts w:ascii="Barlow Semi Condensed" w:cs="Barlow Semi Condensed" w:eastAsia="Barlow Semi Condensed" w:hAnsi="Barlow Semi Condensed"/>
          <w:b/>
          <w:bCs/>
          <w:sz w:val="24"/>
          <w:szCs w:val="24"/>
        </w:rPr>
        <w:t xml:space="preserve">La regolarità che emerge dall'insieme non è la maggioranza cattolica del Paese, ma la compresenza di città universitarie e di un nucleo cattolico: autoctono e organizzato dove esiste, importato dalla Spagna dove il cattolicesimo autoctono è debole.</w:t>
      </w:r>
    </w:p>
    <w:p>
      <w:pPr>
        <w:pStyle w:val="Heading2"/>
        <w:spacing w:after="100" w:before="200"/>
      </w:pPr>
      <w:r>
        <w:rPr>
          <w:rFonts w:ascii="Barlow Semi Condensed" w:cs="Barlow Semi Condensed" w:eastAsia="Barlow Semi Condensed" w:hAnsi="Barlow Semi Condensed"/>
          <w:sz w:val="24"/>
          <w:szCs w:val="24"/>
        </w:rPr>
        <w:t xml:space="preserve">Capitolo settimo — La rilettura dei tre casi orientali secondo il modello rivisto</w:t>
      </w:r>
    </w:p>
    <w:p>
      <w:pPr>
        <w:spacing w:after="120" w:line="276"/>
        <w:jc w:val="both"/>
      </w:pPr>
      <w:r>
        <w:rPr>
          <w:rFonts w:ascii="Barlow Semi Condensed" w:cs="Barlow Semi Condensed" w:eastAsia="Barlow Semi Condensed" w:hAnsi="Barlow Semi Condensed"/>
          <w:b/>
          <w:bCs/>
          <w:sz w:val="24"/>
          <w:szCs w:val="24"/>
        </w:rPr>
        <w:t xml:space="preserve">Il capitolo esegue la conseguenza retroattiva annunciata al Capitolo primo, ed è la parte che rende la revisione un guadagno anziché una perdita.</w:t>
      </w:r>
    </w:p>
    <w:p>
      <w:pPr>
        <w:spacing w:after="120" w:line="276"/>
        <w:jc w:val="both"/>
      </w:pPr>
      <w:r>
        <w:rPr>
          <w:rFonts w:ascii="Barlow Semi Condensed" w:cs="Barlow Semi Condensed" w:eastAsia="Barlow Semi Condensed" w:hAnsi="Barlow Semi Condensed"/>
          <w:b/>
          <w:bCs/>
          <w:sz w:val="24"/>
          <w:szCs w:val="24"/>
        </w:rPr>
        <w:t xml:space="preserve">Il problema che il modello originario aveva. Esso spiegava le tre assenze orientali con il difetto della maggioranza cattolica. Ma tale spiegazione era sovrabbondante per la Turchia — dove sarebbero bastati altri due fattori — e imprecisa per Cipro, dove le comunità cattoliche esistevano, erano antiche e costituzionalmente riconosciute, sicché il caso appariva anomalo e andava trattato come eccezione probante.</w:t>
      </w:r>
    </w:p>
    <w:p>
      <w:pPr>
        <w:spacing w:after="120" w:line="276"/>
        <w:jc w:val="both"/>
      </w:pPr>
      <w:r>
        <w:rPr>
          <w:rFonts w:ascii="Barlow Semi Condensed" w:cs="Barlow Semi Condensed" w:eastAsia="Barlow Semi Condensed" w:hAnsi="Barlow Semi Condensed"/>
          <w:b/>
          <w:bCs/>
          <w:sz w:val="24"/>
          <w:szCs w:val="24"/>
        </w:rPr>
        <w:t xml:space="preserve">Il modello rivisto lo spiega meglio, e va mostrato caso per caso.</w:t>
      </w:r>
    </w:p>
    <w:p>
      <w:pPr>
        <w:spacing w:after="120" w:line="276"/>
        <w:jc w:val="both"/>
      </w:pPr>
      <w:r>
        <w:rPr>
          <w:rFonts w:ascii="Barlow Semi Condensed" w:cs="Barlow Semi Condensed" w:eastAsia="Barlow Semi Condensed" w:hAnsi="Barlow Semi Condensed"/>
          <w:b/>
          <w:bCs/>
          <w:sz w:val="24"/>
          <w:szCs w:val="24"/>
        </w:rPr>
        <w:t xml:space="preserve">La Grecia. Cattolici circa lo zero virgola cinque per cento, con nuclei ad Atene e villaggi interi a Syros e Tinos. Ma un ceto universitario e professionale cattolico autoctono non esisteva, e la Costituzione riconosceva alla Chiesa ortodossa la posizione di prevalente, con le altre confessioni qualificate come religioni straniere. La seconda condizione mancava, e questa è la ragione. La prima — che pure mancava — era irrilevante, come la Gran Bretagna dimostra.</w:t>
      </w:r>
    </w:p>
    <w:p>
      <w:pPr>
        <w:spacing w:after="120" w:line="276"/>
        <w:jc w:val="both"/>
      </w:pPr>
      <w:r>
        <w:rPr>
          <w:rFonts w:ascii="Barlow Semi Condensed" w:cs="Barlow Semi Condensed" w:eastAsia="Barlow Semi Condensed" w:hAnsi="Barlow Semi Condensed"/>
          <w:b/>
          <w:bCs/>
          <w:sz w:val="24"/>
          <w:szCs w:val="24"/>
        </w:rPr>
        <w:t xml:space="preserve">Cipro, ed è il caso che il modello rivisto salva. Le comunità cattoliche esistevano: maroniti dall'ottavo secolo, latini dal 1192, riconosciuti dalla Costituzione del 1960, con arcieparchia propria, vicariato patriarcale, quattro parrocchie e francescani dal 1593.</w:t>
      </w:r>
    </w:p>
    <w:p>
      <w:pPr>
        <w:spacing w:after="120" w:line="276"/>
        <w:jc w:val="both"/>
      </w:pPr>
      <w:r>
        <w:rPr>
          <w:rFonts w:ascii="Barlow Semi Condensed" w:cs="Barlow Semi Condensed" w:eastAsia="Barlow Semi Condensed" w:hAnsi="Barlow Semi Condensed"/>
          <w:b/>
          <w:bCs/>
          <w:sz w:val="24"/>
          <w:szCs w:val="24"/>
        </w:rPr>
        <w:t xml:space="preserve">Ma di che cosa erano composte? I maroniti erano duemilasettecentocinquantadue nel censimento del 1960, concentrati in quattro villaggi — Kormakitis, Asomatos, Karpaseia, Agia Marina — tutti nel nord dell'isola, e parlanti un dialetto aramaico-arabo oggi criticamente in pericolo. I latini erano quattro parrocchie urbane.</w:t>
      </w:r>
    </w:p>
    <w:p>
      <w:pPr>
        <w:spacing w:after="120" w:line="276"/>
        <w:jc w:val="both"/>
      </w:pPr>
      <w:r>
        <w:rPr>
          <w:rFonts w:ascii="Barlow Semi Condensed" w:cs="Barlow Semi Condensed" w:eastAsia="Barlow Semi Condensed" w:hAnsi="Barlow Semi Condensed"/>
          <w:b/>
          <w:bCs/>
          <w:sz w:val="24"/>
          <w:szCs w:val="24"/>
        </w:rPr>
        <w:t xml:space="preserve">Ne discende l'accertamento che il modello originario non poteva fare: Cipro aveva cattolici, ma non aveva un ceto universitario e professionale cattolico. Aveva contadini maroniti di villaggio e una piccola borghesia latina di quattro parrocchie costiere. Non aveva né università cattoliche, né associazioni accademiche cattoliche, né una classe professionale cattolica organizzata.</w:t>
      </w:r>
    </w:p>
    <w:p>
      <w:pPr>
        <w:spacing w:after="120" w:line="276"/>
        <w:jc w:val="both"/>
      </w:pPr>
      <w:r>
        <w:rPr>
          <w:rFonts w:ascii="Barlow Semi Condensed" w:cs="Barlow Semi Condensed" w:eastAsia="Barlow Semi Condensed" w:hAnsi="Barlow Semi Condensed"/>
          <w:b/>
          <w:bCs/>
          <w:sz w:val="24"/>
          <w:szCs w:val="24"/>
        </w:rPr>
        <w:t xml:space="preserve">Il caso cipriota cessa dunque di essere anomalo e diventa coerente. Nell'ottava ricognizione lo avevo definito il più probante perché isolava la variabile; nel modello rivisto è semplicemente il caso che mostra la differenza fra presenza cattolica e ceto cattolico.</w:t>
      </w:r>
    </w:p>
    <w:p>
      <w:pPr>
        <w:spacing w:after="120" w:line="276"/>
        <w:jc w:val="both"/>
      </w:pPr>
      <w:r>
        <w:rPr>
          <w:rFonts w:ascii="Barlow Semi Condensed" w:cs="Barlow Semi Condensed" w:eastAsia="Barlow Semi Condensed" w:hAnsi="Barlow Semi Condensed"/>
          <w:b/>
          <w:bCs/>
          <w:sz w:val="24"/>
          <w:szCs w:val="24"/>
        </w:rPr>
        <w:t xml:space="preserve">La Turchia. Cattolici fra le venticinquemila e le sessantamila unità secondo le stime divergenti, e — dato decisivo — in prevalenza non autoctoni: una fonte vaticana distingue, per il solo vicariato latino di Istanbul, poco più di diecimila fedeli locali e circa trentamila stranieri, rifugiati o migranti.</w:t>
      </w:r>
    </w:p>
    <w:p>
      <w:pPr>
        <w:spacing w:after="120" w:line="276"/>
        <w:jc w:val="both"/>
      </w:pPr>
      <w:r>
        <w:rPr>
          <w:rFonts w:ascii="Barlow Semi Condensed" w:cs="Barlow Semi Condensed" w:eastAsia="Barlow Semi Condensed" w:hAnsi="Barlow Semi Condensed"/>
          <w:b/>
          <w:bCs/>
          <w:sz w:val="24"/>
          <w:szCs w:val="24"/>
        </w:rPr>
        <w:t xml:space="preserve">Una comunità in prevalenza non autoctona non genera ceto professionale stabile. E la legge del 1971 che chiuse Halki, vietando l'istruzione superiore privata non affiliata allo Stato, precludeva per ciò stesso il modello di insediamento educativo dell'ente.</w:t>
      </w:r>
    </w:p>
    <w:p>
      <w:pPr>
        <w:spacing w:after="120" w:line="276"/>
        <w:jc w:val="both"/>
      </w:pPr>
      <w:r>
        <w:rPr>
          <w:rFonts w:ascii="Barlow Semi Condensed" w:cs="Barlow Semi Condensed" w:eastAsia="Barlow Semi Condensed" w:hAnsi="Barlow Semi Condensed"/>
          <w:b/>
          <w:bCs/>
          <w:sz w:val="24"/>
          <w:szCs w:val="24"/>
        </w:rPr>
        <w:t xml:space="preserve">Ne discende che il caso turco resta sovradeterminato, ma per ragioni diverse da quelle che il modello originario indicava: non per assenza di maggioranza cattolica, ma per assenza di ceto autoctono più preclusione legale dello strumento educativo.</w:t>
      </w:r>
    </w:p>
    <w:p>
      <w:pPr>
        <w:spacing w:after="120" w:line="276"/>
        <w:jc w:val="both"/>
      </w:pPr>
      <w:r>
        <w:rPr>
          <w:rFonts w:ascii="Barlow Semi Condensed" w:cs="Barlow Semi Condensed" w:eastAsia="Barlow Semi Condensed" w:hAnsi="Barlow Semi Condensed"/>
          <w:b/>
          <w:bCs/>
          <w:sz w:val="24"/>
          <w:szCs w:val="24"/>
        </w:rPr>
        <w:t xml:space="preserve">Il bilancio della rilettura, ed è il guadagno. Il modello rivisto ha meno condizioni e spiega più casi. È il segno che la revisione è un miglioramento e non una ritirata.</w:t>
      </w:r>
    </w:p>
    <w:p>
      <w:pPr>
        <w:pStyle w:val="Heading2"/>
        <w:spacing w:after="100" w:before="200"/>
      </w:pPr>
      <w:r>
        <w:rPr>
          <w:rFonts w:ascii="Barlow Semi Condensed" w:cs="Barlow Semi Condensed" w:eastAsia="Barlow Semi Condensed" w:hAnsi="Barlow Semi Condensed"/>
          <w:sz w:val="24"/>
          <w:szCs w:val="24"/>
        </w:rPr>
        <w:t xml:space="preserve">Capitolo ottavo — Le controversie tedesche degli anni Ottanta</w:t>
      </w:r>
    </w:p>
    <w:p>
      <w:pPr>
        <w:spacing w:after="120" w:line="276"/>
        <w:jc w:val="both"/>
      </w:pPr>
      <w:r>
        <w:rPr>
          <w:rFonts w:ascii="Barlow Semi Condensed" w:cs="Barlow Semi Condensed" w:eastAsia="Barlow Semi Condensed" w:hAnsi="Barlow Semi Condensed"/>
          <w:b/>
          <w:bCs/>
          <w:sz w:val="24"/>
          <w:szCs w:val="24"/>
        </w:rPr>
        <w:t xml:space="preserve">Il capitolo espone la contestazione pubblica dell'ente in Germania, con la disciplina consueta.</w:t>
      </w:r>
    </w:p>
    <w:p>
      <w:pPr>
        <w:spacing w:after="120" w:line="276"/>
        <w:jc w:val="both"/>
      </w:pPr>
      <w:r>
        <w:rPr>
          <w:rFonts w:ascii="Barlow Semi Condensed" w:cs="Barlow Semi Condensed" w:eastAsia="Barlow Semi Condensed" w:hAnsi="Barlow Semi Condensed"/>
          <w:b/>
          <w:bCs/>
          <w:sz w:val="24"/>
          <w:szCs w:val="24"/>
        </w:rPr>
        <w:t xml:space="preserve">I critici, con le opere e le date. Il giornalista Peter Hertel fu il principale: pubblicò trasmissioni radiofoniche e i volumi \Ich verspreche euch den Himmel\, Patmos, 1985, e \Schleichende Übernahme\, Publik-Forum, 2002. Klaus Steigleder pubblicò \Das Opus Dei. Eine Innenansicht\, 1983, in quarta edizione nel 1990.</w:t>
      </w:r>
    </w:p>
    <w:p>
      <w:pPr>
        <w:spacing w:after="120" w:line="276"/>
        <w:jc w:val="both"/>
      </w:pPr>
      <w:r>
        <w:rPr>
          <w:rFonts w:ascii="Barlow Semi Condensed" w:cs="Barlow Semi Condensed" w:eastAsia="Barlow Semi Condensed" w:hAnsi="Barlow Semi Condensed"/>
          <w:b/>
          <w:bCs/>
          <w:sz w:val="24"/>
          <w:szCs w:val="24"/>
        </w:rPr>
        <w:t xml:space="preserve">La reazione dell'ente, per via legale e apologetica. Il 27 novembre 1984 lo studio legale monacense Gritschneder, Ehrensperger e Widl presentò, per conto dell'associazione tedesca dell'ente e del vicario regionale César Ortiz, una querela presso la sezione civile del Landgericht München I; e furono diffuse contro-pubblicazioni ufficiali, fra cui Hans Thomas, \Opus Dei: Vorwürfe und Antworten\.</w:t>
      </w:r>
    </w:p>
    <w:p>
      <w:pPr>
        <w:spacing w:after="120" w:line="276"/>
        <w:jc w:val="both"/>
      </w:pPr>
      <w:r>
        <w:rPr>
          <w:rFonts w:ascii="Barlow Semi Condensed" w:cs="Barlow Semi Condensed" w:eastAsia="Barlow Semi Condensed" w:hAnsi="Barlow Semi Condensed"/>
          <w:b/>
          <w:bCs/>
          <w:sz w:val="24"/>
          <w:szCs w:val="24"/>
        </w:rPr>
        <w:t xml:space="preserve">Un episodio parrocchiale va riportato perché mostra il livello a cui la resistenza si manifestò. Nel dicembre 1984 una parrocchia di Colonia rifiutò di accogliere il primo parroco dell'Opus Dei della Germania Ovest, padre Peter Irrgang, che fu poi accolto dalla piccola comunità di Kreuzweingarten. La notizia è riportata dal \Christian Science Monitor\ del 31 dicembre 1984.</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perché è a doppio taglio. L'episodio documenta al tempo stesso una reticenza a livello di singola parrocchia e la persistente accoglienza a livello diocesano — poiché fu l'arcidiocesi ad assegnare il parroco, e un'altra comunità della medesima arcidiocesi ad accoglierlo.</w:t>
      </w:r>
    </w:p>
    <w:p>
      <w:pPr>
        <w:spacing w:after="120" w:line="276"/>
        <w:jc w:val="both"/>
      </w:pPr>
      <w:r>
        <w:rPr>
          <w:rFonts w:ascii="Barlow Semi Condensed" w:cs="Barlow Semi Condensed" w:eastAsia="Barlow Semi Condensed" w:hAnsi="Barlow Semi Condensed"/>
          <w:b/>
          <w:bCs/>
          <w:sz w:val="24"/>
          <w:szCs w:val="24"/>
        </w:rPr>
        <w:t xml:space="preserve">Quanto alla gerarchia, un esito negativo va dichiarato.\\ \\Non risulta dalle fonti reperite una presa di posizione formale e negativa della Conferenza episcopale tedesca contro l'ente.</w:t>
      </w:r>
    </w:p>
    <w:p>
      <w:pPr>
        <w:spacing w:after="120" w:line="276"/>
        <w:jc w:val="both"/>
      </w:pPr>
      <w:r>
        <w:rPr>
          <w:rFonts w:ascii="Barlow Semi Condensed" w:cs="Barlow Semi Condensed" w:eastAsia="Barlow Semi Condensed" w:hAnsi="Barlow Semi Condensed"/>
          <w:b/>
          <w:bCs/>
          <w:sz w:val="24"/>
          <w:szCs w:val="24"/>
        </w:rPr>
        <w:t xml:space="preserve">Il quadro canonico coevo. L'erezione a prelatura personale con la costituzione apostolica \Ut sit\, datata 28 novembre 1982 con atto esecutivo del 19 marzo 1983, fu preceduta — secondo la fonte ufficiale — dalla consultazione degli oltre duemila vescovi delle diocesi in cui l'ente era presente, fra cui gli ordinari tedeschi; ed è documentata una dichiarazione di Álvaro del Portillo alla Conferenza episcopale tedesca, pubblicata dall'ufficio stampa dell'arcidiocesi di Colonia il 3 settembre 1983.</w:t>
      </w:r>
    </w:p>
    <w:p>
      <w:pPr>
        <w:spacing w:after="120" w:line="276"/>
        <w:jc w:val="both"/>
      </w:pPr>
      <w:r>
        <w:rPr>
          <w:rFonts w:ascii="Barlow Semi Condensed" w:cs="Barlow Semi Condensed" w:eastAsia="Barlow Semi Condensed" w:hAnsi="Barlow Semi Condensed"/>
          <w:b/>
          <w:bCs/>
          <w:sz w:val="24"/>
          <w:szCs w:val="24"/>
        </w:rPr>
        <w:t xml:space="preserve">Sulla posizione dei partiti dell'Unione verso l'ente si registra Stato Zero. Le fonti reperite non documentano una posizione ufficiale di partito. La sede di accertamento è l'Archiv für Christlich-Demokratische Politik della Konrad-Adenauer-Stiftung.</w:t>
      </w:r>
    </w:p>
    <w:p>
      <w:pPr>
        <w:spacing w:after="120" w:line="276"/>
        <w:jc w:val="both"/>
      </w:pPr>
      <w:r>
        <w:rPr>
          <w:rFonts w:ascii="Barlow Semi Condensed" w:cs="Barlow Semi Condensed" w:eastAsia="Barlow Semi Condensed" w:hAnsi="Barlow Semi Condensed"/>
          <w:b/>
          <w:bCs/>
          <w:sz w:val="24"/>
          <w:szCs w:val="24"/>
        </w:rPr>
        <w:t xml:space="preserve">Una nota sulla presenza pubblica dei membri, e vale come applicazione della prescrizione. Il membro tedesco di maggiore rilievo accademico documentato è Fernando Inciarte, ordinario a Münster; ma era di origine spagnola, fra i primissimi arrivati del 1952, e non un tedesco autoctono reclutato in loco — circostanza che va segnalata per non falsare il quadro. Non risultano, dalle fonti reperite, membri tedeschi autoctoni in posizioni pubbliche o economiche di primo piano documentati per il periodo con fonti affidabili.</w:t>
      </w:r>
    </w:p>
    <w:p>
      <w:pPr>
        <w:spacing w:after="120" w:line="276"/>
        <w:jc w:val="both"/>
      </w:pPr>
      <w:r>
        <w:rPr>
          <w:rFonts w:ascii="Barlow Semi Condensed" w:cs="Barlow Semi Condensed" w:eastAsia="Barlow Semi Condensed" w:hAnsi="Barlow Semi Condensed"/>
          <w:b/>
          <w:bCs/>
          <w:sz w:val="24"/>
          <w:szCs w:val="24"/>
        </w:rPr>
        <w:t xml:space="preserve">E si ribadisce che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nono — Moro e la Germania: il residuo che resta aperto</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 sul versante moroteo tedesco le due ricognizioni anteriori hanno già esaurito il reperibile, e ciò che resta è iscritto in tavola.</w:t>
      </w:r>
    </w:p>
    <w:p>
      <w:pPr>
        <w:spacing w:after="120" w:line="276"/>
        <w:jc w:val="both"/>
      </w:pPr>
      <w:r>
        <w:rPr>
          <w:rFonts w:ascii="Barlow Semi Condensed" w:cs="Barlow Semi Condensed" w:eastAsia="Barlow Semi Condensed" w:hAnsi="Barlow Semi Condensed"/>
          <w:b/>
          <w:bCs/>
          <w:sz w:val="24"/>
          <w:szCs w:val="24"/>
        </w:rPr>
        <w:t xml:space="preserve">Che cosa è accertato, e non si ripete. I due mandati, dal 5 agosto 1969 al 26 giugno 1972 e dal 7 luglio 1973 al 23 novembre 1974; il bilaterale Moro-Brandt del 31 agosto e 1 settembre 1969 a Roma, quando Brandt era ancora ministro degli Esteri della Grande Coalizione; le visite di Brandt a Roma del 12-14 luglio e 23-25 novembre 1970; la presenza di Moro accanto a Emilio Colombo a Bonn nel 1971 in un ricevimento all'Ambasciata d'Italia cui parteciparono anche Scheel e Genscher, documentata dai filmati amatoriali dell'ambasciatore Mario Luciolli; il Vertice dell'Aja del 1-2 dicembre 1969 con il ruolo marginale dell'Italia e il braccio di ferro con Pompidou sull'ingresso britannico; il riconoscimento italiano della Repubblica Democratica Tedesca del 17 gennaio 1973, caduto fra i due mandati con ministro Giuseppe Medici.</w:t>
      </w:r>
    </w:p>
    <w:p>
      <w:pPr>
        <w:spacing w:after="120" w:line="276"/>
        <w:jc w:val="both"/>
      </w:pPr>
      <w:r>
        <w:rPr>
          <w:rFonts w:ascii="Barlow Semi Condensed" w:cs="Barlow Semi Condensed" w:eastAsia="Barlow Semi Condensed" w:hAnsi="Barlow Semi Condensed"/>
          <w:b/>
          <w:bCs/>
          <w:sz w:val="24"/>
          <w:szCs w:val="24"/>
        </w:rPr>
        <w:t xml:space="preserve">Che cosa resta non conseguito, ed è la seconda voce della tavola. La posizione italiana su ciascuno dei cinque atti della Ostpolitik — Mosca 1970, Varsavia 1970, Berlino 1971, Trattato fondamentale 1972, ingresso alle Nazioni Unite 1973 — e la conferma nominativa e datata degli incontri Moro-Scheel.</w:t>
      </w:r>
    </w:p>
    <w:p>
      <w:pPr>
        <w:spacing w:after="120" w:line="276"/>
        <w:jc w:val="both"/>
      </w:pPr>
      <w:r>
        <w:rPr>
          <w:rFonts w:ascii="Barlow Semi Condensed" w:cs="Barlow Semi Condensed" w:eastAsia="Barlow Semi Condensed" w:hAnsi="Barlow Semi Condensed"/>
          <w:b/>
          <w:bCs/>
          <w:sz w:val="24"/>
          <w:szCs w:val="24"/>
        </w:rPr>
        <w:t xml:space="preserve">Un elemento va aggiunto perché la ricerca tedesca lo ha prodotto e le due anteriori no. Lo studio di Laura Fasanaro intitola un paragrafo dopo il riconoscimento, Moro incontra Honecker; e il recensore Francesco Di Palma, su \sehepunkte\ nel 2018, sintetizza la tesi dell'autrice attestando che le origini di questi rapporti presuntamente privilegiati risalgono all'azione del politico democristiano Aldo Moro, fautore di una coerente politica di distensione verso gli Stati del blocco orientale, intesa a promuovere in modo differenziato il dialogo con Paesi realsocialisti selezionati, anzitutto la Repubblica Democratica Tedesca.</w:t>
      </w:r>
    </w:p>
    <w:p>
      <w:pPr>
        <w:spacing w:after="120" w:line="276"/>
        <w:jc w:val="both"/>
      </w:pPr>
      <w:r>
        <w:rPr>
          <w:rFonts w:ascii="Barlow Semi Condensed" w:cs="Barlow Semi Condensed" w:eastAsia="Barlow Semi Condensed" w:hAnsi="Barlow Semi Condensed"/>
          <w:b/>
          <w:bCs/>
          <w:sz w:val="24"/>
          <w:szCs w:val="24"/>
        </w:rPr>
        <w:t xml:space="preserve">Ne discende una qualificazione della posizione morotea che le ricognizioni anteriori non avevano: non semplice allineamento alla distensione altrui, ma politica propria e differenziata verso l'Est, di cui il riconoscimento del 1973 fu esito e non origine.</w:t>
      </w:r>
    </w:p>
    <w:p>
      <w:pPr>
        <w:spacing w:after="120" w:line="276"/>
        <w:jc w:val="both"/>
      </w:pPr>
      <w:r>
        <w:rPr>
          <w:rFonts w:ascii="Barlow Semi Condensed" w:cs="Barlow Semi Condensed" w:eastAsia="Barlow Semi Condensed" w:hAnsi="Barlow Semi Condensed"/>
          <w:b/>
          <w:bCs/>
          <w:sz w:val="24"/>
          <w:szCs w:val="24"/>
        </w:rPr>
        <w:t xml:space="preserve">Va però segnalato che la sintesi è del recensore e attribuisce a Moro un ruolo di origine per rapporti che si sviluppano dopo il 1973, cioè in larga parte fuori dai suoi mandati ministeriali. La distinzione fra ministro degli Esteri e presidente del Consiglio va mantenuta.</w:t>
      </w:r>
    </w:p>
    <w:p>
      <w:pPr>
        <w:spacing w:after="120" w:line="276"/>
        <w:jc w:val="both"/>
      </w:pPr>
      <w:r>
        <w:rPr>
          <w:rFonts w:ascii="Barlow Semi Condensed" w:cs="Barlow Semi Condensed" w:eastAsia="Barlow Semi Condensed" w:hAnsi="Barlow Semi Condensed"/>
          <w:b/>
          <w:bCs/>
          <w:sz w:val="24"/>
          <w:szCs w:val="24"/>
        </w:rPr>
        <w:t xml:space="preserve">Uno strumento va segnalato perché copre esattamente il periodo che il volume di Fasanaro lascia in ombra. La tesi di dottorato di Filippo Triola, discussa all'Università di Bologna, sulle relazioni italo-tedesche; la parte edita, confluita nel volume \L'alleato naturale\, Le Monnier 2017, copre prevalentemente il 1945-1955, ma il testo integrale andrebbe consultato per il 1963-1972.</w:t>
      </w:r>
    </w:p>
    <w:p>
      <w:pPr>
        <w:pStyle w:val="Heading2"/>
        <w:spacing w:after="100" w:before="200"/>
      </w:pPr>
      <w:r>
        <w:rPr>
          <w:rFonts w:ascii="Barlow Semi Condensed" w:cs="Barlow Semi Condensed" w:eastAsia="Barlow Semi Condensed" w:hAnsi="Barlow Semi Condensed"/>
          <w:sz w:val="24"/>
          <w:szCs w:val="24"/>
        </w:rPr>
        <w:t xml:space="preserve">Capitolo decimo — Che cosa la revisione lascia in piedi e che cosa abbatte</w:t>
      </w:r>
    </w:p>
    <w:p>
      <w:pPr>
        <w:spacing w:after="120" w:line="276"/>
        <w:jc w:val="both"/>
      </w:pPr>
      <w:r>
        <w:rPr>
          <w:rFonts w:ascii="Barlow Semi Condensed" w:cs="Barlow Semi Condensed" w:eastAsia="Barlow Semi Condensed" w:hAnsi="Barlow Semi Condensed"/>
          <w:b/>
          <w:bCs/>
          <w:sz w:val="24"/>
          <w:szCs w:val="24"/>
        </w:rPr>
        <w:t xml:space="preserve">Il capitolo espone il bilancio formale dell'atto, perché sia chiaro che cosa nel corpus resta valido e che cosa va emendato.</w:t>
      </w:r>
    </w:p>
    <w:p>
      <w:pPr>
        <w:spacing w:after="120" w:line="276"/>
        <w:jc w:val="both"/>
      </w:pPr>
      <w:r>
        <w:rPr>
          <w:rFonts w:ascii="Barlow Semi Condensed" w:cs="Barlow Semi Condensed" w:eastAsia="Barlow Semi Condensed" w:hAnsi="Barlow Semi Condensed"/>
          <w:b/>
          <w:bCs/>
          <w:sz w:val="24"/>
          <w:szCs w:val="24"/>
        </w:rPr>
        <w:t xml:space="preserve">Che cosa è abbattuto. La prima condizione della proposizione dell'ottava ricognizione — la maggioranza cattolica della popolazione — è falsificata e va espunta. Il caso che la falsifica non è uno ma tre: Gran Bretagna 1946, Germania 1952, Svezia 1984, tutti Paesi a maggioranza protestante in cui l'ente si insediò.</w:t>
      </w:r>
    </w:p>
    <w:p>
      <w:pPr>
        <w:spacing w:after="120" w:line="276"/>
        <w:jc w:val="both"/>
      </w:pPr>
      <w:r>
        <w:rPr>
          <w:rFonts w:ascii="Barlow Semi Condensed" w:cs="Barlow Semi Condensed" w:eastAsia="Barlow Semi Condensed" w:hAnsi="Barlow Semi Condensed"/>
          <w:b/>
          <w:bCs/>
          <w:sz w:val="24"/>
          <w:szCs w:val="24"/>
        </w:rPr>
        <w:t xml:space="preserve">Che cosa resta in piedi. La seconda condizione — il ceto universitario e professionale cattolico autoctono — regge, ed è confermata da tutti i casi esaminati: presente e organizzato in Germania, presente e minoritario ma organizzato in Gran Bretagna, assente in Grecia, Cipro e Turchia, assente in Svezia dove infatti l'insediamento avviene per trapianto.</w:t>
      </w:r>
    </w:p>
    <w:p>
      <w:pPr>
        <w:spacing w:after="120" w:line="276"/>
        <w:jc w:val="both"/>
      </w:pPr>
      <w:r>
        <w:rPr>
          <w:rFonts w:ascii="Barlow Semi Condensed" w:cs="Barlow Semi Condensed" w:eastAsia="Barlow Semi Condensed" w:hAnsi="Barlow Semi Condensed"/>
          <w:b/>
          <w:bCs/>
          <w:sz w:val="24"/>
          <w:szCs w:val="24"/>
        </w:rPr>
        <w:t xml:space="preserve">Che cosa è aggiunto. La distinzione fra radicamento e trapianto, che il modello originario non contemplava e che il caso svedese impone. L'ente si insedia in entrambi i casi; ma dove il ceto autoctono manca, esso importa personale anziché reclutarlo. Questa distinzione ha una conseguenza operativa: la presenza dell'ente in un elenco ufficiale non dice, di per sé, di quale delle due nature essa sia, e per accertarlo occorre guardare alla provenienza dei membri.</w:t>
      </w:r>
    </w:p>
    <w:p>
      <w:pPr>
        <w:spacing w:after="120" w:line="276"/>
        <w:jc w:val="both"/>
      </w:pPr>
      <w:r>
        <w:rPr>
          <w:rFonts w:ascii="Barlow Semi Condensed" w:cs="Barlow Semi Condensed" w:eastAsia="Barlow Semi Condensed" w:hAnsi="Barlow Semi Condensed"/>
          <w:b/>
          <w:bCs/>
          <w:sz w:val="24"/>
          <w:szCs w:val="24"/>
        </w:rPr>
        <w:t xml:space="preserve">Che cosa resta non dimostrato, e va dichiarato. Che la seconda condizione sia necessaria non è dimostrato, e non lo sarebbe nemmeno con venti casi. Occorrerebbe un caso in cui essa sussista e l'ente sia comunque assente, 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confutazione integrale resta possibile e la sua condizione va ripetuta. Il modello rivisto sarebbe falsificato dal reperimento di un insediamento radicato — non per trapianto — in un Paese privo di ceto cattolico professionale autoctono. I casi da esaminare restano quelli elencati nell'ottava ricognizione e mai studiati: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E qui va enunciata una cosa sul metodo che vale oltre l'oggetto. Il modello originario è caduto dopo due ricognizioni, per opera della ricerca che io stesso avevo indirizzato al caso avverso. Ciò è avvenuto perché la proposizione era stata formulata con la propria condizione di falsificazione esplicita e perché i casi potenzialmente confutanti erano stati elencati per nome anziché taciuti.</w:t>
      </w:r>
    </w:p>
    <w:p>
      <w:pPr>
        <w:spacing w:after="120" w:line="276"/>
        <w:jc w:val="both"/>
      </w:pPr>
      <w:r>
        <w:rPr>
          <w:rFonts w:ascii="Barlow Semi Condensed" w:cs="Barlow Semi Condensed" w:eastAsia="Barlow Semi Condensed" w:hAnsi="Barlow Semi Condensed"/>
          <w:b/>
          <w:bCs/>
          <w:sz w:val="24"/>
          <w:szCs w:val="24"/>
        </w:rPr>
        <w:t xml:space="preserve">Una proposizione che non elenchi i propri casi avversi non può essere confutata, e per ciò stesso non è una proposizione. Questo, e non l'esito, è il guadagno che la serie consegna.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nel perimetro tedesco</w:t>
      </w:r>
    </w:p>
    <w:p>
      <w:pPr>
        <w:spacing w:after="120" w:line="276"/>
        <w:jc w:val="both"/>
      </w:pPr>
      <w:r>
        <w:rPr>
          <w:rFonts w:ascii="Barlow Semi Condensed" w:cs="Barlow Semi Condensed" w:eastAsia="Barlow Semi Condensed" w:hAnsi="Barlow Semi Condensed"/>
          <w:b/>
          <w:bCs/>
          <w:sz w:val="24"/>
          <w:szCs w:val="24"/>
        </w:rPr>
        <w:t xml:space="preserve">Il capitolo raccoglie le triangolazioni,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Prima: Moro e l'Opus Dei in Germania. Stato Zero, per la terza volta nella serie. Nessun documento collega Moro all'ente in alcuna veste, né in Italia, né in Spagna, né in Portogallo, né in Germania. La ragione culturale è già stata esposta: la collocazione morotea nella FUCI, nel Movimento dei Laureati Cattolici, nella rivista \Studium\ e nella componente dossettiana è distante per teologia politica dall'ambiente dell'ente.</w:t>
      </w:r>
    </w:p>
    <w:p>
      <w:pPr>
        <w:spacing w:after="120" w:line="276"/>
        <w:jc w:val="both"/>
      </w:pPr>
      <w:r>
        <w:rPr>
          <w:rFonts w:ascii="Barlow Semi Condensed" w:cs="Barlow Semi Condensed" w:eastAsia="Barlow Semi Condensed" w:hAnsi="Barlow Semi Condensed"/>
          <w:b/>
          <w:bCs/>
          <w:sz w:val="24"/>
          <w:szCs w:val="24"/>
        </w:rPr>
        <w:t xml:space="preserve">Un elemento nuovo va però aggiunto per la Germania, e rafforza l'esito. L'ente si insediò in Germania nel 1952 su patrocinio dell'arcivescovo di Colonia, cioè attraverso il canale gerarchico diocesano. Moro operava attraverso il canale governativo e comunitario. I due canali non si incrociano, e la loro non intersezione spiega l'esito anziché limitarsi a registrarlo.</w:t>
      </w:r>
    </w:p>
    <w:p>
      <w:pPr>
        <w:spacing w:after="120" w:line="276"/>
        <w:jc w:val="both"/>
      </w:pPr>
      <w:r>
        <w:rPr>
          <w:rFonts w:ascii="Barlow Semi Condensed" w:cs="Barlow Semi Condensed" w:eastAsia="Barlow Semi Condensed" w:hAnsi="Barlow Semi Condensed"/>
          <w:b/>
          <w:bCs/>
          <w:sz w:val="24"/>
          <w:szCs w:val="24"/>
        </w:rPr>
        <w:t xml:space="preserve">Seconda: l'ente e la gerarchia tedesca. Grado alto quanto al fatto: sollecitazione attiva di Frings nel 1952, benevolenza continuativa di Höffner e Meisner. Ciò che non stabilisce: l'appartenenza personale dei tre cardinali, tesi pubblicistica non sostenuta; e alcuna condotta dell'ente in Germania, poiché il patrocinio di un ordinario attesta l'accoglienza e non l'operato.</w:t>
      </w:r>
    </w:p>
    <w:p>
      <w:pPr>
        <w:spacing w:after="120" w:line="276"/>
        <w:jc w:val="both"/>
      </w:pPr>
      <w:r>
        <w:rPr>
          <w:rFonts w:ascii="Barlow Semi Condensed" w:cs="Barlow Semi Condensed" w:eastAsia="Barlow Semi Condensed" w:hAnsi="Barlow Semi Condensed"/>
          <w:b/>
          <w:bCs/>
          <w:sz w:val="24"/>
          <w:szCs w:val="24"/>
        </w:rPr>
        <w:t xml:space="preserve">Terza: l'ente e il milieu cattolico organizzato. Grado alto. Ciò che stabilisce: che l'insediamento avvenne selettivamente sul ceto universitario renano, con nomi e date. Ciò che non stabilisce: alcun rapporto con la vita politica tedesca, sulla quale si registra Stato Zero quanto alla posizione dei partiti dell'Unione.</w:t>
      </w:r>
    </w:p>
    <w:p>
      <w:pPr>
        <w:spacing w:after="120" w:line="276"/>
        <w:jc w:val="both"/>
      </w:pPr>
      <w:r>
        <w:rPr>
          <w:rFonts w:ascii="Barlow Semi Condensed" w:cs="Barlow Semi Condensed" w:eastAsia="Barlow Semi Condensed" w:hAnsi="Barlow Semi Condensed"/>
          <w:b/>
          <w:bCs/>
          <w:sz w:val="24"/>
          <w:szCs w:val="24"/>
        </w:rPr>
        <w:t xml:space="preserve">Quarta: il rapporto fra il caso tedesco e i casi iberici. Grado medio, ed è comparativo e non relazionale. Portogallo e Germania si dispongono agli estremi opposti quanto all'accoglienza gerarchica — reticenza di Cerejeira, sollecitazione di Frings — e in entrambi l'insediamento avvenne. Ciò che questo non stabilisce: alcun rapporto fra i due casi, che sono indipendenti; è regolarità comparativa e non nesso.</w:t>
      </w:r>
    </w:p>
    <w:p>
      <w:pPr>
        <w:spacing w:after="120" w:line="276"/>
        <w:jc w:val="both"/>
      </w:pPr>
      <w:r>
        <w:rPr>
          <w:rFonts w:ascii="Barlow Semi Condensed" w:cs="Barlow Semi Condensed" w:eastAsia="Barlow Semi Condensed" w:hAnsi="Barlow Semi Condensed"/>
          <w:b/>
          <w:bCs/>
          <w:sz w:val="24"/>
          <w:szCs w:val="24"/>
        </w:rPr>
        <w:t xml:space="preserve">Il bilancio, ed è la decima volta consecutiva. Nessuna triangolazione coinvolge insieme i tre termini — Italia di Moro, Santa Sede, Opus Dei. Nel perimetro tedesco i primi due si incontrano una volta sola e in modo notevole — la sequenza Oder-Neisse della nona ricognizione, unico nesso documentato della serie — ma il terzo termine non vi compare.</w:t>
      </w:r>
    </w:p>
    <w:p>
      <w:pPr>
        <w:spacing w:after="120" w:line="276"/>
        <w:jc w:val="both"/>
      </w:pPr>
      <w:r>
        <w:rPr>
          <w:rFonts w:ascii="Barlow Semi Condensed" w:cs="Barlow Semi Condensed" w:eastAsia="Barlow Semi Condensed" w:hAnsi="Barlow Semi Condensed"/>
          <w:b/>
          <w:bCs/>
          <w:sz w:val="24"/>
          <w:szCs w:val="24"/>
        </w:rPr>
        <w:t xml:space="preserve">Una osservazione conclusiva sul perché. Dieci ricognizioni hanno cercato l'intersezione fra un ministro degli Esteri, una diplomazia pontificia e un ente di apostolato laicale. I tre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dieci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ed è la sola che possa falsificare il modello rivisto. L'esame dei casi extraeuropei — Giappone 1958, Kenya 1958, Nigeria 1965, India 1993, Kazakhistan 1997, Indonesia 2008, Sri Lanka 2011 — per verificare se in essi l'insediamento fu radicamento o trapianto, e se in alcuno di essi vi sia stato radicamento in assenza di ceto cattolico professionale autoctono. Sedi: storiografia sull'espansione dell'ente; statistiche confessionali dei singoli Paesi; provenienza dei numerari. Condizione di chiusura: il reperimento di un radicamento autoctono in Paese privo di quel ceto.</w:t>
      </w:r>
    </w:p>
    <w:p>
      <w:pPr>
        <w:spacing w:after="120" w:line="276"/>
        <w:jc w:val="both"/>
      </w:pPr>
      <w:r>
        <w:rPr>
          <w:rFonts w:ascii="Barlow Semi Condensed" w:cs="Barlow Semi Condensed" w:eastAsia="Barlow Semi Condensed" w:hAnsi="Barlow Semi Condensed"/>
          <w:b/>
          <w:bCs/>
          <w:sz w:val="24"/>
          <w:szCs w:val="24"/>
        </w:rPr>
        <w:t xml:space="preserve">Seconda voce. La consistenza numerica storica dell'insediamento tedesco per il 1952-1985 e la cronologia interna dettagliata. Sedi: Archivio Generale della Prelatura a Roma e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b/>
          <w:bCs/>
          <w:sz w:val="24"/>
          <w:szCs w:val="24"/>
        </w:rPr>
        <w:t xml:space="preserve">Terza voce. La posizione italiana sui cinque atti della Ostpolitik e la conferma nominativa e datata degli incontri Moro-Scheel. Sedi: Archivio Storico Diplomatico, serie Germania 1969-1975, con l'esclusione già accertata dei Telegrammi 1942-1970; Akten zur Auswärtigen Politik der Bundesrepublik Deutschland; Documenti Diplomatici Italiani.</w:t>
      </w:r>
    </w:p>
    <w:p>
      <w:pPr>
        <w:spacing w:after="120" w:line="276"/>
        <w:jc w:val="both"/>
      </w:pPr>
      <w:r>
        <w:rPr>
          <w:rFonts w:ascii="Barlow Semi Condensed" w:cs="Barlow Semi Condensed" w:eastAsia="Barlow Semi Condensed" w:hAnsi="Barlow Semi Condensed"/>
          <w:b/>
          <w:bCs/>
          <w:sz w:val="24"/>
          <w:szCs w:val="24"/>
        </w:rPr>
        <w:t xml:space="preserve">Quarta voce. Il testo integrale della tesi di Filippo Triola per il periodo 1963-1972, che copre esattamente il quadriennio lasciato in ombra dal volume di Fasanaro.</w:t>
      </w:r>
    </w:p>
    <w:p>
      <w:pPr>
        <w:spacing w:after="120" w:line="276"/>
        <w:jc w:val="both"/>
      </w:pPr>
      <w:r>
        <w:rPr>
          <w:rFonts w:ascii="Barlow Semi Condensed" w:cs="Barlow Semi Condensed" w:eastAsia="Barlow Semi Condensed" w:hAnsi="Barlow Semi Condensed"/>
          <w:b/>
          <w:bCs/>
          <w:sz w:val="24"/>
          <w:szCs w:val="24"/>
        </w:rPr>
        <w:t xml:space="preserve">Quinta voce.\\ La posizione ufficiale della CDU e della CSU verso l'ente. Sede: \\Archiv für Christlich-Demokratische Politik della Konrad-Adenauer-Stiftung.</w:t>
      </w:r>
    </w:p>
    <w:p>
      <w:pPr>
        <w:spacing w:after="120" w:line="276"/>
        <w:jc w:val="both"/>
      </w:pPr>
      <w:r>
        <w:rPr>
          <w:rFonts w:ascii="Barlow Semi Condensed" w:cs="Barlow Semi Condensed" w:eastAsia="Barlow Semi Condensed" w:hAnsi="Barlow Semi Condensed"/>
          <w:b/>
          <w:bCs/>
          <w:sz w:val="24"/>
          <w:szCs w:val="24"/>
        </w:rPr>
        <w:t xml:space="preserve">Sesta voce. L'interrogazione sistematica del readingroom statunitense su Opus Dei e Germania, con previsione di esito negativo da verificare.</w:t>
      </w:r>
    </w:p>
    <w:p>
      <w:pPr>
        <w:pStyle w:val="Heading2"/>
        <w:spacing w:after="100" w:before="200"/>
      </w:pPr>
      <w:r>
        <w:rPr>
          <w:rFonts w:ascii="Barlow Semi Condensed" w:cs="Barlow Semi Condensed" w:eastAsia="Barlow Semi Condensed" w:hAnsi="Barlow Semi Condensed"/>
          <w:sz w:val="24"/>
          <w:szCs w:val="24"/>
        </w:rPr>
        <w:t xml:space="preserve">Nota sul bilancio delle dieci ricognizioni.</w:t>
      </w:r>
    </w:p>
    <w:p>
      <w:pPr>
        <w:spacing w:after="120" w:line="276"/>
        <w:jc w:val="both"/>
      </w:pPr>
      <w:r>
        <w:rPr>
          <w:rFonts w:ascii="Barlow Semi Condensed" w:cs="Barlow Semi Condensed" w:eastAsia="Barlow Semi Condensed" w:hAnsi="Barlow Semi Condensed"/>
          <w:b/>
          <w:bCs/>
          <w:sz w:val="24"/>
          <w:szCs w:val="24"/>
        </w:rPr>
        <w:t xml:space="preserve">Dieci ricognizioni hanno percorso l'attività ministeriale di Moro verso Spagna, Portogallo, Grecia, Cipro, Turchia e Germania, incrociandola con la Santa Sede e con l'Opus Dei, e hanno prodotto tre ordini di risultati che conviene distinguere.</w:t>
      </w:r>
    </w:p>
    <w:p>
      <w:pPr>
        <w:spacing w:after="120" w:line="276"/>
        <w:jc w:val="both"/>
      </w:pPr>
      <w:r>
        <w:rPr>
          <w:rFonts w:ascii="Barlow Semi Condensed" w:cs="Barlow Semi Condensed" w:eastAsia="Barlow Semi Condensed" w:hAnsi="Barlow Semi Condensed"/>
          <w:b/>
          <w:bCs/>
          <w:sz w:val="24"/>
          <w:szCs w:val="24"/>
        </w:rPr>
        <w:t xml:space="preserve">Primo ordine: gli Stati Zero. Il governo italiano non compare come attore documentato in nessuno dei sei perimetri; l'Opus Dei non ha rapporti documentati con Moro in nessuno di essi; l'ente è assente da Grecia, Cipro e Turchia. Sono nove ricognizioni di risultati negativi, e sono acquisizioni.</w:t>
      </w:r>
    </w:p>
    <w:p>
      <w:pPr>
        <w:spacing w:after="120" w:line="276"/>
        <w:jc w:val="both"/>
      </w:pPr>
      <w:r>
        <w:rPr>
          <w:rFonts w:ascii="Barlow Semi Condensed" w:cs="Barlow Semi Condensed" w:eastAsia="Barlow Semi Condensed" w:hAnsi="Barlow Semi Condensed"/>
          <w:b/>
          <w:bCs/>
          <w:sz w:val="24"/>
          <w:szCs w:val="24"/>
        </w:rPr>
        <w:t xml:space="preserve">Secondo ordine: il nesso. Una sola volta, nella nona ricognizione, un rapporto fra due atti è risultato documentato e non inferito: la Santa Sede attese la ratifica del Trattato di Varsavia prima di erigere le diocesi a oriente, e la comunicazione di accompagnamento del 28 giugno 1972 si riferì espressamente al trattato — mentre il testo canonico taceva.</w:t>
      </w:r>
    </w:p>
    <w:p>
      <w:pPr>
        <w:spacing w:after="120" w:line="276"/>
        <w:jc w:val="both"/>
      </w:pPr>
      <w:r>
        <w:rPr>
          <w:rFonts w:ascii="Barlow Semi Condensed" w:cs="Barlow Semi Condensed" w:eastAsia="Barlow Semi Condensed" w:hAnsi="Barlow Semi Condensed"/>
          <w:b/>
          <w:bCs/>
          <w:sz w:val="24"/>
          <w:szCs w:val="24"/>
        </w:rPr>
        <w:t xml:space="preserve">Terzo ordine, ed è questo documento: 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b/>
          <w:bCs/>
          <w:sz w:val="24"/>
          <w:szCs w:val="24"/>
        </w:rPr>
        <w:t xml:space="preserve">Ne discende la lezione che dieci ricognizioni consegnano insieme, articolata nelle sue tre parti.</w:t>
      </w:r>
    </w:p>
    <w:p>
      <w:pPr>
        <w:spacing w:after="120" w:line="276"/>
        <w:jc w:val="both"/>
      </w:pPr>
      <w:r>
        <w:rPr>
          <w:rFonts w:ascii="Barlow Semi Condensed" w:cs="Barlow Semi Condensed" w:eastAsia="Barlow Semi Condensed" w:hAnsi="Barlow Semi Condensed"/>
          <w:b/>
          <w:bCs/>
          <w:sz w:val="24"/>
          <w:szCs w:val="24"/>
        </w:rPr>
        <w:t xml:space="preserve">L'assenza di traccia non è l'assenza dell'atto — perché gli archivi dei governi non sono accessibili, non sono indicizzati, o non sono aperti per intere epoche.</w:t>
      </w:r>
    </w:p>
    <w:p>
      <w:pPr>
        <w:spacing w:after="120" w:line="276"/>
        <w:jc w:val="both"/>
      </w:pPr>
      <w:r>
        <w:rPr>
          <w:rFonts w:ascii="Barlow Semi Condensed" w:cs="Barlow Semi Condensed" w:eastAsia="Barlow Semi Condensed" w:hAnsi="Barlow Semi Condensed"/>
          <w:b/>
          <w:bCs/>
          <w:sz w:val="24"/>
          <w:szCs w:val="24"/>
        </w:rPr>
        <w:t xml:space="preserve">Vi sono assenze che non sono lacune — perché un insieme vuoto verificato contro il registro ufficiale del soggetto è un accertamento e non un vuoto.</w:t>
      </w:r>
    </w:p>
    <w:p>
      <w:pPr>
        <w:spacing w:after="120" w:line="276"/>
        <w:jc w:val="both"/>
      </w:pPr>
      <w:r>
        <w:rPr>
          <w:rFonts w:ascii="Barlow Semi Condensed" w:cs="Barlow Semi Condensed" w:eastAsia="Barlow Semi Condensed" w:hAnsi="Barlow Semi Condensed"/>
          <w:b/>
          <w:bCs/>
          <w:sz w:val="24"/>
          <w:szCs w:val="24"/>
        </w:rPr>
        <w:t xml:space="preserve">Vi sono nessi che i documenti principali tacciono deliberatamente — perché la diplomazia scrive nell'atto ciò che vuole obbligare e nella comunicazione ciò che vuole far sapere.</w:t>
      </w:r>
    </w:p>
    <w:p>
      <w:pPr>
        <w:spacing w:after="120" w:line="276"/>
        <w:jc w:val="both"/>
      </w:pPr>
      <w:r>
        <w:rPr>
          <w:rFonts w:ascii="Barlow Semi Condensed" w:cs="Barlow Semi Condensed" w:eastAsia="Barlow Semi Condensed" w:hAnsi="Barlow Semi Condensed"/>
          <w:b/>
          <w:bCs/>
          <w:sz w:val="24"/>
          <w:szCs w:val="24"/>
        </w:rPr>
        <w:t xml:space="preserve">E vi è una quarta parte, che questo documento aggiunge e che riguarda chi scrive anziché le fonti. Una proposizione va formulata con la propria condizione di falsificazione esplicita e con i propri casi avversi elencati per nome. Il modello a due condizioni è caduto perché era stato costruito così. Se lo avessi formulato senza indicare che cosa lo avrebbe abbattuto, sarebbe ancora in piedi — e sarebbe falso.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 · Moro, La Germania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5.491 parole in 9 sezioni; la più ampia è §9 Altre sezioni, con 4.484.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122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 — Strauss E Aginter Press</w:t>
      </w:r>
    </w:p>
    <w:p>
      <w:pPr>
        <w:pStyle w:val="Heading1"/>
        <w:spacing w:after="120" w:before="240"/>
      </w:pPr>
      <w:r>
        <w:rPr>
          <w:rFonts w:ascii="Barlow Semi Condensed" w:cs="Barlow Semi Condensed" w:eastAsia="Barlow Semi Condensed" w:hAnsi="Barlow Semi Condensed"/>
          <w:sz w:val="24"/>
          <w:szCs w:val="24"/>
        </w:rPr>
        <w:t xml:space="preserve">STRAUSS E AGINTER PRESS</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Undicesima ricognizione: anatomia di una connessione falsa</w:t>
      </w:r>
    </w:p>
    <w:p>
      <w:pPr>
        <w:pStyle w:val="Heading2"/>
        <w:spacing w:after="100" w:before="200"/>
      </w:pPr>
      <w:r>
        <w:rPr>
          <w:rFonts w:ascii="Barlow Semi Condensed" w:cs="Barlow Semi Condensed" w:eastAsia="Barlow Semi Condensed" w:hAnsi="Barlow Semi Condensed"/>
          <w:sz w:val="24"/>
          <w:szCs w:val="24"/>
        </w:rPr>
        <w:t xml:space="preserve">L'affare Spiegel come termine di controllo. La contaminazione per prossimita</w:t>
      </w:r>
    </w:p>
    <w:p>
      <w:pPr>
        <w:pStyle w:val="Heading2"/>
        <w:spacing w:after="100" w:before="200"/>
      </w:pPr>
      <w:r>
        <w:rPr>
          <w:rFonts w:ascii="Barlow Semi Condensed" w:cs="Barlow Semi Condensed" w:eastAsia="Barlow Semi Condensed" w:hAnsi="Barlow Semi Condensed"/>
          <w:sz w:val="24"/>
          <w:szCs w:val="24"/>
        </w:rPr>
        <w:t xml:space="preserve">Dodici Capitoli — tre criteri generali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Che cosa questo documento fa di diverso</w:t>
      </w:r>
    </w:p>
    <w:p>
      <w:pPr>
        <w:spacing w:after="120" w:line="276"/>
        <w:jc w:val="both"/>
      </w:pPr>
      <w:r>
        <w:rPr>
          <w:rFonts w:ascii="Barlow Semi Condensed" w:cs="Barlow Semi Condensed" w:eastAsia="Barlow Semi Condensed" w:hAnsi="Barlow Semi Condensed"/>
          <w:b/>
          <w:bCs/>
          <w:sz w:val="24"/>
          <w:szCs w:val="24"/>
        </w:rPr>
        <w:t xml:space="preserve">È l'undicesima ricognizione, e la seconda sul perimetro Strauß-Aginter Press. La prima aveva accertato un esito negativo; questa fa qualcosa di più utile: isola la singola affermazione che sostiene il nesso, ne trova l'origine, e ricostruisce il meccanismo per cui essa ha acquisito una credibilità che non possiede.</w:t>
      </w:r>
    </w:p>
    <w:p>
      <w:pPr>
        <w:spacing w:after="120" w:line="276"/>
        <w:jc w:val="both"/>
      </w:pPr>
      <w:r>
        <w:rPr>
          <w:rFonts w:ascii="Barlow Semi Condensed" w:cs="Barlow Semi Condensed" w:eastAsia="Barlow Semi Condensed" w:hAnsi="Barlow Semi Condensed"/>
          <w:b/>
          <w:bCs/>
          <w:sz w:val="24"/>
          <w:szCs w:val="24"/>
        </w:rPr>
        <w:t xml:space="preserve">La differenza va enunciata perché è metodologica.\\ Dichiarare che una connessione non è documentata lascia intatta la domanda su perché tanti la ritengano documentata. \\Questo documento risponde anche a quella.</w:t>
      </w:r>
    </w:p>
    <w:p>
      <w:pPr>
        <w:spacing w:after="120" w:line="276"/>
        <w:jc w:val="both"/>
      </w:pPr>
      <w:r>
        <w:rPr>
          <w:rFonts w:ascii="Barlow Semi Condensed" w:cs="Barlow Semi Condensed" w:eastAsia="Barlow Semi Condensed" w:hAnsi="Barlow Semi Condensed"/>
          <w:b/>
          <w:bCs/>
          <w:sz w:val="24"/>
          <w:szCs w:val="24"/>
        </w:rPr>
        <w:t xml:space="preserve">L'affermazione, isolata. I giornalisti Egmont R. Koch e Oliver Schröm, nel documentario della rete televisiva pubblica tedesca della serie \Kennzeichen D\, puntata \BND-Schmiergeld\, trasmessa il 16 febbraio 2000, sostennero che documenti da loro portati alla luce mostrerebbero contatti stretti di agenti di Aginter Press con Marcel Hepp, allora referente personale del presidente della CSU Franz Josef Strauß; che un agente di Aginter sarebbe stato in contatto diretto con Strauß; che i documenti conterrebbero una lista di nomi in codice di finanziatori tedeschi sotto l'intestazione Industry; e che Strauß avrebbe sostenuto ripetutamente con denaro contante i propri amici politici in Spagna e in Italia, con il collaboratore Dieter Huber come corriere.</w:t>
      </w:r>
    </w:p>
    <w:p>
      <w:pPr>
        <w:spacing w:after="120" w:line="276"/>
        <w:jc w:val="both"/>
      </w:pPr>
      <w:r>
        <w:rPr>
          <w:rFonts w:ascii="Barlow Semi Condensed" w:cs="Barlow Semi Condensed" w:eastAsia="Barlow Semi Condensed" w:hAnsi="Barlow Semi Condensed"/>
          <w:b/>
          <w:bCs/>
          <w:sz w:val="24"/>
          <w:szCs w:val="24"/>
        </w:rPr>
        <w:t xml:space="preserve">È questa, e soltanto questa, la fonte di ogni affermazione circolante di un nesso Strauß-Aginter.</w:t>
      </w:r>
    </w:p>
    <w:p>
      <w:pPr>
        <w:spacing w:after="120" w:line="276"/>
        <w:jc w:val="both"/>
      </w:pPr>
      <w:r>
        <w:rPr>
          <w:rFonts w:ascii="Barlow Semi Condensed" w:cs="Barlow Semi Condensed" w:eastAsia="Barlow Semi Condensed" w:hAnsi="Barlow Semi Condensed"/>
          <w:b/>
          <w:bCs/>
          <w:sz w:val="24"/>
          <w:szCs w:val="24"/>
        </w:rPr>
        <w:t xml:space="preserve">Che cosa la manca, elencato. Non risulta alcuna fonte accademica peer-reviewed che riproduca l'allegazione. Nessun documento parlamentare tedesco. Nessuna sentenza. Nessun documento d'archivio con segnatura. I documenti sono descritti soltanto come materiale portato alla luce dai giornalisti, senza indicazione di archivio, fondo o segnatura. Le quantificazioni specifiche — la lista sotto l'intestazione \Industry\, pagamenti fino a centomila marchi, ricevute di donazione, il ruolo di corriere di Huber — compaiono soltanto come asserzioni della narrazione del documentario.</w:t>
      </w:r>
    </w:p>
    <w:p>
      <w:pPr>
        <w:spacing w:after="120" w:line="276"/>
        <w:jc w:val="both"/>
      </w:pPr>
      <w:r>
        <w:rPr>
          <w:rFonts w:ascii="Barlow Semi Condensed" w:cs="Barlow Semi Condensed" w:eastAsia="Barlow Semi Condensed" w:hAnsi="Barlow Semi Condensed"/>
          <w:b/>
          <w:bCs/>
          <w:sz w:val="24"/>
          <w:szCs w:val="24"/>
        </w:rPr>
        <w:t xml:space="preserve">Ogni ripresa successiva rinvia al medesimo documentario.</w:t>
      </w:r>
    </w:p>
    <w:p>
      <w:pPr>
        <w:spacing w:after="120" w:line="276"/>
        <w:jc w:val="both"/>
      </w:pPr>
      <w:r>
        <w:rPr>
          <w:rFonts w:ascii="Barlow Semi Condensed" w:cs="Barlow Semi Condensed" w:eastAsia="Barlow Semi Condensed" w:hAnsi="Barlow Semi Condensed"/>
          <w:b/>
          <w:bCs/>
          <w:sz w:val="24"/>
          <w:szCs w:val="24"/>
        </w:rPr>
        <w:t xml:space="preserve">E qui il meccanismo, che è il contributo di questo studio. L'opera più citata sul tema Aginter — quella di Daniele Ganser — non contiene l'allegazione Strauß-Hepp-Huber. Ma le fonti che la riportano la accostano ad altri fatti Aginter meglio documentati: i rapporti con la Central Intelligence Agency e la polizia politica portoghese, la relazione Pellegrino, l'istruttoria Salvini.</w:t>
      </w:r>
    </w:p>
    <w:p>
      <w:pPr>
        <w:spacing w:after="120" w:line="276"/>
        <w:jc w:val="both"/>
      </w:pPr>
      <w:r>
        <w:rPr>
          <w:rFonts w:ascii="Barlow Semi Condensed" w:cs="Barlow Semi Condensed" w:eastAsia="Barlow Semi Condensed" w:hAnsi="Barlow Semi Condensed"/>
          <w:b/>
          <w:bCs/>
          <w:sz w:val="24"/>
          <w:szCs w:val="24"/>
        </w:rPr>
        <w:t xml:space="preserve">L'accostamento genera l'impressione ingannevole di un sostegno scientifico esteso anche alla parte relativa a Strauß. L'affermazione debole prende in prestito la credibilità di quelle forti che le stanno accanto, senza averne il fondamento.</w:t>
      </w:r>
    </w:p>
    <w:p>
      <w:pPr>
        <w:spacing w:after="120" w:line="276"/>
        <w:jc w:val="both"/>
      </w:pPr>
      <w:r>
        <w:rPr>
          <w:rFonts w:ascii="Barlow Semi Condensed" w:cs="Barlow Semi Condensed" w:eastAsia="Barlow Semi Condensed" w:hAnsi="Barlow Semi Condensed"/>
          <w:b/>
          <w:bCs/>
          <w:sz w:val="24"/>
          <w:szCs w:val="24"/>
        </w:rPr>
        <w:t xml:space="preserve">Questo è il meccanismo, e ha un nome che vale la pena fissare: contaminazione per prossimità.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b/>
          <w:bCs/>
          <w:sz w:val="24"/>
          <w:szCs w:val="24"/>
        </w:rPr>
        <w:t xml:space="preserve">Sul termine di controllo. Il capitolo secondo espone l'affare Spiegel del 1962, che è il solo episodio pienamente documentato in cui Strauß impiegò un canale di polizia in un regime autoritario iberico. Esso serve da controprova: mostra che aspetto ha, nei documenti, un contatto reale — e per contrasto quanto poco somigli a ciò che l'allegazione del 2000 asserisce.</w:t>
      </w:r>
    </w:p>
    <w:p>
      <w:pPr>
        <w:pStyle w:val="Heading2"/>
        <w:spacing w:after="100" w:before="200"/>
      </w:pPr>
      <w:r>
        <w:rPr>
          <w:rFonts w:ascii="Barlow Semi Condensed" w:cs="Barlow Semi Condensed" w:eastAsia="Barlow Semi Condensed" w:hAnsi="Barlow Semi Condensed"/>
          <w:sz w:val="24"/>
          <w:szCs w:val="24"/>
        </w:rPr>
        <w:t xml:space="preserve">Capitolo secondo — L'affare Spiegel: che aspetto ha un contatto reale</w:t>
      </w:r>
    </w:p>
    <w:p>
      <w:pPr>
        <w:spacing w:after="120" w:line="276"/>
        <w:jc w:val="both"/>
      </w:pPr>
      <w:r>
        <w:rPr>
          <w:rFonts w:ascii="Barlow Semi Condensed" w:cs="Barlow Semi Condensed" w:eastAsia="Barlow Semi Condensed" w:hAnsi="Barlow Semi Condensed"/>
          <w:b/>
          <w:bCs/>
          <w:sz w:val="24"/>
          <w:szCs w:val="24"/>
        </w:rPr>
        <w:t xml:space="preserve">Il capitolo espone il termine di controllo, e lo espone per intero perché il confronto sia possibile.</w:t>
      </w:r>
    </w:p>
    <w:p>
      <w:pPr>
        <w:spacing w:after="120" w:line="276"/>
        <w:jc w:val="both"/>
      </w:pPr>
      <w:r>
        <w:rPr>
          <w:rFonts w:ascii="Barlow Semi Condensed" w:cs="Barlow Semi Condensed" w:eastAsia="Barlow Semi Condensed" w:hAnsi="Barlow Semi Condensed"/>
          <w:b/>
          <w:bCs/>
          <w:sz w:val="24"/>
          <w:szCs w:val="24"/>
        </w:rPr>
        <w:t xml:space="preserve">L'articolo. Il 10 ottobre 1962, nel fascicolo quarantunesimo della rivista — alcune fonti indicano l'8 o 9 ottobre come uscita effettiva, e la divergenza si riporta — apparve a firma di Conrad Ahlers e Hans Schmelz l'articolo \Bedingt abwehrbereit\, fondato sui risultati dell'esercitazione atlantica Fallex 62. Esso descriveva la Bundeswehr, sulla scorta della valutazione del comando alleato, come inadeguata alla difesa in avanti, e criticava il ministro della Difesa.</w:t>
      </w:r>
    </w:p>
    <w:p>
      <w:pPr>
        <w:spacing w:after="120" w:line="276"/>
        <w:jc w:val="both"/>
      </w:pPr>
      <w:r>
        <w:rPr>
          <w:rFonts w:ascii="Barlow Semi Condensed" w:cs="Barlow Semi Condensed" w:eastAsia="Barlow Semi Condensed" w:hAnsi="Barlow Semi Condensed"/>
          <w:b/>
          <w:bCs/>
          <w:sz w:val="24"/>
          <w:szCs w:val="24"/>
        </w:rPr>
        <w:t xml:space="preserve">La perquisizione. Nella notte fra il 26 e il 27 ottobre 1962 la polizia, su impulso della procura federale, perquisì e sigillò le redazioni di Amburgo e Bonn. Rudolf Augstein si consegnò domenica 28 ottobre e rimase in custodia centotré giorni, fino al rilascio del 7 febbraio 1963; Hans Schmelz fu rilasciato dopo ottantuno giorni.</w:t>
      </w:r>
    </w:p>
    <w:p>
      <w:pPr>
        <w:spacing w:after="120" w:line="276"/>
        <w:jc w:val="both"/>
      </w:pPr>
      <w:r>
        <w:rPr>
          <w:rFonts w:ascii="Barlow Semi Condensed" w:cs="Barlow Semi Condensed" w:eastAsia="Barlow Semi Condensed" w:hAnsi="Barlow Semi Condensed"/>
          <w:b/>
          <w:bCs/>
          <w:sz w:val="24"/>
          <w:szCs w:val="24"/>
        </w:rPr>
        <w:t xml:space="preserve">E adesso il canale spagnolo, che è il punto. Ahlers, in vacanza con la moglie a Torremolinos, fu arrestato dalla polizia spagnola. Ma la richiesta non passò per la Dirección General de Seguridad né per la Guardia Civil come apparato di prima istanza: passò per l'addetto militare presso l'ambasciata tedesca a Madrid, il colonnello Achim Oster.</w:t>
      </w:r>
    </w:p>
    <w:p>
      <w:pPr>
        <w:spacing w:after="120" w:line="276"/>
        <w:jc w:val="both"/>
      </w:pPr>
      <w:r>
        <w:rPr>
          <w:rFonts w:ascii="Barlow Semi Condensed" w:cs="Barlow Semi Condensed" w:eastAsia="Barlow Semi Condensed" w:hAnsi="Barlow Semi Condensed"/>
          <w:b/>
          <w:bCs/>
          <w:sz w:val="24"/>
          <w:szCs w:val="24"/>
        </w:rPr>
        <w:t xml:space="preserve">Strauß telefonò personalmente a Oster nella notte fra il 26 e il 27 ottobre.</w:t>
      </w:r>
    </w:p>
    <w:p>
      <w:pPr>
        <w:spacing w:after="120" w:line="276"/>
        <w:jc w:val="both"/>
      </w:pPr>
      <w:r>
        <w:rPr>
          <w:rFonts w:ascii="Barlow Semi Condensed" w:cs="Barlow Semi Condensed" w:eastAsia="Barlow Semi Condensed" w:hAnsi="Barlow Semi Condensed"/>
          <w:b/>
          <w:bCs/>
          <w:sz w:val="24"/>
          <w:szCs w:val="24"/>
        </w:rPr>
        <w:t xml:space="preserve">La ragione della telefonata personale è documentata, ed è istruttiva. Secondo la ricostruzione della fondazione democristiana, il colonnello Oster avrebbe accettato una disposizione soltanto dal ministro in persona, poiché ne conosceva la voce ma non quella del segretario di Stato Volkmar Hopf.</w:t>
      </w:r>
    </w:p>
    <w:p>
      <w:pPr>
        <w:spacing w:after="120" w:line="276"/>
        <w:jc w:val="both"/>
      </w:pPr>
      <w:r>
        <w:rPr>
          <w:rFonts w:ascii="Barlow Semi Condensed" w:cs="Barlow Semi Condensed" w:eastAsia="Barlow Semi Condensed" w:hAnsi="Barlow Semi Condensed"/>
          <w:b/>
          <w:bCs/>
          <w:sz w:val="24"/>
          <w:szCs w:val="24"/>
        </w:rPr>
        <w:t xml:space="preserve">Il contenuto. Strauß fece riferimento a un colloquio con Adenauer e all'imminente arrivo a Madrid di un ordine di arresto Interpol, e invitò Oster a chiedere assistenza amministrativa alle autorità spagnole. Queste arrestarono Ahlers e — erroneamente — anche la moglie.</w:t>
      </w:r>
    </w:p>
    <w:p>
      <w:pPr>
        <w:spacing w:after="120" w:line="276"/>
        <w:jc w:val="both"/>
      </w:pPr>
      <w:r>
        <w:rPr>
          <w:rFonts w:ascii="Barlow Semi Condensed" w:cs="Barlow Semi Condensed" w:eastAsia="Barlow Semi Condensed" w:hAnsi="Barlow Semi Condensed"/>
          <w:b/>
          <w:bCs/>
          <w:sz w:val="24"/>
          <w:szCs w:val="24"/>
        </w:rPr>
        <w:t xml:space="preserve">L'ammissione parlamentare, ed è la formula più significativa del capitolo. Il ministro dell'Interno Höcherl ammise in Aula che l'operazione era avvenuta un poco al di fuori della legalità, attraverso il traffico in corto circuito fra le polizie criminali.</w:t>
      </w:r>
    </w:p>
    <w:p>
      <w:pPr>
        <w:spacing w:after="120" w:line="276"/>
        <w:jc w:val="both"/>
      </w:pPr>
      <w:r>
        <w:rPr>
          <w:rFonts w:ascii="Barlow Semi Condensed" w:cs="Barlow Semi Condensed" w:eastAsia="Barlow Semi Condensed" w:hAnsi="Barlow Semi Condensed"/>
          <w:b/>
          <w:bCs/>
          <w:sz w:val="24"/>
          <w:szCs w:val="24"/>
        </w:rPr>
        <w:t xml:space="preserve">La qualificazione giuridica, prudente e documentata. La competenza del ministro della Difesa verso un ufficiale distaccato come addetto militare è limitata alle materie militari, mentre per il resto è competente il ministro degli Esteri, allora negli Stati Uniti; sicché l'intervento configurò presumibilmente uno sconfinamento di competenza.</w:t>
      </w:r>
    </w:p>
    <w:p>
      <w:pPr>
        <w:spacing w:after="120" w:line="276"/>
        <w:jc w:val="both"/>
      </w:pPr>
      <w:r>
        <w:rPr>
          <w:rFonts w:ascii="Barlow Semi Condensed" w:cs="Barlow Semi Condensed" w:eastAsia="Barlow Semi Condensed" w:hAnsi="Barlow Semi Condensed"/>
          <w:b/>
          <w:bCs/>
          <w:sz w:val="24"/>
          <w:szCs w:val="24"/>
        </w:rPr>
        <w:t xml:space="preserve">La sequenza delle dichiarazioni al Bundestag, per date. Il 3 novembre 1962, in un'intervista, Strauß negò di avere avuto a che fare con la vicenda. L'8 novembre, alla seconda giornata delle interrogazioni, non ammise ancora, impiegando la formula minimizzante secondo cui per via di assistenza amministrativa il ministero della Difesa aveva chiesto all'addetto militare a Madrid se quella comunicazione fosse esatta. Il 9 novembre, incalzato dalla domanda aggiuntiva di Fritz Erler sulla domanda di Karl Mommer, dovette riconoscere: fui anch'io messo in comunicazione con lui e gli ripetei quanto risultava.</w:t>
      </w:r>
    </w:p>
    <w:p>
      <w:pPr>
        <w:spacing w:after="120" w:line="276"/>
        <w:jc w:val="both"/>
      </w:pPr>
      <w:r>
        <w:rPr>
          <w:rFonts w:ascii="Barlow Semi Condensed" w:cs="Barlow Semi Condensed" w:eastAsia="Barlow Semi Condensed" w:hAnsi="Barlow Semi Condensed"/>
          <w:b/>
          <w:bCs/>
          <w:sz w:val="24"/>
          <w:szCs w:val="24"/>
        </w:rPr>
        <w:t xml:space="preserve">Il giudizio parlamentare, e va riportato per come le fonti lo formulano: Strauß aveva mentito.</w:t>
      </w:r>
    </w:p>
    <w:p>
      <w:pPr>
        <w:spacing w:after="120" w:line="276"/>
        <w:jc w:val="both"/>
      </w:pPr>
      <w:r>
        <w:rPr>
          <w:rFonts w:ascii="Barlow Semi Condensed" w:cs="Barlow Semi Condensed" w:eastAsia="Barlow Semi Condensed" w:hAnsi="Barlow Semi Condensed"/>
          <w:b/>
          <w:bCs/>
          <w:sz w:val="24"/>
          <w:szCs w:val="24"/>
        </w:rPr>
        <w:t xml:space="preserve">Ma il piano penale va distinto da quello parlamentare, e la distinzione è di metodo. La procura di Bonn qualificò la condotta come oggettivamente integrante usurpazione di funzioni e sequestro di persona, ma escluse l'elemento soggettivo, archiviando il 3 giugno 1965 il procedimento contro Strauß, Hopf e Oster.</w:t>
      </w:r>
    </w:p>
    <w:p>
      <w:pPr>
        <w:spacing w:after="120" w:line="276"/>
        <w:jc w:val="both"/>
      </w:pPr>
      <w:r>
        <w:rPr>
          <w:rFonts w:ascii="Barlow Semi Condensed" w:cs="Barlow Semi Condensed" w:eastAsia="Barlow Semi Condensed" w:hAnsi="Barlow Semi Condensed"/>
          <w:b/>
          <w:bCs/>
          <w:sz w:val="24"/>
          <w:szCs w:val="24"/>
        </w:rPr>
        <w:t xml:space="preserve">L'esito politico. Il 19 novembre 1962 si dimisero i cinque ministri liberali — Lenz, Mischnick, Scheel, Stammberger, Starke. Strauß si dimise il 30 novembre 1962; il quinto e ultimo gabinetto Adenauer si formò il 14 dicembre 1962, col rimpasto deliberato nella cinquantasettesima seduta del 12 dicembre. Sulla data delle dimissioni la pubblicistica indica talora il 5 dicembre: non è confermato dalle fonti primarie reperite.</w:t>
      </w:r>
    </w:p>
    <w:p>
      <w:pPr>
        <w:spacing w:after="120" w:line="276"/>
        <w:jc w:val="both"/>
      </w:pPr>
      <w:r>
        <w:rPr>
          <w:rFonts w:ascii="Barlow Semi Condensed" w:cs="Barlow Semi Condensed" w:eastAsia="Barlow Semi Condensed" w:hAnsi="Barlow Semi Condensed"/>
          <w:b/>
          <w:bCs/>
          <w:sz w:val="24"/>
          <w:szCs w:val="24"/>
        </w:rPr>
        <w:t xml:space="preserve">L'esito giudiziario. Il 13 maggio 1965 il terzo Strafsenat della Corte federale di giustizia rifiutò l'apertura del dibattimento contro Augstein e Ahlers per insussistenza di prove di alto tradimento. Il 5 agosto 1966 la Corte costituzionale federale, con i procedimenti 1 BvR 586/62, 610/63 e 512/64, respinse il ricorso della rivista con quattro voti contro quattro — parità di voti — fissando nondimeno i principi cardine sulla libertà di stampa come elemento essenziale dello Stato libero.</w:t>
      </w:r>
    </w:p>
    <w:p>
      <w:pPr>
        <w:spacing w:after="120" w:line="276"/>
        <w:jc w:val="both"/>
      </w:pPr>
      <w:r>
        <w:rPr>
          <w:rFonts w:ascii="Barlow Semi Condensed" w:cs="Barlow Semi Condensed" w:eastAsia="Barlow Semi Condensed" w:hAnsi="Barlow Semi Condensed"/>
          <w:b/>
          <w:bCs/>
          <w:sz w:val="24"/>
          <w:szCs w:val="24"/>
        </w:rPr>
        <w:t xml:space="preserve">Le fonti primarie sono elencabili, ed è ciò che manca all'allegazione del 2000. Protocolli di gabinetto all'Archivio federale — seduta straordinaria del 29 ottobre 1962, sedute del 20 novembre e del 12 dicembre; verbali d'aula del 7, 8 e 9 novembre 1962; stampato IV/708 con le diciotto interrogazioni urgenti presentate dalla socialdemocrazia il 5 novembre 1962.</w:t>
      </w:r>
    </w:p>
    <w:p>
      <w:pPr>
        <w:pStyle w:val="Heading2"/>
        <w:spacing w:after="100" w:before="200"/>
      </w:pPr>
      <w:r>
        <w:rPr>
          <w:rFonts w:ascii="Barlow Semi Condensed" w:cs="Barlow Semi Condensed" w:eastAsia="Barlow Semi Condensed" w:hAnsi="Barlow Semi Condensed"/>
          <w:sz w:val="24"/>
          <w:szCs w:val="24"/>
        </w:rPr>
        <w:t xml:space="preserve">Capitolo terzo — Il confronto: che cosa distingue il caso Spiegel dall'allegazione del 2000</w:t>
      </w:r>
    </w:p>
    <w:p>
      <w:pPr>
        <w:spacing w:after="120" w:line="276"/>
        <w:jc w:val="both"/>
      </w:pPr>
      <w:r>
        <w:rPr>
          <w:rFonts w:ascii="Barlow Semi Condensed" w:cs="Barlow Semi Condensed" w:eastAsia="Barlow Semi Condensed" w:hAnsi="Barlow Semi Condensed"/>
          <w:b/>
          <w:bCs/>
          <w:sz w:val="24"/>
          <w:szCs w:val="24"/>
        </w:rPr>
        <w:t xml:space="preserve">Il capitolo mette a confronto i due, e ne trae il criterio.</w:t>
      </w:r>
    </w:p>
    <w:p>
      <w:pPr>
        <w:spacing w:after="120" w:line="276"/>
        <w:jc w:val="both"/>
      </w:pPr>
      <w:r>
        <w:rPr>
          <w:rFonts w:ascii="Barlow Semi Condensed" w:cs="Barlow Semi Condensed" w:eastAsia="Barlow Semi Condensed" w:hAnsi="Barlow Semi Condensed"/>
          <w:b/>
          <w:bCs/>
          <w:sz w:val="24"/>
          <w:szCs w:val="24"/>
        </w:rPr>
        <w:t xml:space="preserve">Il caso Spiegel ha: una data, un nome, una catena di comando, una formula ammessa in Aula, un verbale parlamentare citabile per seduta, una qualificazione della procura, una sentenza costituzionale con numero di procedimento, e protocolli di gabinetto con segnatura.</w:t>
      </w:r>
    </w:p>
    <w:p>
      <w:pPr>
        <w:spacing w:after="120" w:line="276"/>
        <w:jc w:val="both"/>
      </w:pPr>
      <w:r>
        <w:rPr>
          <w:rFonts w:ascii="Barlow Semi Condensed" w:cs="Barlow Semi Condensed" w:eastAsia="Barlow Semi Condensed" w:hAnsi="Barlow Semi Condensed"/>
          <w:b/>
          <w:bCs/>
          <w:sz w:val="24"/>
          <w:szCs w:val="24"/>
        </w:rPr>
        <w:t xml:space="preserve">L'allegazione del 2000 ha: un documentario televisivo.</w:t>
      </w:r>
    </w:p>
    <w:p>
      <w:pPr>
        <w:spacing w:after="120" w:line="276"/>
        <w:jc w:val="both"/>
      </w:pPr>
      <w:r>
        <w:rPr>
          <w:rFonts w:ascii="Barlow Semi Condensed" w:cs="Barlow Semi Condensed" w:eastAsia="Barlow Semi Condensed" w:hAnsi="Barlow Semi Condensed"/>
          <w:b/>
          <w:bCs/>
          <w:sz w:val="24"/>
          <w:szCs w:val="24"/>
        </w:rPr>
        <w:t xml:space="preserve">Il confronto va fatto voce per voce perché il criterio ne emerga.</w:t>
      </w:r>
    </w:p>
    <w:p>
      <w:pPr>
        <w:spacing w:after="120" w:line="276"/>
        <w:jc w:val="both"/>
      </w:pPr>
      <w:r>
        <w:rPr>
          <w:rFonts w:ascii="Barlow Semi Condensed" w:cs="Barlow Semi Condensed" w:eastAsia="Barlow Semi Condensed" w:hAnsi="Barlow Semi Condensed"/>
          <w:b/>
          <w:bCs/>
          <w:sz w:val="24"/>
          <w:szCs w:val="24"/>
        </w:rPr>
        <w:t xml:space="preserve">Sulla provenienza dei documenti. Nel caso Spiegel ogni atto è collocato in un fondo: Archivio federale, atti parlamentari, raccolta della Corte costituzionale. Nell'allegazione del 2000 i documenti sono portati alla luce — formula che non è una collocazione archivistica ma una figura giornalistica.</w:t>
      </w:r>
    </w:p>
    <w:p>
      <w:pPr>
        <w:spacing w:after="120" w:line="276"/>
        <w:jc w:val="both"/>
      </w:pPr>
      <w:r>
        <w:rPr>
          <w:rFonts w:ascii="Barlow Semi Condensed" w:cs="Barlow Semi Condensed" w:eastAsia="Barlow Semi Condensed" w:hAnsi="Barlow Semi Condensed"/>
          <w:b/>
          <w:bCs/>
          <w:sz w:val="24"/>
          <w:szCs w:val="24"/>
        </w:rPr>
        <w:t xml:space="preserve">Sulla verificabilità. Nel caso Spiegel chiunque può leggere il verbale del 9 novembre 1962 e trovarvi la frase di Strauß. Nell'allegazione del 2000 non esiste nulla che possa essere letto, se non la trasmissione medesima.</w:t>
      </w:r>
    </w:p>
    <w:p>
      <w:pPr>
        <w:spacing w:after="120" w:line="276"/>
        <w:jc w:val="both"/>
      </w:pPr>
      <w:r>
        <w:rPr>
          <w:rFonts w:ascii="Barlow Semi Condensed" w:cs="Barlow Semi Condensed" w:eastAsia="Barlow Semi Condensed" w:hAnsi="Barlow Semi Condensed"/>
          <w:b/>
          <w:bCs/>
          <w:sz w:val="24"/>
          <w:szCs w:val="24"/>
        </w:rPr>
        <w:t xml:space="preserve">Sulla ripresa. Il caso Spiegel è trattato dalla storiografia accademica, dalle fondazioni politiche di entrambi gli schieramenti, dalle enciclopedie storiche. L'allegazione del 2000 è ripresa soltanto da aggregatori non accademici, e ciascuno rinvia al documentario.</w:t>
      </w:r>
    </w:p>
    <w:p>
      <w:pPr>
        <w:spacing w:after="120" w:line="276"/>
        <w:jc w:val="both"/>
      </w:pPr>
      <w:r>
        <w:rPr>
          <w:rFonts w:ascii="Barlow Semi Condensed" w:cs="Barlow Semi Condensed" w:eastAsia="Barlow Semi Condensed" w:hAnsi="Barlow Semi Condensed"/>
          <w:b/>
          <w:bCs/>
          <w:sz w:val="24"/>
          <w:szCs w:val="24"/>
        </w:rPr>
        <w:t xml:space="preserve">Sulla corroborazione indipendente. Il caso Spiegel è corroborato da fonti che avevano interesse opposto: la fondazione democristiana ne ricostruisce lo sconfinamento di competenza del proprio uomo. L'allegazione del 2000 non ha alcuna corroborazione, né favorevole né contraria.</w:t>
      </w:r>
    </w:p>
    <w:p>
      <w:pPr>
        <w:spacing w:after="120" w:line="276"/>
        <w:jc w:val="both"/>
      </w:pPr>
      <w:r>
        <w:rPr>
          <w:rFonts w:ascii="Barlow Semi Condensed" w:cs="Barlow Semi Condensed" w:eastAsia="Barlow Semi Condensed" w:hAnsi="Barlow Semi Condensed"/>
          <w:b/>
          <w:bCs/>
          <w:sz w:val="24"/>
          <w:szCs w:val="24"/>
        </w:rPr>
        <w:t xml:space="preserve">Ne discende il criterio, ed è il contributo del capitolo. Una connessione reale lascia tracce presso soggetti che non avevano interesse a produrle. Il caso Spiegel è documentato perché la polizia dovette verbalizzare, il Parlamento dovette interrogare, la procura dovette qualificare, la Corte dovette decidere — e nessuno di questi soggetti voleva documentare l'imbarazzo di un ministro.</w:t>
      </w:r>
    </w:p>
    <w:p>
      <w:pPr>
        <w:spacing w:after="120" w:line="276"/>
        <w:jc w:val="both"/>
      </w:pPr>
      <w:r>
        <w:rPr>
          <w:rFonts w:ascii="Barlow Semi Condensed" w:cs="Barlow Semi Condensed" w:eastAsia="Barlow Semi Condensed" w:hAnsi="Barlow Semi Condensed"/>
          <w:b/>
          <w:bCs/>
          <w:sz w:val="24"/>
          <w:szCs w:val="24"/>
        </w:rPr>
        <w:t xml:space="preserve">Una connessione allegata e non reale, al contrario, esiste soltanto presso chi la afferma.</w:t>
      </w:r>
    </w:p>
    <w:p>
      <w:pPr>
        <w:spacing w:after="120" w:line="276"/>
        <w:jc w:val="both"/>
      </w:pPr>
      <w:r>
        <w:rPr>
          <w:rFonts w:ascii="Barlow Semi Condensed" w:cs="Barlow Semi Condensed" w:eastAsia="Barlow Semi Condensed" w:hAnsi="Barlow Semi Condensed"/>
          <w:b/>
          <w:bCs/>
          <w:sz w:val="24"/>
          <w:szCs w:val="24"/>
        </w:rPr>
        <w:t xml:space="preserve">Va aggiunta una precisazione che rende il confronto onesto. Il fatto che l'allegazione del 2000 non sia documentata non prova che sia falsa. Prova che non è dimostrata, e la disciplina di questa serie impone di trattare come inesistente, ai fini dello studio, una connessione non documentata. La differenza fra non dimostrato e falso va mantenuta, e questo studio non la valica.</w:t>
      </w:r>
    </w:p>
    <w:p>
      <w:pPr>
        <w:spacing w:after="120" w:line="276"/>
        <w:jc w:val="both"/>
      </w:pPr>
      <w:r>
        <w:rPr>
          <w:rFonts w:ascii="Barlow Semi Condensed" w:cs="Barlow Semi Condensed" w:eastAsia="Barlow Semi Condensed" w:hAnsi="Barlow Semi Condensed"/>
          <w:b/>
          <w:bCs/>
          <w:sz w:val="24"/>
          <w:szCs w:val="24"/>
        </w:rPr>
        <w:t xml:space="preserve">E va aggiunto un elemento che gioca a favore dell'allegazione e va registrato per correttezza. Oliver Schröm è giornalista di riconosciuta professionalità, e la disciplina sui viventi impone di riportarne il solo fatto pubblico dell'attività giornalistica, senza inferenze. Che un'affermazione non sia documentata non squalifica chi la fa: squalifica il suo impiego come prova.</w:t>
      </w:r>
    </w:p>
    <w:p>
      <w:pPr>
        <w:pStyle w:val="Heading2"/>
        <w:spacing w:after="100" w:before="200"/>
      </w:pPr>
      <w:r>
        <w:rPr>
          <w:rFonts w:ascii="Barlow Semi Condensed" w:cs="Barlow Semi Condensed" w:eastAsia="Barlow Semi Condensed" w:hAnsi="Barlow Semi Condensed"/>
          <w:sz w:val="24"/>
          <w:szCs w:val="24"/>
        </w:rPr>
        <w:t xml:space="preserve">Capitolo quarto — Marcel Hepp e Dieter Huber: i due nomi</w:t>
      </w:r>
    </w:p>
    <w:p>
      <w:pPr>
        <w:spacing w:after="120" w:line="276"/>
        <w:jc w:val="both"/>
      </w:pPr>
      <w:r>
        <w:rPr>
          <w:rFonts w:ascii="Barlow Semi Condensed" w:cs="Barlow Semi Condensed" w:eastAsia="Barlow Semi Condensed" w:hAnsi="Barlow Semi Condensed"/>
          <w:b/>
          <w:bCs/>
          <w:sz w:val="24"/>
          <w:szCs w:val="24"/>
        </w:rPr>
        <w:t xml:space="preserve">Il capitolo verifica i due nomi su cui l'allegazione poggia, con esiti opposti.</w:t>
      </w:r>
    </w:p>
    <w:p>
      <w:pPr>
        <w:spacing w:after="120" w:line="276"/>
        <w:jc w:val="both"/>
      </w:pPr>
      <w:r>
        <w:rPr>
          <w:rFonts w:ascii="Barlow Semi Condensed" w:cs="Barlow Semi Condensed" w:eastAsia="Barlow Semi Condensed" w:hAnsi="Barlow Semi Condensed"/>
          <w:b/>
          <w:bCs/>
          <w:sz w:val="24"/>
          <w:szCs w:val="24"/>
        </w:rPr>
        <w:t xml:space="preserve">Marcel Hepp esiste ed è documentato. Nato a Langenenslingen il 2 luglio 1936, morto a Heidelberg il 9 ottobre 1970. Fu referente personale di Strauß dall'autunno 1965, su mediazione di Armin Mohler; e caporedattore ed editore delegato del Bayernkurier dal 1 maggio 1967.</w:t>
      </w:r>
    </w:p>
    <w:p>
      <w:pPr>
        <w:spacing w:after="120" w:line="276"/>
        <w:jc w:val="both"/>
      </w:pPr>
      <w:r>
        <w:rPr>
          <w:rFonts w:ascii="Barlow Semi Condensed" w:cs="Barlow Semi Condensed" w:eastAsia="Barlow Semi Condensed" w:hAnsi="Barlow Semi Condensed"/>
          <w:b/>
          <w:bCs/>
          <w:sz w:val="24"/>
          <w:szCs w:val="24"/>
        </w:rPr>
        <w:t xml:space="preserve">La sua collocazione è accertata: figura della destra intellettuale tedesca legata a Mohler e al circolo di Carl Schmitt.</w:t>
      </w:r>
    </w:p>
    <w:p>
      <w:pPr>
        <w:spacing w:after="120" w:line="276"/>
        <w:jc w:val="both"/>
      </w:pPr>
      <w:r>
        <w:rPr>
          <w:rFonts w:ascii="Barlow Semi Condensed" w:cs="Barlow Semi Condensed" w:eastAsia="Barlow Semi Condensed" w:hAnsi="Barlow Semi Condensed"/>
          <w:b/>
          <w:bCs/>
          <w:sz w:val="24"/>
          <w:szCs w:val="24"/>
        </w:rPr>
        <w:t xml:space="preserve">Ne discende che il primo nome dell'allegazione è reale, e la sua prossimità a Strauß è documentata.\\ Questo è ciò che rende l'allegazione plausibile a prima lettura: \\essa colloca un elemento non documentato accanto a un elemento documentato.</w:t>
      </w:r>
    </w:p>
    <w:p>
      <w:pPr>
        <w:spacing w:after="120" w:line="276"/>
        <w:jc w:val="both"/>
      </w:pPr>
      <w:r>
        <w:rPr>
          <w:rFonts w:ascii="Barlow Semi Condensed" w:cs="Barlow Semi Condensed" w:eastAsia="Barlow Semi Condensed" w:hAnsi="Barlow Semi Condensed"/>
          <w:b/>
          <w:bCs/>
          <w:sz w:val="24"/>
          <w:szCs w:val="24"/>
        </w:rPr>
        <w:t xml:space="preserve">Ma nessuna fonte accademica collega Hepp ad Aginter Press oltre il documentario.</w:t>
      </w:r>
    </w:p>
    <w:p>
      <w:pPr>
        <w:spacing w:after="120" w:line="276"/>
        <w:jc w:val="both"/>
      </w:pPr>
      <w:r>
        <w:rPr>
          <w:rFonts w:ascii="Barlow Semi Condensed" w:cs="Barlow Semi Condensed" w:eastAsia="Barlow Semi Condensed" w:hAnsi="Barlow Semi Condensed"/>
          <w:b/>
          <w:bCs/>
          <w:sz w:val="24"/>
          <w:szCs w:val="24"/>
        </w:rPr>
        <w:t xml:space="preserve">La distinzione va enunciata con precisione perché è il punto. È documentato che Hepp fosse referente di Strauß. È documentato che appartenesse alla destra intellettuale. Non è documentato che avesse contatti con Aginter Press. E la prima e la seconda cosa non implicano la terza, secondo la prescrizione che governa l'intera serie: l'appartenenza a un ambiente non è prova di un rapporto con un soggetto determinato di quell'ambiente.</w:t>
      </w:r>
    </w:p>
    <w:p>
      <w:pPr>
        <w:spacing w:after="120" w:line="276"/>
        <w:jc w:val="both"/>
      </w:pPr>
      <w:r>
        <w:rPr>
          <w:rFonts w:ascii="Barlow Semi Condensed" w:cs="Barlow Semi Condensed" w:eastAsia="Barlow Semi Condensed" w:hAnsi="Barlow Semi Condensed"/>
          <w:b/>
          <w:bCs/>
          <w:sz w:val="24"/>
          <w:szCs w:val="24"/>
        </w:rPr>
        <w:t xml:space="preserve">Dieter Huber, al contrario, non esiste nelle fonti.</w:t>
      </w:r>
    </w:p>
    <w:p>
      <w:pPr>
        <w:spacing w:after="120" w:line="276"/>
        <w:jc w:val="both"/>
      </w:pPr>
      <w:r>
        <w:rPr>
          <w:rFonts w:ascii="Barlow Semi Condensed" w:cs="Barlow Semi Condensed" w:eastAsia="Barlow Semi Condensed" w:hAnsi="Barlow Semi Condensed"/>
          <w:b/>
          <w:bCs/>
          <w:sz w:val="24"/>
          <w:szCs w:val="24"/>
        </w:rPr>
        <w:t xml:space="preserve">Del collaboratore indicato come corriere non esiste alcun riscontro biografico, archivistico, parlamentare o giudiziario indipendente.</w:t>
      </w:r>
    </w:p>
    <w:p>
      <w:pPr>
        <w:spacing w:after="120" w:line="276"/>
        <w:jc w:val="both"/>
      </w:pPr>
      <w:r>
        <w:rPr>
          <w:rFonts w:ascii="Barlow Semi Condensed" w:cs="Barlow Semi Condensed" w:eastAsia="Barlow Semi Condensed" w:hAnsi="Barlow Semi Condensed"/>
          <w:b/>
          <w:bCs/>
          <w:sz w:val="24"/>
          <w:szCs w:val="24"/>
        </w:rPr>
        <w:t xml:space="preserve">Questo è il ritrovamento negativo più netto del capitolo, e va enunciato per quello che è. L'allegazione attribuisce a una persona nominata una funzione operativa specifica — trasporto di denaro contante verso amici politici in Spagna e in Italia — e quella persona non è verificabile.</w:t>
      </w:r>
    </w:p>
    <w:p>
      <w:pPr>
        <w:spacing w:after="120" w:line="276"/>
        <w:jc w:val="both"/>
      </w:pPr>
      <w:r>
        <w:rPr>
          <w:rFonts w:ascii="Barlow Semi Condensed" w:cs="Barlow Semi Condensed" w:eastAsia="Barlow Semi Condensed" w:hAnsi="Barlow Semi Condensed"/>
          <w:b/>
          <w:bCs/>
          <w:sz w:val="24"/>
          <w:szCs w:val="24"/>
        </w:rPr>
        <w:t xml:space="preserve">Ne discende una asimmetria che caratterizza l'intera allegazione: il nome verificabile è quello di cui non si afferma la condotta operativa; il nome di cui si afferma la condotta operativa non è verificabile.</w:t>
      </w:r>
    </w:p>
    <w:p>
      <w:pPr>
        <w:spacing w:after="120" w:line="276"/>
        <w:jc w:val="both"/>
      </w:pPr>
      <w:r>
        <w:rPr>
          <w:rFonts w:ascii="Barlow Semi Condensed" w:cs="Barlow Semi Condensed" w:eastAsia="Barlow Semi Condensed" w:hAnsi="Barlow Semi Condensed"/>
          <w:b/>
          <w:bCs/>
          <w:sz w:val="24"/>
          <w:szCs w:val="24"/>
        </w:rPr>
        <w:t xml:space="preserve">Sulla lista Industry. L'allegazione riferisce di una lista di nomi in codice di finanziatori tedeschi sotto tale intestazione. Nessuna fonte indipendente ne attesta l'esistenza, e la sua eventuale collocazione — se essa esista — sarebbe nel fondo della polizia politica portoghese, dove nessuno degli studiosi che vi hanno lavorato la segnala.</w:t>
      </w:r>
    </w:p>
    <w:p>
      <w:pPr>
        <w:spacing w:after="120" w:line="276"/>
        <w:jc w:val="both"/>
      </w:pPr>
      <w:r>
        <w:rPr>
          <w:rFonts w:ascii="Barlow Semi Condensed" w:cs="Barlow Semi Condensed" w:eastAsia="Barlow Semi Condensed" w:hAnsi="Barlow Semi Condensed"/>
          <w:b/>
          <w:bCs/>
          <w:sz w:val="24"/>
          <w:szCs w:val="24"/>
        </w:rPr>
        <w:t xml:space="preserve">Il capitolo si chiude qui perché qui finisce ciò che si sa, e diluirlo con congetture sarebbe l'errore che questo studio serve a prevenire.</w:t>
      </w:r>
    </w:p>
    <w:p>
      <w:pPr>
        <w:pStyle w:val="Heading2"/>
        <w:spacing w:after="100" w:before="200"/>
      </w:pPr>
      <w:r>
        <w:rPr>
          <w:rFonts w:ascii="Barlow Semi Condensed" w:cs="Barlow Semi Condensed" w:eastAsia="Barlow Semi Condensed" w:hAnsi="Barlow Semi Condensed"/>
          <w:sz w:val="24"/>
          <w:szCs w:val="24"/>
        </w:rPr>
        <w:t xml:space="preserve">Capitolo quinto — Il silenzio della biografia Möller come prova per assenza</w:t>
      </w:r>
    </w:p>
    <w:p>
      <w:pPr>
        <w:spacing w:after="120" w:line="276"/>
        <w:jc w:val="both"/>
      </w:pPr>
      <w:r>
        <w:rPr>
          <w:rFonts w:ascii="Barlow Semi Condensed" w:cs="Barlow Semi Condensed" w:eastAsia="Barlow Semi Condensed" w:hAnsi="Barlow Semi Condensed"/>
          <w:b/>
          <w:bCs/>
          <w:sz w:val="24"/>
          <w:szCs w:val="24"/>
        </w:rPr>
        <w:t xml:space="preserve">Il capitolo espone un argomento negativo che ha, in questa materia, forza superiore alla media, e ne spiega la ragione.</w:t>
      </w:r>
    </w:p>
    <w:p>
      <w:pPr>
        <w:spacing w:after="120" w:line="276"/>
        <w:jc w:val="both"/>
      </w:pPr>
      <w:r>
        <w:rPr>
          <w:rFonts w:ascii="Barlow Semi Condensed" w:cs="Barlow Semi Condensed" w:eastAsia="Barlow Semi Condensed" w:hAnsi="Barlow Semi Condensed"/>
          <w:b/>
          <w:bCs/>
          <w:sz w:val="24"/>
          <w:szCs w:val="24"/>
        </w:rPr>
        <w:t xml:space="preserve">L'opera. Horst Möller, \Franz Josef Strauß. Herrscher und Rebell\, Piper, Monaco 2015, ottocentoventinove pagine, opera dell'ex direttore dell'Institut für Zeitgeschichte, fondata sull'accesso completo al lascito Strauß conservato presso l'archivio della fondazione della CSU.</w:t>
      </w:r>
    </w:p>
    <w:p>
      <w:pPr>
        <w:spacing w:after="120" w:line="276"/>
        <w:jc w:val="both"/>
      </w:pPr>
      <w:r>
        <w:rPr>
          <w:rFonts w:ascii="Barlow Semi Condensed" w:cs="Barlow Semi Condensed" w:eastAsia="Barlow Semi Condensed" w:hAnsi="Barlow Semi Condensed"/>
          <w:b/>
          <w:bCs/>
          <w:sz w:val="24"/>
          <w:szCs w:val="24"/>
        </w:rPr>
        <w:t xml:space="preserve">Il fatto.\\ \\Nessuna fonte indica che l'opera menzioni Aginter Press o Guérin-Sérac.</w:t>
      </w:r>
    </w:p>
    <w:p>
      <w:pPr>
        <w:spacing w:after="120" w:line="276"/>
        <w:jc w:val="both"/>
      </w:pPr>
      <w:r>
        <w:rPr>
          <w:rFonts w:ascii="Barlow Semi Condensed" w:cs="Barlow Semi Condensed" w:eastAsia="Barlow Semi Condensed" w:hAnsi="Barlow Semi Condensed"/>
          <w:b/>
          <w:bCs/>
          <w:sz w:val="24"/>
          <w:szCs w:val="24"/>
        </w:rPr>
        <w:t xml:space="preserve">Perché questo silenzio ha forza probatoria, e va argomentato. Se un nesso fosse esistito e avesse lasciato traccia documentale nell'archivio del partito, la sede più probabile per rinvenirlo sarebbe stata precisamente quel lascito — e l'opera che lo ha scandagliato per ottocentoventinove pagine tace.</w:t>
      </w:r>
    </w:p>
    <w:p>
      <w:pPr>
        <w:spacing w:after="120" w:line="276"/>
        <w:jc w:val="both"/>
      </w:pPr>
      <w:r>
        <w:rPr>
          <w:rFonts w:ascii="Barlow Semi Condensed" w:cs="Barlow Semi Condensed" w:eastAsia="Barlow Semi Condensed" w:hAnsi="Barlow Semi Condensed"/>
          <w:b/>
          <w:bCs/>
          <w:sz w:val="24"/>
          <w:szCs w:val="24"/>
        </w:rPr>
        <w:t xml:space="preserve">Un rafforzamento va aggiunto, e proviene dai recensori. Nessun recensore segnala tale silenzio come lacuna. Le recensioni accademiche — Philipp Gassert su \sehepunkte\, fascicolo sedicesimo del 2016 numero dieci; Gisela Diewald-Kerkmann su \H-Soz-Kult\; Rainer Blasius sulla stampa quotidiana; Franziska Augstein sulla stampa monacense — discutono l'opera anche criticamente, ma nessuna rimprovera a Möller di avere taciuto un rapporto con Aginter.</w:t>
      </w:r>
    </w:p>
    <w:p>
      <w:pPr>
        <w:spacing w:after="120" w:line="276"/>
        <w:jc w:val="both"/>
      </w:pPr>
      <w:r>
        <w:rPr>
          <w:rFonts w:ascii="Barlow Semi Condensed" w:cs="Barlow Semi Condensed" w:eastAsia="Barlow Semi Condensed" w:hAnsi="Barlow Semi Condensed"/>
          <w:b/>
          <w:bCs/>
          <w:sz w:val="24"/>
          <w:szCs w:val="24"/>
        </w:rPr>
        <w:t xml:space="preserve">Questo è notevole perché la critica non fu tenera. Franziska Augstein — figlia di Rudolf Augstein, cioè della parte offesa dell'affare Spiegel — bollò l'opera come apologetica, definendola un procedimento storiografico di ritocco fotografico.</w:t>
      </w:r>
    </w:p>
    <w:p>
      <w:pPr>
        <w:spacing w:after="120" w:line="276"/>
        <w:jc w:val="both"/>
      </w:pPr>
      <w:r>
        <w:rPr>
          <w:rFonts w:ascii="Barlow Semi Condensed" w:cs="Barlow Semi Condensed" w:eastAsia="Barlow Semi Condensed" w:hAnsi="Barlow Semi Condensed"/>
          <w:b/>
          <w:bCs/>
          <w:sz w:val="24"/>
          <w:szCs w:val="24"/>
        </w:rPr>
        <w:t xml:space="preserve">Ne discende un argomento che va enunciato per intero. La recensore che aveva il massimo interesse personale e famigliare a segnalare ogni omissione compiacente di Möller non segnalò l'omissione di Aginter. Se il nesso fosse stato noto e taciuto, quella era la persona che lo avrebbe rilevato.</w:t>
      </w:r>
    </w:p>
    <w:p>
      <w:pPr>
        <w:spacing w:after="120" w:line="276"/>
        <w:jc w:val="both"/>
      </w:pPr>
      <w:r>
        <w:rPr>
          <w:rFonts w:ascii="Barlow Semi Condensed" w:cs="Barlow Semi Condensed" w:eastAsia="Barlow Semi Condensed" w:hAnsi="Barlow Semi Condensed"/>
          <w:b/>
          <w:bCs/>
          <w:sz w:val="24"/>
          <w:szCs w:val="24"/>
        </w:rPr>
        <w:t xml:space="preserve">Il limite dell'argomento va però dichiarato, perché è un argomento dal silenzio. Esso stabilisce che il nesso non risulta dal lascito Strauß per come Möller lo ha letto; non stabilisce che il lascito non contenga carte non lette, né che il nesso non esista fuori dal lascito.</w:t>
      </w:r>
    </w:p>
    <w:p>
      <w:pPr>
        <w:spacing w:after="120" w:line="276"/>
        <w:jc w:val="both"/>
      </w:pPr>
      <w:r>
        <w:rPr>
          <w:rFonts w:ascii="Barlow Semi Condensed" w:cs="Barlow Semi Condensed" w:eastAsia="Barlow Semi Condensed" w:hAnsi="Barlow Semi Condensed"/>
          <w:b/>
          <w:bCs/>
          <w:sz w:val="24"/>
          <w:szCs w:val="24"/>
        </w:rPr>
        <w:t xml:space="preserve">La verifica definitiva richiederebbe la consultazione diretta dei fascicoli di corrispondenza estera del lascito presso l'archivio della fondazione a Monaco, ed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sesto — La verifica della commissione bavarese: esito negativo con identificazione dell'errore</w:t>
      </w:r>
    </w:p>
    <w:p>
      <w:pPr>
        <w:spacing w:after="120" w:line="276"/>
        <w:jc w:val="both"/>
      </w:pPr>
      <w:r>
        <w:rPr>
          <w:rFonts w:ascii="Barlow Semi Condensed" w:cs="Barlow Semi Condensed" w:eastAsia="Barlow Semi Condensed" w:hAnsi="Barlow Semi Condensed"/>
          <w:b/>
          <w:bCs/>
          <w:sz w:val="24"/>
          <w:szCs w:val="24"/>
        </w:rPr>
        <w:t xml:space="preserve">Il capitolo chiude un item che la ricognizione anteriore aveva lasciato aperto, e ne identifica la fonte dell'equivoco.</w:t>
      </w:r>
    </w:p>
    <w:p>
      <w:pPr>
        <w:spacing w:after="120" w:line="276"/>
        <w:jc w:val="both"/>
      </w:pPr>
      <w:r>
        <w:rPr>
          <w:rFonts w:ascii="Barlow Semi Condensed" w:cs="Barlow Semi Condensed" w:eastAsia="Barlow Semi Condensed" w:hAnsi="Barlow Semi Condensed"/>
          <w:b/>
          <w:bCs/>
          <w:sz w:val="24"/>
          <w:szCs w:val="24"/>
        </w:rPr>
        <w:t xml:space="preserve">L'indicazione da verificare. La ricognizione anteriore aveva reperito, da fonte di bassa affidabilità, l'indicazione secondo cui nel contesto di una commissione d'inchiesta del Landtag bavarese del 1982 — verosimilmente relativa all'attentato dell'Oktoberfest del 26 settembre 1980 — il nome di Aginter Press sarebbe comparso senza esiti concreti.</w:t>
      </w:r>
    </w:p>
    <w:p>
      <w:pPr>
        <w:spacing w:after="120" w:line="276"/>
        <w:jc w:val="both"/>
      </w:pPr>
      <w:r>
        <w:rPr>
          <w:rFonts w:ascii="Barlow Semi Condensed" w:cs="Barlow Semi Condensed" w:eastAsia="Barlow Semi Condensed" w:hAnsi="Barlow Semi Condensed"/>
          <w:b/>
          <w:bCs/>
          <w:sz w:val="24"/>
          <w:szCs w:val="24"/>
        </w:rPr>
        <w:t xml:space="preserve">L'esito della verifica è negativo, e va dichiarato.</w:t>
      </w:r>
    </w:p>
    <w:p>
      <w:pPr>
        <w:spacing w:after="120" w:line="276"/>
        <w:jc w:val="both"/>
      </w:pPr>
      <w:r>
        <w:rPr>
          <w:rFonts w:ascii="Barlow Semi Condensed" w:cs="Barlow Semi Condensed" w:eastAsia="Barlow Semi Condensed" w:hAnsi="Barlow Semi Condensed"/>
          <w:b/>
          <w:bCs/>
          <w:sz w:val="24"/>
          <w:szCs w:val="24"/>
        </w:rPr>
        <w:t xml:space="preserve">La documentazione consultabile sull'attentato non contiene Aginter Press. Né la scheda del lessico storico bavarese, né i resoconti della commissione giuridica e della commissione costituzionale del Landtag sulla chiusura delle indagini riaperte nel 2014 e concluse nel 2020, né il contributo accademico di Ulrich Chaussy del 2023. L'inchiesta è ricostruita attorno a Gundolf Köhler, ai contatti con la Wehrsportgruppe Hoffmann e all'accertamento della matrice di estrema destra, senza che Aginter vi compaia.</w:t>
      </w:r>
    </w:p>
    <w:p>
      <w:pPr>
        <w:spacing w:after="120" w:line="276"/>
        <w:jc w:val="both"/>
      </w:pPr>
      <w:r>
        <w:rPr>
          <w:rFonts w:ascii="Barlow Semi Condensed" w:cs="Barlow Semi Condensed" w:eastAsia="Barlow Semi Condensed" w:hAnsi="Barlow Semi Condensed"/>
          <w:b/>
          <w:bCs/>
          <w:sz w:val="24"/>
          <w:szCs w:val="24"/>
        </w:rPr>
        <w:t xml:space="preserve">E adesso l'identificazione dell'errore, che è il guadagno del capitolo. La commissione d'inchiesta bavarese del 1982 non riguardò l'attentato dell'Oktoberfest, bensì le attività dell'ex capo dei servizi bavaresi Hans Langemann — il cosiddetto affare Langemann, oggetto delle inchieste di una rivista amburghese.</w:t>
      </w:r>
    </w:p>
    <w:p>
      <w:pPr>
        <w:spacing w:after="120" w:line="276"/>
        <w:jc w:val="both"/>
      </w:pPr>
      <w:r>
        <w:rPr>
          <w:rFonts w:ascii="Barlow Semi Condensed" w:cs="Barlow Semi Condensed" w:eastAsia="Barlow Semi Condensed" w:hAnsi="Barlow Semi Condensed"/>
          <w:b/>
          <w:bCs/>
          <w:sz w:val="24"/>
          <w:szCs w:val="24"/>
        </w:rPr>
        <w:t xml:space="preserve">Ne discende che l'indicazione anteriore conteneva una sovrapposizione di due oggetti distinti: la commissione del 1982 e l'inchiesta sull'attentato del 1980. E anche nel contesto Langemann, Aginter Press non risulta menzionata nei materiali reperibili.</w:t>
      </w:r>
    </w:p>
    <w:p>
      <w:pPr>
        <w:spacing w:after="120" w:line="276"/>
        <w:jc w:val="both"/>
      </w:pPr>
      <w:r>
        <w:rPr>
          <w:rFonts w:ascii="Barlow Semi Condensed" w:cs="Barlow Semi Condensed" w:eastAsia="Barlow Semi Condensed" w:hAnsi="Barlow Semi Condensed"/>
          <w:b/>
          <w:bCs/>
          <w:sz w:val="24"/>
          <w:szCs w:val="24"/>
        </w:rPr>
        <w:t xml:space="preserve">Si dichiara pertanto l'esito negativo su entrambi i fronti: nessuna menzione di Aginter Press risulta nei verbali della commissione d'inchiesta del Landtag bavarese né negli atti parlamentari federali sull'attentato.</w:t>
      </w:r>
    </w:p>
    <w:p>
      <w:pPr>
        <w:spacing w:after="120" w:line="276"/>
        <w:jc w:val="both"/>
      </w:pPr>
      <w:r>
        <w:rPr>
          <w:rFonts w:ascii="Barlow Semi Condensed" w:cs="Barlow Semi Condensed" w:eastAsia="Barlow Semi Condensed" w:hAnsi="Barlow Semi Condensed"/>
          <w:b/>
          <w:bCs/>
          <w:sz w:val="24"/>
          <w:szCs w:val="24"/>
        </w:rPr>
        <w:t xml:space="preserve">La sede di verifica definitiva è l'Archiv des Bayerischen Landtags per i verbali delle commissioni del 1982, non digitalizzati, e il Bayerisches Hauptstaatsarchiv per i fascicoli sull'attentato trasferiti dopo il 2014, con accesso in loco.</w:t>
      </w:r>
    </w:p>
    <w:p>
      <w:pPr>
        <w:spacing w:after="120" w:line="276"/>
        <w:jc w:val="both"/>
      </w:pPr>
      <w:r>
        <w:rPr>
          <w:rFonts w:ascii="Barlow Semi Condensed" w:cs="Barlow Semi Condensed" w:eastAsia="Barlow Semi Condensed" w:hAnsi="Barlow Semi Condensed"/>
          <w:b/>
          <w:bCs/>
          <w:sz w:val="24"/>
          <w:szCs w:val="24"/>
        </w:rPr>
        <w:t xml:space="preserve">Il capitolo è deliberatamente breve e ne dichiara la ragione: il materiale non basta a costruire una trattazione più ampia, e ipotizzare al di là di esso contravverrebbe ai requisiti che governano questo studio.</w:t>
      </w:r>
    </w:p>
    <w:p>
      <w:pPr>
        <w:pStyle w:val="Heading2"/>
        <w:spacing w:after="100" w:before="200"/>
      </w:pPr>
      <w:r>
        <w:rPr>
          <w:rFonts w:ascii="Barlow Semi Condensed" w:cs="Barlow Semi Condensed" w:eastAsia="Barlow Semi Condensed" w:hAnsi="Barlow Semi Condensed"/>
          <w:sz w:val="24"/>
          <w:szCs w:val="24"/>
        </w:rPr>
        <w:t xml:space="preserve">Capitolo settimo — Aginter Press: la componente tedesca reale</w:t>
      </w:r>
    </w:p>
    <w:p>
      <w:pPr>
        <w:spacing w:after="120" w:line="276"/>
        <w:jc w:val="both"/>
      </w:pPr>
      <w:r>
        <w:rPr>
          <w:rFonts w:ascii="Barlow Semi Condensed" w:cs="Barlow Semi Condensed" w:eastAsia="Barlow Semi Condensed" w:hAnsi="Barlow Semi Condensed"/>
          <w:b/>
          <w:bCs/>
          <w:sz w:val="24"/>
          <w:szCs w:val="24"/>
        </w:rPr>
        <w:t xml:space="preserve">Il capitolo espone ciò che di tedesco è documentato in Aginter Press, e mostra che è cosa diversa da quanto l'allegazione asserisce.</w:t>
      </w:r>
    </w:p>
    <w:p>
      <w:pPr>
        <w:spacing w:after="120" w:line="276"/>
        <w:jc w:val="both"/>
      </w:pPr>
      <w:r>
        <w:rPr>
          <w:rFonts w:ascii="Barlow Semi Condensed" w:cs="Barlow Semi Condensed" w:eastAsia="Barlow Semi Condensed" w:hAnsi="Barlow Semi Condensed"/>
          <w:b/>
          <w:bCs/>
          <w:sz w:val="24"/>
          <w:szCs w:val="24"/>
        </w:rPr>
        <w:t xml:space="preserve">La denominazione e la fondazione. Aginter Press, con denominazione di copertura Ordem Central e Tradição, fu fondata a Lisbona nel settembre 1966 sotto l'Estado Novo e diretta da Yves Guérin-Sérac, pseudonimo di Yves Félix Marie Guillou, nato a Ploubezre il 2 dicembre 1926 e morto a Le Revest-les-Eaux il 9 marzo 2022. Il numero due era Robert Leroy.</w:t>
      </w:r>
    </w:p>
    <w:p>
      <w:pPr>
        <w:spacing w:after="120" w:line="276"/>
        <w:jc w:val="both"/>
      </w:pPr>
      <w:r>
        <w:rPr>
          <w:rFonts w:ascii="Barlow Semi Condensed" w:cs="Barlow Semi Condensed" w:eastAsia="Barlow Semi Condensed" w:hAnsi="Barlow Semi Condensed"/>
          <w:b/>
          <w:bCs/>
          <w:sz w:val="24"/>
          <w:szCs w:val="24"/>
        </w:rPr>
        <w:t xml:space="preserve">La struttura, secondo il rapporto del servizio informativo portoghese post-1974 riportato da Stuart Christie nel 1984: ufficio di spionaggio collegato alla polizia politica portoghese e, tramite essa, alla Central Intelligence Agency, al servizio della Germania Federale, alla Dirección General de Seguridad spagnola, al servizio sudafricano e più tardi a quello greco; centro di reclutamento e addestramento; centro di indottrinamento neofascista per Africa subsahariana, America del Sud ed Europa; e organizzazione internazionale Order and Tradition con braccio paramilitare clandestino.</w:t>
      </w:r>
    </w:p>
    <w:p>
      <w:pPr>
        <w:spacing w:after="120" w:line="276"/>
        <w:jc w:val="both"/>
      </w:pPr>
      <w:r>
        <w:rPr>
          <w:rFonts w:ascii="Barlow Semi Condensed" w:cs="Barlow Semi Condensed" w:eastAsia="Barlow Semi Condensed" w:hAnsi="Barlow Semi Condensed"/>
          <w:b/>
          <w:bCs/>
          <w:sz w:val="24"/>
          <w:szCs w:val="24"/>
        </w:rPr>
        <w:t xml:space="preserve">E qui la componente tedesca documentata, che è il punto del capitolo. Christie stima che circa il sessanta per cento del personale di Aginter fosse reclutato fra le file dell'Organisation Armée Secrète, mentre il restante proveniva da organizzazioni neonaziste dell'Europa occidentale, come il Kampfbund Deutscher Soldaten con sede a Francoforte, diretto da Eberhard Taubert.</w:t>
      </w:r>
    </w:p>
    <w:p>
      <w:pPr>
        <w:spacing w:after="120" w:line="276"/>
        <w:jc w:val="both"/>
      </w:pPr>
      <w:r>
        <w:rPr>
          <w:rFonts w:ascii="Barlow Semi Condensed" w:cs="Barlow Semi Condensed" w:eastAsia="Barlow Semi Condensed" w:hAnsi="Barlow Semi Condensed"/>
          <w:b/>
          <w:bCs/>
          <w:sz w:val="24"/>
          <w:szCs w:val="24"/>
        </w:rPr>
        <w:t xml:space="preserve">Ne discende un accertamento che va enunciato con precisione. La componente tedesca di Aginter Press è documentata, ed è neonazista e reducistica — non democristiana. Il Kampfbund Deutscher Soldaten era organizzazione di ex militari di estrema destra; Taubert era stato funzionario del ministero della propaganda del Reich.</w:t>
      </w:r>
    </w:p>
    <w:p>
      <w:pPr>
        <w:spacing w:after="120" w:line="276"/>
        <w:jc w:val="both"/>
      </w:pPr>
      <w:r>
        <w:rPr>
          <w:rFonts w:ascii="Barlow Semi Condensed" w:cs="Barlow Semi Condensed" w:eastAsia="Barlow Semi Condensed" w:hAnsi="Barlow Semi Condensed"/>
          <w:b/>
          <w:bCs/>
          <w:sz w:val="24"/>
          <w:szCs w:val="24"/>
        </w:rPr>
        <w:t xml:space="preserve">La distanza fra questo ambiente e la Christlich-Soziale Union va enunciata perché è la sostanza dell'esito negativo. Non si tratta di due soggetti che si sfiorano senza toccarsi: si tratta di due mondi politicamente antagonisti. La CSU era partito di governo della Repubblica Federale, appartenente alla famiglia democristiana europea, e negli anni Settanta i suoi fuoriusciti fondarono un partito concorrente a destra proprio perché la ritenevano insufficientemente radicale.</w:t>
      </w:r>
    </w:p>
    <w:p>
      <w:pPr>
        <w:spacing w:after="120" w:line="276"/>
        <w:jc w:val="both"/>
      </w:pPr>
      <w:r>
        <w:rPr>
          <w:rFonts w:ascii="Barlow Semi Condensed" w:cs="Barlow Semi Condensed" w:eastAsia="Barlow Semi Condensed" w:hAnsi="Barlow Semi Condensed"/>
          <w:b/>
          <w:bCs/>
          <w:sz w:val="24"/>
          <w:szCs w:val="24"/>
        </w:rPr>
        <w:t xml:space="preserve">La storiografia peer-reviewed disponibile. José Manuel Duarte de Jesus, \A Guerra Secreta de Salazar em África: Aginter Press\, Dom Quixote, 2012, duecentoquarantuno pagine, presso l'istituto di relazioni internazionali dell'Università Nuova di Lisbona; e Nicola Guerra, \Aginter Press: a transnational hub for far-right militancy and western intelligence\, in \Critical Studies on Terrorism\, volume diciannovesimo numero secondo del 2026, pagine 478-499, incentrato però sulle interconnessioni con l'intelligence statunitense e non con la CSU.</w:t>
      </w:r>
    </w:p>
    <w:p>
      <w:pPr>
        <w:spacing w:after="120" w:line="276"/>
        <w:jc w:val="both"/>
      </w:pPr>
      <w:r>
        <w:rPr>
          <w:rFonts w:ascii="Barlow Semi Condensed" w:cs="Barlow Semi Condensed" w:eastAsia="Barlow Semi Condensed" w:hAnsi="Barlow Semi Condensed"/>
          <w:b/>
          <w:bCs/>
          <w:sz w:val="24"/>
          <w:szCs w:val="24"/>
        </w:rPr>
        <w:t xml:space="preserve">Una cautela sulla fonte più citata.\\ L'opera di \\Daniele Ganser\\, \NATO's Secret Armies\, pur essendo il riferimento più diffuso, \\è considerata da parte della critica accademica una fonte controversa.</w:t>
      </w:r>
    </w:p>
    <w:p>
      <w:pPr>
        <w:spacing w:after="120" w:line="276"/>
        <w:jc w:val="both"/>
      </w:pPr>
      <w:r>
        <w:rPr>
          <w:rFonts w:ascii="Barlow Semi Condensed" w:cs="Barlow Semi Condensed" w:eastAsia="Barlow Semi Condensed" w:hAnsi="Barlow Semi Condensed"/>
          <w:b/>
          <w:bCs/>
          <w:sz w:val="24"/>
          <w:szCs w:val="24"/>
        </w:rPr>
        <w:t xml:space="preserve">Un limite documentale grave va registrato. Duarte de Jesus segnala che alcune casse di documenti di Aginter e della polizia politica finirono a Mosca nella settimana del 25 aprile 1974 o poco dopo, e sono verosimilmente perdute; e una recensione portoghese osserva che il suo stesso volume ha appena graffiato la superficie.</w:t>
      </w:r>
    </w:p>
    <w:p>
      <w:pPr>
        <w:spacing w:after="120" w:line="276"/>
        <w:jc w:val="both"/>
      </w:pPr>
      <w:r>
        <w:rPr>
          <w:rFonts w:ascii="Barlow Semi Condensed" w:cs="Barlow Semi Condensed" w:eastAsia="Barlow Semi Condensed" w:hAnsi="Barlow Semi Condensed"/>
          <w:b/>
          <w:bCs/>
          <w:sz w:val="24"/>
          <w:szCs w:val="24"/>
        </w:rPr>
        <w:t xml:space="preserve">Nessuna delle opere che hanno esaminato i documenti sequestrati attesta la presenza del nome di Strauß o della CSU.</w:t>
      </w:r>
    </w:p>
    <w:p>
      <w:pPr>
        <w:pStyle w:val="Heading2"/>
        <w:spacing w:after="100" w:before="200"/>
      </w:pPr>
      <w:r>
        <w:rPr>
          <w:rFonts w:ascii="Barlow Semi Condensed" w:cs="Barlow Semi Condensed" w:eastAsia="Barlow Semi Condensed" w:hAnsi="Barlow Semi Condensed"/>
          <w:sz w:val="24"/>
          <w:szCs w:val="24"/>
        </w:rPr>
        <w:t xml:space="preserve">Capitolo ottavo — Il trilaterale del 1957-1958: l'unico incontro documentato con un ministro italiano</w:t>
      </w:r>
    </w:p>
    <w:p>
      <w:pPr>
        <w:spacing w:after="120" w:line="276"/>
        <w:jc w:val="both"/>
      </w:pPr>
      <w:r>
        <w:rPr>
          <w:rFonts w:ascii="Barlow Semi Condensed" w:cs="Barlow Semi Condensed" w:eastAsia="Barlow Semi Condensed" w:hAnsi="Barlow Semi Condensed"/>
          <w:b/>
          <w:bCs/>
          <w:sz w:val="24"/>
          <w:szCs w:val="24"/>
        </w:rPr>
        <w:t xml:space="preserve">Il capitolo espone il solo terreno su cui l'attività ministeriale di Strauß incontri direttamente quella di un ministro italiano, e ne accerta la natura.</w:t>
      </w:r>
    </w:p>
    <w:p>
      <w:pPr>
        <w:spacing w:after="120" w:line="276"/>
        <w:jc w:val="both"/>
      </w:pPr>
      <w:r>
        <w:rPr>
          <w:rFonts w:ascii="Barlow Semi Condensed" w:cs="Barlow Semi Condensed" w:eastAsia="Barlow Semi Condensed" w:hAnsi="Barlow Semi Condensed"/>
          <w:b/>
          <w:bCs/>
          <w:sz w:val="24"/>
          <w:szCs w:val="24"/>
        </w:rPr>
        <w:t xml:space="preserve">La sequenza, per date. Il 17 gennaio 1957, a Colomb-Béchar, i ministri della Difesa francese e tedesco — Maurice Bourgès-Maunoury e Strauß — conclusero un accordo bilaterale segreto su difesa e armamenti. Il 25 novembre 1957, a Parigi, i ministri della Difesa francese, tedesco e italiano firmarono un protocollo che estendeva l'accordo alle armi nucleari, in particolare alla fabbricazione di missili balistici a raggio intermedio. L'8 aprile 1958, a Roma, Jacques Chaban-Delmas, Strauß e Paolo Emilio Taviani parafarono un accordo relativo alla costruzione di un impianto di separazione isotopica a Pierrelatte.</w:t>
      </w:r>
    </w:p>
    <w:p>
      <w:pPr>
        <w:spacing w:after="120" w:line="276"/>
        <w:jc w:val="both"/>
      </w:pPr>
      <w:r>
        <w:rPr>
          <w:rFonts w:ascii="Barlow Semi Condensed" w:cs="Barlow Semi Condensed" w:eastAsia="Barlow Semi Condensed" w:hAnsi="Barlow Semi Condensed"/>
          <w:b/>
          <w:bCs/>
          <w:sz w:val="24"/>
          <w:szCs w:val="24"/>
        </w:rPr>
        <w:t xml:space="preserve">La fine, e la sua data. Il 17 giugno 1958, nel primo Consiglio di difesa dopo il ritorno al potere di de Gaulle, il progetto fu terminato; Guillaumat fece sapere a Strauß, per incarico di de Gaulle, che bisognava dimenticare tutto ciò.</w:t>
      </w:r>
    </w:p>
    <w:p>
      <w:pPr>
        <w:spacing w:after="120" w:line="276"/>
        <w:jc w:val="both"/>
      </w:pPr>
      <w:r>
        <w:rPr>
          <w:rFonts w:ascii="Barlow Semi Condensed" w:cs="Barlow Semi Condensed" w:eastAsia="Barlow Semi Condensed" w:hAnsi="Barlow Semi Condensed"/>
          <w:b/>
          <w:bCs/>
          <w:sz w:val="24"/>
          <w:szCs w:val="24"/>
        </w:rPr>
        <w:t xml:space="preserve">Un elemento di irregolarità va registrato. L'accordo del novembre 1957 era stato firmato da Chaban senza autorizzazione di Félix Gaillard e senza avallo di de Gaulle.</w:t>
      </w:r>
    </w:p>
    <w:p>
      <w:pPr>
        <w:spacing w:after="120" w:line="276"/>
        <w:jc w:val="both"/>
      </w:pPr>
      <w:r>
        <w:rPr>
          <w:rFonts w:ascii="Barlow Semi Condensed" w:cs="Barlow Semi Condensed" w:eastAsia="Barlow Semi Condensed" w:hAnsi="Barlow Semi Condensed"/>
          <w:b/>
          <w:bCs/>
          <w:sz w:val="24"/>
          <w:szCs w:val="24"/>
        </w:rPr>
        <w:t xml:space="preserve">La storiografia. Georges-Henri Soutou, \Les accords de 1957 et 1958: vers une communauté stratégique nucléaire entre la France, l'Allemagne et l'Italie?\, in \Matériaux pour l'histoire de notre temps\, numero trentunesimo del 1993; Colette Barbier sulla rivista di storia diplomatica del 1990; Leopoldo Nuti per il versante italiano; Eckart Conze per quello tedesco; Beatrice Heuser, \The European Dream of Franz Josef Strauss\, 1998.</w:t>
      </w:r>
    </w:p>
    <w:p>
      <w:pPr>
        <w:spacing w:after="120" w:line="276"/>
        <w:jc w:val="both"/>
      </w:pPr>
      <w:r>
        <w:rPr>
          <w:rFonts w:ascii="Barlow Semi Condensed" w:cs="Barlow Semi Condensed" w:eastAsia="Barlow Semi Condensed" w:hAnsi="Barlow Semi Condensed"/>
          <w:b/>
          <w:bCs/>
          <w:sz w:val="24"/>
          <w:szCs w:val="24"/>
        </w:rPr>
        <w:t xml:space="preserve">Una distinzione va apposta. Ciò che il documento attesta è la parafatura degli accordi da parte dei tre ministri; ciò che se ne inferisce è l'esistenza di una vera comunità strategica nucleare — e Soutou stesso formula il titolo come domanda.</w:t>
      </w:r>
    </w:p>
    <w:p>
      <w:pPr>
        <w:spacing w:after="120" w:line="276"/>
        <w:jc w:val="both"/>
      </w:pPr>
      <w:r>
        <w:rPr>
          <w:rFonts w:ascii="Barlow Semi Condensed" w:cs="Barlow Semi Condensed" w:eastAsia="Barlow Semi Condensed" w:hAnsi="Barlow Semi Condensed"/>
          <w:b/>
          <w:bCs/>
          <w:sz w:val="24"/>
          <w:szCs w:val="24"/>
        </w:rPr>
        <w:t xml:space="preserve">Il rilievo per questo studio, enunciato. Questo incontro fra Strauß e Taviani è interamente riconducibile alla cooperazione atlantica e nucleare fra Stati alleati, ed è anteriore di otto anni alla fondazione di Aginter Press. Nulla nelle fonti lo collega ad Aginter.</w:t>
      </w:r>
    </w:p>
    <w:p>
      <w:pPr>
        <w:spacing w:after="120" w:line="276"/>
        <w:jc w:val="both"/>
      </w:pPr>
      <w:r>
        <w:rPr>
          <w:rFonts w:ascii="Barlow Semi Condensed" w:cs="Barlow Semi Condensed" w:eastAsia="Barlow Semi Condensed" w:hAnsi="Barlow Semi Condensed"/>
          <w:b/>
          <w:bCs/>
          <w:sz w:val="24"/>
          <w:szCs w:val="24"/>
        </w:rPr>
        <w:t xml:space="preserve">Un elemento va registrato senza inferirne nesso, e la formula è deliberata. Lo stesso Taviani, ministro della Difesa italiano dal 1953 al 1958, è indicato dalla storiografia come figura connessa alla creazione della rete stay-behind italiana.</w:t>
      </w:r>
    </w:p>
    <w:p>
      <w:pPr>
        <w:spacing w:after="120" w:line="276"/>
        <w:jc w:val="both"/>
      </w:pPr>
      <w:r>
        <w:rPr>
          <w:rFonts w:ascii="Barlow Semi Condensed" w:cs="Barlow Semi Condensed" w:eastAsia="Barlow Semi Condensed" w:hAnsi="Barlow Semi Condensed"/>
          <w:b/>
          <w:bCs/>
          <w:sz w:val="24"/>
          <w:szCs w:val="24"/>
        </w:rPr>
        <w:t xml:space="preserve">Ciò non costituisce, secondo le regole che governano questo studio, alcuna prova di un rapporto fra la sua attività ministeriale e Aginter Press o Strauß. Lo si registra perché tacerlo sarebbe scorretto, e lo si qualifica perché impiegarlo sarebbe l'errore che questo documento è scritto per prevenire.</w:t>
      </w:r>
    </w:p>
    <w:p>
      <w:pPr>
        <w:spacing w:after="120" w:line="276"/>
        <w:jc w:val="both"/>
      </w:pPr>
      <w:r>
        <w:rPr>
          <w:rFonts w:ascii="Barlow Semi Condensed" w:cs="Barlow Semi Condensed" w:eastAsia="Barlow Semi Condensed" w:hAnsi="Barlow Semi Condensed"/>
          <w:b/>
          <w:bCs/>
          <w:sz w:val="24"/>
          <w:szCs w:val="24"/>
        </w:rPr>
        <w:t xml:space="preserve">Ne discende che il solo terreno documentato di contatto Strauß-Italia è atlantico, nucleare, ministeriale e anteriore ad Aginter di quasi un decennio.</w:t>
      </w:r>
    </w:p>
    <w:p>
      <w:pPr>
        <w:pStyle w:val="Heading2"/>
        <w:spacing w:after="100" w:before="200"/>
      </w:pPr>
      <w:r>
        <w:rPr>
          <w:rFonts w:ascii="Barlow Semi Condensed" w:cs="Barlow Semi Condensed" w:eastAsia="Barlow Semi Condensed" w:hAnsi="Barlow Semi Condensed"/>
          <w:sz w:val="24"/>
          <w:szCs w:val="24"/>
        </w:rPr>
        <w:t xml:space="preserve">Capitolo nono — Il profilo ministeriale completo e gli affari di armamento</w:t>
      </w:r>
    </w:p>
    <w:p>
      <w:pPr>
        <w:spacing w:after="120" w:line="276"/>
        <w:jc w:val="both"/>
      </w:pPr>
      <w:r>
        <w:rPr>
          <w:rFonts w:ascii="Barlow Semi Condensed" w:cs="Barlow Semi Condensed" w:eastAsia="Barlow Semi Condensed" w:hAnsi="Barlow Semi Condensed"/>
          <w:b/>
          <w:bCs/>
          <w:sz w:val="24"/>
          <w:szCs w:val="24"/>
        </w:rPr>
        <w:t xml:space="preserve">Il capitolo completa il profilo su cui la verifica in negativo si esercita, e distingue in ciascun affare l'accertato dall'attribuito.</w:t>
      </w:r>
    </w:p>
    <w:p>
      <w:pPr>
        <w:spacing w:after="120" w:line="276"/>
        <w:jc w:val="both"/>
      </w:pPr>
      <w:r>
        <w:rPr>
          <w:rFonts w:ascii="Barlow Semi Condensed" w:cs="Barlow Semi Condensed" w:eastAsia="Barlow Semi Condensed" w:hAnsi="Barlow Semi Condensed"/>
          <w:b/>
          <w:bCs/>
          <w:sz w:val="24"/>
          <w:szCs w:val="24"/>
        </w:rPr>
        <w:t xml:space="preserve">Le cariche, per date. Ministro federale per compiti speciali 1953-1955; ministro federale per le questioni atomiche 1955-1956, con la presentazione di un piano atomico civile a tre stadi; ministro federale della Difesa dal 16 ottobre 1956 al 1962; ministro federale delle Finanze nella Grande Coalizione 1966-1969, con la politica di stabilizzazione condotta con Karl Schiller; minister-presidente della Baviera 1978-1988; presidente della CSU 1961-1988.</w:t>
      </w:r>
    </w:p>
    <w:p>
      <w:pPr>
        <w:spacing w:after="120" w:line="276"/>
        <w:jc w:val="both"/>
      </w:pPr>
      <w:r>
        <w:rPr>
          <w:rFonts w:ascii="Barlow Semi Condensed" w:cs="Barlow Semi Condensed" w:eastAsia="Barlow Semi Condensed" w:hAnsi="Barlow Semi Condensed"/>
          <w:b/>
          <w:bCs/>
          <w:sz w:val="24"/>
          <w:szCs w:val="24"/>
        </w:rPr>
        <w:t xml:space="preserve">Lo Starfighter, con i numeri. Dei novecentosedici esemplari acquistati — alcune fonti indicano novecentodiciassette — ne precipitarono duecentonovantadue, quasi un terzo, con la morte di centosedici piloti, di cui centotto tedeschi e otto statunitensi. L'incidente della formazione acrobatica a Nörvenich del 19 giugno 1962 precedette di un giorno la cerimonia ufficiale di consegna.</w:t>
      </w:r>
    </w:p>
    <w:p>
      <w:pPr>
        <w:spacing w:after="120" w:line="276"/>
        <w:jc w:val="both"/>
      </w:pPr>
      <w:r>
        <w:rPr>
          <w:rFonts w:ascii="Barlow Semi Condensed" w:cs="Barlow Semi Condensed" w:eastAsia="Barlow Semi Condensed" w:hAnsi="Barlow Semi Condensed"/>
          <w:b/>
          <w:bCs/>
          <w:sz w:val="24"/>
          <w:szCs w:val="24"/>
        </w:rPr>
        <w:t xml:space="preserve">L'accertamento sulla corruzione, e va enunciato con precisione. Una commissione d'inchiesta parlamentare concluse che una corruzione non era dimostrabile e l'accusa fu lasciata cadere. Le indagini interne del referato anticorruzione, dirette da Fritz-Josef Rath, accertarono pagamenti per uno virgola uno-uno virgola tre milioni di marchi, con una somma considerevole verso Heinrich Sellschopp, capo del referato per il materiale aeronautico dell'ufficio federale di tecnica militare a Coblenza — ma non verso Strauß, la cui responsabilità corruttiva resta non provata. Möller stesso parla soltanto di un sospetto.</w:t>
      </w:r>
    </w:p>
    <w:p>
      <w:pPr>
        <w:spacing w:after="120" w:line="276"/>
        <w:jc w:val="both"/>
      </w:pPr>
      <w:r>
        <w:rPr>
          <w:rFonts w:ascii="Barlow Semi Condensed" w:cs="Barlow Semi Condensed" w:eastAsia="Barlow Semi Condensed" w:hAnsi="Barlow Semi Condensed"/>
          <w:b/>
          <w:bCs/>
          <w:sz w:val="24"/>
          <w:szCs w:val="24"/>
        </w:rPr>
        <w:t xml:space="preserve">L'affare HS 30, e la sua sfasatura cronologica. Fu il più grande scandalo di armamento tedesco fino ad allora; una commissione operò dal 1967 al 1969, con relazione del 26 giugno 1969. Fra i destinatari di tangenti indicati figurò il referente personale del ministro, il colonnello Werner Repenning, con due virgola tre milioni.</w:t>
      </w:r>
    </w:p>
    <w:p>
      <w:pPr>
        <w:spacing w:after="120" w:line="276"/>
        <w:jc w:val="both"/>
      </w:pPr>
      <w:r>
        <w:rPr>
          <w:rFonts w:ascii="Barlow Semi Condensed" w:cs="Barlow Semi Condensed" w:eastAsia="Barlow Semi Condensed" w:hAnsi="Barlow Semi Condensed"/>
          <w:b/>
          <w:bCs/>
          <w:sz w:val="24"/>
          <w:szCs w:val="24"/>
        </w:rPr>
        <w:t xml:space="preserve">Ma un elemento va apposto e cambia la valutazione: la decisione d'acquisto era stata pianificata dall'ufficio Blank già dal 1953, prima dell'insediamento di Strauß.</w:t>
      </w:r>
    </w:p>
    <w:p>
      <w:pPr>
        <w:spacing w:after="120" w:line="276"/>
        <w:jc w:val="both"/>
      </w:pPr>
      <w:r>
        <w:rPr>
          <w:rFonts w:ascii="Barlow Semi Condensed" w:cs="Barlow Semi Condensed" w:eastAsia="Barlow Semi Condensed" w:hAnsi="Barlow Semi Condensed"/>
          <w:b/>
          <w:bCs/>
          <w:sz w:val="24"/>
          <w:szCs w:val="24"/>
        </w:rPr>
        <w:t xml:space="preserve">L'affare Fibag del 1961.\\ Con relazioni del \\20 giugno\\ e del \\30 agosto 1962\\, si concluse con la conferma, \\a maggioranza risicata\\, che a Strauß non erano imputabili violazioni dei doveri d'ufficio — \\decisione criticata dai liberali.</w:t>
      </w:r>
    </w:p>
    <w:p>
      <w:pPr>
        <w:spacing w:after="120" w:line="276"/>
        <w:jc w:val="both"/>
      </w:pPr>
      <w:r>
        <w:rPr>
          <w:rFonts w:ascii="Barlow Semi Condensed" w:cs="Barlow Semi Condensed" w:eastAsia="Barlow Semi Condensed" w:hAnsi="Barlow Semi Condensed"/>
          <w:b/>
          <w:bCs/>
          <w:sz w:val="24"/>
          <w:szCs w:val="24"/>
        </w:rPr>
        <w:t xml:space="preserve">Il versante nucleare. All'inizio del 1957 Strauß e Adenauer presentarono piani per un armamento atomico della Bundeswehr; il 12 aprile 1957 diciotto scienziati sottoscrissero la dichiarazione di Gottinga contro tale prospettiva. Con l'adesione al Trattato di Bruxelles la Repubblica Federale aveva rinunciato alla produzione di armi atomiche, biologiche e chimiche sul proprio territorio; non vi fu armamento nazionale, bensì integrazione nella condivisione nucleare atlantica, deliberata dal Bundestag nel marzo 1958 nonostante il movimento contro la morte atomica.</w:t>
      </w:r>
    </w:p>
    <w:p>
      <w:pPr>
        <w:spacing w:after="120" w:line="276"/>
        <w:jc w:val="both"/>
      </w:pPr>
      <w:r>
        <w:rPr>
          <w:rFonts w:ascii="Barlow Semi Condensed" w:cs="Barlow Semi Condensed" w:eastAsia="Barlow Semi Condensed" w:hAnsi="Barlow Semi Condensed"/>
          <w:b/>
          <w:bCs/>
          <w:sz w:val="24"/>
          <w:szCs w:val="24"/>
        </w:rPr>
        <w:t xml:space="preserve">Un dettaglio va riportato perché è la frase più notevole reperita.\\ Il capo di Stato Maggiore \\Albert Schnez\\, dopo la visita a Fontainebleau, riferì a Strauß che una guerra siffatta sarebbe stata un \\Golgota della nazione tedesca.</w:t>
      </w:r>
    </w:p>
    <w:p>
      <w:pPr>
        <w:spacing w:after="120" w:line="276"/>
        <w:jc w:val="both"/>
      </w:pPr>
      <w:r>
        <w:rPr>
          <w:rFonts w:ascii="Barlow Semi Condensed" w:cs="Barlow Semi Condensed" w:eastAsia="Barlow Semi Condensed" w:hAnsi="Barlow Semi Condensed"/>
          <w:b/>
          <w:bCs/>
          <w:sz w:val="24"/>
          <w:szCs w:val="24"/>
        </w:rPr>
        <w:t xml:space="preserve">L'insieme di questi affari — Fibag, Starfighter, HS 30, Spiegel — provocò la caduta di Strauß dal ministero della Difesa nel 1962. Nessuno di essi presenta punti di contatto con Aginter Press.</w:t>
      </w:r>
    </w:p>
    <w:p>
      <w:pPr>
        <w:pStyle w:val="Heading2"/>
        <w:spacing w:after="100" w:before="200"/>
      </w:pPr>
      <w:r>
        <w:rPr>
          <w:rFonts w:ascii="Barlow Semi Condensed" w:cs="Barlow Semi Condensed" w:eastAsia="Barlow Semi Condensed" w:hAnsi="Barlow Semi Condensed"/>
          <w:sz w:val="24"/>
          <w:szCs w:val="24"/>
        </w:rPr>
        <w:t xml:space="preserve">Capitolo decimo — La verifica in negativo su base ampliata</w:t>
      </w:r>
    </w:p>
    <w:p>
      <w:pPr>
        <w:spacing w:after="120" w:line="276"/>
        <w:jc w:val="both"/>
      </w:pPr>
      <w:r>
        <w:rPr>
          <w:rFonts w:ascii="Barlow Semi Condensed" w:cs="Barlow Semi Condensed" w:eastAsia="Barlow Semi Condensed" w:hAnsi="Barlow Semi Condensed"/>
          <w:b/>
          <w:bCs/>
          <w:sz w:val="24"/>
          <w:szCs w:val="24"/>
        </w:rPr>
        <w:t xml:space="preserve">Il capitolo riesamina la non-connessione alla luce del profilo completo, e ne conferma l'esito su base più larga della ricognizione anteriore.</w:t>
      </w:r>
    </w:p>
    <w:p>
      <w:pPr>
        <w:spacing w:after="120" w:line="276"/>
        <w:jc w:val="both"/>
      </w:pPr>
      <w:r>
        <w:rPr>
          <w:rFonts w:ascii="Barlow Semi Condensed" w:cs="Barlow Semi Condensed" w:eastAsia="Barlow Semi Condensed" w:hAnsi="Barlow Semi Condensed"/>
          <w:b/>
          <w:bCs/>
          <w:sz w:val="24"/>
          <w:szCs w:val="24"/>
        </w:rPr>
        <w:t xml:space="preserve">Primo fronte: il ministero della Difesa e il Portogallo di Salazar. Strauß fu alla Difesa dal 1956 al 1962, e il Portogallo era Stato membro fondatore dell'Alleanza atlantica. Ma nessuna fonte reperita documenta un rapporto bilaterale specifico Strauß-Salazar in ambito atlantico che abbia lasciato traccia riconducibile ad Aginter.</w:t>
      </w:r>
    </w:p>
    <w:p>
      <w:pPr>
        <w:spacing w:after="120" w:line="276"/>
        <w:jc w:val="both"/>
      </w:pPr>
      <w:r>
        <w:rPr>
          <w:rFonts w:ascii="Barlow Semi Condensed" w:cs="Barlow Semi Condensed" w:eastAsia="Barlow Semi Condensed" w:hAnsi="Barlow Semi Condensed"/>
          <w:b/>
          <w:bCs/>
          <w:sz w:val="24"/>
          <w:szCs w:val="24"/>
        </w:rPr>
        <w:t xml:space="preserve">E un dato cronologico chiude il fronte: Aginter fu fondata nel settembre 1966, cioè oltre quattro anni dopo l'uscita di Strauß dalla Difesa.\\ Nel periodo in cui Strauß aveva competenza militare, \\Aginter non esisteva.</w:t>
      </w:r>
    </w:p>
    <w:p>
      <w:pPr>
        <w:spacing w:after="120" w:line="276"/>
        <w:jc w:val="both"/>
      </w:pPr>
      <w:r>
        <w:rPr>
          <w:rFonts w:ascii="Barlow Semi Condensed" w:cs="Barlow Semi Condensed" w:eastAsia="Barlow Semi Condensed" w:hAnsi="Barlow Semi Condensed"/>
          <w:b/>
          <w:bCs/>
          <w:sz w:val="24"/>
          <w:szCs w:val="24"/>
        </w:rPr>
        <w:t xml:space="preserve">Questo, secondo me, è l'argomento più forte dell'intero studio, e va enunciato come tale. La sola fase in cui Strauß avrebbe avuto le funzioni per intrattenere rapporti con una struttura di quel tipo precede la sua esistenza. Quando Aginter nacque, Strauß era un parlamentare senza incarico di governo, e sarebbe tornato al governo — alle Finanze, non alla Difesa — soltanto nel 1966.</w:t>
      </w:r>
    </w:p>
    <w:p>
      <w:pPr>
        <w:spacing w:after="120" w:line="276"/>
        <w:jc w:val="both"/>
      </w:pPr>
      <w:r>
        <w:rPr>
          <w:rFonts w:ascii="Barlow Semi Condensed" w:cs="Barlow Semi Condensed" w:eastAsia="Barlow Semi Condensed" w:hAnsi="Barlow Semi Condensed"/>
          <w:b/>
          <w:bCs/>
          <w:sz w:val="24"/>
          <w:szCs w:val="24"/>
        </w:rPr>
        <w:t xml:space="preserve">Secondo fronte: i documenti sequestrati.\\ La letteratura che li ha esaminati documenta la presenza di reduci e finanziatori tedeschi nella rete, \\ma nessuna delle opere attesta la presenza del nome di Strauß o della CSU nei documenti Aginter.</w:t>
      </w:r>
    </w:p>
    <w:p>
      <w:pPr>
        <w:spacing w:after="120" w:line="276"/>
        <w:jc w:val="both"/>
      </w:pPr>
      <w:r>
        <w:rPr>
          <w:rFonts w:ascii="Barlow Semi Condensed" w:cs="Barlow Semi Condensed" w:eastAsia="Barlow Semi Condensed" w:hAnsi="Barlow Semi Condensed"/>
          <w:b/>
          <w:bCs/>
          <w:sz w:val="24"/>
          <w:szCs w:val="24"/>
        </w:rPr>
        <w:t xml:space="preserve">Terzo fronte: il lascito Strauß. Il silenzio della biografia Möller, esposto al Capitolo quinto, con il rafforzamento dei recensori.</w:t>
      </w:r>
    </w:p>
    <w:p>
      <w:pPr>
        <w:spacing w:after="120" w:line="276"/>
        <w:jc w:val="both"/>
      </w:pPr>
      <w:r>
        <w:rPr>
          <w:rFonts w:ascii="Barlow Semi Condensed" w:cs="Barlow Semi Condensed" w:eastAsia="Barlow Semi Condensed" w:hAnsi="Barlow Semi Condensed"/>
          <w:b/>
          <w:bCs/>
          <w:sz w:val="24"/>
          <w:szCs w:val="24"/>
        </w:rPr>
        <w:t xml:space="preserve">Quarto fronte: gli atti parlamentari e giudiziari. Nessun atto parlamentare tedesco, nessuna sentenza, nessun documento con segnatura.</w:t>
      </w:r>
    </w:p>
    <w:p>
      <w:pPr>
        <w:spacing w:after="120" w:line="276"/>
        <w:jc w:val="both"/>
      </w:pPr>
      <w:r>
        <w:rPr>
          <w:rFonts w:ascii="Barlow Semi Condensed" w:cs="Barlow Semi Condensed" w:eastAsia="Barlow Semi Condensed" w:hAnsi="Barlow Semi Condensed"/>
          <w:b/>
          <w:bCs/>
          <w:sz w:val="24"/>
          <w:szCs w:val="24"/>
        </w:rPr>
        <w:t xml:space="preserve">Quinto fronte: le commissioni bavaresi. Esito negativo, con identificazione dell'equivoco fra la commissione Langemann del 1982 e l'inchiesta sull'attentato del 1980.</w:t>
      </w:r>
    </w:p>
    <w:p>
      <w:pPr>
        <w:spacing w:after="120" w:line="276"/>
        <w:jc w:val="both"/>
      </w:pPr>
      <w:r>
        <w:rPr>
          <w:rFonts w:ascii="Barlow Semi Condensed" w:cs="Barlow Semi Condensed" w:eastAsia="Barlow Semi Condensed" w:hAnsi="Barlow Semi Condensed"/>
          <w:b/>
          <w:bCs/>
          <w:sz w:val="24"/>
          <w:szCs w:val="24"/>
        </w:rPr>
        <w:t xml:space="preserve">La conclusione, formulata secondo la disciplina. L'onere della prova grava su chi afferma la connessione. Una connessione non documentata è, ai fini di questo studio, una connessione inesistente. La triangolazione Strauß-Aginter Press resta documentalmente inesistente su base ampliata.</w:t>
      </w:r>
    </w:p>
    <w:p>
      <w:pPr>
        <w:spacing w:after="120" w:line="276"/>
        <w:jc w:val="both"/>
      </w:pPr>
      <w:r>
        <w:rPr>
          <w:rFonts w:ascii="Barlow Semi Condensed" w:cs="Barlow Semi Condensed" w:eastAsia="Barlow Semi Condensed" w:hAnsi="Barlow Semi Condensed"/>
          <w:b/>
          <w:bCs/>
          <w:sz w:val="24"/>
          <w:szCs w:val="24"/>
        </w:rPr>
        <w:t xml:space="preserve">E le prescrizioni che hanno governato l'esame vanno ripetute perché ciascuna ha operato. Non si è trattata la contemporaneità come prova di nesso; non si è trattata la somiglianza fra organizzazioni anticomuniste come prova di rapporto; non si è trattata l'adesione di soggetti diversi a una medesima area ideologica come prova di contatto; non si è trattata l'appartenenza di una persona a una rete come prova di una condotta della rete.</w:t>
      </w:r>
    </w:p>
    <w:p>
      <w:pPr>
        <w:spacing w:after="120" w:line="276"/>
        <w:jc w:val="both"/>
      </w:pPr>
      <w:r>
        <w:rPr>
          <w:rFonts w:ascii="Barlow Semi Condensed" w:cs="Barlow Semi Condensed" w:eastAsia="Barlow Semi Condensed" w:hAnsi="Barlow Semi Condensed"/>
          <w:b/>
          <w:bCs/>
          <w:sz w:val="24"/>
          <w:szCs w:val="24"/>
        </w:rPr>
        <w:t xml:space="preserve">Ciascuna di queste quattro prescrizioni, in questa materia, avrebbe potuto da sola produrre una connessione apparente. Applicate insieme, non ne producono nessuna.</w:t>
      </w:r>
    </w:p>
    <w:p>
      <w:pPr>
        <w:pStyle w:val="Heading2"/>
        <w:spacing w:after="100" w:before="200"/>
      </w:pPr>
      <w:r>
        <w:rPr>
          <w:rFonts w:ascii="Barlow Semi Condensed" w:cs="Barlow Semi Condensed" w:eastAsia="Barlow Semi Condensed" w:hAnsi="Barlow Semi Condensed"/>
          <w:sz w:val="24"/>
          <w:szCs w:val="24"/>
        </w:rPr>
        <w:t xml:space="preserve">Capitolo undicesimo — Il criterio generale che questo studio consegna</w:t>
      </w:r>
    </w:p>
    <w:p>
      <w:pPr>
        <w:spacing w:after="120" w:line="276"/>
        <w:jc w:val="both"/>
      </w:pPr>
      <w:r>
        <w:rPr>
          <w:rFonts w:ascii="Barlow Semi Condensed" w:cs="Barlow Semi Condensed" w:eastAsia="Barlow Semi Condensed" w:hAnsi="Barlow Semi Condensed"/>
          <w:b/>
          <w:bCs/>
          <w:sz w:val="24"/>
          <w:szCs w:val="24"/>
        </w:rPr>
        <w:t xml:space="preserve">Il capitolo generalizza il risultato, perché esso vale oltre il caso.</w:t>
      </w:r>
    </w:p>
    <w:p>
      <w:pPr>
        <w:spacing w:after="120" w:line="276"/>
        <w:jc w:val="both"/>
      </w:pPr>
      <w:r>
        <w:rPr>
          <w:rFonts w:ascii="Barlow Semi Condensed" w:cs="Barlow Semi Condensed" w:eastAsia="Barlow Semi Condensed" w:hAnsi="Barlow Semi Condensed"/>
          <w:b/>
          <w:bCs/>
          <w:sz w:val="24"/>
          <w:szCs w:val="24"/>
        </w:rPr>
        <w:t xml:space="preserve">Il criterio, enunciato.\\ \\Una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b/>
          <w:bCs/>
          <w:sz w:val="24"/>
          <w:szCs w:val="24"/>
        </w:rPr>
        <w:t xml:space="preserve">La verifica sul caso Spiegel. Esso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b/>
          <w:bCs/>
          <w:sz w:val="24"/>
          <w:szCs w:val="24"/>
        </w:rPr>
        <w:t xml:space="preserve">La verifica sull'allegazione del 2000. Essa esiste soltanto presso chi la afferma, e ogni ripresa rinvia alla medesima fonte.</w:t>
      </w:r>
    </w:p>
    <w:p>
      <w:pPr>
        <w:spacing w:after="120" w:line="276"/>
        <w:jc w:val="both"/>
      </w:pPr>
      <w:r>
        <w:rPr>
          <w:rFonts w:ascii="Barlow Semi Condensed" w:cs="Barlow Semi Condensed" w:eastAsia="Barlow Semi Condensed" w:hAnsi="Barlow Semi Condensed"/>
          <w:b/>
          <w:bCs/>
          <w:sz w:val="24"/>
          <w:szCs w:val="24"/>
        </w:rPr>
        <w:t xml:space="preserve">Il corollario, che è il contributo operativo. Quando si valuta un'affermazione di connessione, si conti quanti soggetti indipendenti e disinteressati ne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b/>
          <w:bCs/>
          <w:sz w:val="24"/>
          <w:szCs w:val="24"/>
        </w:rPr>
        <w:t xml:space="preserve">Il secondo criterio, che riguarda il meccanismo esposto al Capitolo primo. La contaminazione per prossimità va riconosciuta e neutralizzata. Un'asserzione non documentata collocata dentro un elenco di fatti documentati ne acquisisce il credito senza averne il fondamento. La neutralizzazione consiste nel valutare ciascuna asserzione dell'elenco separatamente, chiedendo per ognuna quale fonte la sostenga.</w:t>
      </w:r>
    </w:p>
    <w:p>
      <w:pPr>
        <w:spacing w:after="120" w:line="276"/>
        <w:jc w:val="both"/>
      </w:pPr>
      <w:r>
        <w:rPr>
          <w:rFonts w:ascii="Barlow Semi Condensed" w:cs="Barlow Semi Condensed" w:eastAsia="Barlow Semi Condensed" w:hAnsi="Barlow Semi Condensed"/>
          <w:b/>
          <w:bCs/>
          <w:sz w:val="24"/>
          <w:szCs w:val="24"/>
        </w:rPr>
        <w:t xml:space="preserve">Applicato al caso: i rapporti di Aginter con la polizia politica portoghese sono documentati; l'istruttoria Salvini è un atto giudiziario citabile; la relazione Pellegrino è un atto parlamentare. L'allegazione Hepp è un documentario televisivo. Le quattro cose non hanno il medesimo statuto, e il loro elenco congiunto lo occulta.</w:t>
      </w:r>
    </w:p>
    <w:p>
      <w:pPr>
        <w:spacing w:after="120" w:line="276"/>
        <w:jc w:val="both"/>
      </w:pPr>
      <w:r>
        <w:rPr>
          <w:rFonts w:ascii="Barlow Semi Condensed" w:cs="Barlow Semi Condensed" w:eastAsia="Barlow Semi Condensed" w:hAnsi="Barlow Semi Condensed"/>
          <w:b/>
          <w:bCs/>
          <w:sz w:val="24"/>
          <w:szCs w:val="24"/>
        </w:rPr>
        <w:t xml:space="preserve">Il terzo criterio, e riguarda i nomi. Si distingua fra i nomi verificabili dell'affermazione e i nomi che portano il peso operativo di essa. Nel caso: Hepp è verificabile ma non gli si attribuisce condotta operativa; Huber porta il peso operativo — il trasporto di denaro — e non è verificabile.</w:t>
      </w:r>
    </w:p>
    <w:p>
      <w:pPr>
        <w:spacing w:after="120" w:line="276"/>
        <w:jc w:val="both"/>
      </w:pPr>
      <w:r>
        <w:rPr>
          <w:rFonts w:ascii="Barlow Semi Condensed" w:cs="Barlow Semi Condensed" w:eastAsia="Barlow Semi Condensed" w:hAnsi="Barlow Semi Condensed"/>
          <w:b/>
          <w:bCs/>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b/>
          <w:bCs/>
          <w:sz w:val="24"/>
          <w:szCs w:val="24"/>
        </w:rPr>
        <w:t xml:space="preserve">Una avvertenza chiude il capitolo, ed è dovuta. Nessuno di questi tre criteri prova la falsità di alcunché. Essi stabiliscono l'inutilizzabilità di un'affermazione come prova, non la sua falsità come enunciato. La distinzione fra non dimostrato e falso è il confine che questo studio non valica, e non lo valica neppure ora che ha esposto il meccanismo.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undici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L'identificazione della provenienza archivistica dei documenti Koch e Schröm. Sedi: fondo della polizia politica portoghese all'Arquivo Nacional da Torre do Tombo; archivi personali dei due giornalisti. Condizione di chiusura: l'esibizione di una segnatura verificabile o, in mancanza, la conferma definitiva del carattere non documentato dell'affermazione. È la sola voce che possa mutare la conclusione dello studio.</w:t>
      </w:r>
    </w:p>
    <w:p>
      <w:pPr>
        <w:spacing w:after="120" w:line="276"/>
        <w:jc w:val="both"/>
      </w:pPr>
      <w:r>
        <w:rPr>
          <w:rFonts w:ascii="Barlow Semi Condensed" w:cs="Barlow Semi Condensed" w:eastAsia="Barlow Semi Condensed" w:hAnsi="Barlow Semi Condensed"/>
          <w:b/>
          <w:bCs/>
          <w:sz w:val="24"/>
          <w:szCs w:val="24"/>
        </w:rPr>
        <w:t xml:space="preserve">Seconda voce. Gli inventari analitici del fondo Aginter Press dentro il fondo della polizia politica portoghese, per verificare l'eventuale presenza di nominativi tedeschi riconducibili alla CSU e l'eventuale esistenza della lista \Industry\. Condizione: consultazione in loco con autorizzazione, tenuto conto che parte del fondo non è mai stata consultata.</w:t>
      </w:r>
    </w:p>
    <w:p>
      <w:pPr>
        <w:spacing w:after="120" w:line="276"/>
        <w:jc w:val="both"/>
      </w:pPr>
      <w:r>
        <w:rPr>
          <w:rFonts w:ascii="Barlow Semi Condensed" w:cs="Barlow Semi Condensed" w:eastAsia="Barlow Semi Condensed" w:hAnsi="Barlow Semi Condensed"/>
          <w:b/>
          <w:bCs/>
          <w:sz w:val="24"/>
          <w:szCs w:val="24"/>
        </w:rPr>
        <w:t xml:space="preserve">Terza voce. I verbali integrali delle commissioni d'inchiesta del Landtag bavarese del 1982 — affare Langemann e attentato. Sede: archivio del Landtag bavarese. Condizione: lettura dei verbali non digitalizzati.</w:t>
      </w:r>
    </w:p>
    <w:p>
      <w:pPr>
        <w:spacing w:after="120" w:line="276"/>
        <w:jc w:val="both"/>
      </w:pPr>
      <w:r>
        <w:rPr>
          <w:rFonts w:ascii="Barlow Semi Condensed" w:cs="Barlow Semi Condensed" w:eastAsia="Barlow Semi Condensed" w:hAnsi="Barlow Semi Condensed"/>
          <w:b/>
          <w:bCs/>
          <w:sz w:val="24"/>
          <w:szCs w:val="24"/>
        </w:rPr>
        <w:t xml:space="preserve">Quarta voce. I fascicoli di corrispondenza estera del lascito Strauß presso l'archivio della fondazione della CSU a Monaco, per verificare in via diretta l'assenza che la biografia Möller lascia presumere.</w:t>
      </w:r>
    </w:p>
    <w:p>
      <w:pPr>
        <w:spacing w:after="120" w:line="276"/>
        <w:jc w:val="both"/>
      </w:pPr>
      <w:r>
        <w:rPr>
          <w:rFonts w:ascii="Barlow Semi Condensed" w:cs="Barlow Semi Condensed" w:eastAsia="Barlow Semi Condensed" w:hAnsi="Barlow Semi Condensed"/>
          <w:b/>
          <w:bCs/>
          <w:sz w:val="24"/>
          <w:szCs w:val="24"/>
        </w:rPr>
        <w:t xml:space="preserve">Quinta voce. La documentazione interna spagnola sulla catena esecutiva dell'arresto di Ahlers a Málaga nell'ottobre 1962. Sedi: Archivo General de la Administración di Alcalá de Henares; archivio del ministero dell'Interno spagnolo. Non riguarda Aginter ma completa il termine di controllo del Capitolo secondo.</w:t>
      </w:r>
    </w:p>
    <w:p>
      <w:pPr>
        <w:spacing w:after="120" w:line="276"/>
        <w:jc w:val="both"/>
      </w:pPr>
      <w:r>
        <w:rPr>
          <w:rFonts w:ascii="Barlow Semi Condensed" w:cs="Barlow Semi Condensed" w:eastAsia="Barlow Semi Condensed" w:hAnsi="Barlow Semi Condensed"/>
          <w:b/>
          <w:bCs/>
          <w:sz w:val="24"/>
          <w:szCs w:val="24"/>
        </w:rPr>
        <w:t xml:space="preserve">Sesta voce. Il testo integrale dell'articolo di Nicola Guerra del 2026, non accessibile, per confermare che non menzioni Strauß o la CSU — conclusione attualmente fondata su abstract ed estratti.</w:t>
      </w:r>
    </w:p>
    <w:p>
      <w:pPr>
        <w:pStyle w:val="Heading2"/>
        <w:spacing w:after="100" w:before="200"/>
      </w:pPr>
      <w:r>
        <w:rPr>
          <w:rFonts w:ascii="Barlow Semi Condensed" w:cs="Barlow Semi Condensed" w:eastAsia="Barlow Semi Condensed" w:hAnsi="Barlow Semi Condensed"/>
          <w:sz w:val="24"/>
          <w:szCs w:val="24"/>
        </w:rPr>
        <w:t xml:space="preserve">Nota sul bilancio delle undici ricognizioni.</w:t>
      </w:r>
    </w:p>
    <w:p>
      <w:pPr>
        <w:spacing w:after="120" w:line="276"/>
        <w:jc w:val="both"/>
      </w:pPr>
      <w:r>
        <w:rPr>
          <w:rFonts w:ascii="Barlow Semi Condensed" w:cs="Barlow Semi Condensed" w:eastAsia="Barlow Semi Condensed" w:hAnsi="Barlow Semi Condensed"/>
          <w:b/>
          <w:bCs/>
          <w:sz w:val="24"/>
          <w:szCs w:val="24"/>
        </w:rPr>
        <w:t xml:space="preserve">Undici ricognizioni hanno percorso l'attività ministeriale di Aldo Moro verso sei Paesi e quella di Franz Josef Strauß verso due oggetti, incrociandole con la Santa Sede, con l'Opus Dei e con Aginter Press. I risultati si dispongono in quattro ordini.</w:t>
      </w:r>
    </w:p>
    <w:p>
      <w:pPr>
        <w:spacing w:after="120" w:line="276"/>
        <w:jc w:val="both"/>
      </w:pPr>
      <w:r>
        <w:rPr>
          <w:rFonts w:ascii="Barlow Semi Condensed" w:cs="Barlow Semi Condensed" w:eastAsia="Barlow Semi Condensed" w:hAnsi="Barlow Semi Condensed"/>
          <w:b/>
          <w:bCs/>
          <w:sz w:val="24"/>
          <w:szCs w:val="24"/>
        </w:rPr>
        <w:t xml:space="preserve">Gli Stati Zero, che sono la maggioranza: il governo italiano non compare come attore documentato; l'Opus Dei non ha rapporti documentati con Moro; l'ente è assente da Grecia, Cipro e Turchia; Aginter Press non ha rapporti documentati con la CSU né con Strauß.</w:t>
      </w:r>
    </w:p>
    <w:p>
      <w:pPr>
        <w:spacing w:after="120" w:line="276"/>
        <w:jc w:val="both"/>
      </w:pPr>
      <w:r>
        <w:rPr>
          <w:rFonts w:ascii="Barlow Semi Condensed" w:cs="Barlow Semi Condensed" w:eastAsia="Barlow Semi Condensed" w:hAnsi="Barlow Semi Condensed"/>
          <w:b/>
          <w:bCs/>
          <w:sz w:val="24"/>
          <w:szCs w:val="24"/>
        </w:rPr>
        <w:t xml:space="preserve">Il nesso\\, uno solo: la Santa Sede attese la ratifica del Trattato di Varsavia prima di erigere le diocesi a oriente, e lo disse nella comunicazione di accompagnamento \\mentre il testo canonico taceva.</w:t>
      </w:r>
    </w:p>
    <w:p>
      <w:pPr>
        <w:spacing w:after="120" w:line="276"/>
        <w:jc w:val="both"/>
      </w:pPr>
      <w:r>
        <w:rPr>
          <w:rFonts w:ascii="Barlow Semi Condensed" w:cs="Barlow Semi Condensed" w:eastAsia="Barlow Semi Condensed" w:hAnsi="Barlow Semi Condensed"/>
          <w:b/>
          <w:bCs/>
          <w:sz w:val="24"/>
          <w:szCs w:val="24"/>
        </w:rPr>
        <w:t xml:space="preserve">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b/>
          <w:bCs/>
          <w:sz w:val="24"/>
          <w:szCs w:val="24"/>
        </w:rPr>
        <w:t xml:space="preserve">E, con questo documento, la genealogia di una falsa connessione\\: non soltanto l'accertamento che il nesso non esiste, ma \\la ricostruzione del meccanismo per cui esso appare esistere.</w:t>
      </w:r>
    </w:p>
    <w:p>
      <w:pPr>
        <w:spacing w:after="120" w:line="276"/>
        <w:jc w:val="both"/>
      </w:pPr>
      <w:r>
        <w:rPr>
          <w:rFonts w:ascii="Barlow Semi Condensed" w:cs="Barlow Semi Condensed" w:eastAsia="Barlow Semi Condensed" w:hAnsi="Barlow Semi Condensed"/>
          <w:b/>
          <w:bCs/>
          <w:sz w:val="24"/>
          <w:szCs w:val="24"/>
        </w:rPr>
        <w:t xml:space="preserve">Ne discende la lezione che le undici ricognizioni consegnano insieme, nelle sue cinque parti.</w:t>
      </w:r>
    </w:p>
    <w:p>
      <w:pPr>
        <w:spacing w:after="120" w:line="276"/>
        <w:jc w:val="both"/>
      </w:pPr>
      <w:r>
        <w:rPr>
          <w:rFonts w:ascii="Barlow Semi Condensed" w:cs="Barlow Semi Condensed" w:eastAsia="Barlow Semi Condensed" w:hAnsi="Barlow Semi Condensed"/>
          <w:b/>
          <w:bCs/>
          <w:sz w:val="24"/>
          <w:szCs w:val="24"/>
        </w:rPr>
        <w:t xml:space="preserve">L'assenza di traccia non è l'assenza dell'atto.</w:t>
      </w:r>
    </w:p>
    <w:p>
      <w:pPr>
        <w:spacing w:after="120" w:line="276"/>
        <w:jc w:val="both"/>
      </w:pPr>
      <w:r>
        <w:rPr>
          <w:rFonts w:ascii="Barlow Semi Condensed" w:cs="Barlow Semi Condensed" w:eastAsia="Barlow Semi Condensed" w:hAnsi="Barlow Semi Condensed"/>
          <w:b/>
          <w:bCs/>
          <w:sz w:val="24"/>
          <w:szCs w:val="24"/>
        </w:rPr>
        <w:t xml:space="preserve">Vi sono assenze che non sono lacune.</w:t>
      </w:r>
    </w:p>
    <w:p>
      <w:pPr>
        <w:spacing w:after="120" w:line="276"/>
        <w:jc w:val="both"/>
      </w:pPr>
      <w:r>
        <w:rPr>
          <w:rFonts w:ascii="Barlow Semi Condensed" w:cs="Barlow Semi Condensed" w:eastAsia="Barlow Semi Condensed" w:hAnsi="Barlow Semi Condensed"/>
          <w:b/>
          <w:bCs/>
          <w:sz w:val="24"/>
          <w:szCs w:val="24"/>
        </w:rPr>
        <w:t xml:space="preserve">Vi sono nessi che i documenti principali tacciono deliberatamente.</w:t>
      </w:r>
    </w:p>
    <w:p>
      <w:pPr>
        <w:spacing w:after="120" w:line="276"/>
        <w:jc w:val="both"/>
      </w:pPr>
      <w:r>
        <w:rPr>
          <w:rFonts w:ascii="Barlow Semi Condensed" w:cs="Barlow Semi Condensed" w:eastAsia="Barlow Semi Condensed" w:hAnsi="Barlow Semi Condensed"/>
          <w:b/>
          <w:bCs/>
          <w:sz w:val="24"/>
          <w:szCs w:val="24"/>
        </w:rPr>
        <w:t xml:space="preserve">Una proposizione va formulata con la propria condizione di falsificazione esplicita.</w:t>
      </w:r>
    </w:p>
    <w:p>
      <w:pPr>
        <w:spacing w:after="120" w:line="276"/>
        <w:jc w:val="both"/>
      </w:pPr>
      <w:r>
        <w:rPr>
          <w:rFonts w:ascii="Barlow Semi Condensed" w:cs="Barlow Semi Condensed" w:eastAsia="Barlow Semi Condensed" w:hAnsi="Barlow Semi Condensed"/>
          <w:b/>
          <w:bCs/>
          <w:sz w:val="24"/>
          <w:szCs w:val="24"/>
        </w:rPr>
        <w:t xml:space="preserve">E — questa è la quinta — una connessione reale lascia tracce presso soggetti che non avevano interesse a produrle. Dove tale traccia manca del tutto, non si è in presenza di un segreto ben custodito: si è in presenza di un'affermazione.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 · Strauss E Aginter Press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5.292 parole in 9 sezioni; la più ampia è §9 Altre sezioni, con 4.090.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136 paragrafi in 9 sezioni, 15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XIII — I Sette Casi Extraeuropei</w:t>
      </w:r>
    </w:p>
    <w:p>
      <w:pPr>
        <w:pStyle w:val="Heading1"/>
        <w:spacing w:after="120" w:before="240"/>
      </w:pPr>
      <w:r>
        <w:rPr>
          <w:rFonts w:ascii="Barlow Semi Condensed" w:cs="Barlow Semi Condensed" w:eastAsia="Barlow Semi Condensed" w:hAnsi="Barlow Semi Condensed"/>
          <w:sz w:val="24"/>
          <w:szCs w:val="24"/>
        </w:rPr>
        <w:t xml:space="preserve">I SETTE CASI EXTRAEUROPEI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Dodicesima ricognizione: secondo atto di revisione</w:t>
      </w:r>
    </w:p>
    <w:p>
      <w:pPr>
        <w:pStyle w:val="Heading2"/>
        <w:spacing w:after="100" w:before="200"/>
      </w:pPr>
      <w:r>
        <w:rPr>
          <w:rFonts w:ascii="Barlow Semi Condensed" w:cs="Barlow Semi Condensed" w:eastAsia="Barlow Semi Condensed" w:hAnsi="Barlow Semi Condensed"/>
          <w:sz w:val="24"/>
          <w:szCs w:val="24"/>
        </w:rPr>
        <w:t xml:space="preserve">Il Kenya falsifica il modello. La costruzione endogena del ceto</w:t>
      </w:r>
    </w:p>
    <w:p>
      <w:pPr>
        <w:pStyle w:val="Heading2"/>
        <w:spacing w:after="100" w:before="200"/>
      </w:pPr>
      <w:r>
        <w:rPr>
          <w:rFonts w:ascii="Barlow Semi Condensed" w:cs="Barlow Semi Condensed" w:eastAsia="Barlow Semi Condensed" w:hAnsi="Barlow Semi Condensed"/>
          <w:sz w:val="24"/>
          <w:szCs w:val="24"/>
        </w:rPr>
        <w:t xml:space="preserve">Dodici Capitoli — tre modalita — otto acquisizioni — due errori dell'autore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Secondo atto di revisione della medesima proposizione</w:t>
      </w:r>
    </w:p>
    <w:p>
      <w:pPr>
        <w:spacing w:after="120" w:line="276"/>
        <w:jc w:val="both"/>
      </w:pPr>
      <w:r>
        <w:rPr>
          <w:rFonts w:ascii="Barlow Semi Condensed" w:cs="Barlow Semi Condensed" w:eastAsia="Barlow Semi Condensed" w:hAnsi="Barlow Semi Condensed"/>
          <w:b/>
          <w:bCs/>
          <w:sz w:val="24"/>
          <w:szCs w:val="24"/>
        </w:rPr>
        <w:t xml:space="preserve">Questo documento revisiona per la seconda volta la proposizione che la decima ricognizione aveva già revisionato una prima. La circostanza va enunciata subito perché è essa stessa un risultato: un modello formulato con condizione di falsificazione esplicita è caduto due volte in due passaggi, entrambe le volte per opera della ricerca che io stesso avevo indirizzato al caso avverso.</w:t>
      </w:r>
    </w:p>
    <w:p>
      <w:pPr>
        <w:spacing w:after="120" w:line="276"/>
        <w:jc w:val="both"/>
      </w:pPr>
      <w:r>
        <w:rPr>
          <w:rFonts w:ascii="Barlow Semi Condensed" w:cs="Barlow Semi Condensed" w:eastAsia="Barlow Semi Condensed" w:hAnsi="Barlow Semi Condensed"/>
          <w:b/>
          <w:bCs/>
          <w:sz w:val="24"/>
          <w:szCs w:val="24"/>
        </w:rPr>
        <w:t xml:space="preserve">Lo stato del modello entrando in questa ricognizione, per come la decima lo aveva lasciato. Prima parte: dove esiste un ceto universitario e professionale cattolico autoctono, l'ente si radica su di esso, indipendentemente dalla confessione maggioritaria del Paese. Seconda parte: dove tale ceto manca, l'ente si insedia per trapianto di personale e non si radica.</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dichiarata dalla decima.\\ Il reperimento di \\un radicamento autoctono — non per trapianto — in un Paese privo di ceto cattolico professionale autoctono.</w:t>
      </w:r>
    </w:p>
    <w:p>
      <w:pPr>
        <w:spacing w:after="120" w:line="276"/>
        <w:jc w:val="both"/>
      </w:pPr>
      <w:r>
        <w:rPr>
          <w:rFonts w:ascii="Barlow Semi Condensed" w:cs="Barlow Semi Condensed" w:eastAsia="Barlow Semi Condensed" w:hAnsi="Barlow Semi Condensed"/>
          <w:b/>
          <w:bCs/>
          <w:sz w:val="24"/>
          <w:szCs w:val="24"/>
        </w:rPr>
        <w:t xml:space="preserve">I casi che la decima aveva elencato per nome come potenzialmente confutanti e mai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L'esito, enunciato senza attenuazioni. Il caso keniano soddisfa alla lettera la condizione di falsificazione. Il Kenya del 1958 era privo di ceto cattolico universitario e professionale autoctono: era colonia britannica, l'accesso africano all'istruzione superiore era — per ammissione della fonte ufficiale medesima — molto restrittivo a quel tempo, e il sistema universitario locale era embrionale. Ciononostante l'ente vi si radicò in senso autoctono, generando numerarie ausiliari, numerari, il primo sacerdote africano dell'Opus Dei e un vescovo.</w:t>
      </w:r>
    </w:p>
    <w:p>
      <w:pPr>
        <w:spacing w:after="120" w:line="276"/>
        <w:jc w:val="both"/>
      </w:pPr>
      <w:r>
        <w:rPr>
          <w:rFonts w:ascii="Barlow Semi Condensed" w:cs="Barlow Semi Condensed" w:eastAsia="Barlow Semi Condensed" w:hAnsi="Barlow Semi Condensed"/>
          <w:b/>
          <w:bCs/>
          <w:sz w:val="24"/>
          <w:szCs w:val="24"/>
        </w:rPr>
        <w:t xml:space="preserve">Ma la falsificazione avviene per una via che il modello non prevedeva, e questa è l'acquisizione maggiore. Il radicamento keniano non avvenne per trapianto — il trapianto fu la sola fase d'ingresso, comune a tutti i casi — né su ceto preesistente, perché quel ceto non c'era. Avvenne per costruzione: l'ente fondò istituzioni educative selettive e da esse fece emergere, nell'arco di una generazione, il ceto su cui poi si radicò.</w:t>
      </w:r>
    </w:p>
    <w:p>
      <w:pPr>
        <w:spacing w:after="120" w:line="276"/>
        <w:jc w:val="both"/>
      </w:pPr>
      <w:r>
        <w:rPr>
          <w:rFonts w:ascii="Barlow Semi Condensed" w:cs="Barlow Semi Condensed" w:eastAsia="Barlow Semi Condensed" w:hAnsi="Barlow Semi Condensed"/>
          <w:b/>
          <w:bCs/>
          <w:sz w:val="24"/>
          <w:szCs w:val="24"/>
        </w:rPr>
        <w:t xml:space="preserve">Si propone di denominare tale modalità costruzione endogena del ceto, e di riformulare il modello in tre modalità anziché due.</w:t>
      </w:r>
    </w:p>
    <w:p>
      <w:pPr>
        <w:spacing w:after="120" w:line="276"/>
        <w:jc w:val="both"/>
      </w:pPr>
      <w:r>
        <w:rPr>
          <w:rFonts w:ascii="Barlow Semi Condensed" w:cs="Barlow Semi Condensed" w:eastAsia="Barlow Semi Condensed" w:hAnsi="Barlow Semi Condensed"/>
          <w:b/>
          <w:bCs/>
          <w:sz w:val="24"/>
          <w:szCs w:val="24"/>
        </w:rPr>
        <w:t xml:space="preserve">Una avvertenza sul metodo di questa ricognizione, dovuta perché riguarda me. Due nomi che avevo fornito nell'indirizzare la ricerca si sono rivelati errati, e li registro al Capitolo undicesimo anziché tacerli. La Regola di Ferro vale anche per chi la applica.</w:t>
      </w:r>
    </w:p>
    <w:p>
      <w:pPr>
        <w:pStyle w:val="Heading2"/>
        <w:spacing w:after="100" w:before="200"/>
      </w:pPr>
      <w:r>
        <w:rPr>
          <w:rFonts w:ascii="Barlow Semi Condensed" w:cs="Barlow Semi Condensed" w:eastAsia="Barlow Semi Condensed" w:hAnsi="Barlow Semi Condensed"/>
          <w:sz w:val="24"/>
          <w:szCs w:val="24"/>
        </w:rPr>
        <w:t xml:space="preserve">Capitolo secondo — Kenya: l'origine gerarchica e il personale interamente allogeno</w:t>
      </w:r>
    </w:p>
    <w:p>
      <w:pPr>
        <w:spacing w:after="120" w:line="276"/>
        <w:jc w:val="both"/>
      </w:pPr>
      <w:r>
        <w:rPr>
          <w:rFonts w:ascii="Barlow Semi Condensed" w:cs="Barlow Semi Condensed" w:eastAsia="Barlow Semi Condensed" w:hAnsi="Barlow Semi Condensed"/>
          <w:b/>
          <w:bCs/>
          <w:sz w:val="24"/>
          <w:szCs w:val="24"/>
        </w:rPr>
        <w:t xml:space="preserve">Il capitolo espone i fatti del caso cruciale, e li espone per intero perché su di essi poggia la falsificazione.</w:t>
      </w:r>
    </w:p>
    <w:p>
      <w:pPr>
        <w:spacing w:after="120" w:line="276"/>
        <w:jc w:val="both"/>
      </w:pPr>
      <w:r>
        <w:rPr>
          <w:rFonts w:ascii="Barlow Semi Condensed" w:cs="Barlow Semi Condensed" w:eastAsia="Barlow Semi Condensed" w:hAnsi="Barlow Semi Condensed"/>
          <w:b/>
          <w:bCs/>
          <w:sz w:val="24"/>
          <w:szCs w:val="24"/>
        </w:rPr>
        <w:t xml:space="preserve">L'origine non fu una domanda locale ma una sollecitazione gerarchica, e la data è precisa. Il 26 ottobre 1957 il Delegato Apostolico per l'Africa britannica orientale e occidentale, monsignor Mojaisky Perrelli, amico di Escrivá a Roma, chiese con lettera l'invio di membri dell'Opus Dei in Kenya, avendo visto le immense possibilità apostoliche del Paese e ritenendo che un'istituzione capace di offrire solida educazione cattolica alla gente dell'Africa orientale, se possibile a livello universitario, avrebbe sviluppato quel potenziale. Escrivá rispose il 4 novembre 1957.</w:t>
      </w:r>
    </w:p>
    <w:p>
      <w:pPr>
        <w:spacing w:after="120" w:line="276"/>
        <w:jc w:val="both"/>
      </w:pPr>
      <w:r>
        <w:rPr>
          <w:rFonts w:ascii="Barlow Semi Condensed" w:cs="Barlow Semi Condensed" w:eastAsia="Barlow Semi Condensed" w:hAnsi="Barlow Semi Condensed"/>
          <w:b/>
          <w:bCs/>
          <w:sz w:val="24"/>
          <w:szCs w:val="24"/>
        </w:rPr>
        <w:t xml:space="preserve">Il rilievo va enunciato perché determina tutto il resto: la richiesta iniziale non chiedeva assistenza a un ceto esistente, chiedeva di creare l'istruzione superiore che mancava.</w:t>
      </w:r>
    </w:p>
    <w:p>
      <w:pPr>
        <w:spacing w:after="120" w:line="276"/>
        <w:jc w:val="both"/>
      </w:pPr>
      <w:r>
        <w:rPr>
          <w:rFonts w:ascii="Barlow Semi Condensed" w:cs="Barlow Semi Condensed" w:eastAsia="Barlow Semi Condensed" w:hAnsi="Barlow Semi Condensed"/>
          <w:b/>
          <w:bCs/>
          <w:sz w:val="24"/>
          <w:szCs w:val="24"/>
        </w:rPr>
        <w:t xml:space="preserve">La cronologia dell'insediamento. Nel marzo 1958 due membri compirono un sopralluogo a Nairobi; il 25 agosto 1958 arrivarono i primi, seguiti in settembre e ottobre da altri, fra cui l'ingegnere civile irlandese Kevin O'Byrne. Nell'ottobre 1958 Escrivá chiese a padre Pedro Casciaro, appena giunto dal Messico, di recarsi in Kenya.</w:t>
      </w:r>
    </w:p>
    <w:p>
      <w:pPr>
        <w:spacing w:after="120" w:line="276"/>
        <w:jc w:val="both"/>
      </w:pPr>
      <w:r>
        <w:rPr>
          <w:rFonts w:ascii="Barlow Semi Condensed" w:cs="Barlow Semi Condensed" w:eastAsia="Barlow Semi Condensed" w:hAnsi="Barlow Semi Condensed"/>
          <w:b/>
          <w:bCs/>
          <w:sz w:val="24"/>
          <w:szCs w:val="24"/>
        </w:rPr>
        <w:t xml:space="preserve">Le istituzioni furono suggerite dal fondatore in persona, con l'indicazione espressa che il collegio fosse interrazziale e aperto a non cattolici e non cristiani, con ammissione per merito accademico. La fonte ufficiale precisa che il collegio non era missionario, non essendo il suo personale composto di missionari ma di professionisti laici.</w:t>
      </w:r>
    </w:p>
    <w:p>
      <w:pPr>
        <w:spacing w:after="120" w:line="276"/>
        <w:jc w:val="both"/>
      </w:pPr>
      <w:r>
        <w:rPr>
          <w:rFonts w:ascii="Barlow Semi Condensed" w:cs="Barlow Semi Condensed" w:eastAsia="Barlow Semi Condensed" w:hAnsi="Barlow Semi Condensed"/>
          <w:b/>
          <w:bCs/>
          <w:sz w:val="24"/>
          <w:szCs w:val="24"/>
        </w:rPr>
        <w:t xml:space="preserve">I nomi dei fondatori, ed è il dato che chiude la questione della provenienza. David Sperling, storico statunitense, primo preside; Silvano Borruso, biologo ed educatore italiano, primo economo e insegnante. La componente femminile arrivò il 12 giugno 1960: Olga Marlin e Mary Mahoney dagli Stati Uniti, insegnante l'una e infermiera l'altra; Tere Temes, storica spagnola; Rosario Insausti ed Encarnación Riera, spagnole formate nell'alberghiero, con altre numerarie e numerarie ausiliari.</w:t>
      </w:r>
    </w:p>
    <w:p>
      <w:pPr>
        <w:spacing w:after="120" w:line="276"/>
        <w:jc w:val="both"/>
      </w:pPr>
      <w:r>
        <w:rPr>
          <w:rFonts w:ascii="Barlow Semi Condensed" w:cs="Barlow Semi Condensed" w:eastAsia="Barlow Semi Condensed" w:hAnsi="Barlow Semi Condensed"/>
          <w:b/>
          <w:bCs/>
          <w:sz w:val="24"/>
          <w:szCs w:val="24"/>
        </w:rPr>
        <w:t xml:space="preserve">Il personale fondatore era dunque interamente allogeno: irlandese, statunitense, spagnolo, italiano, messicano. Nessun keniano figura fra i fondatori.</w:t>
      </w:r>
    </w:p>
    <w:p>
      <w:pPr>
        <w:spacing w:after="120" w:line="276"/>
        <w:jc w:val="both"/>
      </w:pPr>
      <w:r>
        <w:rPr>
          <w:rFonts w:ascii="Barlow Semi Condensed" w:cs="Barlow Semi Condensed" w:eastAsia="Barlow Semi Condensed" w:hAnsi="Barlow Semi Condensed"/>
          <w:b/>
          <w:bCs/>
          <w:sz w:val="24"/>
          <w:szCs w:val="24"/>
        </w:rPr>
        <w:t xml:space="preserve">Questo dato va tenuto fermo perché è comune a tutti e sette i casi esaminati, e produce al Capitolo nono una precisazione del diagnostico che credevo assestato.</w:t>
      </w:r>
    </w:p>
    <w:p>
      <w:pPr>
        <w:spacing w:after="120" w:line="276"/>
        <w:jc w:val="both"/>
      </w:pPr>
      <w:r>
        <w:rPr>
          <w:rFonts w:ascii="Barlow Semi Condensed" w:cs="Barlow Semi Condensed" w:eastAsia="Barlow Semi Condensed" w:hAnsi="Barlow Semi Condensed"/>
          <w:b/>
          <w:bCs/>
          <w:sz w:val="24"/>
          <w:szCs w:val="24"/>
        </w:rPr>
        <w:t xml:space="preserve">Il contesto, che è la ragione della falsificazione. Nel 1958 il Kenya era colonia britannica, e l'indipendenza sarebbe venuta nel 1963. Il sistema universitario locale era embrionale: il Royal Technical College di Nairobi era stato fondato nel 1956, e il Makerere in Uganda serviva l'intera Africa orientale. L'accesso africano all'istruzione superiore era molto restrittivo a quel tempo, per ammissione della stessa fonte ufficiale.</w:t>
      </w:r>
    </w:p>
    <w:p>
      <w:pPr>
        <w:spacing w:after="120" w:line="276"/>
        <w:jc w:val="both"/>
      </w:pPr>
      <w:r>
        <w:rPr>
          <w:rFonts w:ascii="Barlow Semi Condensed" w:cs="Barlow Semi Condensed" w:eastAsia="Barlow Semi Condensed" w:hAnsi="Barlow Semi Condensed"/>
          <w:b/>
          <w:bCs/>
          <w:sz w:val="24"/>
          <w:szCs w:val="24"/>
        </w:rPr>
        <w:t xml:space="preserve">Ne discende che il ceto cattolico universitario e professionale keniano, all'epoca dell'insediamento, non esisteva nella forma richiesta dal modello. Esisteva una popolazione cattolica prodotta dalle missioni; non esisteva un ceto professionale organizzato con accesso all'università.</w:t>
      </w:r>
    </w:p>
    <w:p>
      <w:pPr>
        <w:pStyle w:val="Heading2"/>
        <w:spacing w:after="100" w:before="200"/>
      </w:pPr>
      <w:r>
        <w:rPr>
          <w:rFonts w:ascii="Barlow Semi Condensed" w:cs="Barlow Semi Condensed" w:eastAsia="Barlow Semi Condensed" w:hAnsi="Barlow Semi Condensed"/>
          <w:sz w:val="24"/>
          <w:szCs w:val="24"/>
        </w:rPr>
        <w:t xml:space="preserve">Capitolo terzo — Kenya: le istituzioni e l'emersione del ceto</w:t>
      </w:r>
    </w:p>
    <w:p>
      <w:pPr>
        <w:spacing w:after="120" w:line="276"/>
        <w:jc w:val="both"/>
      </w:pPr>
      <w:r>
        <w:rPr>
          <w:rFonts w:ascii="Barlow Semi Condensed" w:cs="Barlow Semi Condensed" w:eastAsia="Barlow Semi Condensed" w:hAnsi="Barlow Semi Condensed"/>
          <w:b/>
          <w:bCs/>
          <w:sz w:val="24"/>
          <w:szCs w:val="24"/>
        </w:rPr>
        <w:t xml:space="preserve">Il capitolo espone ciò che l'ente costruì e ciò che ne emerse, perché la sequenza cronologica è la prova della terza modalità.</w:t>
      </w:r>
    </w:p>
    <w:p>
      <w:pPr>
        <w:spacing w:after="120" w:line="276"/>
        <w:jc w:val="both"/>
      </w:pPr>
      <w:r>
        <w:rPr>
          <w:rFonts w:ascii="Barlow Semi Condensed" w:cs="Barlow Semi Condensed" w:eastAsia="Barlow Semi Condensed" w:hAnsi="Barlow Semi Condensed"/>
          <w:b/>
          <w:bCs/>
          <w:sz w:val="24"/>
          <w:szCs w:val="24"/>
        </w:rPr>
        <w:t xml:space="preserve">Lo Strathmore College aprì nel marzo 1961 come primo collegio interrazziale del Kenya a offrire l'A-level, preparando all'ammissione universitaria.</w:t>
      </w:r>
    </w:p>
    <w:p>
      <w:pPr>
        <w:spacing w:after="120" w:line="276"/>
        <w:jc w:val="both"/>
      </w:pPr>
      <w:r>
        <w:rPr>
          <w:rFonts w:ascii="Barlow Semi Condensed" w:cs="Barlow Semi Condensed" w:eastAsia="Barlow Semi Condensed" w:hAnsi="Barlow Semi Condensed"/>
          <w:b/>
          <w:bCs/>
          <w:sz w:val="24"/>
          <w:szCs w:val="24"/>
        </w:rPr>
        <w:t xml:space="preserve">La composizione della prima coorte è documentata con precisione, e va riportata perché mostra a chi l'istituzione si rivolse. La fonte ufficiale riferisce che Strathmore iniziò come collegio A-level con le classi quinta e sesta, otto membri del personale e sessanta studenti in totale: africani di varie tribù, cinque europei, due indiani e undici goanesi.</w:t>
      </w:r>
    </w:p>
    <w:p>
      <w:pPr>
        <w:spacing w:after="120" w:line="276"/>
        <w:jc w:val="both"/>
      </w:pPr>
      <w:r>
        <w:rPr>
          <w:rFonts w:ascii="Barlow Semi Condensed" w:cs="Barlow Semi Condensed" w:eastAsia="Barlow Semi Condensed" w:hAnsi="Barlow Semi Condensed"/>
          <w:b/>
          <w:bCs/>
          <w:sz w:val="24"/>
          <w:szCs w:val="24"/>
        </w:rPr>
        <w:t xml:space="preserve">Il dato è istruttivo: la componente cattolica preesistente e professionalmente formata era la minoranza goanese e indiana, non quella africana. Gli africani erano la maggioranza numerica ma non provenivano da un ceto cattolico professionale.</w:t>
      </w:r>
    </w:p>
    <w:p>
      <w:pPr>
        <w:spacing w:after="120" w:line="276"/>
        <w:jc w:val="both"/>
      </w:pPr>
      <w:r>
        <w:rPr>
          <w:rFonts w:ascii="Barlow Semi Condensed" w:cs="Barlow Semi Condensed" w:eastAsia="Barlow Semi Condensed" w:hAnsi="Barlow Semi Condensed"/>
          <w:b/>
          <w:bCs/>
          <w:sz w:val="24"/>
          <w:szCs w:val="24"/>
        </w:rPr>
        <w:t xml:space="preserve">L'espansione, per date. Nel 1966 il collegio avviò i corsi di contabilità con venticinque studenti, sponsorizzati da Shell East Africa, BAT East Africa ed East African Breweries, preparati agli esami britannici dell'associazione dei contabili certificati. Nel 1977 aggiunse la secondaria inferiore, nel 1986 la primaria. Nel 1993 la scuola di contabilità si trasferì nel campus di Madaraka fondendosi con il Kianda College. Nel 2002 la Commissione per l'istruzione superiore concesse la lettera di autorità provvisoria per operare come università.</w:t>
      </w:r>
    </w:p>
    <w:p>
      <w:pPr>
        <w:spacing w:after="120" w:line="276"/>
        <w:jc w:val="both"/>
      </w:pPr>
      <w:r>
        <w:rPr>
          <w:rFonts w:ascii="Barlow Semi Condensed" w:cs="Barlow Semi Condensed" w:eastAsia="Barlow Semi Condensed" w:hAnsi="Barlow Semi Condensed"/>
          <w:b/>
          <w:bCs/>
          <w:sz w:val="24"/>
          <w:szCs w:val="24"/>
        </w:rPr>
        <w:t xml:space="preserve">Il versante femminile, e qui sta il dato decisivo. La Kianda Secretarial School iniziò nel gennaio 1961, aperta a ragazze di ogni razza. Nel febbraio 1961 nacque la Kibondeni School of Institutional Management, unità di formazione per donne annessa al dipartimento di ristorazione dello Strathmore, definita dalla fonte istituzione unica nel Kenya pre-indipendenza, dove i lavori di ristorazione erano svolti da uomini.</w:t>
      </w:r>
    </w:p>
    <w:p>
      <w:pPr>
        <w:spacing w:after="120" w:line="276"/>
        <w:jc w:val="both"/>
      </w:pPr>
      <w:r>
        <w:rPr>
          <w:rFonts w:ascii="Barlow Semi Condensed" w:cs="Barlow Semi Condensed" w:eastAsia="Barlow Semi Condensed" w:hAnsi="Barlow Semi Condensed"/>
          <w:b/>
          <w:bCs/>
          <w:sz w:val="24"/>
          <w:szCs w:val="24"/>
        </w:rPr>
        <w:t xml:space="preserve">E adesso la sequenza che prova la costruzione endogena.\\ \\Le prime numerarie ausiliari keniane emersero nel 1963 — Florence Auma e Mary Mumbua — e provenivano proprio dalle donne formate a Kibondeni.</w:t>
      </w:r>
    </w:p>
    <w:p>
      <w:pPr>
        <w:spacing w:after="120" w:line="276"/>
        <w:jc w:val="both"/>
      </w:pPr>
      <w:r>
        <w:rPr>
          <w:rFonts w:ascii="Barlow Semi Condensed" w:cs="Barlow Semi Condensed" w:eastAsia="Barlow Semi Condensed" w:hAnsi="Barlow Semi Condensed"/>
          <w:b/>
          <w:bCs/>
          <w:sz w:val="24"/>
          <w:szCs w:val="24"/>
        </w:rPr>
        <w:t xml:space="preserve">Due anni dopo l'apertura della scuola, e dalla scuola medesima.</w:t>
      </w:r>
    </w:p>
    <w:p>
      <w:pPr>
        <w:spacing w:after="120" w:line="276"/>
        <w:jc w:val="both"/>
      </w:pPr>
      <w:r>
        <w:rPr>
          <w:rFonts w:ascii="Barlow Semi Condensed" w:cs="Barlow Semi Condensed" w:eastAsia="Barlow Semi Condensed" w:hAnsi="Barlow Semi Condensed"/>
          <w:b/>
          <w:bCs/>
          <w:sz w:val="24"/>
          <w:szCs w:val="24"/>
        </w:rPr>
        <w:t xml:space="preserve">Il primo membro keniano numerario a completare gli studi teologici a Roma fu Paul Mimbi, ingegnere civile dell'Università di Nairobi, ordinato sacerdote nel 1982: primo sacerdote africano dell'Opus Dei. Seguì Anthony Muheria, ordinato nel 1993 e nominato vescovo di Embu nel 2004.</w:t>
      </w:r>
    </w:p>
    <w:p>
      <w:pPr>
        <w:spacing w:after="120" w:line="276"/>
        <w:jc w:val="both"/>
      </w:pPr>
      <w:r>
        <w:rPr>
          <w:rFonts w:ascii="Barlow Semi Condensed" w:cs="Barlow Semi Condensed" w:eastAsia="Barlow Semi Condensed" w:hAnsi="Barlow Semi Condensed"/>
          <w:b/>
          <w:bCs/>
          <w:sz w:val="24"/>
          <w:szCs w:val="24"/>
        </w:rPr>
        <w:t xml:space="preserve">La sequenza cronologica va enunciata perché è la dimostrazione. Istituzioni fondate nel 1961; primi membri autoctoni nel 1963; primo sacerdote keniano nel 1982; vescovo nel 2004. I membri autoctoni sono posteriori alle istituzioni e in parte prodotto diretto di esse.</w:t>
      </w:r>
    </w:p>
    <w:p>
      <w:pPr>
        <w:spacing w:after="120" w:line="276"/>
        <w:jc w:val="both"/>
      </w:pPr>
      <w:r>
        <w:rPr>
          <w:rFonts w:ascii="Barlow Semi Condensed" w:cs="Barlow Semi Condensed" w:eastAsia="Barlow Semi Condensed" w:hAnsi="Barlow Semi Condensed"/>
          <w:b/>
          <w:bCs/>
          <w:sz w:val="24"/>
          <w:szCs w:val="24"/>
        </w:rPr>
        <w:t xml:space="preserve">Ne discende che l'ente non trovò il ceto: lo formò, e da esso trasse i propri membri.</w:t>
      </w:r>
    </w:p>
    <w:p>
      <w:pPr>
        <w:pStyle w:val="Heading2"/>
        <w:spacing w:after="100" w:before="200"/>
      </w:pPr>
      <w:r>
        <w:rPr>
          <w:rFonts w:ascii="Barlow Semi Condensed" w:cs="Barlow Semi Condensed" w:eastAsia="Barlow Semi Condensed" w:hAnsi="Barlow Semi Condensed"/>
          <w:sz w:val="24"/>
          <w:szCs w:val="24"/>
        </w:rPr>
        <w:t xml:space="preserve">Capitolo quarto — Giappone: il caso opposto e la sua complicazione</w:t>
      </w:r>
    </w:p>
    <w:p>
      <w:pPr>
        <w:spacing w:after="120" w:line="276"/>
        <w:jc w:val="both"/>
      </w:pPr>
      <w:r>
        <w:rPr>
          <w:rFonts w:ascii="Barlow Semi Condensed" w:cs="Barlow Semi Condensed" w:eastAsia="Barlow Semi Condensed" w:hAnsi="Barlow Semi Condensed"/>
          <w:b/>
          <w:bCs/>
          <w:sz w:val="24"/>
          <w:szCs w:val="24"/>
        </w:rPr>
        <w:t xml:space="preserve">Il capitolo espone il caso di prova contrario, che conferma il modello nella sostanza ma vi introduce una complicazione che va riportata anziché appianata.</w:t>
      </w:r>
    </w:p>
    <w:p>
      <w:pPr>
        <w:spacing w:after="120" w:line="276"/>
        <w:jc w:val="both"/>
      </w:pPr>
      <w:r>
        <w:rPr>
          <w:rFonts w:ascii="Barlow Semi Condensed" w:cs="Barlow Semi Condensed" w:eastAsia="Barlow Semi Condensed" w:hAnsi="Barlow Semi Condensed"/>
          <w:b/>
          <w:bCs/>
          <w:sz w:val="24"/>
          <w:szCs w:val="24"/>
        </w:rPr>
        <w:t xml:space="preserve">I numeri. Nel 1975 i cattolici giapponesi erano trecentottantottomilacinquecentocinquantasei su una popolazione di centoundici milioni novecentocinquantamila: lo zero virgola tre per cento. La diocesi di Nagasaki presentava però il quattro virgola cinque per cento, quindici volte la media nazionale.</w:t>
      </w:r>
    </w:p>
    <w:p>
      <w:pPr>
        <w:spacing w:after="120" w:line="276"/>
        <w:jc w:val="both"/>
      </w:pPr>
      <w:r>
        <w:rPr>
          <w:rFonts w:ascii="Barlow Semi Condensed" w:cs="Barlow Semi Condensed" w:eastAsia="Barlow Semi Condensed" w:hAnsi="Barlow Semi Condensed"/>
          <w:b/>
          <w:bCs/>
          <w:sz w:val="24"/>
          <w:szCs w:val="24"/>
        </w:rPr>
        <w:t xml:space="preserve">L'origine della comunità. Nagasaki è sede dei cattolici nascosti, che mantennero la fede per circa sette generazioni senza sacerdoti durante due secoli e mezzo di persecuzione, riemergendo con la missione francese negli anni Sessanta dell'Ottocento e la cattedrale di Ōura del 1864.</w:t>
      </w:r>
    </w:p>
    <w:p>
      <w:pPr>
        <w:spacing w:after="120" w:line="276"/>
        <w:jc w:val="both"/>
      </w:pPr>
      <w:r>
        <w:rPr>
          <w:rFonts w:ascii="Barlow Semi Condensed" w:cs="Barlow Semi Condensed" w:eastAsia="Barlow Semi Condensed" w:hAnsi="Barlow Semi Condensed"/>
          <w:b/>
          <w:bCs/>
          <w:sz w:val="24"/>
          <w:szCs w:val="24"/>
        </w:rPr>
        <w:t xml:space="preserve">Il versante universitario, che è ciò che rende il Giappone il rovescio del Kenya. La Sophia University, fondata nel 1913 e con status pieno dal 1928, prima università cattolica del Giappone, opera di tre gesuiti — il tedesco Joseph Dahlmann, il francese Henri Boucher, l'inglese James Rockliff — con primo presidente il botanico Hermann Hoffmann.</w:t>
      </w:r>
    </w:p>
    <w:p>
      <w:pPr>
        <w:spacing w:after="120" w:line="276"/>
        <w:jc w:val="both"/>
      </w:pPr>
      <w:r>
        <w:rPr>
          <w:rFonts w:ascii="Barlow Semi Condensed" w:cs="Barlow Semi Condensed" w:eastAsia="Barlow Semi Condensed" w:hAnsi="Barlow Semi Condensed"/>
          <w:b/>
          <w:bCs/>
          <w:sz w:val="24"/>
          <w:szCs w:val="24"/>
        </w:rPr>
        <w:t xml:space="preserve">L'origine dell'insediamento fu di nuovo gerarchica. Nel 1957 l'arcivescovo di Osaka, monsignor Paul Yoshigoro Taguchi, preoccupato per l'influenza marxista sugli studenti, parlò con il cardinale Ottaviani, che gli suggerì di incontrare Escrivá. Nell'aprile 1958 padre Joseph Múzquiz percorse il Paese per un mese fra Tokyo, Osaka e Nagasaki; l'8 novembre 1958 padre José Ramón Madurga arrivò dagli Stati Uniti. L'ente iniziò nella diocesi di Osaka, prima a Toyonaka poi ad Ashiya. Il 15 luglio 1960 arrivarono otto donne, che iniziarono a Nishinomiya.</w:t>
      </w:r>
    </w:p>
    <w:p>
      <w:pPr>
        <w:spacing w:after="120" w:line="276"/>
        <w:jc w:val="both"/>
      </w:pPr>
      <w:r>
        <w:rPr>
          <w:rFonts w:ascii="Barlow Semi Condensed" w:cs="Barlow Semi Condensed" w:eastAsia="Barlow Semi Condensed" w:hAnsi="Barlow Semi Condensed"/>
          <w:b/>
          <w:bCs/>
          <w:sz w:val="24"/>
          <w:szCs w:val="24"/>
        </w:rPr>
        <w:t xml:space="preserve">Un apporto esterno peculiare va registrato. I nippo-discendenti dal Sud America, Perù e Brasile, furono richiamati in Giappone; sul letto di morte, il 26 giugno 1975, Escrivá menzionò che le mie figlie discendenti di giapponesi che vivono in America cominceranno a tornare in Giappone.</w:t>
      </w:r>
    </w:p>
    <w:p>
      <w:pPr>
        <w:spacing w:after="120" w:line="276"/>
        <w:jc w:val="both"/>
      </w:pPr>
      <w:r>
        <w:rPr>
          <w:rFonts w:ascii="Barlow Semi Condensed" w:cs="Barlow Semi Condensed" w:eastAsia="Barlow Semi Condensed" w:hAnsi="Barlow Semi Condensed"/>
          <w:b/>
          <w:bCs/>
          <w:sz w:val="24"/>
          <w:szCs w:val="24"/>
        </w:rPr>
        <w:t xml:space="preserve">Le istituzioni, con una divergenza da riportare. Il Seido Language Institute di Ashiya fu la prima opera corporativa; le fonti divergono sull'anno: ottobre 1962 secondo lo studio accademico e la pagina ufficiale spagnola, 1959 secondo altra pagina divulgativa collegata. Nel 1971 fu integrato in una fondazione; nel 1973 nacque il centro culturale; nell'aprile 1964 una residenza universitaria a Kyoto. La Nagasaki Seido School: primi passi nel gennaio 1975, elementare nell'aprile 1978, media nel 1984, superiore maschile dal 2009.</w:t>
      </w:r>
    </w:p>
    <w:p>
      <w:pPr>
        <w:spacing w:after="120" w:line="276"/>
        <w:jc w:val="both"/>
      </w:pPr>
      <w:r>
        <w:rPr>
          <w:rFonts w:ascii="Barlow Semi Condensed" w:cs="Barlow Semi Condensed" w:eastAsia="Barlow Semi Condensed" w:hAnsi="Barlow Semi Condensed"/>
          <w:b/>
          <w:bCs/>
          <w:sz w:val="24"/>
          <w:szCs w:val="24"/>
        </w:rPr>
        <w:t xml:space="preserve">E qui il dato teoricamente decisivo, documentato dall'archivio della Prelatura. La scelta di Nagasaki non fu casuale ma determinata dalla densità cattolica. Nelle scuole cattoliche del Kansai la percentuale media di alunne cattoliche era del quattro virgola cinque per cento, sicché in una scuola di cinquecento ragazze ci si potevano attendere ventidue o ventitré alunne di famiglia cattolica; ma nelle scuole cattoliche di Nagasaki le ragazze cattoliche erano il cinquantuno per cento nelle medie inferiori. L'ente scelse deliberatamente di impiantare la scuola nel cuore della parte più cattolica di Nagasaki, accanto alla parrocchia di Urakami.</w:t>
      </w:r>
    </w:p>
    <w:p>
      <w:pPr>
        <w:spacing w:after="120" w:line="276"/>
        <w:jc w:val="both"/>
      </w:pPr>
      <w:r>
        <w:rPr>
          <w:rFonts w:ascii="Barlow Semi Condensed" w:cs="Barlow Semi Condensed" w:eastAsia="Barlow Semi Condensed" w:hAnsi="Barlow Semi Condensed"/>
          <w:b/>
          <w:bCs/>
          <w:sz w:val="24"/>
          <w:szCs w:val="24"/>
        </w:rPr>
        <w:t xml:space="preserve">Questo è radicamento su comunità preesistente, e conferma la prima parte del modello.</w:t>
      </w:r>
    </w:p>
    <w:p>
      <w:pPr>
        <w:spacing w:after="120" w:line="276"/>
        <w:jc w:val="both"/>
      </w:pPr>
      <w:r>
        <w:rPr>
          <w:rFonts w:ascii="Barlow Semi Condensed" w:cs="Barlow Semi Condensed" w:eastAsia="Barlow Semi Condensed" w:hAnsi="Barlow Semi Condensed"/>
          <w:b/>
          <w:bCs/>
          <w:sz w:val="24"/>
          <w:szCs w:val="24"/>
        </w:rPr>
        <w:t xml:space="preserve">Ma due complicazioni vanno riportate.</w:t>
      </w:r>
    </w:p>
    <w:p>
      <w:pPr>
        <w:spacing w:after="120" w:line="276"/>
        <w:jc w:val="both"/>
      </w:pPr>
      <w:r>
        <w:rPr>
          <w:rFonts w:ascii="Barlow Semi Condensed" w:cs="Barlow Semi Condensed" w:eastAsia="Barlow Semi Condensed" w:hAnsi="Barlow Semi Condensed"/>
          <w:b/>
          <w:bCs/>
          <w:sz w:val="24"/>
          <w:szCs w:val="24"/>
        </w:rPr>
        <w:t xml:space="preserve">Prima: il ceto su cui l'ente si radicò a Nagasaki non era il ceto universitario e professionale d'élite — che il Giappone possedeva a Tokyo con la Sophia — bensì una comunità cattolica popolare, di antica origine contadina e peschereccia. L'ente non si insediò accanto alla Sophia dei gesuiti né presso l'élite laureata: si insediò presso una base cattolica di ceto medio-popolare, e ne produsse essa stessa l'ascesa educativa.</w:t>
      </w:r>
    </w:p>
    <w:p>
      <w:pPr>
        <w:spacing w:after="120" w:line="276"/>
        <w:jc w:val="both"/>
      </w:pPr>
      <w:r>
        <w:rPr>
          <w:rFonts w:ascii="Barlow Semi Condensed" w:cs="Barlow Semi Condensed" w:eastAsia="Barlow Semi Condensed" w:hAnsi="Barlow Semi Condensed"/>
          <w:b/>
          <w:bCs/>
          <w:sz w:val="24"/>
          <w:szCs w:val="24"/>
        </w:rPr>
        <w:t xml:space="preserve">Seconda: l'apostolato produsse conversioni. Oltre cento persone furono battezzate nell'orbita della scuola di Nagasaki, e il primo giapponese numerario, poi sacerdote, si era convertito alla fede al Seido. La prima numeraria giapponese fu Kikuko Yoshizu, il 29 maggio 1961.</w:t>
      </w:r>
    </w:p>
    <w:p>
      <w:pPr>
        <w:spacing w:after="120" w:line="276"/>
        <w:jc w:val="both"/>
      </w:pPr>
      <w:r>
        <w:rPr>
          <w:rFonts w:ascii="Barlow Semi Condensed" w:cs="Barlow Semi Condensed" w:eastAsia="Barlow Semi Condensed" w:hAnsi="Barlow Semi Condensed"/>
          <w:b/>
          <w:bCs/>
          <w:sz w:val="24"/>
          <w:szCs w:val="24"/>
        </w:rPr>
        <w:t xml:space="preserve">Ne discende che anche il Giappone contiene un elemento di costruzione, sovrapposto al radicamento: l'ente si radicò su densità confessionale preesistente ma di ceto popolare, elevandone il livello professionale e producendo insieme conversioni.</w:t>
      </w:r>
    </w:p>
    <w:p>
      <w:pPr>
        <w:pStyle w:val="Heading2"/>
        <w:spacing w:after="100" w:before="200"/>
      </w:pPr>
      <w:r>
        <w:rPr>
          <w:rFonts w:ascii="Barlow Semi Condensed" w:cs="Barlow Semi Condensed" w:eastAsia="Barlow Semi Condensed" w:hAnsi="Barlow Semi Condensed"/>
          <w:sz w:val="24"/>
          <w:szCs w:val="24"/>
        </w:rPr>
        <w:t xml:space="preserve">Capitolo quinto — Nigeria: il ceto esisteva e l'ente andò altrove</w:t>
      </w:r>
    </w:p>
    <w:p>
      <w:pPr>
        <w:spacing w:after="120" w:line="276"/>
        <w:jc w:val="both"/>
      </w:pPr>
      <w:r>
        <w:rPr>
          <w:rFonts w:ascii="Barlow Semi Condensed" w:cs="Barlow Semi Condensed" w:eastAsia="Barlow Semi Condensed" w:hAnsi="Barlow Semi Condensed"/>
          <w:b/>
          <w:bCs/>
          <w:sz w:val="24"/>
          <w:szCs w:val="24"/>
        </w:rPr>
        <w:t xml:space="preserve">Il capitolo espone il caso che complica il modello per via geografica anziché sociale.</w:t>
      </w:r>
    </w:p>
    <w:p>
      <w:pPr>
        <w:spacing w:after="120" w:line="276"/>
        <w:jc w:val="both"/>
      </w:pPr>
      <w:r>
        <w:rPr>
          <w:rFonts w:ascii="Barlow Semi Condensed" w:cs="Barlow Semi Condensed" w:eastAsia="Barlow Semi Condensed" w:hAnsi="Barlow Semi Condensed"/>
          <w:b/>
          <w:bCs/>
          <w:sz w:val="24"/>
          <w:szCs w:val="24"/>
        </w:rPr>
        <w:t xml:space="preserve">L'insediamento, con divergenza sulla data. I primi due membri arrivarono il 20 ottobre 1965 secondo una fonte ufficiale, il 19 ottobre secondo altra: Jeremy White, laico britannico, e José Domingo Gabiola, sacerdote proveniente dal Kenya. White era Commonwealth Scholar ammesso all'Università di Ibadan per un dottorato in storia; dopo il dottorato insegnò a Ife e Lagos. Gabiola fu il primo vicario regionale. La fonte ufficiale precisa che altri vennero anni dopo come docenti universitari.</w:t>
      </w:r>
    </w:p>
    <w:p>
      <w:pPr>
        <w:spacing w:after="120" w:line="276"/>
        <w:jc w:val="both"/>
      </w:pPr>
      <w:r>
        <w:rPr>
          <w:rFonts w:ascii="Barlow Semi Condensed" w:cs="Barlow Semi Condensed" w:eastAsia="Barlow Semi Condensed" w:hAnsi="Barlow Semi Condensed"/>
          <w:b/>
          <w:bCs/>
          <w:sz w:val="24"/>
          <w:szCs w:val="24"/>
        </w:rPr>
        <w:t xml:space="preserve">Personale allogeno anche qui: britannico e spagnolo via Kenya.</w:t>
      </w:r>
    </w:p>
    <w:p>
      <w:pPr>
        <w:spacing w:after="120" w:line="276"/>
        <w:jc w:val="both"/>
      </w:pPr>
      <w:r>
        <w:rPr>
          <w:rFonts w:ascii="Barlow Semi Condensed" w:cs="Barlow Semi Condensed" w:eastAsia="Barlow Semi Condensed" w:hAnsi="Barlow Semi Condensed"/>
          <w:b/>
          <w:bCs/>
          <w:sz w:val="24"/>
          <w:szCs w:val="24"/>
        </w:rPr>
        <w:t xml:space="preserve">E adesso il ceto, che in Nigeria esisteva davvero. La storiografia documenta che il cattolicesimo igbo dell'est, radicato dall'arrivo di padre Lutz a Onitsha nel 1885 e sviluppato dai vescovi Shanahan e Heerey, aveva prodotto attraverso le scuole missionarie — che a differenza delle protestanti insegnavano in inglese, considerato mezzo di avanzamento — una generazione di insegnanti, professori, avvocati, medici e altri professionisti, tanto che entro il 1965 gli igbo competevano favorevolmente con gli yoruba, con più dottorati fra i primi che fra i secondi.</w:t>
      </w:r>
    </w:p>
    <w:p>
      <w:pPr>
        <w:spacing w:after="120" w:line="276"/>
        <w:jc w:val="both"/>
      </w:pPr>
      <w:r>
        <w:rPr>
          <w:rFonts w:ascii="Barlow Semi Condensed" w:cs="Barlow Semi Condensed" w:eastAsia="Barlow Semi Condensed" w:hAnsi="Barlow Semi Condensed"/>
          <w:b/>
          <w:bCs/>
          <w:sz w:val="24"/>
          <w:szCs w:val="24"/>
        </w:rPr>
        <w:t xml:space="preserve">La prima condizione del modello era dunque soddisfatta nell'est igbo.</w:t>
      </w:r>
    </w:p>
    <w:p>
      <w:pPr>
        <w:spacing w:after="120" w:line="276"/>
        <w:jc w:val="both"/>
      </w:pPr>
      <w:r>
        <w:rPr>
          <w:rFonts w:ascii="Barlow Semi Condensed" w:cs="Barlow Semi Condensed" w:eastAsia="Barlow Semi Condensed" w:hAnsi="Barlow Semi Condensed"/>
          <w:b/>
          <w:bCs/>
          <w:sz w:val="24"/>
          <w:szCs w:val="24"/>
        </w:rPr>
        <w:t xml:space="preserve">Ma l'ente non si insediò nell'est igbo: si insediò a Ibadan, nell'ovest yoruba, presso l'università, e poi a Lagos ed Enugu.</w:t>
      </w:r>
    </w:p>
    <w:p>
      <w:pPr>
        <w:spacing w:after="120" w:line="276"/>
        <w:jc w:val="both"/>
      </w:pPr>
      <w:r>
        <w:rPr>
          <w:rFonts w:ascii="Barlow Semi Condensed" w:cs="Barlow Semi Condensed" w:eastAsia="Barlow Semi Condensed" w:hAnsi="Barlow Semi Condensed"/>
          <w:b/>
          <w:bCs/>
          <w:sz w:val="24"/>
          <w:szCs w:val="24"/>
        </w:rPr>
        <w:t xml:space="preserve">La ragione storica va esposta perché è dirimente. Il 1965 precede immediatamente la guerra del Biafra, del 1967-1970. La fonte ufficiale riconosce che i primi anni, dal 1965 al 1975, non furono facili, avendo il Paese conosciuto una serie di colpi di Stato sanguinosi e un tentativo di secessione.</w:t>
      </w:r>
    </w:p>
    <w:p>
      <w:pPr>
        <w:spacing w:after="120" w:line="276"/>
        <w:jc w:val="both"/>
      </w:pPr>
      <w:r>
        <w:rPr>
          <w:rFonts w:ascii="Barlow Semi Condensed" w:cs="Barlow Semi Condensed" w:eastAsia="Barlow Semi Condensed" w:hAnsi="Barlow Semi Condensed"/>
          <w:b/>
          <w:bCs/>
          <w:sz w:val="24"/>
          <w:szCs w:val="24"/>
        </w:rPr>
        <w:t xml:space="preserve">E l'esito sull'infrastruttura educativa cattolica dell'est fu devastante. Nel 1970, con l'editto sull'istruzione pubblica numero due, lo Stato dell'East Central assunse il controllo di tutte le scuole private, e praticamente tutti i missionari se ne andarono; la presa di controllo statale, secondo la storiografia, suonò a morto per un'istruzione solida.</w:t>
      </w:r>
    </w:p>
    <w:p>
      <w:pPr>
        <w:spacing w:after="120" w:line="276"/>
        <w:jc w:val="both"/>
      </w:pPr>
      <w:r>
        <w:rPr>
          <w:rFonts w:ascii="Barlow Semi Condensed" w:cs="Barlow Semi Condensed" w:eastAsia="Barlow Semi Condensed" w:hAnsi="Barlow Semi Condensed"/>
          <w:b/>
          <w:bCs/>
          <w:sz w:val="24"/>
          <w:szCs w:val="24"/>
        </w:rPr>
        <w:t xml:space="preserve">Ne discende che l'insediamento coincise cronologicamente con la crisi e il parziale smantellamento del ceto cattolico su cui, in astratto, avrebbe potuto radicarsi.</w:t>
      </w:r>
    </w:p>
    <w:p>
      <w:pPr>
        <w:spacing w:after="120" w:line="276"/>
        <w:jc w:val="both"/>
      </w:pPr>
      <w:r>
        <w:rPr>
          <w:rFonts w:ascii="Barlow Semi Condensed" w:cs="Barlow Semi Condensed" w:eastAsia="Barlow Semi Condensed" w:hAnsi="Barlow Semi Condensed"/>
          <w:b/>
          <w:bCs/>
          <w:sz w:val="24"/>
          <w:szCs w:val="24"/>
        </w:rPr>
        <w:t xml:space="preserve">Lo stato attuale. Centri a Lagos, Ibadan, Enugu, Benin e Abuja; la Lagos Business School spiritualmente affidata all'ente; la Lagoon School. Nel 2018 la visita del prelato raccolse a Lagos oltre mille persone e centinaia di uomini alla scuola di management; ordinazioni del 2024 includono nigeriani.</w:t>
      </w:r>
    </w:p>
    <w:p>
      <w:pPr>
        <w:spacing w:after="120" w:line="276"/>
        <w:jc w:val="both"/>
      </w:pPr>
      <w:r>
        <w:rPr>
          <w:rFonts w:ascii="Barlow Semi Condensed" w:cs="Barlow Semi Condensed" w:eastAsia="Barlow Semi Condensed" w:hAnsi="Barlow Semi Condensed"/>
          <w:b/>
          <w:bCs/>
          <w:sz w:val="24"/>
          <w:szCs w:val="24"/>
        </w:rPr>
        <w:t xml:space="preserve">Il radicamento autoctono è dunque documentato nella fase matura, ma non quantificato. La provenienza dei numerari nigeriani non è data dalle fonti reperite.</w:t>
      </w:r>
    </w:p>
    <w:p>
      <w:pPr>
        <w:spacing w:after="120" w:line="276"/>
        <w:jc w:val="both"/>
      </w:pPr>
      <w:r>
        <w:rPr>
          <w:rFonts w:ascii="Barlow Semi Condensed" w:cs="Barlow Semi Condensed" w:eastAsia="Barlow Semi Condensed" w:hAnsi="Barlow Semi Condensed"/>
          <w:b/>
          <w:bCs/>
          <w:sz w:val="24"/>
          <w:szCs w:val="24"/>
        </w:rPr>
        <w:t xml:space="preserve">Una nota di disciplina.\\ Una fonte nigeriana di natura polemica descrive pratiche di reclutamento. \\Essa è qualificata come pubblicistica polemica non corroborata da fonti primarie, e non se ne trae alcuna inferenza sulla condotta dell'ente.</w:t>
      </w:r>
    </w:p>
    <w:p>
      <w:pPr>
        <w:pStyle w:val="Heading2"/>
        <w:spacing w:after="100" w:before="200"/>
      </w:pPr>
      <w:r>
        <w:rPr>
          <w:rFonts w:ascii="Barlow Semi Condensed" w:cs="Barlow Semi Condensed" w:eastAsia="Barlow Semi Condensed" w:hAnsi="Barlow Semi Condensed"/>
          <w:sz w:val="24"/>
          <w:szCs w:val="24"/>
        </w:rPr>
        <w:t xml:space="preserve">Capitolo sesto — India, Kazakhistan, Indonesia, Sri Lanka</w:t>
      </w:r>
    </w:p>
    <w:p>
      <w:pPr>
        <w:spacing w:after="120" w:line="276"/>
        <w:jc w:val="both"/>
      </w:pPr>
      <w:r>
        <w:rPr>
          <w:rFonts w:ascii="Barlow Semi Condensed" w:cs="Barlow Semi Condensed" w:eastAsia="Barlow Semi Condensed" w:hAnsi="Barlow Semi Condensed"/>
          <w:b/>
          <w:bCs/>
          <w:sz w:val="24"/>
          <w:szCs w:val="24"/>
        </w:rPr>
        <w:t xml:space="preserve">Il capitolo raccoglie i quattro casi restanti, ciascuno in misura proporzionata al materiale.</w:t>
      </w:r>
    </w:p>
    <w:p>
      <w:pPr>
        <w:spacing w:after="120" w:line="276"/>
        <w:jc w:val="both"/>
      </w:pPr>
      <w:r>
        <w:rPr>
          <w:rFonts w:ascii="Barlow Semi Condensed" w:cs="Barlow Semi Condensed" w:eastAsia="Barlow Semi Condensed" w:hAnsi="Barlow Semi Condensed"/>
          <w:b/>
          <w:bCs/>
          <w:sz w:val="24"/>
          <w:szCs w:val="24"/>
        </w:rPr>
        <w:t xml:space="preserve">India 1993: la conferma della prima parte, con una riserva geografica. La data è confermata da tre ordini di fonti: l'elenco ufficiale; un'intervista dell'agenzia missionaria a Kevin de Souza, direttore del centro di Mumbai, secondo cui i primi membri arrivarono a Nuova Delhi nel 1993; e un quotidiano indiano laico che conferma i due soli centri, Delhi e Mumbai.</w:t>
      </w:r>
    </w:p>
    <w:p>
      <w:pPr>
        <w:spacing w:after="120" w:line="276"/>
        <w:jc w:val="both"/>
      </w:pPr>
      <w:r>
        <w:rPr>
          <w:rFonts w:ascii="Barlow Semi Condensed" w:cs="Barlow Semi Condensed" w:eastAsia="Barlow Semi Condensed" w:hAnsi="Barlow Semi Condensed"/>
          <w:b/>
          <w:bCs/>
          <w:sz w:val="24"/>
          <w:szCs w:val="24"/>
        </w:rPr>
        <w:t xml:space="preserve">La città fu Nuova Delhi, non il Kerala. E il ceto cattolico professionale indiano esisteva, antichissimo: i siro-malabaresi di origine apostolica, con gerarchia ristabilita nel 1923 ed elevazione a Chiesa arcivescovile maggiore nel 1992; e le comunità goanese e mangalorese di rito latino.</w:t>
      </w:r>
    </w:p>
    <w:p>
      <w:pPr>
        <w:spacing w:after="120" w:line="276"/>
        <w:jc w:val="both"/>
      </w:pPr>
      <w:r>
        <w:rPr>
          <w:rFonts w:ascii="Barlow Semi Condensed" w:cs="Barlow Semi Condensed" w:eastAsia="Barlow Semi Condensed" w:hAnsi="Barlow Semi Condensed"/>
          <w:b/>
          <w:bCs/>
          <w:sz w:val="24"/>
          <w:szCs w:val="24"/>
        </w:rPr>
        <w:t xml:space="preserve">I nomi dei membri documentati mostrano che l'ente attinse esattamente a quelle comunità. Josephine Kunnacherry, numeraria, ginecologa, nata in Kerala, dal 1997 a Delhi a capo di un progetto sanitario; Kevin de Souza, cognome goanese, entrato nel 1990; Tracy Fernandes, analista finanziaria a Mumbai; Nicholas Patankar, nato a Goa; Elizabeth Varghese, educatrice, cognome keralese. De Souza ha dichiarato che i membri appartengono ai diversi riti esistenti della Chiesa cattolica: latino, maronita, siro-malabarese e altri.</w:t>
      </w:r>
    </w:p>
    <w:p>
      <w:pPr>
        <w:spacing w:after="120" w:line="276"/>
        <w:jc w:val="both"/>
      </w:pPr>
      <w:r>
        <w:rPr>
          <w:rFonts w:ascii="Barlow Semi Condensed" w:cs="Barlow Semi Condensed" w:eastAsia="Barlow Semi Condensed" w:hAnsi="Barlow Semi Condensed"/>
          <w:b/>
          <w:bCs/>
          <w:sz w:val="24"/>
          <w:szCs w:val="24"/>
        </w:rPr>
        <w:t xml:space="preserve">Una lacuna va però dichiarata: la nazionalità e la professione dei membri fondatori arrivati materialmente a Nuova Delhi nel 1993 non sono nominate in alcuna fonte reperita.</w:t>
      </w:r>
    </w:p>
    <w:p>
      <w:pPr>
        <w:spacing w:after="120" w:line="276"/>
        <w:jc w:val="both"/>
      </w:pPr>
      <w:r>
        <w:rPr>
          <w:rFonts w:ascii="Barlow Semi Condensed" w:cs="Barlow Semi Condensed" w:eastAsia="Barlow Semi Condensed" w:hAnsi="Barlow Semi Condensed"/>
          <w:b/>
          <w:bCs/>
          <w:sz w:val="24"/>
          <w:szCs w:val="24"/>
        </w:rPr>
        <w:t xml:space="preserve">Kazakhistan 1997: il trapianto puro, e il contrasto con il Kenya. Su consiglio di Giovanni Paolo II un vescovo kazako si rivolse nel 1994 al prelato chiedendo un'istituzione capace di occuparsi di educazione e di giovani; la richiesta si concretò nel 1997 con l'arrivo dei primi membri ad Almaty. Claudia Valbuena, cilena; il sacerdote Carlos Lahoz, spagnolo, ad Almaty dal 1997; i primi sacerdoti descritti come spagnoli. Attività presso la scuola di management KIMEP e l'Irtysh Cultural Center.</w:t>
      </w:r>
    </w:p>
    <w:p>
      <w:pPr>
        <w:spacing w:after="120" w:line="276"/>
        <w:jc w:val="both"/>
      </w:pPr>
      <w:r>
        <w:rPr>
          <w:rFonts w:ascii="Barlow Semi Condensed" w:cs="Barlow Semi Condensed" w:eastAsia="Barlow Semi Condensed" w:hAnsi="Barlow Semi Condensed"/>
          <w:b/>
          <w:bCs/>
          <w:sz w:val="24"/>
          <w:szCs w:val="24"/>
        </w:rPr>
        <w:t xml:space="preserve">I cattolici sono circa l'uno virgola quattordici per cento, centododicimila fedeli con settanta parrocchie, e sono in larga parte discendenti di deportati: circa trecentoventimila polacchi e centodiecimila tedeschi deportati durante la seconda guerra mondiale, secondo la stampa kazaka; e circa cinquecentomila polacchi deportati fra il 1939 e il 1941 secondo un istituto per i diritti delle minoranze.</w:t>
      </w:r>
    </w:p>
    <w:p>
      <w:pPr>
        <w:spacing w:after="120" w:line="276"/>
        <w:jc w:val="both"/>
      </w:pPr>
      <w:r>
        <w:rPr>
          <w:rFonts w:ascii="Barlow Semi Condensed" w:cs="Barlow Semi Condensed" w:eastAsia="Barlow Semi Condensed" w:hAnsi="Barlow Semi Condensed"/>
          <w:b/>
          <w:bCs/>
          <w:sz w:val="24"/>
          <w:szCs w:val="24"/>
        </w:rPr>
        <w:t xml:space="preserve">Non risulta l'emersione di un numerariato kazako autoctono. Un giovane kazako è descritto come in ricerca e in relazione con l'ente, non come membro.</w:t>
      </w:r>
    </w:p>
    <w:p>
      <w:pPr>
        <w:spacing w:after="120" w:line="276"/>
        <w:jc w:val="both"/>
      </w:pPr>
      <w:r>
        <w:rPr>
          <w:rFonts w:ascii="Barlow Semi Condensed" w:cs="Barlow Semi Condensed" w:eastAsia="Barlow Semi Condensed" w:hAnsi="Barlow Semi Condensed"/>
          <w:b/>
          <w:bCs/>
          <w:sz w:val="24"/>
          <w:szCs w:val="24"/>
        </w:rPr>
        <w:t xml:space="preserve">Indonesia 2008: la modalità intermedia. Il prelato annunciò nel novembre 2007; l'insediamento materiale avvenne a Surabaya nel settembre 2009. Il primo arrivato veniva dalle Filippine, affiancato da tre indonesiani che avevano incontrato e seguito l'ente in altri Paesi mentre vi compivano studi universitari e da un membro dagli Stati Uniti.</w:t>
      </w:r>
    </w:p>
    <w:p>
      <w:pPr>
        <w:spacing w:after="120" w:line="276"/>
        <w:jc w:val="both"/>
      </w:pPr>
      <w:r>
        <w:rPr>
          <w:rFonts w:ascii="Barlow Semi Condensed" w:cs="Barlow Semi Condensed" w:eastAsia="Barlow Semi Condensed" w:hAnsi="Barlow Semi Condensed"/>
          <w:b/>
          <w:bCs/>
          <w:sz w:val="24"/>
          <w:szCs w:val="24"/>
        </w:rPr>
        <w:t xml:space="preserve">Ne discende una modalità intermedia: indonesiani reclutati all'estero durante gli studi e poi rientrati.</w:t>
      </w:r>
    </w:p>
    <w:p>
      <w:pPr>
        <w:spacing w:after="120" w:line="276"/>
        <w:jc w:val="both"/>
      </w:pPr>
      <w:r>
        <w:rPr>
          <w:rFonts w:ascii="Barlow Semi Condensed" w:cs="Barlow Semi Condensed" w:eastAsia="Barlow Semi Condensed" w:hAnsi="Barlow Semi Condensed"/>
          <w:b/>
          <w:bCs/>
          <w:sz w:val="24"/>
          <w:szCs w:val="24"/>
        </w:rPr>
        <w:t xml:space="preserve">I cattolici sono circa il tre virgola zero nove per cento, concentrati a Flores, cattolica all'ottantatré virgola cinquantasei per cento per eredità portoghese. Ma l'ente non si insediò a Flores: si insediò a Surabaya, città a maggioranza musulmana di Giava orientale, presso l'università.</w:t>
      </w:r>
    </w:p>
    <w:p>
      <w:pPr>
        <w:spacing w:after="120" w:line="276"/>
        <w:jc w:val="both"/>
      </w:pPr>
      <w:r>
        <w:rPr>
          <w:rFonts w:ascii="Barlow Semi Condensed" w:cs="Barlow Semi Condensed" w:eastAsia="Barlow Semi Condensed" w:hAnsi="Barlow Semi Condensed"/>
          <w:b/>
          <w:bCs/>
          <w:sz w:val="24"/>
          <w:szCs w:val="24"/>
        </w:rPr>
        <w:t xml:space="preserve">Sri Lanka 2011: Stato Zero documentale, e il capitolo è breve per questa ragione. La data non è confermata da alcun documento primario datato fra quelli reperiti. L'unica fonte diretta è una lettera da Colombo sul sito ufficiale che documenta attività con il coinvolgimento del cardinale Malcolm Ranjith, senza anno di fondazione né nomi né nazionalità.</w:t>
      </w:r>
    </w:p>
    <w:p>
      <w:pPr>
        <w:spacing w:after="120" w:line="276"/>
        <w:jc w:val="both"/>
      </w:pPr>
      <w:r>
        <w:rPr>
          <w:rFonts w:ascii="Barlow Semi Condensed" w:cs="Barlow Semi Condensed" w:eastAsia="Barlow Semi Condensed" w:hAnsi="Barlow Semi Condensed"/>
          <w:b/>
          <w:bCs/>
          <w:sz w:val="24"/>
          <w:szCs w:val="24"/>
        </w:rPr>
        <w:t xml:space="preserve">La comunità è invece ben documentata: censimento del 2012, un milione duecentosessantunmilacentonovantaquattro cattolici, circa il sei virgola uno per cento, concentrati nelle province occidentale, nord-occidentale e settentrionale — la fascia costiera di origine coloniale portoghese e olandese, sia sinhalese sia tamil.</w:t>
      </w:r>
    </w:p>
    <w:p>
      <w:pPr>
        <w:spacing w:after="120" w:line="276"/>
        <w:jc w:val="both"/>
      </w:pPr>
      <w:r>
        <w:rPr>
          <w:rFonts w:ascii="Barlow Semi Condensed" w:cs="Barlow Semi Condensed" w:eastAsia="Barlow Semi Condensed" w:hAnsi="Barlow Semi Condensed"/>
          <w:b/>
          <w:bCs/>
          <w:sz w:val="24"/>
          <w:szCs w:val="24"/>
        </w:rPr>
        <w:t xml:space="preserve">Il caso non è classificabile né come radicamento né come trapianto, e non contribuisce al test.</w:t>
      </w:r>
    </w:p>
    <w:p>
      <w:pPr>
        <w:pStyle w:val="Heading2"/>
        <w:spacing w:after="100" w:before="200"/>
      </w:pPr>
      <w:r>
        <w:rPr>
          <w:rFonts w:ascii="Barlow Semi Condensed" w:cs="Barlow Semi Condensed" w:eastAsia="Barlow Semi Condensed" w:hAnsi="Barlow Semi Condensed"/>
          <w:sz w:val="24"/>
          <w:szCs w:val="24"/>
        </w:rPr>
        <w:t xml:space="preserve">Capitolo settimo — Il contrasto Kenya-Kazakhistan: la variabile invisibile al modello</w:t>
      </w:r>
    </w:p>
    <w:p>
      <w:pPr>
        <w:spacing w:after="120" w:line="276"/>
        <w:jc w:val="both"/>
      </w:pPr>
      <w:r>
        <w:rPr>
          <w:rFonts w:ascii="Barlow Semi Condensed" w:cs="Barlow Semi Condensed" w:eastAsia="Barlow Semi Condensed" w:hAnsi="Barlow Semi Condensed"/>
          <w:b/>
          <w:bCs/>
          <w:sz w:val="24"/>
          <w:szCs w:val="24"/>
        </w:rPr>
        <w:t xml:space="preserve">Il capitolo isola il confronto che è la dimostrazione teorica dell'intero documento.</w:t>
      </w:r>
    </w:p>
    <w:p>
      <w:pPr>
        <w:spacing w:after="120" w:line="276"/>
        <w:jc w:val="both"/>
      </w:pPr>
      <w:r>
        <w:rPr>
          <w:rFonts w:ascii="Barlow Semi Condensed" w:cs="Barlow Semi Condensed" w:eastAsia="Barlow Semi Condensed" w:hAnsi="Barlow Semi Condensed"/>
          <w:b/>
          <w:bCs/>
          <w:sz w:val="24"/>
          <w:szCs w:val="24"/>
        </w:rPr>
        <w:t xml:space="preserve">La premessa comune ai due casi. Entrambi erano, all'epoca dell'insediamento, Paesi privi di ceto cattolico professionale autoctono nel senso proprio. Il Kenya perché il ceto cattolico africano era in formazione, prodotto di istruzione missionaria recente e privo di accesso all'istruzione superiore in regime coloniale. Il Kazakhistan perché i cattolici erano discendenti di deportati polacchi e tedeschi, minoranza attorno all'uno per cento in Paese a maggioranza musulmana.</w:t>
      </w:r>
    </w:p>
    <w:p>
      <w:pPr>
        <w:spacing w:after="120" w:line="276"/>
        <w:jc w:val="both"/>
      </w:pPr>
      <w:r>
        <w:rPr>
          <w:rFonts w:ascii="Barlow Semi Condensed" w:cs="Barlow Semi Condensed" w:eastAsia="Barlow Semi Condensed" w:hAnsi="Barlow Semi Condensed"/>
          <w:b/>
          <w:bCs/>
          <w:sz w:val="24"/>
          <w:szCs w:val="24"/>
        </w:rPr>
        <w:t xml:space="preserve">La previsione del modello bipartito è identica per entrambi: trapianto senza radicamento.</w:t>
      </w:r>
    </w:p>
    <w:p>
      <w:pPr>
        <w:spacing w:after="120" w:line="276"/>
        <w:jc w:val="both"/>
      </w:pPr>
      <w:r>
        <w:rPr>
          <w:rFonts w:ascii="Barlow Semi Condensed" w:cs="Barlow Semi Condensed" w:eastAsia="Barlow Semi Condensed" w:hAnsi="Barlow Semi Condensed"/>
          <w:b/>
          <w:bCs/>
          <w:sz w:val="24"/>
          <w:szCs w:val="24"/>
        </w:rPr>
        <w:t xml:space="preserve">Gli esiti reali divergono radicalmente, e vanno messi a confronto voce per voce.</w:t>
      </w:r>
    </w:p>
    <w:p>
      <w:pPr>
        <w:spacing w:after="120" w:line="276"/>
        <w:jc w:val="both"/>
      </w:pPr>
      <w:r>
        <w:rPr>
          <w:rFonts w:ascii="Barlow Semi Condensed" w:cs="Barlow Semi Condensed" w:eastAsia="Barlow Semi Condensed" w:hAnsi="Barlow Semi Condensed"/>
          <w:b/>
          <w:bCs/>
          <w:sz w:val="24"/>
          <w:szCs w:val="24"/>
        </w:rPr>
        <w:t xml:space="preserve">In Kazakhistan l'ente trapiantò personale cileno e spagnolo, avviò attività presso una scuola di management e un centro culturale, e — allo stato della documentazione — non risulta avere prodotto un numerariato kazako autoctono. Ventotto anni dopo l'insediamento, il solo kazako nominato dalle fonti è descritto come in ricerca.</w:t>
      </w:r>
    </w:p>
    <w:p>
      <w:pPr>
        <w:spacing w:after="120" w:line="276"/>
        <w:jc w:val="both"/>
      </w:pPr>
      <w:r>
        <w:rPr>
          <w:rFonts w:ascii="Barlow Semi Condensed" w:cs="Barlow Semi Condensed" w:eastAsia="Barlow Semi Condensed" w:hAnsi="Barlow Semi Condensed"/>
          <w:b/>
          <w:bCs/>
          <w:sz w:val="24"/>
          <w:szCs w:val="24"/>
        </w:rPr>
        <w:t xml:space="preserve">In Kenya l'ente trapiantò personale irlandese, statunitense, spagnolo, italiano e messicano; ma fondò tre istituzioni educative in quattordici mesi — Strathmore nel marzo 1961, Kianda nel gennaio 1961, Kibondeni nel febbraio 1961 — e due anni dopo aveva le prime due keniane, provenienti da una di quelle scuole. Ventiquattro anni dopo aveva il primo sacerdote africano dell'Opus Dei; quarantasei anni dopo, un vescovo.</w:t>
      </w:r>
    </w:p>
    <w:p>
      <w:pPr>
        <w:spacing w:after="120" w:line="276"/>
        <w:jc w:val="both"/>
      </w:pPr>
      <w:r>
        <w:rPr>
          <w:rFonts w:ascii="Barlow Semi Condensed" w:cs="Barlow Semi Condensed" w:eastAsia="Barlow Semi Condensed" w:hAnsi="Barlow Semi Condensed"/>
          <w:b/>
          <w:bCs/>
          <w:sz w:val="24"/>
          <w:szCs w:val="24"/>
        </w:rPr>
        <w:t xml:space="preserve">La divergenza è invisibile al modello bipartito, che non contempla la variabile che la produce.</w:t>
      </w:r>
    </w:p>
    <w:p>
      <w:pPr>
        <w:spacing w:after="120" w:line="276"/>
        <w:jc w:val="both"/>
      </w:pPr>
      <w:r>
        <w:rPr>
          <w:rFonts w:ascii="Barlow Semi Condensed" w:cs="Barlow Semi Condensed" w:eastAsia="Barlow Semi Condensed" w:hAnsi="Barlow Semi Condensed"/>
          <w:b/>
          <w:bCs/>
          <w:sz w:val="24"/>
          <w:szCs w:val="24"/>
        </w:rPr>
        <w:t xml:space="preserve">La variabile, enunciata: la fondazione o meno di istituzioni educative generative.</w:t>
      </w:r>
    </w:p>
    <w:p>
      <w:pPr>
        <w:spacing w:after="120" w:line="276"/>
        <w:jc w:val="both"/>
      </w:pPr>
      <w:r>
        <w:rPr>
          <w:rFonts w:ascii="Barlow Semi Condensed" w:cs="Barlow Semi Condensed" w:eastAsia="Barlow Semi Condensed" w:hAnsi="Barlow Semi Condensed"/>
          <w:b/>
          <w:bCs/>
          <w:sz w:val="24"/>
          <w:szCs w:val="24"/>
        </w:rPr>
        <w:t xml:space="preserve">Non basta fondare opere: occorre che esse siano generative, cioè selettive, di livello superiore, e rivolte al ceto che si vuole formare anziché a quello che già esiste. Lo Strathmore preparava all'ammissione universitaria in un Paese dove l'accesso africano all'università era precluso; Kibondeni formava donne a un mestiere che in Kenya era riservato agli uomini. Entrambe creavano una posizione sociale che prima non c'era, e da quella posizione emersero i membri.</w:t>
      </w:r>
    </w:p>
    <w:p>
      <w:pPr>
        <w:spacing w:after="120" w:line="276"/>
        <w:jc w:val="both"/>
      </w:pPr>
      <w:r>
        <w:rPr>
          <w:rFonts w:ascii="Barlow Semi Condensed" w:cs="Barlow Semi Condensed" w:eastAsia="Barlow Semi Condensed" w:hAnsi="Barlow Semi Condensed"/>
          <w:b/>
          <w:bCs/>
          <w:sz w:val="24"/>
          <w:szCs w:val="24"/>
        </w:rPr>
        <w:t xml:space="preserve">In Kazakhistan l'ente ha operato presso istituzioni esistenti — una scuola di management già fondata — anziché fondarne di proprie e selettive.</w:t>
      </w:r>
    </w:p>
    <w:p>
      <w:pPr>
        <w:spacing w:after="120" w:line="276"/>
        <w:jc w:val="both"/>
      </w:pPr>
      <w:r>
        <w:rPr>
          <w:rFonts w:ascii="Barlow Semi Condensed" w:cs="Barlow Semi Condensed" w:eastAsia="Barlow Semi Condensed" w:hAnsi="Barlow Semi Condensed"/>
          <w:b/>
          <w:bCs/>
          <w:sz w:val="24"/>
          <w:szCs w:val="24"/>
        </w:rPr>
        <w:t xml:space="preserve">Ne discende la formulazione della variabile discriminante fra seconda e terza modalità: non la presenza del ceto, ma la fondazione di istituzioni capaci di produrlo.</w:t>
      </w:r>
    </w:p>
    <w:p>
      <w:pPr>
        <w:spacing w:after="120" w:line="276"/>
        <w:jc w:val="both"/>
      </w:pPr>
      <w:r>
        <w:rPr>
          <w:rFonts w:ascii="Barlow Semi Condensed" w:cs="Barlow Semi Condensed" w:eastAsia="Barlow Semi Condensed" w:hAnsi="Barlow Semi Condensed"/>
          <w:b/>
          <w:bCs/>
          <w:sz w:val="24"/>
          <w:szCs w:val="24"/>
        </w:rPr>
        <w:t xml:space="preserve">Una avvertenza va apposta perché il confronto non provi più di quanto possa. Le due date sono distanti trentanove anni, i contesti sono incomparabili, e il Kazakhistan ha avuto ventotto anni contro i sessantasette del Kenya. Il confronto stabilisce che il modello bipartito non spiega la divergenza; non stabilisce che la variabile individuata sia la sola operante.</w:t>
      </w:r>
    </w:p>
    <w:p>
      <w:pPr>
        <w:pStyle w:val="Heading2"/>
        <w:spacing w:after="100" w:before="200"/>
      </w:pPr>
      <w:r>
        <w:rPr>
          <w:rFonts w:ascii="Barlow Semi Condensed" w:cs="Barlow Semi Condensed" w:eastAsia="Barlow Semi Condensed" w:hAnsi="Barlow Semi Condensed"/>
          <w:sz w:val="24"/>
          <w:szCs w:val="24"/>
        </w:rPr>
        <w:t xml:space="preserve">Capitolo ottavo — La terza modalità e la forma emendata del modello</w:t>
      </w:r>
    </w:p>
    <w:p>
      <w:pPr>
        <w:spacing w:after="120" w:line="276"/>
        <w:jc w:val="both"/>
      </w:pPr>
      <w:r>
        <w:rPr>
          <w:rFonts w:ascii="Barlow Semi Condensed" w:cs="Barlow Semi Condensed" w:eastAsia="Barlow Semi Condensed" w:hAnsi="Barlow Semi Condensed"/>
          <w:b/>
          <w:bCs/>
          <w:sz w:val="24"/>
          <w:szCs w:val="24"/>
        </w:rPr>
        <w:t xml:space="preserve">Il capitolo enuncia il modello nella forma che questa ricognizione consegna.</w:t>
      </w:r>
    </w:p>
    <w:p>
      <w:pPr>
        <w:spacing w:after="120" w:line="276"/>
        <w:jc w:val="both"/>
      </w:pPr>
      <w:r>
        <w:rPr>
          <w:rFonts w:ascii="Barlow Semi Condensed" w:cs="Barlow Semi Condensed" w:eastAsia="Barlow Semi Condensed" w:hAnsi="Barlow Semi Condensed"/>
          <w:b/>
          <w:bCs/>
          <w:sz w:val="24"/>
          <w:szCs w:val="24"/>
        </w:rPr>
        <w:t xml:space="preserve">Prima modalità — radicamento su ceto preesistente.\\ Dove esiste un ceto cattolico universitario e professionale autoctono, l'ente si radica su di esso, \\indipendentemente dalla confessione maggioritaria del Paese.</w:t>
      </w:r>
    </w:p>
    <w:p>
      <w:pPr>
        <w:spacing w:after="120" w:line="276"/>
        <w:jc w:val="both"/>
      </w:pPr>
      <w:r>
        <w:rPr>
          <w:rFonts w:ascii="Barlow Semi Condensed" w:cs="Barlow Semi Condensed" w:eastAsia="Barlow Semi Condensed" w:hAnsi="Barlow Semi Condensed"/>
          <w:b/>
          <w:bCs/>
          <w:sz w:val="24"/>
          <w:szCs w:val="24"/>
        </w:rPr>
        <w:t xml:space="preserve">Casi che la confermano: Germania 1952, Gran Bretagna 1946, India 1993, e — con la complicazione del ceto popolare anziché d'élite — Giappone 1958.</w:t>
      </w:r>
    </w:p>
    <w:p>
      <w:pPr>
        <w:spacing w:after="120" w:line="276"/>
        <w:jc w:val="both"/>
      </w:pPr>
      <w:r>
        <w:rPr>
          <w:rFonts w:ascii="Barlow Semi Condensed" w:cs="Barlow Semi Condensed" w:eastAsia="Barlow Semi Condensed" w:hAnsi="Barlow Semi Condensed"/>
          <w:b/>
          <w:bCs/>
          <w:sz w:val="24"/>
          <w:szCs w:val="24"/>
        </w:rPr>
        <w:t xml:space="preserve">Seconda modalità — trapianto senza radicamento. Dove tale ceto manca e l'ente si limita a trapiantare personale senza fondare istituzioni educative generative, l'ente non si radica in senso autoctono.</w:t>
      </w:r>
    </w:p>
    <w:p>
      <w:pPr>
        <w:spacing w:after="120" w:line="276"/>
        <w:jc w:val="both"/>
      </w:pPr>
      <w:r>
        <w:rPr>
          <w:rFonts w:ascii="Barlow Semi Condensed" w:cs="Barlow Semi Condensed" w:eastAsia="Barlow Semi Condensed" w:hAnsi="Barlow Semi Condensed"/>
          <w:b/>
          <w:bCs/>
          <w:sz w:val="24"/>
          <w:szCs w:val="24"/>
        </w:rPr>
        <w:t xml:space="preserve">Caso che la conferma: Kazakhistan 1997, e per analogia Svezia 1984.</w:t>
      </w:r>
    </w:p>
    <w:p>
      <w:pPr>
        <w:spacing w:after="120" w:line="276"/>
        <w:jc w:val="both"/>
      </w:pPr>
      <w:r>
        <w:rPr>
          <w:rFonts w:ascii="Barlow Semi Condensed" w:cs="Barlow Semi Condensed" w:eastAsia="Barlow Semi Condensed" w:hAnsi="Barlow Semi Condensed"/>
          <w:b/>
          <w:bCs/>
          <w:sz w:val="24"/>
          <w:szCs w:val="24"/>
        </w:rPr>
        <w:t xml:space="preserve">Terza modalità — costruzione endogena del ceto. Dove tale ceto manca ma l'ente fonda istituzioni educative selettive capaci di produrlo, l'ente costruisce il proprio ceto di riferimento e su di esso si radica in senso autoctono nell'arco di una generazione.</w:t>
      </w:r>
    </w:p>
    <w:p>
      <w:pPr>
        <w:spacing w:after="120" w:line="276"/>
        <w:jc w:val="both"/>
      </w:pPr>
      <w:r>
        <w:rPr>
          <w:rFonts w:ascii="Barlow Semi Condensed" w:cs="Barlow Semi Condensed" w:eastAsia="Barlow Semi Condensed" w:hAnsi="Barlow Semi Condensed"/>
          <w:b/>
          <w:bCs/>
          <w:sz w:val="24"/>
          <w:szCs w:val="24"/>
        </w:rPr>
        <w:t xml:space="preserve">Caso paradigmatico: Kenya 1958. Variante su base confessionale preesistente: Giappone. Possibile caso in formazione: Indonesia, se i membri di ritorno daranno origine a numerariato stabile.</w:t>
      </w:r>
    </w:p>
    <w:p>
      <w:pPr>
        <w:spacing w:after="120" w:line="276"/>
        <w:jc w:val="both"/>
      </w:pPr>
      <w:r>
        <w:rPr>
          <w:rFonts w:ascii="Barlow Semi Condensed" w:cs="Barlow Semi Condensed" w:eastAsia="Barlow Semi Condensed" w:hAnsi="Barlow Semi Condensed"/>
          <w:b/>
          <w:bCs/>
          <w:sz w:val="24"/>
          <w:szCs w:val="24"/>
        </w:rPr>
        <w:t xml:space="preserve">E adesso la revisione del diagnostico, che è la seconda acquisizione del capitolo.</w:t>
      </w:r>
    </w:p>
    <w:p>
      <w:pPr>
        <w:spacing w:after="120" w:line="276"/>
        <w:jc w:val="both"/>
      </w:pPr>
      <w:r>
        <w:rPr>
          <w:rFonts w:ascii="Barlow Semi Condensed" w:cs="Barlow Semi Condensed" w:eastAsia="Barlow Semi Condensed" w:hAnsi="Barlow Semi Condensed"/>
          <w:b/>
          <w:bCs/>
          <w:sz w:val="24"/>
          <w:szCs w:val="24"/>
        </w:rPr>
        <w:t xml:space="preserve">Il diagnostico stabilito dal caso svedese — la provenienza dei numerari — va raffinato, perché applicato alla fase d'ingresso non discrimina nulla.</w:t>
      </w:r>
    </w:p>
    <w:p>
      <w:pPr>
        <w:spacing w:after="120" w:line="276"/>
        <w:jc w:val="both"/>
      </w:pPr>
      <w:r>
        <w:rPr>
          <w:rFonts w:ascii="Barlow Semi Condensed" w:cs="Barlow Semi Condensed" w:eastAsia="Barlow Semi Condensed" w:hAnsi="Barlow Semi Condensed"/>
          <w:b/>
          <w:bCs/>
          <w:sz w:val="24"/>
          <w:szCs w:val="24"/>
        </w:rPr>
        <w:t xml:space="preserve">In tutti e sette i casi esaminati, senza eccezione, i primi membri furono allogeni: irlandese, statunitense, spagnolo, italiano e messicano in Kenya; spagnolo e statunitense con apporto nippo-sudamericano in Giappone; britannico e spagnolo via Kenya in Nigeria; cileno e spagnolo in Kazakhistan; filippino, indonesiani di ritorno e statunitense in Indonesia; ignoti in India e Sri Lanka.</w:t>
      </w:r>
    </w:p>
    <w:p>
      <w:pPr>
        <w:spacing w:after="120" w:line="276"/>
        <w:jc w:val="both"/>
      </w:pPr>
      <w:r>
        <w:rPr>
          <w:rFonts w:ascii="Barlow Semi Condensed" w:cs="Barlow Semi Condensed" w:eastAsia="Barlow Semi Condensed" w:hAnsi="Barlow Semi Condensed"/>
          <w:b/>
          <w:bCs/>
          <w:sz w:val="24"/>
          <w:szCs w:val="24"/>
        </w:rPr>
        <w:t xml:space="preserve">Il trapianto è dunque la modalità universale d'ingresso, non un tratto distintivo.</w:t>
      </w:r>
    </w:p>
    <w:p>
      <w:pPr>
        <w:spacing w:after="120" w:line="276"/>
        <w:jc w:val="both"/>
      </w:pPr>
      <w:r>
        <w:rPr>
          <w:rFonts w:ascii="Barlow Semi Condensed" w:cs="Barlow Semi Condensed" w:eastAsia="Barlow Semi Condensed" w:hAnsi="Barlow Semi Condensed"/>
          <w:b/>
          <w:bCs/>
          <w:sz w:val="24"/>
          <w:szCs w:val="24"/>
        </w:rPr>
        <w:t xml:space="preserve">Il diagnostico va perciò riferito alla fase matura anziché a quella d'ingresso: la provenienza dei numerari dopo una o due generazioni. Su questo criterio i casi si distribuiscono così. Radicamento autoctono maturo documentato: Kenya e Giappone. Radicamento probabile ma non quantificato: Nigeria e India. Trapianto senza radicamento documentato: Kazakhistan. Indeterminati per Stato Zero: Indonesia e Sri Lanka.</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del modello a tre modalità, che va dichiarata ora perché senza di essa non sarebbe una proposizione.</w:t>
      </w:r>
    </w:p>
    <w:p>
      <w:pPr>
        <w:spacing w:after="120" w:line="276"/>
        <w:jc w:val="both"/>
      </w:pPr>
      <w:r>
        <w:rPr>
          <w:rFonts w:ascii="Barlow Semi Condensed" w:cs="Barlow Semi Condensed" w:eastAsia="Barlow Semi Condensed" w:hAnsi="Barlow Semi Condensed"/>
          <w:b/>
          <w:bCs/>
          <w:sz w:val="24"/>
          <w:szCs w:val="24"/>
        </w:rPr>
        <w:t xml:space="preserve">Il modello sarebbe falsificato dal reperimento di un radicamento autoctono maturo in un Paese privo di ceto cattolico professionale e in cui l'ente non abbia fondato istituzioni educative generative.</w:t>
      </w:r>
    </w:p>
    <w:p>
      <w:pPr>
        <w:spacing w:after="120" w:line="276"/>
        <w:jc w:val="both"/>
      </w:pPr>
      <w:r>
        <w:rPr>
          <w:rFonts w:ascii="Barlow Semi Condensed" w:cs="Barlow Semi Condensed" w:eastAsia="Barlow Semi Condensed" w:hAnsi="Barlow Semi Condensed"/>
          <w:b/>
          <w:bCs/>
          <w:sz w:val="24"/>
          <w:szCs w:val="24"/>
        </w:rPr>
        <w:t xml:space="preserve">Un tale caso non è stato cercato, e la sua ricerca è la prima voce della tavola.</w:t>
      </w:r>
    </w:p>
    <w:p>
      <w:pPr>
        <w:pStyle w:val="Heading2"/>
        <w:spacing w:after="100" w:before="200"/>
      </w:pPr>
      <w:r>
        <w:rPr>
          <w:rFonts w:ascii="Barlow Semi Condensed" w:cs="Barlow Semi Condensed" w:eastAsia="Barlow Semi Condensed" w:hAnsi="Barlow Semi Condensed"/>
          <w:sz w:val="24"/>
          <w:szCs w:val="24"/>
        </w:rPr>
        <w:t xml:space="preserve">Capitolo nono — Che cosa il modello a tre modalità spiega meglio, e che cosa resta non spiegato</w:t>
      </w:r>
    </w:p>
    <w:p>
      <w:pPr>
        <w:spacing w:after="120" w:line="276"/>
        <w:jc w:val="both"/>
      </w:pPr>
      <w:r>
        <w:rPr>
          <w:rFonts w:ascii="Barlow Semi Condensed" w:cs="Barlow Semi Condensed" w:eastAsia="Barlow Semi Condensed" w:hAnsi="Barlow Semi Condensed"/>
          <w:b/>
          <w:bCs/>
          <w:sz w:val="24"/>
          <w:szCs w:val="24"/>
        </w:rPr>
        <w:t xml:space="preserve">Il capitolo verifica il guadagno della seconda revisione, come la decima ricognizione aveva fatto per la prima.</w:t>
      </w:r>
    </w:p>
    <w:p>
      <w:pPr>
        <w:spacing w:after="120" w:line="276"/>
        <w:jc w:val="both"/>
      </w:pPr>
      <w:r>
        <w:rPr>
          <w:rFonts w:ascii="Barlow Semi Condensed" w:cs="Barlow Semi Condensed" w:eastAsia="Barlow Semi Condensed" w:hAnsi="Barlow Semi Condensed"/>
          <w:b/>
          <w:bCs/>
          <w:sz w:val="24"/>
          <w:szCs w:val="24"/>
        </w:rPr>
        <w:t xml:space="preserve">Il guadagno retroattivo sui casi già studiati.</w:t>
      </w:r>
    </w:p>
    <w:p>
      <w:pPr>
        <w:spacing w:after="120" w:line="276"/>
        <w:jc w:val="both"/>
      </w:pPr>
      <w:r>
        <w:rPr>
          <w:rFonts w:ascii="Barlow Semi Condensed" w:cs="Barlow Semi Condensed" w:eastAsia="Barlow Semi Condensed" w:hAnsi="Barlow Semi Condensed"/>
          <w:b/>
          <w:bCs/>
          <w:sz w:val="24"/>
          <w:szCs w:val="24"/>
        </w:rPr>
        <w:t xml:space="preserve">La Svezia si colloca ora con precisione. Nella forma bipartita essa era il caso che aveva suggerito la distinzione fra radicamento e trapianto; nella forma tripartita essa è caso di seconda modalità in senso stretto: ceto assente, nessuna istituzione generativa fondata, numerari in prevalenza spagnoli.</w:t>
      </w:r>
    </w:p>
    <w:p>
      <w:pPr>
        <w:spacing w:after="120" w:line="276"/>
        <w:jc w:val="both"/>
      </w:pPr>
      <w:r>
        <w:rPr>
          <w:rFonts w:ascii="Barlow Semi Condensed" w:cs="Barlow Semi Condensed" w:eastAsia="Barlow Semi Condensed" w:hAnsi="Barlow Semi Condensed"/>
          <w:b/>
          <w:bCs/>
          <w:sz w:val="24"/>
          <w:szCs w:val="24"/>
        </w:rPr>
        <w:t xml:space="preserve">Cipro si conferma nella lettura della decima ricognizione, ma con una precisazione ulteriore. Nella forma bipartita si era detto che Cipro difettava del ceto; nella forma tripartita si può dire di più: l'ente non vi entrò affatto, e dunque non vi esercitò né la seconda né la terza modalità. Il caso cipriota non è un insediamento fallito: è un insediamento non tentato, e questa è distinzione che il modello precedente non permetteva di formulare.</w:t>
      </w:r>
    </w:p>
    <w:p>
      <w:pPr>
        <w:spacing w:after="120" w:line="276"/>
        <w:jc w:val="both"/>
      </w:pPr>
      <w:r>
        <w:rPr>
          <w:rFonts w:ascii="Barlow Semi Condensed" w:cs="Barlow Semi Condensed" w:eastAsia="Barlow Semi Condensed" w:hAnsi="Barlow Semi Condensed"/>
          <w:b/>
          <w:bCs/>
          <w:sz w:val="24"/>
          <w:szCs w:val="24"/>
        </w:rPr>
        <w:t xml:space="preserve">La Germania si conferma di prima modalità, e il confronto con il Kenya illumina entrambe: in Germania l'ente trovò il ceto e vi si insediò in quattordici mesi presso le residenze studentesche di Bonn e Colonia; in Kenya dovette fondare le scuole e attendere due anni per le prime due keniane e ventiquattro per il primo sacerdote. La differenza dei tempi è la differenza delle modalità.</w:t>
      </w:r>
    </w:p>
    <w:p>
      <w:pPr>
        <w:spacing w:after="120" w:line="276"/>
        <w:jc w:val="both"/>
      </w:pPr>
      <w:r>
        <w:rPr>
          <w:rFonts w:ascii="Barlow Semi Condensed" w:cs="Barlow Semi Condensed" w:eastAsia="Barlow Semi Condensed" w:hAnsi="Barlow Semi Condensed"/>
          <w:b/>
          <w:bCs/>
          <w:sz w:val="24"/>
          <w:szCs w:val="24"/>
        </w:rPr>
        <w:t xml:space="preserve">Che cosa resta non spiegato, e va dichiarato.</w:t>
      </w:r>
    </w:p>
    <w:p>
      <w:pPr>
        <w:spacing w:after="120" w:line="276"/>
        <w:jc w:val="both"/>
      </w:pPr>
      <w:r>
        <w:rPr>
          <w:rFonts w:ascii="Barlow Semi Condensed" w:cs="Barlow Semi Condensed" w:eastAsia="Barlow Semi Condensed" w:hAnsi="Barlow Semi Condensed"/>
          <w:b/>
          <w:bCs/>
          <w:sz w:val="24"/>
          <w:szCs w:val="24"/>
        </w:rPr>
        <w:t xml:space="preserve">Primo: perché in Kazakhistan l'ente non abbia adottato la terza modalità. La richiesta del vescovo kazako del 1994 chiedeva espressamente un'istituzione capace di occuparsi di educazione e di lavoro con i giovani — cioè esattamente ciò che in Kenya l'ente aveva fondato. La domanda era la medesima; la risposta fu diversa. Le fonti reperite non spiegano perché.</w:t>
      </w:r>
    </w:p>
    <w:p>
      <w:pPr>
        <w:spacing w:after="120" w:line="276"/>
        <w:jc w:val="both"/>
      </w:pPr>
      <w:r>
        <w:rPr>
          <w:rFonts w:ascii="Barlow Semi Condensed" w:cs="Barlow Semi Condensed" w:eastAsia="Barlow Semi Condensed" w:hAnsi="Barlow Semi Condensed"/>
          <w:b/>
          <w:bCs/>
          <w:sz w:val="24"/>
          <w:szCs w:val="24"/>
        </w:rPr>
        <w:t xml:space="preserve">Secondo: se la terza modalità sia una scelta deliberata o l'esito di circostanze.\\ In Kenya essa fu suggerita dal fondatore in persona e sollecitata dal Delegato Apostolico; \\non è accertato se altrove sia stata considerata e scartata.</w:t>
      </w:r>
    </w:p>
    <w:p>
      <w:pPr>
        <w:spacing w:after="120" w:line="276"/>
        <w:jc w:val="both"/>
      </w:pPr>
      <w:r>
        <w:rPr>
          <w:rFonts w:ascii="Barlow Semi Condensed" w:cs="Barlow Semi Condensed" w:eastAsia="Barlow Semi Condensed" w:hAnsi="Barlow Semi Condensed"/>
          <w:b/>
          <w:bCs/>
          <w:sz w:val="24"/>
          <w:szCs w:val="24"/>
        </w:rPr>
        <w:t xml:space="preserve">Terzo: se esistano casi di terza modalità fallita\\, cioè di istituzioni educative fondate senza che ne sia emerso un numerariato autoctono. \\Tali casi sarebbero probanti quanto quelli riusciti, e non sono stati cercati.</w:t>
      </w:r>
    </w:p>
    <w:p>
      <w:pPr>
        <w:spacing w:after="120" w:line="276"/>
        <w:jc w:val="both"/>
      </w:pPr>
      <w:r>
        <w:rPr>
          <w:rFonts w:ascii="Barlow Semi Condensed" w:cs="Barlow Semi Condensed" w:eastAsia="Barlow Semi Condensed" w:hAnsi="Barlow Semi Condensed"/>
          <w:b/>
          <w:bCs/>
          <w:sz w:val="24"/>
          <w:szCs w:val="24"/>
        </w:rPr>
        <w:t xml:space="preserve">Quarto, ed è il più grave: non esiste alcun caso documentato di ritiro dell'ente da un Paese in cui fosse entrato. La ricerca non ne ha reperiti. Ciò non prova che non ve ne siano stati: l'elenco ufficiale registra gli inizi e non gli arretramenti, e la verifica richiederebbe il confronto diacronico degli annuari interni. È la prima voce della tavola per rendimento atteso.</w:t>
      </w:r>
    </w:p>
    <w:p>
      <w:pPr>
        <w:pStyle w:val="Heading2"/>
        <w:spacing w:after="100" w:before="200"/>
      </w:pPr>
      <w:r>
        <w:rPr>
          <w:rFonts w:ascii="Barlow Semi Condensed" w:cs="Barlow Semi Condensed" w:eastAsia="Barlow Semi Condensed" w:hAnsi="Barlow Semi Condensed"/>
          <w:sz w:val="24"/>
          <w:szCs w:val="24"/>
        </w:rPr>
        <w:t xml:space="preserve">Capitolo decimo — La qualità delle fonti e il limite che essa impone</w:t>
      </w:r>
    </w:p>
    <w:p>
      <w:pPr>
        <w:spacing w:after="120" w:line="276"/>
        <w:jc w:val="both"/>
      </w:pPr>
      <w:r>
        <w:rPr>
          <w:rFonts w:ascii="Barlow Semi Condensed" w:cs="Barlow Semi Condensed" w:eastAsia="Barlow Semi Condensed" w:hAnsi="Barlow Semi Condensed"/>
          <w:b/>
          <w:bCs/>
          <w:sz w:val="24"/>
          <w:szCs w:val="24"/>
        </w:rPr>
        <w:t xml:space="preserve">Il capitolo espone un problema di statuto che grava sull'intera ricognizione e che sarebbe scorretto tacere.</w:t>
      </w:r>
    </w:p>
    <w:p>
      <w:pPr>
        <w:spacing w:after="120" w:line="276"/>
        <w:jc w:val="both"/>
      </w:pPr>
      <w:r>
        <w:rPr>
          <w:rFonts w:ascii="Barlow Semi Condensed" w:cs="Barlow Semi Condensed" w:eastAsia="Barlow Semi Condensed" w:hAnsi="Barlow Semi Condensed"/>
          <w:b/>
          <w:bCs/>
          <w:sz w:val="24"/>
          <w:szCs w:val="24"/>
        </w:rPr>
        <w:t xml:space="preserve">Il problema, enunciato.\\ \\La storiografia migliore su questi casi è pubblicata da un istituto interno alla Prelatura medesima.</w:t>
      </w:r>
    </w:p>
    <w:p>
      <w:pPr>
        <w:spacing w:after="120" w:line="276"/>
        <w:jc w:val="both"/>
      </w:pPr>
      <w:r>
        <w:rPr>
          <w:rFonts w:ascii="Barlow Semi Condensed" w:cs="Barlow Semi Condensed" w:eastAsia="Barlow Semi Condensed" w:hAnsi="Barlow Semi Condensed"/>
          <w:b/>
          <w:bCs/>
          <w:sz w:val="24"/>
          <w:szCs w:val="24"/>
        </w:rPr>
        <w:t xml:space="preserve">Studia et Documenta, rivista dell'Istituto Storico San Josemaría Escrivá di Roma, attiva dal 2007, pubblica in sei lingue ricerche fondate sull'Archivio Generale della Prelatura, con apparato critico, ed è indicizzata in una banca dati accademica di studi religiosi.</w:t>
      </w:r>
    </w:p>
    <w:p>
      <w:pPr>
        <w:spacing w:after="120" w:line="276"/>
        <w:jc w:val="both"/>
      </w:pPr>
      <w:r>
        <w:rPr>
          <w:rFonts w:ascii="Barlow Semi Condensed" w:cs="Barlow Semi Condensed" w:eastAsia="Barlow Semi Condensed" w:hAnsi="Barlow Semi Condensed"/>
          <w:b/>
          <w:bCs/>
          <w:sz w:val="24"/>
          <w:szCs w:val="24"/>
        </w:rPr>
        <w:t xml:space="preserve">Da essa provengono i due studi decisivi di questa ricognizione: Nakajima e Makiyama sulla scuola di Nagasaki, fascicolo nono del 2015; e Carlos Sotz sul contesto dell'evangelizzazione in Kenya e gli inizi dello Strathmore.</w:t>
      </w:r>
    </w:p>
    <w:p>
      <w:pPr>
        <w:spacing w:after="120" w:line="276"/>
        <w:jc w:val="both"/>
      </w:pPr>
      <w:r>
        <w:rPr>
          <w:rFonts w:ascii="Barlow Semi Condensed" w:cs="Barlow Semi Condensed" w:eastAsia="Barlow Semi Condensed" w:hAnsi="Barlow Semi Condensed"/>
          <w:b/>
          <w:bCs/>
          <w:sz w:val="24"/>
          <w:szCs w:val="24"/>
        </w:rPr>
        <w:t xml:space="preserve">Lo statuto va qualificato con precisione: non è storiografia indipendente sottoposta a revisione paritaria esterna, né è apologetica. È storiografia d'istituzione con standard accademici.</w:t>
      </w:r>
    </w:p>
    <w:p>
      <w:pPr>
        <w:spacing w:after="120" w:line="276"/>
        <w:jc w:val="both"/>
      </w:pPr>
      <w:r>
        <w:rPr>
          <w:rFonts w:ascii="Barlow Semi Condensed" w:cs="Barlow Semi Condensed" w:eastAsia="Barlow Semi Condensed" w:hAnsi="Barlow Semi Condensed"/>
          <w:b/>
          <w:bCs/>
          <w:sz w:val="24"/>
          <w:szCs w:val="24"/>
        </w:rPr>
        <w:t xml:space="preserve">Ne discende la regola d'impiego che ho seguito e che va registrata: tali studi sono utilizzabili per i dati di fatto — date, nomi, luoghi, statistiche archivistiche — e non per le valutazioni.</w:t>
      </w:r>
    </w:p>
    <w:p>
      <w:pPr>
        <w:spacing w:after="120" w:line="276"/>
        <w:jc w:val="both"/>
      </w:pPr>
      <w:r>
        <w:rPr>
          <w:rFonts w:ascii="Barlow Semi Condensed" w:cs="Barlow Semi Condensed" w:eastAsia="Barlow Semi Condensed" w:hAnsi="Barlow Semi Condensed"/>
          <w:b/>
          <w:bCs/>
          <w:sz w:val="24"/>
          <w:szCs w:val="24"/>
        </w:rPr>
        <w:t xml:space="preserve">E va aggiunto un elemento che gioca a favore di quelle fonti e va riconosciuto. Esse riportano dati che non giovano alla narrazione: che il personale fondatore era interamente straniero; che l'accesso africano all'università era precluso; che la scelta di Nagasaki fu determinata da un calcolo di densità confessionale con percentuali esplicite; che i primi anni nigeriani non furono facili. Una fonte apologetica non fornisce il calcolo del cinquantuno per cento contro il quattro virgola cinque.</w:t>
      </w:r>
    </w:p>
    <w:p>
      <w:pPr>
        <w:spacing w:after="120" w:line="276"/>
        <w:jc w:val="both"/>
      </w:pPr>
      <w:r>
        <w:rPr>
          <w:rFonts w:ascii="Barlow Semi Condensed" w:cs="Barlow Semi Condensed" w:eastAsia="Barlow Semi Condensed" w:hAnsi="Barlow Semi Condensed"/>
          <w:b/>
          <w:bCs/>
          <w:sz w:val="24"/>
          <w:szCs w:val="24"/>
        </w:rPr>
        <w:t xml:space="preserve">Esiste invece una letteratura accademica indipendente di alta qualità sul contesto e non sull'ente: sul cattolicesimo giapponese moderno, sui cattolici nascosti, sul cattolicesimo igbo e la guerra del Biafra, sulla Chiesa siro-malabarese. Essa è indispensabile per accertare la consistenza del ceto, e non tratta l'ente.</w:t>
      </w:r>
    </w:p>
    <w:p>
      <w:pPr>
        <w:spacing w:after="120" w:line="276"/>
        <w:jc w:val="both"/>
      </w:pPr>
      <w:r>
        <w:rPr>
          <w:rFonts w:ascii="Barlow Semi Condensed" w:cs="Barlow Semi Condensed" w:eastAsia="Barlow Semi Condensed" w:hAnsi="Barlow Semi Condensed"/>
          <w:b/>
          <w:bCs/>
          <w:sz w:val="24"/>
          <w:szCs w:val="24"/>
        </w:rPr>
        <w:t xml:space="preserve">E manca del tutto ciò che sarebbe necessario: una storiografia scientifica indipendente e monografica sull'espansione extraeuropea dell'Opus Dei in Africa e in Asia.</w:t>
      </w:r>
    </w:p>
    <w:p>
      <w:pPr>
        <w:spacing w:after="120" w:line="276"/>
        <w:jc w:val="both"/>
      </w:pPr>
      <w:r>
        <w:rPr>
          <w:rFonts w:ascii="Barlow Semi Condensed" w:cs="Barlow Semi Condensed" w:eastAsia="Barlow Semi Condensed" w:hAnsi="Barlow Semi Condensed"/>
          <w:b/>
          <w:bCs/>
          <w:sz w:val="24"/>
          <w:szCs w:val="24"/>
        </w:rPr>
        <w:t xml:space="preserve">Le trattazioni giornalistiche generaliste e la pubblicistica apologetica o polemica non colmano questa lacuna.</w:t>
      </w:r>
    </w:p>
    <w:p>
      <w:pPr>
        <w:spacing w:after="120" w:line="276"/>
        <w:jc w:val="both"/>
      </w:pPr>
      <w:r>
        <w:rPr>
          <w:rFonts w:ascii="Barlow Semi Condensed" w:cs="Barlow Semi Condensed" w:eastAsia="Barlow Semi Condensed" w:hAnsi="Barlow Semi Condensed"/>
          <w:b/>
          <w:bCs/>
          <w:sz w:val="24"/>
          <w:szCs w:val="24"/>
        </w:rPr>
        <w:t xml:space="preserve">Ne discende un limite che grava su ogni conclusione di questo documento e che va enunciato senza attenuazioni: il modello a tre modalità è costruito in prevalenza su fonti dell'ente medesimo, verificate contro fonti indipendenti dove queste esistono — e per il contesto esistono, per l'ente non esistono.</w:t>
      </w:r>
    </w:p>
    <w:p>
      <w:pPr>
        <w:spacing w:after="120" w:line="276"/>
        <w:jc w:val="both"/>
      </w:pPr>
      <w:r>
        <w:rPr>
          <w:rFonts w:ascii="Barlow Semi Condensed" w:cs="Barlow Semi Condensed" w:eastAsia="Barlow Semi Condensed" w:hAnsi="Barlow Semi Condensed"/>
          <w:b/>
          <w:bCs/>
          <w:sz w:val="24"/>
          <w:szCs w:val="24"/>
        </w:rPr>
        <w:t xml:space="preserve">La sede di superamento è la letteratura specialistica di storia delle missioni e di sociologia delle religioni, ove singoli contributi potrebbero esistere e non sono emersi.</w:t>
      </w:r>
    </w:p>
    <w:p>
      <w:pPr>
        <w:pStyle w:val="Heading2"/>
        <w:spacing w:after="100" w:before="200"/>
      </w:pPr>
      <w:r>
        <w:rPr>
          <w:rFonts w:ascii="Barlow Semi Condensed" w:cs="Barlow Semi Condensed" w:eastAsia="Barlow Semi Condensed" w:hAnsi="Barlow Semi Condensed"/>
          <w:sz w:val="24"/>
          <w:szCs w:val="24"/>
        </w:rPr>
        <w:t xml:space="preserve">Capitolo undicesimo — Due errori dell'autore, registrati</w:t>
      </w:r>
    </w:p>
    <w:p>
      <w:pPr>
        <w:spacing w:after="120" w:line="276"/>
        <w:jc w:val="both"/>
      </w:pPr>
      <w:r>
        <w:rPr>
          <w:rFonts w:ascii="Barlow Semi Condensed" w:cs="Barlow Semi Condensed" w:eastAsia="Barlow Semi Condensed" w:hAnsi="Barlow Semi Condensed"/>
          <w:b/>
          <w:bCs/>
          <w:sz w:val="24"/>
          <w:szCs w:val="24"/>
        </w:rPr>
        <w:t xml:space="preserve">Il capitolo registra due errori che ho commesso nell'indirizzare questa ricerca, perché la Regola di Ferro vale anche per chi la applica e perché tacerli sarebbe esattamente il vizio che questa serie serve a prevenire.</w:t>
      </w:r>
    </w:p>
    <w:p>
      <w:pPr>
        <w:spacing w:after="120" w:line="276"/>
        <w:jc w:val="both"/>
      </w:pPr>
      <w:r>
        <w:rPr>
          <w:rFonts w:ascii="Barlow Semi Condensed" w:cs="Barlow Semi Condensed" w:eastAsia="Barlow Semi Condensed" w:hAnsi="Barlow Semi Condensed"/>
          <w:b/>
          <w:bCs/>
          <w:sz w:val="24"/>
          <w:szCs w:val="24"/>
        </w:rPr>
        <w:t xml:space="preserve">Primo errore — il nome Cyril Olguin. Nell'indirizzare la ricerca sul caso keniano ho indicato tale nome come figura da verificare fra i fondatori dello Strathmore.</w:t>
      </w:r>
    </w:p>
    <w:p>
      <w:pPr>
        <w:spacing w:after="120" w:line="276"/>
        <w:jc w:val="both"/>
      </w:pPr>
      <w:r>
        <w:rPr>
          <w:rFonts w:ascii="Barlow Semi Condensed" w:cs="Barlow Semi Condensed" w:eastAsia="Barlow Semi Condensed" w:hAnsi="Barlow Semi Condensed"/>
          <w:b/>
          <w:bCs/>
          <w:sz w:val="24"/>
          <w:szCs w:val="24"/>
        </w:rPr>
        <w:t xml:space="preserve">La ricerca non ne ha reperito alcun riscontro.\\ Il nome non compare né nella narrazione ufficiale, né nella documentazione dell'istituzione, né nello studio accademico. \\I fondatori documentati sono David Sperling e Silvano Borruso.</w:t>
      </w:r>
    </w:p>
    <w:p>
      <w:pPr>
        <w:spacing w:after="120" w:line="276"/>
        <w:jc w:val="both"/>
      </w:pPr>
      <w:r>
        <w:rPr>
          <w:rFonts w:ascii="Barlow Semi Condensed" w:cs="Barlow Semi Condensed" w:eastAsia="Barlow Semi Condensed" w:hAnsi="Barlow Semi Condensed"/>
          <w:b/>
          <w:bCs/>
          <w:sz w:val="24"/>
          <w:szCs w:val="24"/>
        </w:rPr>
        <w:t xml:space="preserve">Il nome va qualificato come non sostenuto, e la sua verifica definitiva richiederebbe l'archivio della Strathmore Educational Trust e l'Archivio Generale della Prelatura.</w:t>
      </w:r>
    </w:p>
    <w:p>
      <w:pPr>
        <w:spacing w:after="120" w:line="276"/>
        <w:jc w:val="both"/>
      </w:pPr>
      <w:r>
        <w:rPr>
          <w:rFonts w:ascii="Barlow Semi Condensed" w:cs="Barlow Semi Condensed" w:eastAsia="Barlow Semi Condensed" w:hAnsi="Barlow Semi Condensed"/>
          <w:b/>
          <w:bCs/>
          <w:sz w:val="24"/>
          <w:szCs w:val="24"/>
        </w:rPr>
        <w:t xml:space="preserve">Ma la lezione è più precisa della semplice correzione, e va tratta. Io ho fornito quel nome nell'indirizzare la ricerca, e la ricerca avrebbe potuto — se meno disciplinata — cercarne conferma anziché verificarne l'esistenza. È il meccanismo che l'undicesima ricognizione ha denominato contaminazione per prossimità, applicato però in senso inverso: non un'asserzione debole che prende credito da fatti forti, ma un nome fornito dal committente che avrebbe potuto acquisire credito dalla richiesta medesima.</w:t>
      </w:r>
    </w:p>
    <w:p>
      <w:pPr>
        <w:spacing w:after="120" w:line="276"/>
        <w:jc w:val="both"/>
      </w:pPr>
      <w:r>
        <w:rPr>
          <w:rFonts w:ascii="Barlow Semi Condensed" w:cs="Barlow Semi Condensed" w:eastAsia="Barlow Semi Condensed" w:hAnsi="Barlow Semi Condensed"/>
          <w:b/>
          <w:bCs/>
          <w:sz w:val="24"/>
          <w:szCs w:val="24"/>
        </w:rPr>
        <w:t xml:space="preserve">Ne discende un corollario ai tre criteri dell'undicesima ricognizione: chi indirizza una ricerca deve distinguere fra ciò che chiede di verificare e ciò che asserisce, perché la richiesta stessa può funzionare come fonte apparente.</w:t>
      </w:r>
    </w:p>
    <w:p>
      <w:pPr>
        <w:spacing w:after="120" w:line="276"/>
        <w:jc w:val="both"/>
      </w:pPr>
      <w:r>
        <w:rPr>
          <w:rFonts w:ascii="Barlow Semi Condensed" w:cs="Barlow Semi Condensed" w:eastAsia="Barlow Semi Condensed" w:hAnsi="Barlow Semi Condensed"/>
          <w:b/>
          <w:bCs/>
          <w:sz w:val="24"/>
          <w:szCs w:val="24"/>
        </w:rPr>
        <w:t xml:space="preserve">Secondo errore — la componente cinese attribuita allo Sri Lanka. Nell'indirizzare la ricerca ho accostato allo Sri Lanka una componente cattolica cinese.</w:t>
      </w:r>
    </w:p>
    <w:p>
      <w:pPr>
        <w:spacing w:after="120" w:line="276"/>
        <w:jc w:val="both"/>
      </w:pPr>
      <w:r>
        <w:rPr>
          <w:rFonts w:ascii="Barlow Semi Condensed" w:cs="Barlow Semi Condensed" w:eastAsia="Barlow Semi Condensed" w:hAnsi="Barlow Semi Condensed"/>
          <w:b/>
          <w:bCs/>
          <w:sz w:val="24"/>
          <w:szCs w:val="24"/>
        </w:rPr>
        <w:t xml:space="preserve">È errore di attribuzione. La comunità cinese dello Sri Lanka è minuscola, circa tremilacinquecento persone, quasi tutte buddhiste, e non rileva ai fini cattolici. La componente cinese pertinente è quella indonesiana, ove i cattolici sono concentrati a Flores e fra i cinesi indonesiani.</w:t>
      </w:r>
    </w:p>
    <w:p>
      <w:pPr>
        <w:spacing w:after="120" w:line="276"/>
        <w:jc w:val="both"/>
      </w:pPr>
      <w:r>
        <w:rPr>
          <w:rFonts w:ascii="Barlow Semi Condensed" w:cs="Barlow Semi Condensed" w:eastAsia="Barlow Semi Condensed" w:hAnsi="Barlow Semi Condensed"/>
          <w:b/>
          <w:bCs/>
          <w:sz w:val="24"/>
          <w:szCs w:val="24"/>
        </w:rPr>
        <w:t xml:space="preserve">La comunità cattolica srilankese di riferimento è invece costiera, di origine coloniale portoghese e olandese, sinhalese e tamil, concentrata nelle province occidentale, nord-occidentale e settentrionale.</w:t>
      </w:r>
    </w:p>
    <w:p>
      <w:pPr>
        <w:pStyle w:val="Heading2"/>
        <w:spacing w:after="100" w:before="200"/>
      </w:pPr>
      <w:r>
        <w:rPr>
          <w:rFonts w:ascii="Barlow Semi Condensed" w:cs="Barlow Semi Condensed" w:eastAsia="Barlow Semi Condensed" w:hAnsi="Barlow Semi Condensed"/>
          <w:sz w:val="24"/>
          <w:szCs w:val="24"/>
        </w:rPr>
        <w:t xml:space="preserve">Registro entrambi gli errori perché essi non hanno inquinato l'esito — la ricerca li ha corretti — ma avrebbero potuto, e perché il corpus deve contenere anche ciò che l'autore ha sbagliato.</w:t>
      </w:r>
    </w:p>
    <w:p>
      <w:pPr>
        <w:spacing w:after="120" w:line="276"/>
        <w:jc w:val="both"/>
      </w:pPr>
      <w:r>
        <w:rPr>
          <w:rFonts w:ascii="Barlow Semi Condensed" w:cs="Barlow Semi Condensed" w:eastAsia="Barlow Semi Condensed" w:hAnsi="Barlow Semi Condensed"/>
          <w:b/>
          <w:bCs/>
          <w:sz w:val="24"/>
          <w:szCs w:val="24"/>
        </w:rPr>
        <w:t xml:space="preserve">E perché, secondo me, una serie che ha censito per undici volte gli errori altrui e le allegazioni non sostenute perderebbe titolo a farlo se tacesse i propri.</w:t>
      </w:r>
    </w:p>
    <w:p>
      <w:pPr>
        <w:pStyle w:val="Heading2"/>
        <w:spacing w:after="100" w:before="200"/>
      </w:pPr>
      <w:r>
        <w:rPr>
          <w:rFonts w:ascii="Barlow Semi Condensed" w:cs="Barlow Semi Condensed" w:eastAsia="Barlow Semi Condensed" w:hAnsi="Barlow Semi Condensed"/>
          <w:sz w:val="24"/>
          <w:szCs w:val="24"/>
        </w:rPr>
        <w:t xml:space="preserve">Capitolo dodicesimo — Stato della proposizione, tavola, e ciò che due revisioni insegnano</w:t>
      </w:r>
    </w:p>
    <w:p>
      <w:pPr>
        <w:spacing w:after="120" w:line="276"/>
        <w:jc w:val="both"/>
      </w:pPr>
      <w:r>
        <w:rPr>
          <w:rFonts w:ascii="Barlow Semi Condensed" w:cs="Barlow Semi Condensed" w:eastAsia="Barlow Semi Condensed" w:hAnsi="Barlow Semi Condensed"/>
          <w:b/>
          <w:bCs/>
          <w:sz w:val="24"/>
          <w:szCs w:val="24"/>
        </w:rPr>
        <w:t xml:space="preserve">Lo stato della proposizione, dichiarato formalmente.</w:t>
      </w:r>
    </w:p>
    <w:p>
      <w:pPr>
        <w:spacing w:after="120" w:line="276"/>
        <w:jc w:val="both"/>
      </w:pPr>
      <w:r>
        <w:rPr>
          <w:rFonts w:ascii="Barlow Semi Condensed" w:cs="Barlow Semi Condensed" w:eastAsia="Barlow Semi Condensed" w:hAnsi="Barlow Semi Condensed"/>
          <w:b/>
          <w:bCs/>
          <w:sz w:val="24"/>
          <w:szCs w:val="24"/>
        </w:rPr>
        <w:t xml:space="preserve">Non confermata; non semplicemente confutata; da revisionare una seconda volta. La condizione di falsificazione dichiarata dalla decima ricognizione è soddisfatta dal caso keniano, e la revisione consiste nell'articolazione in tre modalità anziché due, esposta al Capitolo ottavo, con il diagnostico riferito alla fase matura anziché a quella d'ingresso.</w:t>
      </w:r>
    </w:p>
    <w:p>
      <w:pPr>
        <w:spacing w:after="120" w:line="276"/>
        <w:jc w:val="both"/>
      </w:pPr>
      <w:r>
        <w:rPr>
          <w:rFonts w:ascii="Barlow Semi Condensed" w:cs="Barlow Semi Condensed" w:eastAsia="Barlow Semi Condensed" w:hAnsi="Barlow Semi Condensed"/>
          <w:b/>
          <w:bCs/>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L'esistenza o meno di casi di ritiro dell'ente da un Paese di ingresso. Sedi: Archivio Generale della Prelatura; confronto diacronico degli annuari interni, raffrontando gli elenchi di circoscrizioni e centri di anni successivi. Condizione di chiusura: il reperimento di almeno una circoscrizione presente in un anno e assente in uno successivo. Sono probanti quanto gli insediamenti riusciti, e nessuno li ha cercati.</w:t>
      </w:r>
    </w:p>
    <w:p>
      <w:pPr>
        <w:spacing w:after="120" w:line="276"/>
        <w:jc w:val="both"/>
      </w:pPr>
      <w:r>
        <w:rPr>
          <w:rFonts w:ascii="Barlow Semi Condensed" w:cs="Barlow Semi Condensed" w:eastAsia="Barlow Semi Condensed" w:hAnsi="Barlow Semi Condensed"/>
          <w:b/>
          <w:bCs/>
          <w:sz w:val="24"/>
          <w:szCs w:val="24"/>
        </w:rPr>
        <w:t xml:space="preserve">Seconda voce. Casi di terza modalità fallita: istituzioni educative fondate senza emersione di numerariato autoctono. Nessuna sede specifica; richiede il raffronto sistematico fra elenco delle opere corporative ed elenco dei membri per Paese.</w:t>
      </w:r>
    </w:p>
    <w:p>
      <w:pPr>
        <w:spacing w:after="120" w:line="276"/>
        <w:jc w:val="both"/>
      </w:pPr>
      <w:r>
        <w:rPr>
          <w:rFonts w:ascii="Barlow Semi Condensed" w:cs="Barlow Semi Condensed" w:eastAsia="Barlow Semi Condensed" w:hAnsi="Barlow Semi Condensed"/>
          <w:b/>
          <w:bCs/>
          <w:sz w:val="24"/>
          <w:szCs w:val="24"/>
        </w:rPr>
        <w:t xml:space="preserve">Terza voce. Nazionalità e professione dei membri fondatori arrivati a Nuova Delhi nel 1993. Sede: ufficio informazioni per l'India e Archivio Generale.</w:t>
      </w:r>
    </w:p>
    <w:p>
      <w:pPr>
        <w:spacing w:after="120" w:line="276"/>
        <w:jc w:val="both"/>
      </w:pPr>
      <w:r>
        <w:rPr>
          <w:rFonts w:ascii="Barlow Semi Condensed" w:cs="Barlow Semi Condensed" w:eastAsia="Barlow Semi Condensed" w:hAnsi="Barlow Semi Condensed"/>
          <w:b/>
          <w:bCs/>
          <w:sz w:val="24"/>
          <w:szCs w:val="24"/>
        </w:rPr>
        <w:t xml:space="preserve">Quarta voce. Le modalità concrete e la provenienza dei membri per lo Sri Lanka, e la conferma della data 2011. Sede: arcidiocesi di Colombo e ufficio per l'Asia meridionale.</w:t>
      </w:r>
    </w:p>
    <w:p>
      <w:pPr>
        <w:spacing w:after="120" w:line="276"/>
        <w:jc w:val="both"/>
      </w:pPr>
      <w:r>
        <w:rPr>
          <w:rFonts w:ascii="Barlow Semi Condensed" w:cs="Barlow Semi Condensed" w:eastAsia="Barlow Semi Condensed" w:hAnsi="Barlow Semi Condensed"/>
          <w:b/>
          <w:bCs/>
          <w:sz w:val="24"/>
          <w:szCs w:val="24"/>
        </w:rPr>
        <w:t xml:space="preserve">Quinta voce. La provenienza quantificata dei numerari per Nigeria e Indonesia.</w:t>
      </w:r>
    </w:p>
    <w:p>
      <w:pPr>
        <w:spacing w:after="120" w:line="276"/>
        <w:jc w:val="both"/>
      </w:pPr>
      <w:r>
        <w:rPr>
          <w:rFonts w:ascii="Barlow Semi Condensed" w:cs="Barlow Semi Condensed" w:eastAsia="Barlow Semi Condensed" w:hAnsi="Barlow Semi Condensed"/>
          <w:b/>
          <w:bCs/>
          <w:sz w:val="24"/>
          <w:szCs w:val="24"/>
        </w:rPr>
        <w:t xml:space="preserve">Sesta voce. La verifica del nome Cyril Olguin, non riscontrato. Sede: archivio della Strathmore Educational Trust.</w:t>
      </w:r>
    </w:p>
    <w:p>
      <w:pPr>
        <w:spacing w:after="120" w:line="276"/>
        <w:jc w:val="both"/>
      </w:pPr>
      <w:r>
        <w:rPr>
          <w:rFonts w:ascii="Barlow Semi Condensed" w:cs="Barlow Semi Condensed" w:eastAsia="Barlow Semi Condensed" w:hAnsi="Barlow Semi Condensed"/>
          <w:b/>
          <w:bCs/>
          <w:sz w:val="24"/>
          <w:szCs w:val="24"/>
        </w:rPr>
        <w:t xml:space="preserve">Settima voce. Conferma su fonte ufficiale aggiornata delle date 1997, 2008 e 2011, assenti dalla versione dell'elenco recuperata, che si arresta prima. Il numero complessivo dei Paesi oscilla fra sessanta, sessantasei e sessantotto secondo le versioni, e la divergenza riflette l'aggiornamento progressivo più che una contraddizione.</w:t>
      </w:r>
    </w:p>
    <w:p>
      <w:pPr>
        <w:spacing w:after="120" w:line="276"/>
        <w:jc w:val="both"/>
      </w:pPr>
      <w:r>
        <w:rPr>
          <w:rFonts w:ascii="Barlow Semi Condensed" w:cs="Barlow Semi Condensed" w:eastAsia="Barlow Semi Condensed" w:hAnsi="Barlow Semi Condensed"/>
          <w:b/>
          <w:bCs/>
          <w:sz w:val="24"/>
          <w:szCs w:val="24"/>
        </w:rPr>
        <w:t xml:space="preserve">Ottava voce. L'esistenza di una storiografia scientifica indipendente sull'espansione extraeuropea.</w:t>
      </w:r>
    </w:p>
    <w:p>
      <w:pPr>
        <w:spacing w:after="120" w:line="276"/>
        <w:jc w:val="both"/>
      </w:pPr>
      <w:r>
        <w:rPr>
          <w:rFonts w:ascii="Barlow Semi Condensed" w:cs="Barlow Semi Condensed" w:eastAsia="Barlow Semi Condensed" w:hAnsi="Barlow Semi Condensed"/>
          <w:b/>
          <w:bCs/>
          <w:sz w:val="24"/>
          <w:szCs w:val="24"/>
        </w:rPr>
        <w:t xml:space="preserve">E adesso ciò che due revisioni insegnano, che è il lascito di questo documento.</w:t>
      </w:r>
    </w:p>
    <w:p>
      <w:pPr>
        <w:spacing w:after="120" w:line="276"/>
        <w:jc w:val="both"/>
      </w:pPr>
      <w:r>
        <w:rPr>
          <w:rFonts w:ascii="Barlow Semi Condensed" w:cs="Barlow Semi Condensed" w:eastAsia="Barlow Semi Condensed" w:hAnsi="Barlow Semi Condensed"/>
          <w:b/>
          <w:bCs/>
          <w:sz w:val="24"/>
          <w:szCs w:val="24"/>
        </w:rPr>
        <w:t xml:space="preserve">La medesima proposizione è caduta due volte in due passaggi.\\ La prima volta perdette una condizione — la maggioranza cattolica — e ne uscì più semplice. \\La seconda volta ha guadagnato una modalità, e ne esce più articolata.</w:t>
      </w:r>
    </w:p>
    <w:p>
      <w:pPr>
        <w:spacing w:after="120" w:line="276"/>
        <w:jc w:val="both"/>
      </w:pPr>
      <w:r>
        <w:rPr>
          <w:rFonts w:ascii="Barlow Semi Condensed" w:cs="Barlow Semi Condensed" w:eastAsia="Barlow Semi Condensed" w:hAnsi="Barlow Semi Condensed"/>
          <w:b/>
          <w:bCs/>
          <w:sz w:val="24"/>
          <w:szCs w:val="24"/>
        </w:rPr>
        <w:t xml:space="preserve">Le due revisioni hanno direzione opposta, e ciò va notato. Un modello che si semplifica e poi si complica non sta oscillando: sta trovando la propria forma per approssimazioni successive, e ciascuna approssimazione è stata prodotta da un caso che il modello precedente non contemplava.</w:t>
      </w:r>
    </w:p>
    <w:p>
      <w:pPr>
        <w:spacing w:after="120" w:line="276"/>
        <w:jc w:val="both"/>
      </w:pPr>
      <w:r>
        <w:rPr>
          <w:rFonts w:ascii="Barlow Semi Condensed" w:cs="Barlow Semi Condensed" w:eastAsia="Barlow Semi Condensed" w:hAnsi="Barlow Semi Condensed"/>
          <w:b/>
          <w:bCs/>
          <w:sz w:val="24"/>
          <w:szCs w:val="24"/>
        </w:rPr>
        <w:t xml:space="preserve">Ed entrambe le volte il caso confutante era nell'elenco che il modello stesso aveva scritto. La Gran Bretagna e la Germania erano nell'elenco dei Paesi europei; il Kenya era nell'elenco dei sette casi extraeuropei che l'ottava ricognizione aveva nominato come potenzialmente confutanti e mai esaminati.</w:t>
      </w:r>
    </w:p>
    <w:p>
      <w:pPr>
        <w:spacing w:after="120" w:line="276"/>
        <w:jc w:val="both"/>
      </w:pPr>
      <w:r>
        <w:rPr>
          <w:rFonts w:ascii="Barlow Semi Condensed" w:cs="Barlow Semi Condensed" w:eastAsia="Barlow Semi Condensed" w:hAnsi="Barlow Semi Condensed"/>
          <w:b/>
          <w:bCs/>
          <w:sz w:val="24"/>
          <w:szCs w:val="24"/>
        </w:rPr>
        <w:t xml:space="preserve">Ne discende la conferma più forte della quarta proposizione della serie, e in forma più precisa di come essa fu enunciata. Non basta che una proposizione dichiari la propria condizione di falsificazione: occorre che elenchi per nome i casi che potrebbero soddisfarla, perché è da quell'elenco che la confutazione viene.</w:t>
      </w:r>
    </w:p>
    <w:p>
      <w:pPr>
        <w:spacing w:after="120" w:line="276"/>
        <w:jc w:val="both"/>
      </w:pPr>
      <w:r>
        <w:rPr>
          <w:rFonts w:ascii="Barlow Semi Condensed" w:cs="Barlow Semi Condensed" w:eastAsia="Barlow Semi Condensed" w:hAnsi="Barlow Semi Condensed"/>
          <w:b/>
          <w:bCs/>
          <w:sz w:val="24"/>
          <w:szCs w:val="24"/>
        </w:rPr>
        <w:t xml:space="preserve">Il modello a due condizioni è caduto perché la ottava ricognizione aveva scritto sette nomi. Il modello a due modalità è caduto perché la decima li aveva riscritti.</w:t>
      </w:r>
    </w:p>
    <w:p>
      <w:pPr>
        <w:spacing w:after="120" w:line="276"/>
        <w:jc w:val="both"/>
      </w:pPr>
      <w:r>
        <w:rPr>
          <w:rFonts w:ascii="Barlow Semi Condensed" w:cs="Barlow Semi Condensed" w:eastAsia="Barlow Semi Condensed" w:hAnsi="Barlow Semi Condensed"/>
          <w:b/>
          <w:bCs/>
          <w:sz w:val="24"/>
          <w:szCs w:val="24"/>
        </w:rPr>
        <w:t xml:space="preserve">Se li avessi taciuti, il modello sarebbe ancora in piedi in entrambe le forme superate — e sarebbe falso in entrambe.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XIII · I Sette Casi Extraeuropei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5.380 parole in 9 sezioni; la più ampia è §9 Altre sezioni, con 4.559.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145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XIV — Aginter Press E Lo Stato Italiano</w:t>
      </w:r>
    </w:p>
    <w:p>
      <w:pPr>
        <w:pStyle w:val="Heading1"/>
        <w:spacing w:after="120" w:before="240"/>
      </w:pPr>
      <w:r>
        <w:rPr>
          <w:rFonts w:ascii="Barlow Semi Condensed" w:cs="Barlow Semi Condensed" w:eastAsia="Barlow Semi Condensed" w:hAnsi="Barlow Semi Condensed"/>
          <w:sz w:val="24"/>
          <w:szCs w:val="24"/>
        </w:rPr>
        <w:t xml:space="preserve">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Tredicesima ricognizione: i due silenzi</w:t>
      </w:r>
    </w:p>
    <w:p>
      <w:pPr>
        <w:pStyle w:val="Heading2"/>
        <w:spacing w:after="100" w:before="200"/>
      </w:pPr>
      <w:r>
        <w:rPr>
          <w:rFonts w:ascii="Barlow Semi Condensed" w:cs="Barlow Semi Condensed" w:eastAsia="Barlow Semi Condensed" w:hAnsi="Barlow Semi Condensed"/>
          <w:sz w:val="24"/>
          <w:szCs w:val="24"/>
        </w:rPr>
        <w:t xml:space="preserve">Il canale diplomatico e il canale informativo. L'ottavo grado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quinta proposizione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silenzi di natura diversa</w:t>
      </w:r>
    </w:p>
    <w:p>
      <w:pPr>
        <w:spacing w:after="120" w:line="276"/>
        <w:jc w:val="both"/>
      </w:pPr>
      <w:r>
        <w:rPr>
          <w:rFonts w:ascii="Barlow Semi Condensed" w:cs="Barlow Semi Condensed" w:eastAsia="Barlow Semi Condensed" w:hAnsi="Barlow Semi Condensed"/>
          <w:b/>
          <w:bCs/>
          <w:sz w:val="24"/>
          <w:szCs w:val="24"/>
        </w:rPr>
        <w:t xml:space="preserve">Questa ricognizione ha posto una domanda che dodici anteriori non avevano posto: se lo Stato italiano abbia avuto cognizione di Aginter Press attraverso il proprio apparato diplomatico, e non soltanto attraverso quello informativo.</w:t>
      </w:r>
    </w:p>
    <w:p>
      <w:pPr>
        <w:spacing w:after="120" w:line="276"/>
        <w:jc w:val="both"/>
      </w:pPr>
      <w:r>
        <w:rPr>
          <w:rFonts w:ascii="Barlow Semi Condensed" w:cs="Barlow Semi Condensed" w:eastAsia="Barlow Semi Condensed" w:hAnsi="Barlow Semi Condensed"/>
          <w:b/>
          <w:bCs/>
          <w:sz w:val="24"/>
          <w:szCs w:val="24"/>
        </w:rPr>
        <w:t xml:space="preserve">La ragione della domanda. Aginter Press operò a Lisbona dal settembre 1966 all'aprile 1974. Nello stesso periodo la Repubblica Italiana manteneva a Lisbona un'ambasciata funzionante e una rete consolare, e intratteneva con il Portogallo dell'Estado Novo relazioni ordinarie di alleanza atlantica. Aldo Moro fu ministro degli Esteri per cinque di quegli otto anni. Se un apparato dello Stato giunse a nominare Guérin-Sérac quattro giorni dopo Piazza Fontana, è lecito chiedersi se il canale diplomatico — fisicamente presente sul territorio dove Aginter operava — abbia mai prodotto un dispaccio in cui quel nome comparisse.</w:t>
      </w:r>
    </w:p>
    <w:p>
      <w:pPr>
        <w:spacing w:after="120" w:line="276"/>
        <w:jc w:val="both"/>
      </w:pPr>
      <w:r>
        <w:rPr>
          <w:rFonts w:ascii="Barlow Semi Condensed" w:cs="Barlow Semi Condensed" w:eastAsia="Barlow Semi Condensed" w:hAnsi="Barlow Semi Condensed"/>
          <w:b/>
          <w:bCs/>
          <w:sz w:val="24"/>
          <w:szCs w:val="24"/>
        </w:rPr>
        <w:t xml:space="preserve">La previsione che avevo dichiarato: Stato Zero sul versante diplomatico, esito positivo sul versante informativo, e lo scarto fra i due come risultato.</w:t>
      </w:r>
    </w:p>
    <w:p>
      <w:pPr>
        <w:spacing w:after="120" w:line="276"/>
        <w:jc w:val="both"/>
      </w:pPr>
      <w:r>
        <w:rPr>
          <w:rFonts w:ascii="Barlow Semi Condensed" w:cs="Barlow Semi Condensed" w:eastAsia="Barlow Semi Condensed" w:hAnsi="Barlow Semi Condensed"/>
          <w:b/>
          <w:bCs/>
          <w:sz w:val="24"/>
          <w:szCs w:val="24"/>
        </w:rPr>
        <w:t xml:space="preserve">La previsione si verifica. Ma l'esito è più articolato di come l'avevo formulata, e la differenza è la sostanza di questo documento.</w:t>
      </w:r>
    </w:p>
    <w:p>
      <w:pPr>
        <w:spacing w:after="120" w:line="276"/>
        <w:jc w:val="both"/>
      </w:pPr>
      <w:r>
        <w:rPr>
          <w:rFonts w:ascii="Barlow Semi Condensed" w:cs="Barlow Semi Condensed" w:eastAsia="Barlow Semi Condensed" w:hAnsi="Barlow Semi Condensed"/>
          <w:b/>
          <w:bCs/>
          <w:sz w:val="24"/>
          <w:szCs w:val="24"/>
        </w:rPr>
        <w:t xml:space="preserve">Perché i silenzi accertati sono due, e sono di natura opposta.</w:t>
      </w:r>
    </w:p>
    <w:p>
      <w:pPr>
        <w:spacing w:after="120" w:line="276"/>
        <w:jc w:val="both"/>
      </w:pPr>
      <w:r>
        <w:rPr>
          <w:rFonts w:ascii="Barlow Semi Condensed" w:cs="Barlow Semi Condensed" w:eastAsia="Barlow Semi Condensed" w:hAnsi="Barlow Semi Condensed"/>
          <w:b/>
          <w:bCs/>
          <w:sz w:val="24"/>
          <w:szCs w:val="24"/>
        </w:rPr>
        <w:t xml:space="preserve">Il primo silenzio è quello diplomatico, ed è strutturale. Non risulta alcuna traccia di segnalazioni dell'ambasciata di Lisbona o della Farnesina relative ad Aginter Press. Ma il Capitolo quinto documenta che il servizio che redasse l'appunto dipendeva dal Ministero della Difesa e non da quello degli Esteri, e che l'appunto fu diretto agli organi di polizia. La ripartizione delle competenze rende non plausibile, in linea di principio, che esso transitasse per la Farnesina.</w:t>
      </w:r>
    </w:p>
    <w:p>
      <w:pPr>
        <w:spacing w:after="120" w:line="276"/>
        <w:jc w:val="both"/>
      </w:pPr>
      <w:r>
        <w:rPr>
          <w:rFonts w:ascii="Barlow Semi Condensed" w:cs="Barlow Semi Condensed" w:eastAsia="Barlow Semi Condensed" w:hAnsi="Barlow Semi Condensed"/>
          <w:b/>
          <w:bCs/>
          <w:sz w:val="24"/>
          <w:szCs w:val="24"/>
        </w:rPr>
        <w:t xml:space="preserve">Ne discende che il silenzio diplomatico non è un occultamento: è la conseguenza prevedibile del disegno istituzionale.</w:t>
      </w:r>
    </w:p>
    <w:p>
      <w:pPr>
        <w:spacing w:after="120" w:line="276"/>
        <w:jc w:val="both"/>
      </w:pPr>
      <w:r>
        <w:rPr>
          <w:rFonts w:ascii="Barlow Semi Condensed" w:cs="Barlow Semi Condensed" w:eastAsia="Barlow Semi Condensed" w:hAnsi="Barlow Semi Condensed"/>
          <w:b/>
          <w:bCs/>
          <w:sz w:val="24"/>
          <w:szCs w:val="24"/>
        </w:rPr>
        <w:t xml:space="preserve">Il secondo silenzio non è strutturale, ed è quello che conta.</w:t>
      </w:r>
    </w:p>
    <w:p>
      <w:pPr>
        <w:spacing w:after="120" w:line="276"/>
        <w:jc w:val="both"/>
      </w:pPr>
      <w:r>
        <w:rPr>
          <w:rFonts w:ascii="Barlow Semi Condensed" w:cs="Barlow Semi Condensed" w:eastAsia="Barlow Semi Condensed" w:hAnsi="Barlow Semi Condensed"/>
          <w:b/>
          <w:bCs/>
          <w:sz w:val="24"/>
          <w:szCs w:val="24"/>
        </w:rPr>
        <w:t xml:space="preserve">Il servizio informativo sapeva, e disse il contrario.\\ Disponeva di un fascicolo nominativo che qualificava Guérin-Sérac come \\capo di un'organizzazione anticomunista\\; e trasmise all'esterno una versione che lo dipingeva come \\anarchico.</w:t>
      </w:r>
    </w:p>
    <w:p>
      <w:pPr>
        <w:spacing w:after="120" w:line="276"/>
        <w:jc w:val="both"/>
      </w:pPr>
      <w:r>
        <w:rPr>
          <w:rFonts w:ascii="Barlow Semi Condensed" w:cs="Barlow Semi Condensed" w:eastAsia="Barlow Semi Condensed" w:hAnsi="Barlow Semi Condensed"/>
          <w:b/>
          <w:bCs/>
          <w:sz w:val="24"/>
          <w:szCs w:val="24"/>
        </w:rPr>
        <w:t xml:space="preserve">Questa non è compartimentazione. È sostituzione di una qualificazione vera con una falsa.</w:t>
      </w:r>
    </w:p>
    <w:p>
      <w:pPr>
        <w:spacing w:after="120" w:line="276"/>
        <w:jc w:val="both"/>
      </w:pPr>
      <w:r>
        <w:rPr>
          <w:rFonts w:ascii="Barlow Semi Condensed" w:cs="Barlow Semi Condensed" w:eastAsia="Barlow Semi Condensed" w:hAnsi="Barlow Semi Condensed"/>
          <w:b/>
          <w:bCs/>
          <w:sz w:val="24"/>
          <w:szCs w:val="24"/>
        </w:rPr>
        <w:t xml:space="preserve">Ne discende un'acquisizione per il sistema di gradazione degli Stati Zero già consolidato nel corpus, che ne conta sette e non contempla questo. Occorre un ottavo grado, che non è assenza di informazione ma presenza di informazione falsa dove quella vera era detenuta. Lo denomino al Capitolo undicesimo.</w:t>
      </w:r>
    </w:p>
    <w:p>
      <w:pPr>
        <w:spacing w:after="120" w:line="276"/>
        <w:jc w:val="both"/>
      </w:pPr>
      <w:r>
        <w:rPr>
          <w:rFonts w:ascii="Barlow Semi Condensed" w:cs="Barlow Semi Condensed" w:eastAsia="Barlow Semi Condensed" w:hAnsi="Barlow Semi Condensed"/>
          <w:b/>
          <w:bCs/>
          <w:sz w:val="24"/>
          <w:szCs w:val="24"/>
        </w:rPr>
        <w:t xml:space="preserve">Una avvertenza sul primo silenzio, dovuta perché lo qualifica. Esso è, allo stato, Stato Zero conoscitivo e non accertamento positivo di inesistenza, e discende da tre circostanze che il Capitolo decimo documenta: i Documenti Diplomatici Italiani non hanno raggiunto il periodo, l'Archivio Storico Diplomatico ha regime di accesso condizionato, la storiografia bilaterale non ha mai incrociato il tema.</w:t>
      </w:r>
    </w:p>
    <w:p>
      <w:pPr>
        <w:pStyle w:val="Heading2"/>
        <w:spacing w:after="100" w:before="200"/>
      </w:pPr>
      <w:r>
        <w:rPr>
          <w:rFonts w:ascii="Barlow Semi Condensed" w:cs="Barlow Semi Condensed" w:eastAsia="Barlow Semi Condensed" w:hAnsi="Barlow Semi Condensed"/>
          <w:sz w:val="24"/>
          <w:szCs w:val="24"/>
        </w:rPr>
        <w:t xml:space="preserve">Capitolo secondo — Gli ambasciatori a Lisbona: il dato preliminare</w:t>
      </w:r>
    </w:p>
    <w:p>
      <w:pPr>
        <w:spacing w:after="120" w:line="276"/>
        <w:jc w:val="both"/>
      </w:pPr>
      <w:r>
        <w:rPr>
          <w:rFonts w:ascii="Barlow Semi Condensed" w:cs="Barlow Semi Condensed" w:eastAsia="Barlow Semi Condensed" w:hAnsi="Barlow Semi Condensed"/>
          <w:b/>
          <w:bCs/>
          <w:sz w:val="24"/>
          <w:szCs w:val="24"/>
        </w:rPr>
        <w:t xml:space="preserve">Il capitolo fissa un dato necessario a chiunque voglia condurre la verifica archivistica, e che nessuna ricognizione anteriore aveva stabilito.</w:t>
      </w:r>
    </w:p>
    <w:p>
      <w:pPr>
        <w:spacing w:after="120" w:line="276"/>
        <w:jc w:val="both"/>
      </w:pPr>
      <w:r>
        <w:rPr>
          <w:rFonts w:ascii="Barlow Semi Condensed" w:cs="Barlow Semi Condensed" w:eastAsia="Barlow Semi Condensed" w:hAnsi="Barlow Semi Condensed"/>
          <w:b/>
          <w:bCs/>
          <w:sz w:val="24"/>
          <w:szCs w:val="24"/>
        </w:rPr>
        <w:t xml:space="preserve">Chi resse la sede di Lisbona negli anni di Aginter Press. Secondo l'elenco ufficiale dei capi missione pubblicato dall'Ambasciata d'Italia nella propria sezione storica — fonte amministrativa e non storiografica — la successione fu la seguente.</w:t>
      </w:r>
    </w:p>
    <w:p>
      <w:pPr>
        <w:spacing w:after="120" w:line="276"/>
        <w:jc w:val="both"/>
      </w:pPr>
      <w:r>
        <w:rPr>
          <w:rFonts w:ascii="Barlow Semi Condensed" w:cs="Barlow Semi Condensed" w:eastAsia="Barlow Semi Condensed" w:hAnsi="Barlow Semi Condensed"/>
          <w:b/>
          <w:bCs/>
          <w:sz w:val="24"/>
          <w:szCs w:val="24"/>
        </w:rPr>
        <w:t xml:space="preserve">Giuseppe Cerulli Irelli, ambasciatore con lettere credenziali del 2 novembre 1964, resse la sede fino al 1971. Fu dunque il titolare all'atto della fondazione di Aginter Press nel settembre 1966 e per i primi cinque anni della sua attività.</w:t>
      </w:r>
    </w:p>
    <w:p>
      <w:pPr>
        <w:spacing w:after="120" w:line="276"/>
        <w:jc w:val="both"/>
      </w:pPr>
      <w:r>
        <w:rPr>
          <w:rFonts w:ascii="Barlow Semi Condensed" w:cs="Barlow Semi Condensed" w:eastAsia="Barlow Semi Condensed" w:hAnsi="Barlow Semi Condensed"/>
          <w:b/>
          <w:bCs/>
          <w:sz w:val="24"/>
          <w:szCs w:val="24"/>
        </w:rPr>
        <w:t xml:space="preserve">Girolamo Messeri, ambasciatore dal 26 marzo 1971. Fu il titolare negli anni cruciali: quelli che comprendono la fine del primo mandato di Moro, l'intero secondo, e la Rivoluzione dei Garofani dell'aprile 1974 che pose fine ad Aginter Press.</w:t>
      </w:r>
    </w:p>
    <w:p>
      <w:pPr>
        <w:spacing w:after="120" w:line="276"/>
        <w:jc w:val="both"/>
      </w:pPr>
      <w:r>
        <w:rPr>
          <w:rFonts w:ascii="Barlow Semi Condensed" w:cs="Barlow Semi Condensed" w:eastAsia="Barlow Semi Condensed" w:hAnsi="Barlow Semi Condensed"/>
          <w:b/>
          <w:bCs/>
          <w:sz w:val="24"/>
          <w:szCs w:val="24"/>
        </w:rPr>
        <w:t xml:space="preserve">Pier Luigi Alverà, ambasciatore dal 10 luglio 1975, coprì il periodo immediatamente successivo alla caduta dell'Estado Novo e il primo governo Moro.</w:t>
      </w:r>
    </w:p>
    <w:p>
      <w:pPr>
        <w:spacing w:after="120" w:line="276"/>
        <w:jc w:val="both"/>
      </w:pPr>
      <w:r>
        <w:rPr>
          <w:rFonts w:ascii="Barlow Semi Condensed" w:cs="Barlow Semi Condensed" w:eastAsia="Barlow Semi Condensed" w:hAnsi="Barlow Semi Condensed"/>
          <w:b/>
          <w:bCs/>
          <w:sz w:val="24"/>
          <w:szCs w:val="24"/>
        </w:rPr>
        <w:t xml:space="preserve">Il rilievo operativo va enunciato. Chi voglia condurre la verifica presso l'Archivio Storico Diplomatico deve cercare nei registri e nella corrispondenza di Cerulli Irelli e di Messeri, che sono i due capi missione competenti per l'intero arco di attività dell'agenzia. Senza questo dato la ricerca archivistica non ha punto d'attacco.</w:t>
      </w:r>
    </w:p>
    <w:p>
      <w:pPr>
        <w:spacing w:after="120" w:line="276"/>
        <w:jc w:val="both"/>
      </w:pPr>
      <w:r>
        <w:rPr>
          <w:rFonts w:ascii="Barlow Semi Condensed" w:cs="Barlow Semi Condensed" w:eastAsia="Barlow Semi Condensed" w:hAnsi="Barlow Semi Condensed"/>
          <w:b/>
          <w:bCs/>
          <w:sz w:val="24"/>
          <w:szCs w:val="24"/>
        </w:rPr>
        <w:t xml:space="preserve">E adesso l'esito, che va formulato con precisione. Nessuna delle fonti reperite attribuisce a Cerulli Irelli o a Messeri una qualsiasi cognizione, segnalazione o interessamento relativi ad Aginter Press, a Guérin-Sérac o alle sigle collegate.</w:t>
      </w:r>
    </w:p>
    <w:p>
      <w:pPr>
        <w:spacing w:after="120" w:line="276"/>
        <w:jc w:val="both"/>
      </w:pPr>
      <w:r>
        <w:rPr>
          <w:rFonts w:ascii="Barlow Semi Condensed" w:cs="Barlow Semi Condensed" w:eastAsia="Barlow Semi Condensed" w:hAnsi="Barlow Semi Condensed"/>
          <w:b/>
          <w:bCs/>
          <w:sz w:val="24"/>
          <w:szCs w:val="24"/>
        </w:rPr>
        <w:t xml:space="preserve">Questo silenzio non equivale a prova di ignoranza.\\ Equivale all'assenza, allo stato della documentazione consultabile, \\di qualsiasi traccia in un senso o nell'altro.</w:t>
      </w:r>
    </w:p>
    <w:p>
      <w:pPr>
        <w:spacing w:after="120" w:line="276"/>
        <w:jc w:val="both"/>
      </w:pPr>
      <w:r>
        <w:rPr>
          <w:rFonts w:ascii="Barlow Semi Condensed" w:cs="Barlow Semi Condensed" w:eastAsia="Barlow Semi Condensed" w:hAnsi="Barlow Semi Condensed"/>
          <w:b/>
          <w:bCs/>
          <w:sz w:val="24"/>
          <w:szCs w:val="24"/>
        </w:rPr>
        <w:t xml:space="preserve">La distinzione va tenuta ferma perché è la prima proposizione della serie applicata a se stessa: l'assenza di traccia non è l'assenza dell'atto.\\ Non si sa se i due ambasciatori sapessero; \\si sa che non risulta che abbiano scritto.</w:t>
      </w:r>
    </w:p>
    <w:p>
      <w:pPr>
        <w:spacing w:after="120" w:line="276"/>
        <w:jc w:val="both"/>
      </w:pPr>
      <w:r>
        <w:rPr>
          <w:rFonts w:ascii="Barlow Semi Condensed" w:cs="Barlow Semi Condensed" w:eastAsia="Barlow Semi Condensed" w:hAnsi="Barlow Semi Condensed"/>
          <w:b/>
          <w:bCs/>
          <w:sz w:val="24"/>
          <w:szCs w:val="24"/>
        </w:rPr>
        <w:t xml:space="preserve">Un elemento va aggiunto perché restringe ulteriormente la portata dell'esito. Il volume di Gaetano Cortese sull'Ambasciata d'Italia a Lisbona, del 2020, ricostruisce minuziosamente le relazioni bilaterali dal 1860; non menziona Aginter Press, Guérin-Sérac, Ordre et Tradition né l'OACI, e tratta il periodo 1966-1974 in modo protocollare.</w:t>
      </w:r>
    </w:p>
    <w:p>
      <w:pPr>
        <w:spacing w:after="120" w:line="276"/>
        <w:jc w:val="both"/>
      </w:pPr>
      <w:r>
        <w:rPr>
          <w:rFonts w:ascii="Barlow Semi Condensed" w:cs="Barlow Semi Condensed" w:eastAsia="Barlow Semi Condensed" w:hAnsi="Barlow Semi Condensed"/>
          <w:b/>
          <w:bCs/>
          <w:sz w:val="24"/>
          <w:szCs w:val="24"/>
        </w:rPr>
        <w:t xml:space="preserve">Un'opera dedicata a quella sede e a quel periodo tace il tema. Ciò non prova nulla sull'archivio; prova che la storiografia della sede non lo ha mai posto.</w:t>
      </w:r>
    </w:p>
    <w:p>
      <w:pPr>
        <w:pStyle w:val="Heading2"/>
        <w:spacing w:after="100" w:before="200"/>
      </w:pPr>
      <w:r>
        <w:rPr>
          <w:rFonts w:ascii="Barlow Semi Condensed" w:cs="Barlow Semi Condensed" w:eastAsia="Barlow Semi Condensed" w:hAnsi="Barlow Semi Condensed"/>
          <w:sz w:val="24"/>
          <w:szCs w:val="24"/>
        </w:rPr>
        <w:t xml:space="preserve">Capitolo terzo — L'appunto del SID: contenuto, errori, segnatura</w:t>
      </w:r>
    </w:p>
    <w:p>
      <w:pPr>
        <w:spacing w:after="120" w:line="276"/>
        <w:jc w:val="both"/>
      </w:pPr>
      <w:r>
        <w:rPr>
          <w:rFonts w:ascii="Barlow Semi Condensed" w:cs="Barlow Semi Condensed" w:eastAsia="Barlow Semi Condensed" w:hAnsi="Barlow Semi Condensed"/>
          <w:b/>
          <w:bCs/>
          <w:sz w:val="24"/>
          <w:szCs w:val="24"/>
        </w:rPr>
        <w:t xml:space="preserve">Il capitolo espone l'esito positivo sul versante informativo, con la precisione che la sua importanza richiede.</w:t>
      </w:r>
    </w:p>
    <w:p>
      <w:pPr>
        <w:spacing w:after="120" w:line="276"/>
        <w:jc w:val="both"/>
      </w:pPr>
      <w:r>
        <w:rPr>
          <w:rFonts w:ascii="Barlow Semi Condensed" w:cs="Barlow Semi Condensed" w:eastAsia="Barlow Semi Condensed" w:hAnsi="Barlow Semi Condensed"/>
          <w:b/>
          <w:bCs/>
          <w:sz w:val="24"/>
          <w:szCs w:val="24"/>
        </w:rPr>
        <w:t xml:space="preserve">La collocazione dell'appunto nella vicenda, per come l'istruttoria la formula. Il ruolo di Aginter Press rimarrebbe solo un pezzo della storia delle organizzazioni anticomuniste degli anni Sessanta e Settanta se il suo nome e quello di Guérin-Sérac non fossero entrati di prepotenza nelle indagini sugli attentati del 12 dicembre 1969 con l'appunto stilato dal SID il 16 dicembre 1969 — e cioè, precisa il testo, quando le indagini stavano imboccando la pista Valpreda.</w:t>
      </w:r>
    </w:p>
    <w:p>
      <w:pPr>
        <w:spacing w:after="120" w:line="276"/>
        <w:jc w:val="both"/>
      </w:pPr>
      <w:r>
        <w:rPr>
          <w:rFonts w:ascii="Barlow Semi Condensed" w:cs="Barlow Semi Condensed" w:eastAsia="Barlow Semi Condensed" w:hAnsi="Barlow Semi Condensed"/>
          <w:b/>
          <w:bCs/>
          <w:sz w:val="24"/>
          <w:szCs w:val="24"/>
        </w:rPr>
        <w:t xml:space="preserve">Quattro giorni dopo la strage.</w:t>
      </w:r>
    </w:p>
    <w:p>
      <w:pPr>
        <w:spacing w:after="120" w:line="276"/>
        <w:jc w:val="both"/>
      </w:pPr>
      <w:r>
        <w:rPr>
          <w:rFonts w:ascii="Barlow Semi Condensed" w:cs="Barlow Semi Condensed" w:eastAsia="Barlow Semi Condensed" w:hAnsi="Barlow Semi Condensed"/>
          <w:b/>
          <w:bCs/>
          <w:sz w:val="24"/>
          <w:szCs w:val="24"/>
        </w:rPr>
        <w:t xml:space="preserve">La natura e la sorte dell'appunto.\\ Esso era \\di fonte confidenziale\\ ed è \\pervenuto alla magistratura solo nel marzo 1973.</w:t>
      </w:r>
    </w:p>
    <w:p>
      <w:pPr>
        <w:spacing w:after="120" w:line="276"/>
        <w:jc w:val="both"/>
      </w:pPr>
      <w:r>
        <w:rPr>
          <w:rFonts w:ascii="Barlow Semi Condensed" w:cs="Barlow Semi Condensed" w:eastAsia="Barlow Semi Condensed" w:hAnsi="Barlow Semi Condensed"/>
          <w:b/>
          <w:bCs/>
          <w:sz w:val="24"/>
          <w:szCs w:val="24"/>
        </w:rPr>
        <w:t xml:space="preserve">Il ritardo va enunciato perché è esso stesso un fatto: oltre tre anni.</w:t>
      </w:r>
    </w:p>
    <w:p>
      <w:pPr>
        <w:spacing w:after="120" w:line="276"/>
        <w:jc w:val="both"/>
      </w:pPr>
      <w:r>
        <w:rPr>
          <w:rFonts w:ascii="Barlow Semi Condensed" w:cs="Barlow Semi Condensed" w:eastAsia="Barlow Semi Condensed" w:hAnsi="Barlow Semi Condensed"/>
          <w:b/>
          <w:bCs/>
          <w:sz w:val="24"/>
          <w:szCs w:val="24"/>
        </w:rPr>
        <w:t xml:space="preserve">Il contenuto, per come l'istruttoria lo riassume. La mente ispiratrice degli attentati sarebbe stato tale Guérin-Sérac. Gli attentati romani sarebbero stati organizzati da Stefano Delle Chiaie. L'esecutore materiale dei due attentati all'Altare della Patria sarebbe stato Mario Merlino, definito filo-cinese nell'appunto del 16 dicembre e, nella versione più ridotta datata 17 dicembre, anarchico.</w:t>
      </w:r>
    </w:p>
    <w:p>
      <w:pPr>
        <w:spacing w:after="120" w:line="276"/>
        <w:jc w:val="both"/>
      </w:pPr>
      <w:r>
        <w:rPr>
          <w:rFonts w:ascii="Barlow Semi Condensed" w:cs="Barlow Semi Condensed" w:eastAsia="Barlow Semi Condensed" w:hAnsi="Barlow Semi Condensed"/>
          <w:b/>
          <w:bCs/>
          <w:sz w:val="24"/>
          <w:szCs w:val="24"/>
        </w:rPr>
        <w:t xml:space="preserve">Guérin-Sérac vi è descritto come dirigente a Lisbona dell'Aginter Press e in stabile contatto con Delle Chiaie\\, e — questo è il punto — \\di ideologia anarchica.\\ Suo aiutante sarebbe \\un certo Robert Leroy.</w:t>
      </w:r>
    </w:p>
    <w:p>
      <w:pPr>
        <w:spacing w:after="120" w:line="276"/>
        <w:jc w:val="both"/>
      </w:pPr>
      <w:r>
        <w:rPr>
          <w:rFonts w:ascii="Barlow Semi Condensed" w:cs="Barlow Semi Condensed" w:eastAsia="Barlow Semi Condensed" w:hAnsi="Barlow Semi Condensed"/>
          <w:b/>
          <w:bCs/>
          <w:sz w:val="24"/>
          <w:szCs w:val="24"/>
        </w:rPr>
        <w:t xml:space="preserve">Due errori materiali vanno registrati perché qualificano la fonte. Il testo dell'appunto, per come la pubblicistica d'inchiesta lo riporta, indica Guérin-Sérac come cittadino tedesco — era francese — e storpia la denominazione dell'agenzia in Ager Interpress.</w:t>
      </w:r>
    </w:p>
    <w:p>
      <w:pPr>
        <w:spacing w:after="120" w:line="276"/>
        <w:jc w:val="both"/>
      </w:pPr>
      <w:r>
        <w:rPr>
          <w:rFonts w:ascii="Barlow Semi Condensed" w:cs="Barlow Semi Condensed" w:eastAsia="Barlow Semi Condensed" w:hAnsi="Barlow Semi Condensed"/>
          <w:b/>
          <w:bCs/>
          <w:sz w:val="24"/>
          <w:szCs w:val="24"/>
        </w:rPr>
        <w:t xml:space="preserve">Un appunto che sbaglia la nazionalità del proprio soggetto principale e il nome dell'organizzazione che gli attribuisce è documento di qualità informativa mediocre, e ciò va detto anche quando esso indichi la direzione giusta.</w:t>
      </w:r>
    </w:p>
    <w:p>
      <w:pPr>
        <w:spacing w:after="120" w:line="276"/>
        <w:jc w:val="both"/>
      </w:pPr>
      <w:r>
        <w:rPr>
          <w:rFonts w:ascii="Barlow Semi Condensed" w:cs="Barlow Semi Condensed" w:eastAsia="Barlow Semi Condensed" w:hAnsi="Barlow Semi Condensed"/>
          <w:b/>
          <w:bCs/>
          <w:sz w:val="24"/>
          <w:szCs w:val="24"/>
        </w:rPr>
        <w:t xml:space="preserve">E adesso la segnatura, che è la prova dell'esito positivo.\\ L'istruttoria individua \\il testo originale nel fascicolo del SID intestato a Guérin-Sérac, volume quaranta, fascicolo cinque, fogli diciotto e seguenti.</w:t>
      </w:r>
    </w:p>
    <w:p>
      <w:pPr>
        <w:spacing w:after="120" w:line="276"/>
        <w:jc w:val="both"/>
      </w:pPr>
      <w:r>
        <w:rPr>
          <w:rFonts w:ascii="Barlow Semi Condensed" w:cs="Barlow Semi Condensed" w:eastAsia="Barlow Semi Condensed" w:hAnsi="Barlow Semi Condensed"/>
          <w:b/>
          <w:bCs/>
          <w:sz w:val="24"/>
          <w:szCs w:val="24"/>
        </w:rPr>
        <w:t xml:space="preserve">Esisteva presso il servizio un fascicolo nominativo intestato a Guérin-Sérac.\\ Questo, e non l'appunto in sé, è l'accertamento decisivo: \\non un'informazione isolata, ma una posizione aperta a nome.</w:t>
      </w:r>
    </w:p>
    <w:p>
      <w:pPr>
        <w:spacing w:after="120" w:line="276"/>
        <w:jc w:val="both"/>
      </w:pPr>
      <w:r>
        <w:rPr>
          <w:rFonts w:ascii="Barlow Semi Condensed" w:cs="Barlow Semi Condensed" w:eastAsia="Barlow Semi Condensed" w:hAnsi="Barlow Semi Condensed"/>
          <w:b/>
          <w:bCs/>
          <w:sz w:val="24"/>
          <w:szCs w:val="24"/>
        </w:rPr>
        <w:t xml:space="preserve">Il giudizio del giudice istruttore va riportato con la sua qualificazione. Egli osserva che la pista indicata fosse tutt'altro che azzardata, salvo, da parte degli estensori, abbandonare poi la stessa a dipingere Guérin-Sérac e Merlino come anarchici e filo-cinesi, forse in ossequio ad un accordo ad alto livello.</w:t>
      </w:r>
    </w:p>
    <w:p>
      <w:pPr>
        <w:spacing w:after="120" w:line="276"/>
        <w:jc w:val="both"/>
      </w:pPr>
      <w:r>
        <w:rPr>
          <w:rFonts w:ascii="Barlow Semi Condensed" w:cs="Barlow Semi Condensed" w:eastAsia="Barlow Semi Condensed" w:hAnsi="Barlow Semi Condensed"/>
          <w:b/>
          <w:bCs/>
          <w:sz w:val="24"/>
          <w:szCs w:val="24"/>
        </w:rPr>
        <w:t xml:space="preserve">L'inciso forse in ossequio segnala che si tratta di ipotesi ricostruttiva del giudice, non di fatto provato, e va conservato con la frase.</w:t>
      </w:r>
    </w:p>
    <w:p>
      <w:pPr>
        <w:pStyle w:val="Heading2"/>
        <w:spacing w:after="100" w:before="200"/>
      </w:pPr>
      <w:r>
        <w:rPr>
          <w:rFonts w:ascii="Barlow Semi Condensed" w:cs="Barlow Semi Condensed" w:eastAsia="Barlow Semi Condensed" w:hAnsi="Barlow Semi Condensed"/>
          <w:sz w:val="24"/>
          <w:szCs w:val="24"/>
        </w:rPr>
        <w:t xml:space="preserve">Capitolo quarto — Il secondo silenzio: il servizio sapeva e disse il contrario</w:t>
      </w:r>
    </w:p>
    <w:p>
      <w:pPr>
        <w:spacing w:after="120" w:line="276"/>
        <w:jc w:val="both"/>
      </w:pPr>
      <w:r>
        <w:rPr>
          <w:rFonts w:ascii="Barlow Semi Condensed" w:cs="Barlow Semi Condensed" w:eastAsia="Barlow Semi Condensed" w:hAnsi="Barlow Semi Condensed"/>
          <w:b/>
          <w:bCs/>
          <w:sz w:val="24"/>
          <w:szCs w:val="24"/>
        </w:rPr>
        <w:t xml:space="preserve">Il capitolo espone l'accertamento che, secondo me, è il più grave prodotto da questa ricognizione, e proviene da fonte accademica indipendente.</w:t>
      </w:r>
    </w:p>
    <w:p>
      <w:pPr>
        <w:spacing w:after="120" w:line="276"/>
        <w:jc w:val="both"/>
      </w:pPr>
      <w:r>
        <w:rPr>
          <w:rFonts w:ascii="Barlow Semi Condensed" w:cs="Barlow Semi Condensed" w:eastAsia="Barlow Semi Condensed" w:hAnsi="Barlow Semi Condensed"/>
          <w:b/>
          <w:bCs/>
          <w:sz w:val="24"/>
          <w:szCs w:val="24"/>
        </w:rPr>
        <w:t xml:space="preserve">La fonte. Il capitolo dedicato ad Aginter Press nel volume collettaneo \Liaisons dangereuses\, pubblicato dalle Presses universitaires de Rennes. È storiografia accademica francese, esterna tanto alla materia italiana quanto agli apparati coinvolti.</w:t>
      </w:r>
    </w:p>
    <w:p>
      <w:pPr>
        <w:spacing w:after="120" w:line="276"/>
        <w:jc w:val="both"/>
      </w:pPr>
      <w:r>
        <w:rPr>
          <w:rFonts w:ascii="Barlow Semi Condensed" w:cs="Barlow Semi Condensed" w:eastAsia="Barlow Semi Condensed" w:hAnsi="Barlow Semi Condensed"/>
          <w:b/>
          <w:bCs/>
          <w:sz w:val="24"/>
          <w:szCs w:val="24"/>
        </w:rPr>
        <w:t xml:space="preserve">Il primo accertamento.\\ \\Il SID rifiutò sistematicamente di partecipare all'inchiesta e si limitò a trasmettere la nota sopra menzionata a responsabili della polizia e dei carabinieri.</w:t>
      </w:r>
    </w:p>
    <w:p>
      <w:pPr>
        <w:spacing w:after="120" w:line="276"/>
        <w:jc w:val="both"/>
      </w:pPr>
      <w:r>
        <w:rPr>
          <w:rFonts w:ascii="Barlow Semi Condensed" w:cs="Barlow Semi Condensed" w:eastAsia="Barlow Semi Condensed" w:hAnsi="Barlow Semi Condensed"/>
          <w:b/>
          <w:bCs/>
          <w:sz w:val="24"/>
          <w:szCs w:val="24"/>
        </w:rPr>
        <w:t xml:space="preserve">Il secondo accertamento, ed è quello decisivo.\\ Il servizio \\omise inoltre di trasmettere le informazioni contenute nei suoi dossier che, già all'epoca, identificavano in Guérin-Sérac il capo di un'organizzazione anticomunista e non anarchica.</w:t>
      </w:r>
    </w:p>
    <w:p>
      <w:pPr>
        <w:spacing w:after="120" w:line="276"/>
        <w:jc w:val="both"/>
      </w:pPr>
      <w:r>
        <w:rPr>
          <w:rFonts w:ascii="Barlow Semi Condensed" w:cs="Barlow Semi Condensed" w:eastAsia="Barlow Semi Condensed" w:hAnsi="Barlow Semi Condensed"/>
          <w:b/>
          <w:bCs/>
          <w:sz w:val="24"/>
          <w:szCs w:val="24"/>
        </w:rPr>
        <w:t xml:space="preserve">Le due proposizioni vanno lette insieme, ed enunciate senza attenuazioni.</w:t>
      </w:r>
    </w:p>
    <w:p>
      <w:pPr>
        <w:spacing w:after="120" w:line="276"/>
        <w:jc w:val="both"/>
      </w:pPr>
      <w:r>
        <w:rPr>
          <w:rFonts w:ascii="Barlow Semi Condensed" w:cs="Barlow Semi Condensed" w:eastAsia="Barlow Semi Condensed" w:hAnsi="Barlow Semi Condensed"/>
          <w:b/>
          <w:bCs/>
          <w:sz w:val="24"/>
          <w:szCs w:val="24"/>
        </w:rPr>
        <w:t xml:space="preserve">Il servizio informativo italiano deteneva un fascicolo che qualificava correttamente Guérin-Sérac come capo di organizzazione anticomunista. Trasmise all'esterno una descrizione che lo dipingeva come anarchico. E omise di trasmettere ciò che sapeva.</w:t>
      </w:r>
    </w:p>
    <w:p>
      <w:pPr>
        <w:spacing w:after="120" w:line="276"/>
        <w:jc w:val="both"/>
      </w:pPr>
      <w:r>
        <w:rPr>
          <w:rFonts w:ascii="Barlow Semi Condensed" w:cs="Barlow Semi Condensed" w:eastAsia="Barlow Semi Condensed" w:hAnsi="Barlow Semi Condensed"/>
          <w:b/>
          <w:bCs/>
          <w:sz w:val="24"/>
          <w:szCs w:val="24"/>
        </w:rPr>
        <w:t xml:space="preserve">Questo non è un difetto di circolazione dell'informazione fra apparati. È la sostituzione consapevole di una qualificazione vera con una falsa.</w:t>
      </w:r>
    </w:p>
    <w:p>
      <w:pPr>
        <w:spacing w:after="120" w:line="276"/>
        <w:jc w:val="both"/>
      </w:pPr>
      <w:r>
        <w:rPr>
          <w:rFonts w:ascii="Barlow Semi Condensed" w:cs="Barlow Semi Condensed" w:eastAsia="Barlow Semi Condensed" w:hAnsi="Barlow Semi Condensed"/>
          <w:b/>
          <w:bCs/>
          <w:sz w:val="24"/>
          <w:szCs w:val="24"/>
        </w:rPr>
        <w:t xml:space="preserve">La ragione strumentale è indicata dalla medesima fonte accademica, ed è di una lucidità che va riportata. Collegare gli anarchici a un'organizzazione internazionale come Aginter Press permetteva di rafforzare la tesi anarchica senza correre rischi particolari, poiché era assai poco probabile che il Portogallo salazarista accettasse di collaborare con le istanze giudiziarie italiane.</w:t>
      </w:r>
    </w:p>
    <w:p>
      <w:pPr>
        <w:spacing w:after="120" w:line="276"/>
        <w:jc w:val="both"/>
      </w:pPr>
      <w:r>
        <w:rPr>
          <w:rFonts w:ascii="Barlow Semi Condensed" w:cs="Barlow Semi Condensed" w:eastAsia="Barlow Semi Condensed" w:hAnsi="Barlow Semi Condensed"/>
          <w:b/>
          <w:bCs/>
          <w:sz w:val="24"/>
          <w:szCs w:val="24"/>
        </w:rPr>
        <w:t xml:space="preserve">Ne discende che l'operazione era doppiamente calcolata. Non soltanto attribuiva agli anarchici una struttura internazionale che ne accresceva la pericolosità apparente; ma la collocava in un Paese dal quale nessuna verifica sarebbe arrivata. La falsa qualificazione era protetta dalla giurisdizione in cui era ambientata.</w:t>
      </w:r>
    </w:p>
    <w:p>
      <w:pPr>
        <w:spacing w:after="120" w:line="276"/>
        <w:jc w:val="both"/>
      </w:pPr>
      <w:r>
        <w:rPr>
          <w:rFonts w:ascii="Barlow Semi Condensed" w:cs="Barlow Semi Condensed" w:eastAsia="Barlow Semi Condensed" w:hAnsi="Barlow Semi Condensed"/>
          <w:b/>
          <w:bCs/>
          <w:sz w:val="24"/>
          <w:szCs w:val="24"/>
        </w:rPr>
        <w:t xml:space="preserve">Un elemento di conferma cronologica va aggiunto. Fra la versione del 16 dicembre, che dice filo-cinese, e quella più ridotta del 17 dicembre, che dice anarchico, corre un solo giorno. La qualificazione si assesta sulla versione più utile alla pista in corso nell'arco di ventiquattro ore.</w:t>
      </w:r>
    </w:p>
    <w:p>
      <w:pPr>
        <w:spacing w:after="120" w:line="276"/>
        <w:jc w:val="both"/>
      </w:pPr>
      <w:r>
        <w:rPr>
          <w:rFonts w:ascii="Barlow Semi Condensed" w:cs="Barlow Semi Condensed" w:eastAsia="Barlow Semi Condensed" w:hAnsi="Barlow Semi Condensed"/>
          <w:b/>
          <w:bCs/>
          <w:sz w:val="24"/>
          <w:szCs w:val="24"/>
        </w:rPr>
        <w:t xml:space="preserve">Che cosa questo non stabilisce, e va dichiarato con eguale fermezza. Non stabilisce chi decise, né a quale livello, né se vi fu — come il giudice istruttore ipotizza con l'avverbio forse — un accordo ad alto livello. Stabilisce che il servizio deteneva la qualificazione corretta e ne diffuse una diversa.</w:t>
      </w:r>
    </w:p>
    <w:p>
      <w:pPr>
        <w:pStyle w:val="Heading2"/>
        <w:spacing w:after="100" w:before="200"/>
      </w:pPr>
      <w:r>
        <w:rPr>
          <w:rFonts w:ascii="Barlow Semi Condensed" w:cs="Barlow Semi Condensed" w:eastAsia="Barlow Semi Condensed" w:hAnsi="Barlow Semi Condensed"/>
          <w:sz w:val="24"/>
          <w:szCs w:val="24"/>
        </w:rPr>
        <w:t xml:space="preserve">Capitolo quinto — La composizione del governo e l'argomento di competenza</w:t>
      </w:r>
    </w:p>
    <w:p>
      <w:pPr>
        <w:spacing w:after="120" w:line="276"/>
        <w:jc w:val="both"/>
      </w:pPr>
      <w:r>
        <w:rPr>
          <w:rFonts w:ascii="Barlow Semi Condensed" w:cs="Barlow Semi Condensed" w:eastAsia="Barlow Semi Condensed" w:hAnsi="Barlow Semi Condensed"/>
          <w:b/>
          <w:bCs/>
          <w:sz w:val="24"/>
          <w:szCs w:val="24"/>
        </w:rPr>
        <w:t xml:space="preserve">Il capitolo fissa chi fossero i responsabili politici degli apparati alla data dell'appunto, e ne trae l'argomento che spiega il primo silenzio.</w:t>
      </w:r>
    </w:p>
    <w:p>
      <w:pPr>
        <w:spacing w:after="120" w:line="276"/>
        <w:jc w:val="both"/>
      </w:pPr>
      <w:r>
        <w:rPr>
          <w:rFonts w:ascii="Barlow Semi Condensed" w:cs="Barlow Semi Condensed" w:eastAsia="Barlow Semi Condensed" w:hAnsi="Barlow Semi Condensed"/>
          <w:b/>
          <w:bCs/>
          <w:sz w:val="24"/>
          <w:szCs w:val="24"/>
        </w:rPr>
        <w:t xml:space="preserve">Il governo in carica il 16 dicembre 1969.\\ Era il \\secondo governo Rumor\\, monocolore democristiano, in funzione dal \\5 agosto 1969 al 27 marzo 1970.</w:t>
      </w:r>
    </w:p>
    <w:p>
      <w:pPr>
        <w:spacing w:after="120" w:line="276"/>
        <w:jc w:val="both"/>
      </w:pPr>
      <w:r>
        <w:rPr>
          <w:rFonts w:ascii="Barlow Semi Condensed" w:cs="Barlow Semi Condensed" w:eastAsia="Barlow Semi Condensed" w:hAnsi="Barlow Semi Condensed"/>
          <w:b/>
          <w:bCs/>
          <w:sz w:val="24"/>
          <w:szCs w:val="24"/>
        </w:rPr>
        <w:t xml:space="preserve">I titolari, dal Portale storico della Camera. Presidente del Consiglio Mariano Rumor. Ministro dell'Interno Francesco Restivo, dal 5 agosto 1969 al 27 marzo 1970. Ministro della Difesa Luigi Gui, per il medesimo periodo, con Francesco Cossiga fra i sottosegretari. Ministro degli Affari Esteri Aldo Moro, nel primo dei suoi due mandati.</w:t>
      </w:r>
    </w:p>
    <w:p>
      <w:pPr>
        <w:spacing w:after="120" w:line="276"/>
        <w:jc w:val="both"/>
      </w:pPr>
      <w:r>
        <w:rPr>
          <w:rFonts w:ascii="Barlow Semi Condensed" w:cs="Barlow Semi Condensed" w:eastAsia="Barlow Semi Condensed" w:hAnsi="Barlow Semi Condensed"/>
          <w:b/>
          <w:bCs/>
          <w:sz w:val="24"/>
          <w:szCs w:val="24"/>
        </w:rPr>
        <w:t xml:space="preserve">È dunque documentato che, alla data dell'appunto che nominava Guérin-Sérac come mente degli attentati, Aldo Moro fosse ministro degli Esteri.</w:t>
      </w:r>
    </w:p>
    <w:p>
      <w:pPr>
        <w:spacing w:after="120" w:line="276"/>
        <w:jc w:val="both"/>
      </w:pPr>
      <w:r>
        <w:rPr>
          <w:rFonts w:ascii="Barlow Semi Condensed" w:cs="Barlow Semi Condensed" w:eastAsia="Barlow Semi Condensed" w:hAnsi="Barlow Semi Condensed"/>
          <w:b/>
          <w:bCs/>
          <w:sz w:val="24"/>
          <w:szCs w:val="24"/>
        </w:rPr>
        <w:t xml:space="preserve">Ma questa contemporaneità va immediatamente qualificata, perché è il tipo di dato che la pubblicistica impiega come se fosse una prova.</w:t>
      </w:r>
    </w:p>
    <w:p>
      <w:pPr>
        <w:spacing w:after="120" w:line="276"/>
        <w:jc w:val="both"/>
      </w:pPr>
      <w:r>
        <w:rPr>
          <w:rFonts w:ascii="Barlow Semi Condensed" w:cs="Barlow Semi Condensed" w:eastAsia="Barlow Semi Condensed" w:hAnsi="Barlow Semi Condensed"/>
          <w:b/>
          <w:bCs/>
          <w:sz w:val="24"/>
          <w:szCs w:val="24"/>
        </w:rPr>
        <w:t xml:space="preserve">Essa è un fatto e non è, di per sé, prova che Moro abbia avuto cognizione dell'appunto, né che tale cognizione — se vi fu — gli sia pervenuta per via diplomatica anziché per altra via. Trattare la contemporaneità come prova di un nesso è vietato dalla disciplina che governa questa serie, e la si applica qui contro l'inferenza più immediata e più suggestiva.</w:t>
      </w:r>
    </w:p>
    <w:p>
      <w:pPr>
        <w:spacing w:after="120" w:line="276"/>
        <w:jc w:val="both"/>
      </w:pPr>
      <w:r>
        <w:rPr>
          <w:rFonts w:ascii="Barlow Semi Condensed" w:cs="Barlow Semi Condensed" w:eastAsia="Barlow Semi Condensed" w:hAnsi="Barlow Semi Condensed"/>
          <w:b/>
          <w:bCs/>
          <w:sz w:val="24"/>
          <w:szCs w:val="24"/>
        </w:rPr>
        <w:t xml:space="preserve">E adesso l'argomento di competenza, che spiega il primo silenzio.</w:t>
      </w:r>
    </w:p>
    <w:p>
      <w:pPr>
        <w:spacing w:after="120" w:line="276"/>
        <w:jc w:val="both"/>
      </w:pPr>
      <w:r>
        <w:rPr>
          <w:rFonts w:ascii="Barlow Semi Condensed" w:cs="Barlow Semi Condensed" w:eastAsia="Barlow Semi Condensed" w:hAnsi="Barlow Semi Condensed"/>
          <w:b/>
          <w:bCs/>
          <w:sz w:val="24"/>
          <w:szCs w:val="24"/>
        </w:rPr>
        <w:t xml:space="preserve">Il SID dipendeva dal Ministero della Difesa, dunque da Gui, e non dal ministro degli Esteri. La competenza politica sull'apparato che redasse l'appunto era di Gui; quella sull'ordine pubblico, di Restivo. Moro, agli Esteri, presiedeva l'apparato diplomatico, che è precisamente il canale di cui questa ricognizione verifica il silenzio.</w:t>
      </w:r>
    </w:p>
    <w:p>
      <w:pPr>
        <w:spacing w:after="120" w:line="276"/>
        <w:jc w:val="both"/>
      </w:pPr>
      <w:r>
        <w:rPr>
          <w:rFonts w:ascii="Barlow Semi Condensed" w:cs="Barlow Semi Condensed" w:eastAsia="Barlow Semi Condensed" w:hAnsi="Barlow Semi Condensed"/>
          <w:b/>
          <w:bCs/>
          <w:sz w:val="24"/>
          <w:szCs w:val="24"/>
        </w:rPr>
        <w:t xml:space="preserve">Ne discende che la ripartizione delle competenze rende non plausibile, in linea di principio, che l'appunto transitasse per la Farnesina. Esso nacque nel circuito Difesa-SID e fu diretto agli organi di polizia, restando all'interno del circuito informativo-repressivo.</w:t>
      </w:r>
    </w:p>
    <w:p>
      <w:pPr>
        <w:spacing w:after="120" w:line="276"/>
        <w:jc w:val="both"/>
      </w:pPr>
      <w:r>
        <w:rPr>
          <w:rFonts w:ascii="Barlow Semi Condensed" w:cs="Barlow Semi Condensed" w:eastAsia="Barlow Semi Condensed" w:hAnsi="Barlow Semi Condensed"/>
          <w:b/>
          <w:bCs/>
          <w:sz w:val="24"/>
          <w:szCs w:val="24"/>
        </w:rPr>
        <w:t xml:space="preserve">Questo è l'argomento che trasforma il primo silenzio da anomalia a conseguenza.</w:t>
      </w:r>
    </w:p>
    <w:p>
      <w:pPr>
        <w:spacing w:after="120" w:line="276"/>
        <w:jc w:val="both"/>
      </w:pPr>
      <w:r>
        <w:rPr>
          <w:rFonts w:ascii="Barlow Semi Condensed" w:cs="Barlow Semi Condensed" w:eastAsia="Barlow Semi Condensed" w:hAnsi="Barlow Semi Condensed"/>
          <w:b/>
          <w:bCs/>
          <w:sz w:val="24"/>
          <w:szCs w:val="24"/>
        </w:rPr>
        <w:t xml:space="preserve">Un corollario va tratto e vale oltre il caso. L'ambasciata italiana a Lisbona era accreditata presso un regime alleato in ambito atlantico, e la sua funzione era la cura delle relazioni ordinarie, non la sorveglianza delle strutture clandestine anticomuniste protette da quel regime.</w:t>
      </w:r>
    </w:p>
    <w:p>
      <w:pPr>
        <w:spacing w:after="120" w:line="276"/>
        <w:jc w:val="both"/>
      </w:pPr>
      <w:r>
        <w:rPr>
          <w:rFonts w:ascii="Barlow Semi Condensed" w:cs="Barlow Semi Condensed" w:eastAsia="Barlow Semi Condensed" w:hAnsi="Barlow Semi Condensed"/>
          <w:b/>
          <w:bCs/>
          <w:sz w:val="24"/>
          <w:szCs w:val="24"/>
        </w:rPr>
        <w:t xml:space="preserve">Il riconoscimento di Aginter Press richiedeva capacità di penetrazione informativa, non semplice presenza sul territorio. Un'ambasciata vede ciò che accade nella capitale presso cui è accreditata; non vede ciò che la polizia politica di quella capitale protegge.</w:t>
      </w:r>
    </w:p>
    <w:p>
      <w:pPr>
        <w:pStyle w:val="Heading2"/>
        <w:spacing w:after="100" w:before="200"/>
      </w:pPr>
      <w:r>
        <w:rPr>
          <w:rFonts w:ascii="Barlow Semi Condensed" w:cs="Barlow Semi Condensed" w:eastAsia="Barlow Semi Condensed" w:hAnsi="Barlow Semi Condensed"/>
          <w:sz w:val="24"/>
          <w:szCs w:val="24"/>
        </w:rPr>
        <w:t xml:space="preserve">Capitolo sesto — Gli atti parlamentari e la conferma per via istituzionale</w:t>
      </w:r>
    </w:p>
    <w:p>
      <w:pPr>
        <w:spacing w:after="120" w:line="276"/>
        <w:jc w:val="both"/>
      </w:pPr>
      <w:r>
        <w:rPr>
          <w:rFonts w:ascii="Barlow Semi Condensed" w:cs="Barlow Semi Condensed" w:eastAsia="Barlow Semi Condensed" w:hAnsi="Barlow Semi Condensed"/>
          <w:b/>
          <w:bCs/>
          <w:sz w:val="24"/>
          <w:szCs w:val="24"/>
        </w:rPr>
        <w:t xml:space="preserve">Il capitolo verifica il silenzio diplomatico su una terza fonte, indipendente dalle prime due.</w:t>
      </w:r>
    </w:p>
    <w:p>
      <w:pPr>
        <w:spacing w:after="120" w:line="276"/>
        <w:jc w:val="both"/>
      </w:pPr>
      <w:r>
        <w:rPr>
          <w:rFonts w:ascii="Barlow Semi Condensed" w:cs="Barlow Semi Condensed" w:eastAsia="Barlow Semi Condensed" w:hAnsi="Barlow Semi Condensed"/>
          <w:b/>
          <w:bCs/>
          <w:sz w:val="24"/>
          <w:szCs w:val="24"/>
        </w:rPr>
        <w:t xml:space="preserve">Che cosa gli atti parlamentari accertano su Aginter Press. Nella relazione del presidente della Commissione Stragi, senatore Giovanni Pellegrino, si afferma che Aginter Press era in realtà, secondo gli ultimi documenti acquisiti dall'indagine penale, un centro di informazione direttamente collegato alla CIA e al servizio segreto portoghese, specializzato in operazioni di provocazione.</w:t>
      </w:r>
    </w:p>
    <w:p>
      <w:pPr>
        <w:spacing w:after="120" w:line="276"/>
        <w:jc w:val="both"/>
      </w:pPr>
      <w:r>
        <w:rPr>
          <w:rFonts w:ascii="Barlow Semi Condensed" w:cs="Barlow Semi Condensed" w:eastAsia="Barlow Semi Condensed" w:hAnsi="Barlow Semi Condensed"/>
          <w:b/>
          <w:bCs/>
          <w:sz w:val="24"/>
          <w:szCs w:val="24"/>
        </w:rPr>
        <w:t xml:space="preserve">Il grado va qualificato: è relazione parlamentare, cioè ricostruzione politico-istituzionale, non accertamento giudiziario definitivo.</w:t>
      </w:r>
    </w:p>
    <w:p>
      <w:pPr>
        <w:spacing w:after="120" w:line="276"/>
        <w:jc w:val="both"/>
      </w:pPr>
      <w:r>
        <w:rPr>
          <w:rFonts w:ascii="Barlow Semi Condensed" w:cs="Barlow Semi Condensed" w:eastAsia="Barlow Semi Condensed" w:hAnsi="Barlow Semi Condensed"/>
          <w:b/>
          <w:bCs/>
          <w:sz w:val="24"/>
          <w:szCs w:val="24"/>
        </w:rPr>
        <w:t xml:space="preserve">L'audizione del giudice Salvini davanti alla Commissione, negli atti della tredicesima legislatura, precisa gli accertamenti raggiunti. In queste indagini sono emersi elementi che confermano i legami fra Aginter Press, Ordine nuovo e Avanguardia nazionale. È emerso che Guido Giannettini aveva rapporti con Guérin-Sérac in Portogallo fin dal 1964; è emerso che istruttori di Aginter Press vennero a Roma tra il 1967 e il 1968 istruendo i militanti di Avanguardia nazionale all'uso degli esplosivi.</w:t>
      </w:r>
    </w:p>
    <w:p>
      <w:pPr>
        <w:spacing w:after="120" w:line="276"/>
        <w:jc w:val="both"/>
      </w:pPr>
      <w:r>
        <w:rPr>
          <w:rFonts w:ascii="Barlow Semi Condensed" w:cs="Barlow Semi Condensed" w:eastAsia="Barlow Semi Condensed" w:hAnsi="Barlow Semi Condensed"/>
          <w:b/>
          <w:bCs/>
          <w:sz w:val="24"/>
          <w:szCs w:val="24"/>
        </w:rPr>
        <w:t xml:space="preserve">Su Robert Leroy, braccio destro di Guérin-Sérac, l'audizione aggiunge due elementi. Che era stato durante la seconda guerra mondiale combattente nelle Waffen SS; e che era venuto in Italia molte volte nel 1968 ed aveva concorso ad organizzare a Torino, ad Aosta e in altre città del Nord gruppi filocinesi, presentandosi come emissario di gruppi francesi analoghi.</w:t>
      </w:r>
    </w:p>
    <w:p>
      <w:pPr>
        <w:spacing w:after="120" w:line="276"/>
        <w:jc w:val="both"/>
      </w:pPr>
      <w:r>
        <w:rPr>
          <w:rFonts w:ascii="Barlow Semi Condensed" w:cs="Barlow Semi Condensed" w:eastAsia="Barlow Semi Condensed" w:hAnsi="Barlow Semi Condensed"/>
          <w:b/>
          <w:bCs/>
          <w:sz w:val="24"/>
          <w:szCs w:val="24"/>
        </w:rPr>
        <w:t xml:space="preserve">E adesso il rilievo per il quesito di questa ricognizione, che è il punto del capitolo.</w:t>
      </w:r>
    </w:p>
    <w:p>
      <w:pPr>
        <w:spacing w:after="120" w:line="276"/>
        <w:jc w:val="both"/>
      </w:pPr>
      <w:r>
        <w:rPr>
          <w:rFonts w:ascii="Barlow Semi Condensed" w:cs="Barlow Semi Condensed" w:eastAsia="Barlow Semi Condensed" w:hAnsi="Barlow Semi Condensed"/>
          <w:b/>
          <w:bCs/>
          <w:sz w:val="24"/>
          <w:szCs w:val="24"/>
        </w:rPr>
        <w:t xml:space="preserve">In tutti questi atti la cognizione italiana di Aginter Press è ricondotta sempre e soltanto a canali investigativi, giudiziari e di intelligence\\ — il SID, il SISMI, il SISDE, l'istruttoria — \\e mai a un canale diplomatico.</w:t>
      </w:r>
    </w:p>
    <w:p>
      <w:pPr>
        <w:spacing w:after="120" w:line="276"/>
        <w:jc w:val="both"/>
      </w:pPr>
      <w:r>
        <w:rPr>
          <w:rFonts w:ascii="Barlow Semi Condensed" w:cs="Barlow Semi Condensed" w:eastAsia="Barlow Semi Condensed" w:hAnsi="Barlow Semi Condensed"/>
          <w:b/>
          <w:bCs/>
          <w:sz w:val="24"/>
          <w:szCs w:val="24"/>
        </w:rPr>
        <w:t xml:space="preserve">In nessun passaggio delle relazioni Pellegrino o delle audizioni Salvini reperiti si afferma che l'ambasciata di Lisbona o la Farnesina avessero segnalato Aginter Press.</w:t>
      </w:r>
    </w:p>
    <w:p>
      <w:pPr>
        <w:spacing w:after="120" w:line="276"/>
        <w:jc w:val="both"/>
      </w:pPr>
      <w:r>
        <w:rPr>
          <w:rFonts w:ascii="Barlow Semi Condensed" w:cs="Barlow Semi Condensed" w:eastAsia="Barlow Semi Condensed" w:hAnsi="Barlow Semi Condensed"/>
          <w:b/>
          <w:bCs/>
          <w:sz w:val="24"/>
          <w:szCs w:val="24"/>
        </w:rPr>
        <w:t xml:space="preserve">Un elemento lo conferma per via diretta. Il presidente Pellegrino, in una seduta, riconduce esplicitamente l'impianto della propria relazione a proposito dell'Aginter Press e di Guérin-Sérac ai lavori di Salvini e del colonnello Giraudo — cioè a fonti giudiziarie e investigative.</w:t>
      </w:r>
    </w:p>
    <w:p>
      <w:pPr>
        <w:spacing w:after="120" w:line="276"/>
        <w:jc w:val="both"/>
      </w:pPr>
      <w:r>
        <w:rPr>
          <w:rFonts w:ascii="Barlow Semi Condensed" w:cs="Barlow Semi Condensed" w:eastAsia="Barlow Semi Condensed" w:hAnsi="Barlow Semi Condensed"/>
          <w:b/>
          <w:bCs/>
          <w:sz w:val="24"/>
          <w:szCs w:val="24"/>
        </w:rPr>
        <w:t xml:space="preserve">E la mappa della rete degli agenti di Aginter distribuiti nelle principali città del mondo, di cui la Commissione dispose, proveniva dal materiale sequestrato e dagli atti giudiziari, non da rapporti diplomatici.</w:t>
      </w:r>
    </w:p>
    <w:p>
      <w:pPr>
        <w:spacing w:after="120" w:line="276"/>
        <w:jc w:val="both"/>
      </w:pPr>
      <w:r>
        <w:rPr>
          <w:rFonts w:ascii="Barlow Semi Condensed" w:cs="Barlow Semi Condensed" w:eastAsia="Barlow Semi Condensed" w:hAnsi="Barlow Semi Condensed"/>
          <w:b/>
          <w:bCs/>
          <w:sz w:val="24"/>
          <w:szCs w:val="24"/>
        </w:rPr>
        <w:t xml:space="preserve">Ne discende che tre fonti indipendenti — l'elenco dei capi missione, l'argomento di competenza, gli atti parlamentari — convergono sul medesimo esito: la cognizione italiana di Aginter Press circolò per il canale informativo e giudiziario, e di una sua circolazione per il canale diplomatico non esiste traccia.</w:t>
      </w:r>
    </w:p>
    <w:p>
      <w:pPr>
        <w:pStyle w:val="Heading2"/>
        <w:spacing w:after="100" w:before="200"/>
      </w:pPr>
      <w:r>
        <w:rPr>
          <w:rFonts w:ascii="Barlow Semi Condensed" w:cs="Barlow Semi Condensed" w:eastAsia="Barlow Semi Condensed" w:hAnsi="Barlow Semi Condensed"/>
          <w:sz w:val="24"/>
          <w:szCs w:val="24"/>
        </w:rPr>
        <w:t xml:space="preserve">Capitolo settimo — Il caso Moro: un esito negativo forte</w:t>
      </w:r>
    </w:p>
    <w:p>
      <w:pPr>
        <w:spacing w:after="120" w:line="276"/>
        <w:jc w:val="both"/>
      </w:pPr>
      <w:r>
        <w:rPr>
          <w:rFonts w:ascii="Barlow Semi Condensed" w:cs="Barlow Semi Condensed" w:eastAsia="Barlow Semi Condensed" w:hAnsi="Barlow Semi Condensed"/>
          <w:b/>
          <w:bCs/>
          <w:sz w:val="24"/>
          <w:szCs w:val="24"/>
        </w:rPr>
        <w:t xml:space="preserve">Il capitolo espone la verifica che il quinto obiettivo imponeva di condurre con la massima severità, e il cui esito è negativo in modo particolarmente robusto.</w:t>
      </w:r>
    </w:p>
    <w:p>
      <w:pPr>
        <w:spacing w:after="120" w:line="276"/>
        <w:jc w:val="both"/>
      </w:pPr>
      <w:r>
        <w:rPr>
          <w:rFonts w:ascii="Barlow Semi Condensed" w:cs="Barlow Semi Condensed" w:eastAsia="Barlow Semi Condensed" w:hAnsi="Barlow Semi Condensed"/>
          <w:b/>
          <w:bCs/>
          <w:sz w:val="24"/>
          <w:szCs w:val="24"/>
        </w:rPr>
        <w:t xml:space="preserve">La domanda. Se esista documentazione che colleghi Aldo Moro ad Aginter Press in qualsiasi veste; e se nelle ricostruzioni sul sequestro del 1978 sia mai stata avanzata un'ipotesi di coinvolgimento dell'agenzia, con quale fondamento.</w:t>
      </w:r>
    </w:p>
    <w:p>
      <w:pPr>
        <w:spacing w:after="120" w:line="276"/>
        <w:jc w:val="both"/>
      </w:pPr>
      <w:r>
        <w:rPr>
          <w:rFonts w:ascii="Barlow Semi Condensed" w:cs="Barlow Semi Condensed" w:eastAsia="Barlow Semi Condensed" w:hAnsi="Barlow Semi Condensed"/>
          <w:b/>
          <w:bCs/>
          <w:sz w:val="24"/>
          <w:szCs w:val="24"/>
        </w:rPr>
        <w:t xml:space="preserve">L'esito è netto: non esiste alcuna fonte primaria, giudiziaria o parlamentare, che colleghi Moro ad Aginter Press, né che attribuisca all'agenzia un ruolo nel sequestro e nell'omicidio.</w:t>
      </w:r>
    </w:p>
    <w:p>
      <w:pPr>
        <w:spacing w:after="120" w:line="276"/>
        <w:jc w:val="both"/>
      </w:pPr>
      <w:r>
        <w:rPr>
          <w:rFonts w:ascii="Barlow Semi Condensed" w:cs="Barlow Semi Condensed" w:eastAsia="Barlow Semi Condensed" w:hAnsi="Barlow Semi Condensed"/>
          <w:b/>
          <w:bCs/>
          <w:sz w:val="24"/>
          <w:szCs w:val="24"/>
        </w:rPr>
        <w:t xml:space="preserve">Il primo argomento è cronologico e tematico. Il ruolo documentato di Aginter Press è circoscritto alla stagione della strategia della tensione, dal 1969 al 1974: gli attentati del 12 dicembre 1969, i legami con Ordine Nuovo e Avanguardia Nazionale, l'addestramento agli esplosivi dei militanti romani nel 1967-1968. Tutti gli eventi accertati sono anteriori al 1974, anno in cui la Rivoluzione dei Garofani costrinse gli uomini di Aginter a lasciare Lisbona per la Spagna.</w:t>
      </w:r>
    </w:p>
    <w:p>
      <w:pPr>
        <w:spacing w:after="120" w:line="276"/>
        <w:jc w:val="both"/>
      </w:pPr>
      <w:r>
        <w:rPr>
          <w:rFonts w:ascii="Barlow Semi Condensed" w:cs="Barlow Semi Condensed" w:eastAsia="Barlow Semi Condensed" w:hAnsi="Barlow Semi Condensed"/>
          <w:b/>
          <w:bCs/>
          <w:sz w:val="24"/>
          <w:szCs w:val="24"/>
        </w:rPr>
        <w:t xml:space="preserve">Il secondo argomento è giudiziario.\\ Le sentenze sul caso Moro — dalla prima Corte d'Assise di Roma del 1983 ai successivi processi — \\attribuiscono la responsabilità del sequestro e dell'omicidio esclusivamente alle Brigate Rosse.</w:t>
      </w:r>
    </w:p>
    <w:p>
      <w:pPr>
        <w:spacing w:after="120" w:line="276"/>
        <w:jc w:val="both"/>
      </w:pPr>
      <w:r>
        <w:rPr>
          <w:rFonts w:ascii="Barlow Semi Condensed" w:cs="Barlow Semi Condensed" w:eastAsia="Barlow Semi Condensed" w:hAnsi="Barlow Semi Condensed"/>
          <w:b/>
          <w:bCs/>
          <w:sz w:val="24"/>
          <w:szCs w:val="24"/>
        </w:rPr>
        <w:t xml:space="preserve">Il terzo argomento è quello che dà forza all'esito, e va enunciato con i suoi numeri.</w:t>
      </w:r>
    </w:p>
    <w:p>
      <w:pPr>
        <w:spacing w:after="120" w:line="276"/>
        <w:jc w:val="both"/>
      </w:pPr>
      <w:r>
        <w:rPr>
          <w:rFonts w:ascii="Barlow Semi Condensed" w:cs="Barlow Semi Condensed" w:eastAsia="Barlow Semi Condensed" w:hAnsi="Barlow Semi Condensed"/>
          <w:b/>
          <w:bCs/>
          <w:sz w:val="24"/>
          <w:szCs w:val="24"/>
        </w:rPr>
        <w:t xml:space="preserve">La seconda Commissione parlamentare d'inchiesta sul rapimento e sulla morte di Aldo Moro, istituita con legge 30 maggio 2014 numero 82 e presieduta da Giuseppe Fioroni, produsse tre relazioni — Doc. XXIII numero 10 dell'11 dicembre 2015, numero 23 del 21 dicembre 2016, numero 29 del 7 dicembre 2017 — e acquisì duemiladuecentocinquanta unità documentali per un totale di settecentomila pagine, con oltre quattrocentoquaranta attività investigative delegate.</w:t>
      </w:r>
    </w:p>
    <w:p>
      <w:pPr>
        <w:spacing w:after="120" w:line="276"/>
        <w:jc w:val="both"/>
      </w:pPr>
      <w:r>
        <w:rPr>
          <w:rFonts w:ascii="Barlow Semi Condensed" w:cs="Barlow Semi Condensed" w:eastAsia="Barlow Semi Condensed" w:hAnsi="Barlow Semi Condensed"/>
          <w:b/>
          <w:bCs/>
          <w:sz w:val="24"/>
          <w:szCs w:val="24"/>
        </w:rPr>
        <w:t xml:space="preserve">In nessuna delle tre relazioni Aginter Press o Guérin-Sérac compaiono.</w:t>
      </w:r>
    </w:p>
    <w:p>
      <w:pPr>
        <w:spacing w:after="120" w:line="276"/>
        <w:jc w:val="both"/>
      </w:pPr>
      <w:r>
        <w:rPr>
          <w:rFonts w:ascii="Barlow Semi Condensed" w:cs="Barlow Semi Condensed" w:eastAsia="Barlow Semi Condensed" w:hAnsi="Barlow Semi Condensed"/>
          <w:b/>
          <w:bCs/>
          <w:sz w:val="24"/>
          <w:szCs w:val="24"/>
        </w:rPr>
        <w:t xml:space="preserve">Il rilievo va enunciato perché è la ragione della forza dell'esito. Una commissione che ha esaminato settecentomila pagine con la tesi dichiarata della verità dicibile — cioè con l'assunto che la verità giudiziaria consolidata fosse una verità di comodo — aveva ogni interesse a reperire una pista alternativa, e batté infatti via Fani, via Gradoli, il falso comunicato del lago della Duchessa, i contatti con la criminalità e i rapporti internazionali delle Brigate Rosse con i palestinesi.</w:t>
      </w:r>
    </w:p>
    <w:p>
      <w:pPr>
        <w:spacing w:after="120" w:line="276"/>
        <w:jc w:val="both"/>
      </w:pPr>
      <w:r>
        <w:rPr>
          <w:rFonts w:ascii="Barlow Semi Condensed" w:cs="Barlow Semi Condensed" w:eastAsia="Barlow Semi Condensed" w:hAnsi="Barlow Semi Condensed"/>
          <w:b/>
          <w:bCs/>
          <w:sz w:val="24"/>
          <w:szCs w:val="24"/>
        </w:rPr>
        <w:t xml:space="preserve">Non trovò Aginter, e non perché non cercasse.</w:t>
      </w:r>
    </w:p>
    <w:p>
      <w:pPr>
        <w:spacing w:after="120" w:line="276"/>
        <w:jc w:val="both"/>
      </w:pPr>
      <w:r>
        <w:rPr>
          <w:rFonts w:ascii="Barlow Semi Condensed" w:cs="Barlow Semi Condensed" w:eastAsia="Barlow Semi Condensed" w:hAnsi="Barlow Semi Condensed"/>
          <w:b/>
          <w:bCs/>
          <w:sz w:val="24"/>
          <w:szCs w:val="24"/>
        </w:rPr>
        <w:t xml:space="preserve">Ne discende che l'esito negativo qui non è debole ma forte: non è l'assenza di ricerca, è l'assenza di risultato in una ricerca vastissima e orientata a trovare.</w:t>
      </w:r>
    </w:p>
    <w:p>
      <w:pPr>
        <w:spacing w:after="120" w:line="276"/>
        <w:jc w:val="both"/>
      </w:pPr>
      <w:r>
        <w:rPr>
          <w:rFonts w:ascii="Barlow Semi Condensed" w:cs="Barlow Semi Condensed" w:eastAsia="Barlow Semi Condensed" w:hAnsi="Barlow Semi Condensed"/>
          <w:b/>
          <w:bCs/>
          <w:sz w:val="24"/>
          <w:szCs w:val="24"/>
        </w:rPr>
        <w:t xml:space="preserve">L'accostamento fra Aginter Press e il caso Moro appartiene dunque esclusivamente alla pubblicistica, dove circola in una cornice narrativa che accosta l'agenzia alla galassia Gladio e alle ingerenze internazionali sul sequestro senza produrre alcun documento che colleghi specificamente Aginter al 1978. Anche l'opera monografica dedicata all'agenzia, del 2017, si concentra sulla stagione stragista e non stabilisce un nesso con Moro.</w:t>
      </w:r>
    </w:p>
    <w:p>
      <w:pPr>
        <w:spacing w:after="120" w:line="276"/>
        <w:jc w:val="both"/>
      </w:pPr>
      <w:r>
        <w:rPr>
          <w:rFonts w:ascii="Barlow Semi Condensed" w:cs="Barlow Semi Condensed" w:eastAsia="Barlow Semi Condensed" w:hAnsi="Barlow Semi Condensed"/>
          <w:b/>
          <w:bCs/>
          <w:sz w:val="24"/>
          <w:szCs w:val="24"/>
        </w:rPr>
        <w:t xml:space="preserve">La tesi va qualificata, secondo i requisiti di metodo, come non sostenuta dalle fonti primarie.</w:t>
      </w:r>
    </w:p>
    <w:p>
      <w:pPr>
        <w:pStyle w:val="Heading2"/>
        <w:spacing w:after="100" w:before="200"/>
      </w:pPr>
      <w:r>
        <w:rPr>
          <w:rFonts w:ascii="Barlow Semi Condensed" w:cs="Barlow Semi Condensed" w:eastAsia="Barlow Semi Condensed" w:hAnsi="Barlow Semi Condensed"/>
          <w:sz w:val="24"/>
          <w:szCs w:val="24"/>
        </w:rPr>
        <w:t xml:space="preserve">Capitolo ottavo — La posizione processuale di Guérin-Sérac</w:t>
      </w:r>
    </w:p>
    <w:p>
      <w:pPr>
        <w:spacing w:after="120" w:line="276"/>
        <w:jc w:val="both"/>
      </w:pPr>
      <w:r>
        <w:rPr>
          <w:rFonts w:ascii="Barlow Semi Condensed" w:cs="Barlow Semi Condensed" w:eastAsia="Barlow Semi Condensed" w:hAnsi="Barlow Semi Condensed"/>
          <w:b/>
          <w:bCs/>
          <w:sz w:val="24"/>
          <w:szCs w:val="24"/>
        </w:rPr>
        <w:t xml:space="preserve">Il capitolo espone che cosa lo Stato italiano fece, in concreto, nei confronti dell'uomo che il proprio servizio aveva nominato nel 1969.</w:t>
      </w:r>
    </w:p>
    <w:p>
      <w:pPr>
        <w:spacing w:after="120" w:line="276"/>
        <w:jc w:val="both"/>
      </w:pPr>
      <w:r>
        <w:rPr>
          <w:rFonts w:ascii="Barlow Semi Condensed" w:cs="Barlow Semi Condensed" w:eastAsia="Barlow Semi Condensed" w:hAnsi="Barlow Semi Condensed"/>
          <w:b/>
          <w:bCs/>
          <w:sz w:val="24"/>
          <w:szCs w:val="24"/>
        </w:rPr>
        <w:t xml:space="preserve">Le acquisizioni documentali, per due filoni. Il primo, più antico: una piccola parte del materiale rinvenuto a Lisbona nella sede dell'Aginter Press era stata fotografata da alcuni giornalisti italiani e prodotta ai giudici inquirenti dottor D'Ambrosio e dottor Alessandrini durante le prime indagini milanesi. Il secondo, più tardo, deriva dalla collaborazione dei servizi: alcuni atti furono trovati grazie alla collaborazione del SISMI, e altri dati erano presenti nell'archivio del SISDE.</w:t>
      </w:r>
    </w:p>
    <w:p>
      <w:pPr>
        <w:spacing w:after="120" w:line="276"/>
        <w:jc w:val="both"/>
      </w:pPr>
      <w:r>
        <w:rPr>
          <w:rFonts w:ascii="Barlow Semi Condensed" w:cs="Barlow Semi Condensed" w:eastAsia="Barlow Semi Condensed" w:hAnsi="Barlow Semi Condensed"/>
          <w:b/>
          <w:bCs/>
          <w:sz w:val="24"/>
          <w:szCs w:val="24"/>
        </w:rPr>
        <w:t xml:space="preserve">Va notato che il primo filone passò per giornalisti e non per lo Stato.</w:t>
      </w:r>
    </w:p>
    <w:p>
      <w:pPr>
        <w:spacing w:after="120" w:line="276"/>
        <w:jc w:val="both"/>
      </w:pPr>
      <w:r>
        <w:rPr>
          <w:rFonts w:ascii="Barlow Semi Condensed" w:cs="Barlow Semi Condensed" w:eastAsia="Barlow Semi Condensed" w:hAnsi="Barlow Semi Condensed"/>
          <w:b/>
          <w:bCs/>
          <w:sz w:val="24"/>
          <w:szCs w:val="24"/>
        </w:rPr>
        <w:t xml:space="preserve">Gli atti giudiziari nei confronti di Guérin-Sérac. Fu emesso mandato di comparizione sia per costituzione di banda armata sia per i reati connessi agli attentati anti-algerini, notificato al difensore d'ufficio con il rito dell'irreperibilità.</w:t>
      </w:r>
    </w:p>
    <w:p>
      <w:pPr>
        <w:spacing w:after="120" w:line="276"/>
        <w:jc w:val="both"/>
      </w:pPr>
      <w:r>
        <w:rPr>
          <w:rFonts w:ascii="Barlow Semi Condensed" w:cs="Barlow Semi Condensed" w:eastAsia="Barlow Semi Condensed" w:hAnsi="Barlow Semi Condensed"/>
          <w:b/>
          <w:bCs/>
          <w:sz w:val="24"/>
          <w:szCs w:val="24"/>
        </w:rPr>
        <w:t xml:space="preserve">La ragione dell'irreperibilità è documentata dall'istruttoria con una formula che va riportata:\\ di lui \\esistono i dati anagrafici, ma, ad esempio, nemmeno una fotografia o un indirizzo non puramente fittizio.</w:t>
      </w:r>
    </w:p>
    <w:p>
      <w:pPr>
        <w:spacing w:after="120" w:line="276"/>
        <w:jc w:val="both"/>
      </w:pPr>
      <w:r>
        <w:rPr>
          <w:rFonts w:ascii="Barlow Semi Condensed" w:cs="Barlow Semi Condensed" w:eastAsia="Barlow Semi Condensed" w:hAnsi="Barlow Semi Condensed"/>
          <w:b/>
          <w:bCs/>
          <w:sz w:val="24"/>
          <w:szCs w:val="24"/>
        </w:rPr>
        <w:t xml:space="preserve">Il rinvio a giudizio fu disposto per il reato di costituzione e organizzazione di banda armata, articolo trecentosei primo comma del codice penale, ritenendolo il principale artefice ed organizzatore della struttura armata che, dopo la fuga dal Portogallo, ha operato con base in Spagna.</w:t>
      </w:r>
    </w:p>
    <w:p>
      <w:pPr>
        <w:spacing w:after="120" w:line="276"/>
        <w:jc w:val="both"/>
      </w:pPr>
      <w:r>
        <w:rPr>
          <w:rFonts w:ascii="Barlow Semi Condensed" w:cs="Barlow Semi Condensed" w:eastAsia="Barlow Semi Condensed" w:hAnsi="Barlow Semi Condensed"/>
          <w:b/>
          <w:bCs/>
          <w:sz w:val="24"/>
          <w:szCs w:val="24"/>
        </w:rPr>
        <w:t xml:space="preserve">Un elemento tecnico va registrato perché spiega la giurisdizione. Trattandosi di delitto contro la personalità dello Stato, la legge italiana era applicabile allo straniero anche per fatti commessi all'estero, ai sensi dell'articolo sette del codice penale.</w:t>
      </w:r>
    </w:p>
    <w:p>
      <w:pPr>
        <w:spacing w:after="120" w:line="276"/>
        <w:jc w:val="both"/>
      </w:pPr>
      <w:r>
        <w:rPr>
          <w:rFonts w:ascii="Barlow Semi Condensed" w:cs="Barlow Semi Condensed" w:eastAsia="Barlow Semi Condensed" w:hAnsi="Barlow Semi Condensed"/>
          <w:b/>
          <w:bCs/>
          <w:sz w:val="24"/>
          <w:szCs w:val="24"/>
        </w:rPr>
        <w:t xml:space="preserve">I reati connessi agli attentati anti-algerini dell'estate 1975 furono invece dichiarati estinti per prescrizione.</w:t>
      </w:r>
    </w:p>
    <w:p>
      <w:pPr>
        <w:spacing w:after="120" w:line="276"/>
        <w:jc w:val="both"/>
      </w:pPr>
      <w:r>
        <w:rPr>
          <w:rFonts w:ascii="Barlow Semi Condensed" w:cs="Barlow Semi Condensed" w:eastAsia="Barlow Semi Condensed" w:hAnsi="Barlow Semi Condensed"/>
          <w:b/>
          <w:bCs/>
          <w:sz w:val="24"/>
          <w:szCs w:val="24"/>
        </w:rPr>
        <w:t xml:space="preserve">L'esito materiale. Guérin-Sérac non fu mai catturato né interrogato; nessun magistrato riuscì a rintracciarlo. Le ultime notizie acquisite dai carabinieri lo indicavano, senza indirizzo accertato, in Spagna e poi in Colombia. L'irreperibilità durò fino alla morte, il 9 marzo 2022.</w:t>
      </w:r>
    </w:p>
    <w:p>
      <w:pPr>
        <w:spacing w:after="120" w:line="276"/>
        <w:jc w:val="both"/>
      </w:pPr>
      <w:r>
        <w:rPr>
          <w:rFonts w:ascii="Barlow Semi Condensed" w:cs="Barlow Semi Condensed" w:eastAsia="Barlow Semi Condensed" w:hAnsi="Barlow Semi Condensed"/>
          <w:b/>
          <w:bCs/>
          <w:sz w:val="24"/>
          <w:szCs w:val="24"/>
        </w:rPr>
        <w:t xml:space="preserve">E adesso il dato che chiude il capitolo e riguarda il quesito di questa ricognizione.</w:t>
      </w:r>
    </w:p>
    <w:p>
      <w:pPr>
        <w:spacing w:after="120" w:line="276"/>
        <w:jc w:val="both"/>
      </w:pPr>
      <w:r>
        <w:rPr>
          <w:rFonts w:ascii="Barlow Semi Condensed" w:cs="Barlow Semi Condensed" w:eastAsia="Barlow Semi Condensed" w:hAnsi="Barlow Semi Condensed"/>
          <w:b/>
          <w:bCs/>
          <w:sz w:val="24"/>
          <w:szCs w:val="24"/>
        </w:rPr>
        <w:t xml:space="preserve">Non risulta alcuna richiesta italiana di estradizione accolta o respinta dal Portogallo o da altro Stato. La questione non si pose mai in termini di estradizione, perché l'uomo non fu mai localizzato in un luogo accertato, e la notifica avvenne per irreperibilità.</w:t>
      </w:r>
    </w:p>
    <w:p>
      <w:pPr>
        <w:spacing w:after="120" w:line="276"/>
        <w:jc w:val="both"/>
      </w:pPr>
      <w:r>
        <w:rPr>
          <w:rFonts w:ascii="Barlow Semi Condensed" w:cs="Barlow Semi Condensed" w:eastAsia="Barlow Semi Condensed" w:hAnsi="Barlow Semi Condensed"/>
          <w:b/>
          <w:bCs/>
          <w:sz w:val="24"/>
          <w:szCs w:val="24"/>
        </w:rPr>
        <w:t xml:space="preserve">Ne discende un accertamento che rafforza l'esito generale: l'unica azione dello Stato italiano nei confronti di Guérin-Sérac transitò per l'autorità giudiziaria e le forze di polizia. Mai per un canale diplomatico. Mai per una richiesta formale a Lisbona.</w:t>
      </w:r>
    </w:p>
    <w:p>
      <w:pPr>
        <w:spacing w:after="120" w:line="276"/>
        <w:jc w:val="both"/>
      </w:pPr>
      <w:r>
        <w:rPr>
          <w:rFonts w:ascii="Barlow Semi Condensed" w:cs="Barlow Semi Condensed" w:eastAsia="Barlow Semi Condensed" w:hAnsi="Barlow Semi Condensed"/>
          <w:b/>
          <w:bCs/>
          <w:sz w:val="24"/>
          <w:szCs w:val="24"/>
        </w:rPr>
        <w:t xml:space="preserve">Nemmeno dopo l'aprile 1974, quando il regime che lo proteggeva era caduto e la collaborazione sarebbe divenuta possibile.</w:t>
      </w:r>
    </w:p>
    <w:p>
      <w:pPr>
        <w:pStyle w:val="Heading2"/>
        <w:spacing w:after="100" w:before="200"/>
      </w:pPr>
      <w:r>
        <w:rPr>
          <w:rFonts w:ascii="Barlow Semi Condensed" w:cs="Barlow Semi Condensed" w:eastAsia="Barlow Semi Condensed" w:hAnsi="Barlow Semi Condensed"/>
          <w:sz w:val="24"/>
          <w:szCs w:val="24"/>
        </w:rPr>
        <w:t xml:space="preserve">Capitolo nono — La relazione bilaterale italo-portoghese</w:t>
      </w:r>
    </w:p>
    <w:p>
      <w:pPr>
        <w:spacing w:after="120" w:line="276"/>
        <w:jc w:val="both"/>
      </w:pPr>
      <w:r>
        <w:rPr>
          <w:rFonts w:ascii="Barlow Semi Condensed" w:cs="Barlow Semi Condensed" w:eastAsia="Barlow Semi Condensed" w:hAnsi="Barlow Semi Condensed"/>
          <w:b/>
          <w:bCs/>
          <w:sz w:val="24"/>
          <w:szCs w:val="24"/>
        </w:rPr>
        <w:t xml:space="preserve">Il capitolo espone il contesto delle relazioni fra i due Stati, e verifica se la materia clandestina vi sia mai comparsa.</w:t>
      </w:r>
    </w:p>
    <w:p>
      <w:pPr>
        <w:spacing w:after="120" w:line="276"/>
        <w:jc w:val="both"/>
      </w:pPr>
      <w:r>
        <w:rPr>
          <w:rFonts w:ascii="Barlow Semi Condensed" w:cs="Barlow Semi Condensed" w:eastAsia="Barlow Semi Condensed" w:hAnsi="Barlow Semi Condensed"/>
          <w:b/>
          <w:bCs/>
          <w:sz w:val="24"/>
          <w:szCs w:val="24"/>
        </w:rPr>
        <w:t xml:space="preserve">Il quadro generale, dalla storiografia accademica. Le relazioni luso-italiane furono in quegli anni profondamente condizionate dalla guerra coloniale portoghese, con l'Italia divisa fra la fedeltà atlantica all'alleato e posizioni crescentemente favorevoli all'autodeterminazione.</w:t>
      </w:r>
    </w:p>
    <w:p>
      <w:pPr>
        <w:spacing w:after="120" w:line="276"/>
        <w:jc w:val="both"/>
      </w:pPr>
      <w:r>
        <w:rPr>
          <w:rFonts w:ascii="Barlow Semi Condensed" w:cs="Barlow Semi Condensed" w:eastAsia="Barlow Semi Condensed" w:hAnsi="Barlow Semi Condensed"/>
          <w:b/>
          <w:bCs/>
          <w:sz w:val="24"/>
          <w:szCs w:val="24"/>
        </w:rPr>
        <w:t xml:space="preserve">Un dato va enunciato perché è notevole. Roma divenne un centro dell'opposizione antisalazarista in esilio, e l'Italia — soprattutto attraverso il rapporto con il movimento di liberazione mozambicano e a partire dai primi anni Settanta — giocò un ruolo importante nella legittimazione internazionale dei movimenti di liberazione delle colonie portoghesi in sede delle Nazioni Unite.</w:t>
      </w:r>
    </w:p>
    <w:p>
      <w:pPr>
        <w:spacing w:after="120" w:line="276"/>
        <w:jc w:val="both"/>
      </w:pPr>
      <w:r>
        <w:rPr>
          <w:rFonts w:ascii="Barlow Semi Condensed" w:cs="Barlow Semi Condensed" w:eastAsia="Barlow Semi Condensed" w:hAnsi="Barlow Semi Condensed"/>
          <w:b/>
          <w:bCs/>
          <w:sz w:val="24"/>
          <w:szCs w:val="24"/>
        </w:rPr>
        <w:t xml:space="preserve">Ne discende una circostanza che merita di essere registrata: nel medesimo periodo in cui Aginter Press operava a Lisbona contro quei movimenti, Roma ne ospitava la rappresentanza in esilio. Le due cose sono documentate e indipendenti; il loro accostamento non stabilisce alcun nesso, e lo si registra come contesto e non come connessione.</w:t>
      </w:r>
    </w:p>
    <w:p>
      <w:pPr>
        <w:spacing w:after="120" w:line="276"/>
        <w:jc w:val="both"/>
      </w:pPr>
      <w:r>
        <w:rPr>
          <w:rFonts w:ascii="Barlow Semi Condensed" w:cs="Barlow Semi Condensed" w:eastAsia="Barlow Semi Condensed" w:hAnsi="Barlow Semi Condensed"/>
          <w:b/>
          <w:bCs/>
          <w:sz w:val="24"/>
          <w:szCs w:val="24"/>
        </w:rPr>
        <w:t xml:space="preserve">Un episodio del dialogo bilaterale, del 1965.\\ Salazar, in conversazione con l'ambasciatore italiano, \\deplorava che fra le conseguenze della Seconda guerra mondiale vi fosse stata l'imposizione all'Italia di abbandonare le proprie colonie.</w:t>
      </w:r>
    </w:p>
    <w:p>
      <w:pPr>
        <w:spacing w:after="120" w:line="276"/>
        <w:jc w:val="both"/>
      </w:pPr>
      <w:r>
        <w:rPr>
          <w:rFonts w:ascii="Barlow Semi Condensed" w:cs="Barlow Semi Condensed" w:eastAsia="Barlow Semi Condensed" w:hAnsi="Barlow Semi Condensed"/>
          <w:b/>
          <w:bCs/>
          <w:sz w:val="24"/>
          <w:szCs w:val="24"/>
        </w:rPr>
        <w:t xml:space="preserve">L'episodio attesta un dialogo diretto fra il capo del regime e l'ambasciatore italiano, ma su temi coloniali e ideologici — non su attività clandestine.</w:t>
      </w:r>
    </w:p>
    <w:p>
      <w:pPr>
        <w:spacing w:after="120" w:line="276"/>
        <w:jc w:val="both"/>
      </w:pPr>
      <w:r>
        <w:rPr>
          <w:rFonts w:ascii="Barlow Semi Condensed" w:cs="Barlow Semi Condensed" w:eastAsia="Barlow Semi Condensed" w:hAnsi="Barlow Semi Condensed"/>
          <w:b/>
          <w:bCs/>
          <w:sz w:val="24"/>
          <w:szCs w:val="24"/>
        </w:rPr>
        <w:t xml:space="preserve">Non è stata reperita alcuna traccia di un incidente diplomatico bilaterale relativo ad attività clandestine su suolo portoghese, né di una sollevazione in sede bilaterale della questione Aginter.</w:t>
      </w:r>
    </w:p>
    <w:p>
      <w:pPr>
        <w:spacing w:after="120" w:line="276"/>
        <w:jc w:val="both"/>
      </w:pPr>
      <w:r>
        <w:rPr>
          <w:rFonts w:ascii="Barlow Semi Condensed" w:cs="Barlow Semi Condensed" w:eastAsia="Barlow Semi Condensed" w:hAnsi="Barlow Semi Condensed"/>
          <w:b/>
          <w:bCs/>
          <w:sz w:val="24"/>
          <w:szCs w:val="24"/>
        </w:rPr>
        <w:t xml:space="preserve">Sulle forniture di armamenti, le fonti indicano che l'armamento portoghese dipendeva prevalentemente da forniture americane e tedesche, e non menzionano l'Italia come fornitore. Questa assenza va segnalata con cautela, non avendo la ricerca potuto consultare lo studio specialistico portoghese né le banche dati sull'export.</w:t>
      </w:r>
    </w:p>
    <w:p>
      <w:pPr>
        <w:spacing w:after="120" w:line="276"/>
        <w:jc w:val="both"/>
      </w:pPr>
      <w:r>
        <w:rPr>
          <w:rFonts w:ascii="Barlow Semi Condensed" w:cs="Barlow Semi Condensed" w:eastAsia="Barlow Semi Condensed" w:hAnsi="Barlow Semi Condensed"/>
          <w:b/>
          <w:bCs/>
          <w:sz w:val="24"/>
          <w:szCs w:val="24"/>
        </w:rPr>
        <w:t xml:space="preserve">Un caso emblematico della cautela diplomatica italiana verso Lisbona chiude il capitolo, ed è già acquisito nel corpus. L'espulsione dal Mozambico, il 13 aprile 1974, di un gruppo di missionari comboniani italiani a seguito del documento Imperativo di coscienza del vescovo di Nampula Manuel Vieira Pinto, anch'egli allontanato.</w:t>
      </w:r>
    </w:p>
    <w:p>
      <w:pPr>
        <w:spacing w:after="120" w:line="276"/>
        <w:jc w:val="both"/>
      </w:pPr>
      <w:r>
        <w:rPr>
          <w:rFonts w:ascii="Barlow Semi Condensed" w:cs="Barlow Semi Condensed" w:eastAsia="Barlow Semi Condensed" w:hAnsi="Barlow Semi Condensed"/>
          <w:b/>
          <w:bCs/>
          <w:sz w:val="24"/>
          <w:szCs w:val="24"/>
        </w:rPr>
        <w:t xml:space="preserve">Sul numero degli espulsi le fonti divergono, e la divergenza va registrata perché tocca un dato già iscritto nel corpus. Le fonti comboniane parlano di undici comboniani; altra tradizione riferisce del vescovo e di tredici; il contesto acquisito dalla quinta ricognizione indicava nove.</w:t>
      </w:r>
    </w:p>
    <w:p>
      <w:pPr>
        <w:spacing w:after="120" w:line="276"/>
        <w:jc w:val="both"/>
      </w:pPr>
      <w:r>
        <w:rPr>
          <w:rFonts w:ascii="Barlow Semi Condensed" w:cs="Barlow Semi Condensed" w:eastAsia="Barlow Semi Condensed" w:hAnsi="Barlow Semi Condensed"/>
          <w:b/>
          <w:bCs/>
          <w:sz w:val="24"/>
          <w:szCs w:val="24"/>
        </w:rPr>
        <w:t xml:space="preserve">La divergenza non intacca il dato che qui rileva: l'assenza di traccia di un intervento diplomatico italiano.</w:t>
      </w:r>
    </w:p>
    <w:p>
      <w:pPr>
        <w:pStyle w:val="Heading2"/>
        <w:spacing w:after="100" w:before="200"/>
      </w:pPr>
      <w:r>
        <w:rPr>
          <w:rFonts w:ascii="Barlow Semi Condensed" w:cs="Barlow Semi Condensed" w:eastAsia="Barlow Semi Condensed" w:hAnsi="Barlow Semi Condensed"/>
          <w:sz w:val="24"/>
          <w:szCs w:val="24"/>
        </w:rPr>
        <w:t xml:space="preserve">Capitolo decimo — Perché il primo silenzio è conoscitivo e non accertato</w:t>
      </w:r>
    </w:p>
    <w:p>
      <w:pPr>
        <w:spacing w:after="120" w:line="276"/>
        <w:jc w:val="both"/>
      </w:pPr>
      <w:r>
        <w:rPr>
          <w:rFonts w:ascii="Barlow Semi Condensed" w:cs="Barlow Semi Condensed" w:eastAsia="Barlow Semi Condensed" w:hAnsi="Barlow Semi Condensed"/>
          <w:b/>
          <w:bCs/>
          <w:sz w:val="24"/>
          <w:szCs w:val="24"/>
        </w:rPr>
        <w:t xml:space="preserve">Il capitolo documenta le tre circostanze che rendono lo Stato Zero diplomatico un esito conoscitivo anziché un accertamento positivo, perché tacerle sarebbe presentare come prova ciò che è limite.</w:t>
      </w:r>
    </w:p>
    <w:p>
      <w:pPr>
        <w:spacing w:after="120" w:line="276"/>
        <w:jc w:val="both"/>
      </w:pPr>
      <w:r>
        <w:rPr>
          <w:rFonts w:ascii="Barlow Semi Condensed" w:cs="Barlow Semi Condensed" w:eastAsia="Barlow Semi Condensed" w:hAnsi="Barlow Semi Condensed"/>
          <w:b/>
          <w:bCs/>
          <w:sz w:val="24"/>
          <w:szCs w:val="24"/>
        </w:rPr>
        <w:t xml:space="preserve">Prima circostanza — i Documenti Diplomatici Italiani non coprono il periodo. La collana ufficiale, che sarebbe lo strumento più rapido per una prima verifica, procede per serie e l'ultimo volume edito arriva cronologicamente al 1952: sesto volume dell'undicesima serie, relativo al settimo governo De Gasperi fino al 30 giugno 1952.</w:t>
      </w:r>
    </w:p>
    <w:p>
      <w:pPr>
        <w:spacing w:after="120" w:line="276"/>
        <w:jc w:val="both"/>
      </w:pPr>
      <w:r>
        <w:rPr>
          <w:rFonts w:ascii="Barlow Semi Condensed" w:cs="Barlow Semi Condensed" w:eastAsia="Barlow Semi Condensed" w:hAnsi="Barlow Semi Condensed"/>
          <w:b/>
          <w:bCs/>
          <w:sz w:val="24"/>
          <w:szCs w:val="24"/>
        </w:rPr>
        <w:t xml:space="preserve">Ne discende che i Documenti Diplomatici Italiani non possono contenere alcun riferimento ad Aginter Press — non per silenzio selettivo ma per non avvenuto raggiungimento del periodo.</w:t>
      </w:r>
    </w:p>
    <w:p>
      <w:pPr>
        <w:spacing w:after="120" w:line="276"/>
        <w:jc w:val="both"/>
      </w:pPr>
      <w:r>
        <w:rPr>
          <w:rFonts w:ascii="Barlow Semi Condensed" w:cs="Barlow Semi Condensed" w:eastAsia="Barlow Semi Condensed" w:hAnsi="Barlow Semi Condensed"/>
          <w:b/>
          <w:bCs/>
          <w:sz w:val="24"/>
          <w:szCs w:val="24"/>
        </w:rPr>
        <w:t xml:space="preserve">È assenza strutturale, non editoriale, e va distinta da ogni altra.</w:t>
      </w:r>
    </w:p>
    <w:p>
      <w:pPr>
        <w:spacing w:after="120" w:line="276"/>
        <w:jc w:val="both"/>
      </w:pPr>
      <w:r>
        <w:rPr>
          <w:rFonts w:ascii="Barlow Semi Condensed" w:cs="Barlow Semi Condensed" w:eastAsia="Barlow Semi Condensed" w:hAnsi="Barlow Semi Condensed"/>
          <w:b/>
          <w:bCs/>
          <w:sz w:val="24"/>
          <w:szCs w:val="24"/>
        </w:rPr>
        <w:t xml:space="preserve">Seconda circostanza — il regime di accesso dell'Archivio Storico Diplomatico. Esso conserva circa trenta chilometri lineari di documenti e — circostanza rilevante — non versa la propria documentazione all'Archivio Centrale dello Stato ma la conserva presso di sé.</w:t>
      </w:r>
    </w:p>
    <w:p>
      <w:pPr>
        <w:spacing w:after="120" w:line="276"/>
        <w:jc w:val="both"/>
      </w:pPr>
      <w:r>
        <w:rPr>
          <w:rFonts w:ascii="Barlow Semi Condensed" w:cs="Barlow Semi Condensed" w:eastAsia="Barlow Semi Condensed" w:hAnsi="Barlow Semi Condensed"/>
          <w:b/>
          <w:bCs/>
          <w:sz w:val="24"/>
          <w:szCs w:val="24"/>
        </w:rPr>
        <w:t xml:space="preserve">L'accesso è subordinato\\ a registrazione, autorizzazione del capo dell'Unità e prenotazione; e \\per la documentazione dal 1949 in poi l'utente è tenuto a inviare un elenco dei faldoni che intende consultare per verificarne la disponibilità.</w:t>
      </w:r>
    </w:p>
    <w:p>
      <w:pPr>
        <w:spacing w:after="120" w:line="276"/>
        <w:jc w:val="both"/>
      </w:pPr>
      <w:r>
        <w:rPr>
          <w:rFonts w:ascii="Barlow Semi Condensed" w:cs="Barlow Semi Condensed" w:eastAsia="Barlow Semi Condensed" w:hAnsi="Barlow Semi Condensed"/>
          <w:b/>
          <w:bCs/>
          <w:sz w:val="24"/>
          <w:szCs w:val="24"/>
        </w:rPr>
        <w:t xml:space="preserve">Il rilievo operativo va enunciato: non è possibile una ricerca esplorativa. Occorre sapere che cosa si cerca prima di poterlo cercare — ed è precisamente ciò che rende necessario il dato dei capi missione fissato al Capitolo secondo.</w:t>
      </w:r>
    </w:p>
    <w:p>
      <w:pPr>
        <w:spacing w:after="120" w:line="276"/>
        <w:jc w:val="both"/>
      </w:pPr>
      <w:r>
        <w:rPr>
          <w:rFonts w:ascii="Barlow Semi Condensed" w:cs="Barlow Semi Condensed" w:eastAsia="Barlow Semi Condensed" w:hAnsi="Barlow Semi Condensed"/>
          <w:b/>
          <w:bCs/>
          <w:sz w:val="24"/>
          <w:szCs w:val="24"/>
        </w:rPr>
        <w:t xml:space="preserve">Si aggiunge che la serie Telegrammi, già segnalata come esclusa per lavori, risulta restaurata e rilegata e per ciò stesso non fotocopiabile, il che limita ulteriormente la ricerca anche a esclusione superata.</w:t>
      </w:r>
    </w:p>
    <w:p>
      <w:pPr>
        <w:spacing w:after="120" w:line="276"/>
        <w:jc w:val="both"/>
      </w:pPr>
      <w:r>
        <w:rPr>
          <w:rFonts w:ascii="Barlow Semi Condensed" w:cs="Barlow Semi Condensed" w:eastAsia="Barlow Semi Condensed" w:hAnsi="Barlow Semi Condensed"/>
          <w:b/>
          <w:bCs/>
          <w:sz w:val="24"/>
          <w:szCs w:val="24"/>
        </w:rPr>
        <w:t xml:space="preserve">Terza circostanza — il silenzio della storiografia bilaterale.\\ La letteratura sulle relazioni italo-portoghesi del periodo esiste ed è di qualità, ma \\non ha mai incrociato il tema Aginter.</w:t>
      </w:r>
    </w:p>
    <w:p>
      <w:pPr>
        <w:spacing w:after="120" w:line="276"/>
        <w:jc w:val="both"/>
      </w:pPr>
      <w:r>
        <w:rPr>
          <w:rFonts w:ascii="Barlow Semi Condensed" w:cs="Barlow Semi Condensed" w:eastAsia="Barlow Semi Condensed" w:hAnsi="Barlow Semi Condensed"/>
          <w:b/>
          <w:bCs/>
          <w:sz w:val="24"/>
          <w:szCs w:val="24"/>
        </w:rPr>
        <w:t xml:space="preserve">Ne discende che nessuna delle tre vie di verifica rapida è percorribile, e che l'esito negativo qui raggiunto è Stato Zero di secondo grado secondo la gradazione consolidata nel corpus: limite di strumento, non impossibilità istituzionale né deposito inesplorato.</w:t>
      </w:r>
    </w:p>
    <w:p>
      <w:pPr>
        <w:spacing w:after="120" w:line="276"/>
        <w:jc w:val="both"/>
      </w:pPr>
      <w:r>
        <w:rPr>
          <w:rFonts w:ascii="Barlow Semi Condensed" w:cs="Barlow Semi Condensed" w:eastAsia="Barlow Semi Condensed" w:hAnsi="Barlow Semi Condensed"/>
          <w:b/>
          <w:bCs/>
          <w:sz w:val="24"/>
          <w:szCs w:val="24"/>
        </w:rPr>
        <w:t xml:space="preserve">La sede per convertirlo in accertamento definitivo, positivo o negativo, è l'Archivio Storico Diplomatico, serie Portogallo 1966-1975 e registri dell'ambasciata di Lisbona sotto Cerulli Irelli e Messeri.</w:t>
      </w:r>
    </w:p>
    <w:p>
      <w:pPr>
        <w:spacing w:after="120" w:line="276"/>
        <w:jc w:val="both"/>
      </w:pPr>
      <w:r>
        <w:rPr>
          <w:rFonts w:ascii="Barlow Semi Condensed" w:cs="Barlow Semi Condensed" w:eastAsia="Barlow Semi Condensed" w:hAnsi="Barlow Semi Condensed"/>
          <w:b/>
          <w:bCs/>
          <w:sz w:val="24"/>
          <w:szCs w:val="24"/>
        </w:rPr>
        <w:t xml:space="preserve">Sul versante portoghese il fondo della polizia politica alla Torre do Tombo — parte di un complesso di circa centoquaranta chilometri lineari — è integrato nell'archivio nazionale per legge del 17 gennaio 1991 ma soggetto a regolamento proprio; e resta valida la dichiarazione del capo divisione secondo cui metà della documentazione esistente nei depositi è ancora da consultare.</w:t>
      </w:r>
    </w:p>
    <w:p>
      <w:pPr>
        <w:spacing w:after="120" w:line="276"/>
        <w:jc w:val="both"/>
      </w:pPr>
      <w:r>
        <w:rPr>
          <w:rFonts w:ascii="Barlow Semi Condensed" w:cs="Barlow Semi Condensed" w:eastAsia="Barlow Semi Condensed" w:hAnsi="Barlow Semi Condensed"/>
          <w:b/>
          <w:bCs/>
          <w:sz w:val="24"/>
          <w:szCs w:val="24"/>
        </w:rPr>
        <w:t xml:space="preserve">Sarebbe la sede dove verificare l'eventuale presenza di nominativi o corrispondenza italiani di fonte diplomatica anziché politica o poliziesca.</w:t>
      </w:r>
    </w:p>
    <w:p>
      <w:pPr>
        <w:pStyle w:val="Heading2"/>
        <w:spacing w:after="100" w:before="200"/>
      </w:pPr>
      <w:r>
        <w:rPr>
          <w:rFonts w:ascii="Barlow Semi Condensed" w:cs="Barlow Semi Condensed" w:eastAsia="Barlow Semi Condensed" w:hAnsi="Barlow Semi Condensed"/>
          <w:sz w:val="24"/>
          <w:szCs w:val="24"/>
        </w:rPr>
        <w:t xml:space="preserve">Capitolo undicesimo — L'ottavo grado: il falso positivo</w:t>
      </w:r>
    </w:p>
    <w:p>
      <w:pPr>
        <w:spacing w:after="120" w:line="276"/>
        <w:jc w:val="both"/>
      </w:pPr>
      <w:r>
        <w:rPr>
          <w:rFonts w:ascii="Barlow Semi Condensed" w:cs="Barlow Semi Condensed" w:eastAsia="Barlow Semi Condensed" w:hAnsi="Barlow Semi Condensed"/>
          <w:b/>
          <w:bCs/>
          <w:sz w:val="24"/>
          <w:szCs w:val="24"/>
        </w:rPr>
        <w:t xml:space="preserve">Il capitolo enuncia l'acquisizione che questa ricognizione consegna al sistema di gradazione degli Stati Zero già consolidato nel corpus.</w:t>
      </w:r>
    </w:p>
    <w:p>
      <w:pPr>
        <w:spacing w:after="120" w:line="276"/>
        <w:jc w:val="both"/>
      </w:pPr>
      <w:r>
        <w:rPr>
          <w:rFonts w:ascii="Barlow Semi Condensed" w:cs="Barlow Semi Condensed" w:eastAsia="Barlow Semi Condensed" w:hAnsi="Barlow Semi Condensed"/>
          <w:b/>
          <w:bCs/>
          <w:sz w:val="24"/>
          <w:szCs w:val="24"/>
        </w:rPr>
        <w:t xml:space="preserve">Il sistema vigente conta sette gradi, ordinati per natura dell'impedimento: impossibilità istituzionale; limite di strumento; deposito inesplorato; insieme vuoto verificato; esito negativo presso i beneficiari; assenza coerente con la collocazione; allegazione senza base documentale.</w:t>
      </w:r>
    </w:p>
    <w:p>
      <w:pPr>
        <w:spacing w:after="120" w:line="276"/>
        <w:jc w:val="both"/>
      </w:pPr>
      <w:r>
        <w:rPr>
          <w:rFonts w:ascii="Barlow Semi Condensed" w:cs="Barlow Semi Condensed" w:eastAsia="Barlow Semi Condensed" w:hAnsi="Barlow Semi Condensed"/>
          <w:b/>
          <w:bCs/>
          <w:sz w:val="24"/>
          <w:szCs w:val="24"/>
        </w:rPr>
        <w:t xml:space="preserve">Nessuno dei sette contempla il caso accertato al Capitolo quarto.</w:t>
      </w:r>
    </w:p>
    <w:p>
      <w:pPr>
        <w:spacing w:after="120" w:line="276"/>
        <w:jc w:val="both"/>
      </w:pPr>
      <w:r>
        <w:rPr>
          <w:rFonts w:ascii="Barlow Semi Condensed" w:cs="Barlow Semi Condensed" w:eastAsia="Barlow Semi Condensed" w:hAnsi="Barlow Semi Condensed"/>
          <w:b/>
          <w:bCs/>
          <w:sz w:val="24"/>
          <w:szCs w:val="24"/>
        </w:rPr>
        <w:t xml:space="preserve">Perché essi presuppongono tutti che l'informazione manchi. Il primo perché nessuno può accedervi; il secondo perché non è interrogabile; il terzo perché nessuno l'ha letta; il quarto perché non c'è; il quinto e il sesto perché non se ne trova traccia; il settimo perché ciò che si afferma non ha base.</w:t>
      </w:r>
    </w:p>
    <w:p>
      <w:pPr>
        <w:spacing w:after="120" w:line="276"/>
        <w:jc w:val="both"/>
      </w:pPr>
      <w:r>
        <w:rPr>
          <w:rFonts w:ascii="Barlow Semi Condensed" w:cs="Barlow Semi Condensed" w:eastAsia="Barlow Semi Condensed" w:hAnsi="Barlow Semi Condensed"/>
          <w:b/>
          <w:bCs/>
          <w:sz w:val="24"/>
          <w:szCs w:val="24"/>
        </w:rPr>
        <w:t xml:space="preserve">Ma nel caso del SID l'informazione non mancava: era detenuta, ed è stata sostituita.</w:t>
      </w:r>
    </w:p>
    <w:p>
      <w:pPr>
        <w:spacing w:after="120" w:line="276"/>
        <w:jc w:val="both"/>
      </w:pPr>
      <w:r>
        <w:rPr>
          <w:rFonts w:ascii="Barlow Semi Condensed" w:cs="Barlow Semi Condensed" w:eastAsia="Barlow Semi Condensed" w:hAnsi="Barlow Semi Condensed"/>
          <w:b/>
          <w:bCs/>
          <w:sz w:val="24"/>
          <w:szCs w:val="24"/>
        </w:rPr>
        <w:t xml:space="preserve">Propongo dunque un ottavo grado, e lo denomino falso positivo.</w:t>
      </w:r>
    </w:p>
    <w:p>
      <w:pPr>
        <w:spacing w:after="120" w:line="276"/>
        <w:jc w:val="both"/>
      </w:pPr>
      <w:r>
        <w:rPr>
          <w:rFonts w:ascii="Barlow Semi Condensed" w:cs="Barlow Semi Condensed" w:eastAsia="Barlow Semi Condensed" w:hAnsi="Barlow Semi Condensed"/>
          <w:b/>
          <w:bCs/>
          <w:sz w:val="24"/>
          <w:szCs w:val="24"/>
        </w:rPr>
        <w:t xml:space="preserve">Definizione: un apparato detiene la qualificazione corretta di un soggetto e ne diffonde una diversa, sicché all'esterno non risulta un'assenza di informazione ma la presenza di un'informazione falsa.</w:t>
      </w:r>
    </w:p>
    <w:p>
      <w:pPr>
        <w:spacing w:after="120" w:line="276"/>
        <w:jc w:val="both"/>
      </w:pPr>
      <w:r>
        <w:rPr>
          <w:rFonts w:ascii="Barlow Semi Condensed" w:cs="Barlow Semi Condensed" w:eastAsia="Barlow Semi Condensed" w:hAnsi="Barlow Semi Condensed"/>
          <w:b/>
          <w:bCs/>
          <w:sz w:val="24"/>
          <w:szCs w:val="24"/>
        </w:rPr>
        <w:t xml:space="preserve">Le sue proprietà vanno enunciate perché lo distinguono dagli altri sette, e sono tre.</w:t>
      </w:r>
    </w:p>
    <w:p>
      <w:pPr>
        <w:spacing w:after="120" w:line="276"/>
        <w:jc w:val="both"/>
      </w:pPr>
      <w:r>
        <w:rPr>
          <w:rFonts w:ascii="Barlow Semi Condensed" w:cs="Barlow Semi Condensed" w:eastAsia="Barlow Semi Condensed" w:hAnsi="Barlow Semi Condensed"/>
          <w:b/>
          <w:bCs/>
          <w:sz w:val="24"/>
          <w:szCs w:val="24"/>
        </w:rPr>
        <w:t xml:space="preserve">Prima: è invisibile alla ricerca che cerchi assenze. Chi verifichi se lo Stato sapesse trova che qualcosa fu scritto e comunicato, e conclude che l'apparato funzionò. Occorre il confronto fra ciò che fu detenuto e ciò che fu trasmesso, e tale confronto richiede l'accesso al fascicolo interno, che è precisamente ciò che manca di norma.</w:t>
      </w:r>
    </w:p>
    <w:p>
      <w:pPr>
        <w:spacing w:after="120" w:line="276"/>
        <w:jc w:val="both"/>
      </w:pPr>
      <w:r>
        <w:rPr>
          <w:rFonts w:ascii="Barlow Semi Condensed" w:cs="Barlow Semi Condensed" w:eastAsia="Barlow Semi Condensed" w:hAnsi="Barlow Semi Condensed"/>
          <w:b/>
          <w:bCs/>
          <w:sz w:val="24"/>
          <w:szCs w:val="24"/>
        </w:rPr>
        <w:t xml:space="preserve">Seconda: esso corrompe a valle. L'appunto del 16 dicembre entrò nelle indagini e ne orientò una parte; il ritardo di oltre tre anni con cui pervenne alla magistratura ne differì la valutazione critica. Un'informazione falsa immessa in un procedimento produce effetti che la sua successiva smentita non annulla.</w:t>
      </w:r>
    </w:p>
    <w:p>
      <w:pPr>
        <w:spacing w:after="120" w:line="276"/>
        <w:jc w:val="both"/>
      </w:pPr>
      <w:r>
        <w:rPr>
          <w:rFonts w:ascii="Barlow Semi Condensed" w:cs="Barlow Semi Condensed" w:eastAsia="Barlow Semi Condensed" w:hAnsi="Barlow Semi Condensed"/>
          <w:b/>
          <w:bCs/>
          <w:sz w:val="24"/>
          <w:szCs w:val="24"/>
        </w:rPr>
        <w:t xml:space="preserve">Terza: è verificabile soltanto per via esterna. In questo caso l'accertamento proviene da storiografia accademica francese, cioè da un soggetto estraneo tanto agli apparati quanto alla materia nazionale. Nessuna fonte interna al sistema che produsse il falso positivo poteva rilevarlo.</w:t>
      </w:r>
    </w:p>
    <w:p>
      <w:pPr>
        <w:spacing w:after="120" w:line="276"/>
        <w:jc w:val="both"/>
      </w:pPr>
      <w:r>
        <w:rPr>
          <w:rFonts w:ascii="Barlow Semi Condensed" w:cs="Barlow Semi Condensed" w:eastAsia="Barlow Semi Condensed" w:hAnsi="Barlow Semi Condensed"/>
          <w:b/>
          <w:bCs/>
          <w:sz w:val="24"/>
          <w:szCs w:val="24"/>
        </w:rPr>
        <w:t xml:space="preserve">Ne discende un corollario che tocca la quinta proposizione della serie e va enunciato perché la corregge.</w:t>
      </w:r>
    </w:p>
    <w:p>
      <w:pPr>
        <w:spacing w:after="120" w:line="276"/>
        <w:jc w:val="both"/>
      </w:pPr>
      <w:r>
        <w:rPr>
          <w:rFonts w:ascii="Barlow Semi Condensed" w:cs="Barlow Semi Condensed" w:eastAsia="Barlow Semi Condensed" w:hAnsi="Barlow Semi Condensed"/>
          <w:b/>
          <w:bCs/>
          <w:sz w:val="24"/>
          <w:szCs w:val="24"/>
        </w:rPr>
        <w:t xml:space="preserve">La quinta proposizione dice che una connessione reale lascia tracce presso soggetti che non avevano interesse a produrle. Essa resta valida. Ma il falso positivo mostra che il rovescio non tiene: l'esistenza di una traccia presso un soggetto istituzionale non prova la realtà di ciò che essa afferma, perché quella traccia può essere stata prodotta proprio da chi aveva interesse a produrla in quella forma.</w:t>
      </w:r>
    </w:p>
    <w:p>
      <w:pPr>
        <w:spacing w:after="120" w:line="276"/>
        <w:jc w:val="both"/>
      </w:pPr>
      <w:r>
        <w:rPr>
          <w:rFonts w:ascii="Barlow Semi Condensed" w:cs="Barlow Semi Condensed" w:eastAsia="Barlow Semi Condensed" w:hAnsi="Barlow Semi Condensed"/>
          <w:b/>
          <w:bCs/>
          <w:sz w:val="24"/>
          <w:szCs w:val="24"/>
        </w:rPr>
        <w:t xml:space="preserve">La quinta proposizione va dunque letta in una sola direzione: l'assenza totale di traccia presso soggetti disinteressati indica un'affermazione; ma la presenza di traccia presso un soggetto interessato non indica un fatto.</w:t>
      </w:r>
    </w:p>
    <w:p>
      <w:pPr>
        <w:pStyle w:val="Heading2"/>
        <w:spacing w:after="100" w:before="200"/>
      </w:pPr>
      <w:r>
        <w:rPr>
          <w:rFonts w:ascii="Barlow Semi Condensed" w:cs="Barlow Semi Condensed" w:eastAsia="Barlow Semi Condensed" w:hAnsi="Barlow Semi Condensed"/>
          <w:sz w:val="24"/>
          <w:szCs w:val="24"/>
        </w:rPr>
        <w:t xml:space="preserve">Capitolo dodicesimo — Bilancio, tavola, e ciò che tredici ricognizioni hanno stabilito sull'Italia</w:t>
      </w:r>
    </w:p>
    <w:p>
      <w:pPr>
        <w:spacing w:after="120" w:line="276"/>
        <w:jc w:val="both"/>
      </w:pPr>
      <w:r>
        <w:rPr>
          <w:rFonts w:ascii="Barlow Semi Condensed" w:cs="Barlow Semi Condensed" w:eastAsia="Barlow Semi Condensed" w:hAnsi="Barlow Semi Condensed"/>
          <w:b/>
          <w:bCs/>
          <w:sz w:val="24"/>
          <w:szCs w:val="24"/>
        </w:rPr>
        <w:t xml:space="preserve">La previsione, verificata nei suoi tre elementi.</w:t>
      </w:r>
    </w:p>
    <w:p>
      <w:pPr>
        <w:spacing w:after="120" w:line="276"/>
        <w:jc w:val="both"/>
      </w:pPr>
      <w:r>
        <w:rPr>
          <w:rFonts w:ascii="Barlow Semi Condensed" w:cs="Barlow Semi Condensed" w:eastAsia="Barlow Semi Condensed" w:hAnsi="Barlow Semi Condensed"/>
          <w:b/>
          <w:bCs/>
          <w:sz w:val="24"/>
          <w:szCs w:val="24"/>
        </w:rPr>
        <w:t xml:space="preserve">Sul versante informativo l'esito è positivo e documentato con segnatura: il fascicolo del SID intestato a Guérin-Sérac, volume quaranta fascicolo cinque fogli diciotto e seguenti, oltre alle acquisizioni successive tramite SISMI e SISDE.</w:t>
      </w:r>
    </w:p>
    <w:p>
      <w:pPr>
        <w:spacing w:after="120" w:line="276"/>
        <w:jc w:val="both"/>
      </w:pPr>
      <w:r>
        <w:rPr>
          <w:rFonts w:ascii="Barlow Semi Condensed" w:cs="Barlow Semi Condensed" w:eastAsia="Barlow Semi Condensed" w:hAnsi="Barlow Semi Condensed"/>
          <w:b/>
          <w:bCs/>
          <w:sz w:val="24"/>
          <w:szCs w:val="24"/>
        </w:rPr>
        <w:t xml:space="preserve">Sul versante diplomatico l'esito è Stato Zero, qualificato al Capitolo decimo come conoscitivo e di secondo grado.</w:t>
      </w:r>
    </w:p>
    <w:p>
      <w:pPr>
        <w:spacing w:after="120" w:line="276"/>
        <w:jc w:val="both"/>
      </w:pPr>
      <w:r>
        <w:rPr>
          <w:rFonts w:ascii="Barlow Semi Condensed" w:cs="Barlow Semi Condensed" w:eastAsia="Barlow Semi Condensed" w:hAnsi="Barlow Semi Condensed"/>
          <w:b/>
          <w:bCs/>
          <w:sz w:val="24"/>
          <w:szCs w:val="24"/>
        </w:rPr>
        <w:t xml:space="preserve">Lo scarto fra i due è il risultato principale\\, e il Capitolo primo ne ha enunciato la lettura: \\non è un'anomalia da spiegare con un occultamento, ma la conseguenza prevedibile della diversa missione dei due apparati.</w:t>
      </w:r>
    </w:p>
    <w:p>
      <w:pPr>
        <w:spacing w:after="120" w:line="276"/>
        <w:jc w:val="both"/>
      </w:pPr>
      <w:r>
        <w:rPr>
          <w:rFonts w:ascii="Barlow Semi Condensed" w:cs="Barlow Semi Condensed" w:eastAsia="Barlow Semi Condensed" w:hAnsi="Barlow Semi Condensed"/>
          <w:b/>
          <w:bCs/>
          <w:sz w:val="24"/>
          <w:szCs w:val="24"/>
        </w:rPr>
        <w:t xml:space="preserve">Ne discende una prescrizione doppia e simmetrica, che va enunciata perché entrambe le inferenze opposte sono disponibili e nessuna delle due è autorizzata.</w:t>
      </w:r>
    </w:p>
    <w:p>
      <w:pPr>
        <w:spacing w:after="120" w:line="276"/>
        <w:jc w:val="both"/>
      </w:pPr>
      <w:r>
        <w:rPr>
          <w:rFonts w:ascii="Barlow Semi Condensed" w:cs="Barlow Semi Condensed" w:eastAsia="Barlow Semi Condensed" w:hAnsi="Barlow Semi Condensed"/>
          <w:b/>
          <w:bCs/>
          <w:sz w:val="24"/>
          <w:szCs w:val="24"/>
        </w:rPr>
        <w:t xml:space="preserve">Trattare il silenzio diplomatico come prova di complicità è inferenza non autorizzata dalle fonti. Trattarlo come prova di ignoranza lo è altrettanto.</w:t>
      </w:r>
    </w:p>
    <w:p>
      <w:pPr>
        <w:spacing w:after="120" w:line="276"/>
        <w:jc w:val="both"/>
      </w:pPr>
      <w:r>
        <w:rPr>
          <w:rFonts w:ascii="Barlow Semi Condensed" w:cs="Barlow Semi Condensed" w:eastAsia="Barlow Semi Condensed" w:hAnsi="Barlow Semi Condensed"/>
          <w:b/>
          <w:bCs/>
          <w:sz w:val="24"/>
          <w:szCs w:val="24"/>
        </w:rPr>
        <w:t xml:space="preserve">Ciò che le fonti consentono di affermare è che la cognizione di Aginter Press, nello Stato italiano, circolò per il canale informativo e giudiziario, e che di una sua circolazione per il canale diplomatico non esiste, allo stato, alcuna traccia.</w:t>
      </w:r>
    </w:p>
    <w:p>
      <w:pPr>
        <w:spacing w:after="120" w:line="276"/>
        <w:jc w:val="both"/>
      </w:pPr>
      <w:r>
        <w:rPr>
          <w:rFonts w:ascii="Barlow Semi Condensed" w:cs="Barlow Semi Condensed" w:eastAsia="Barlow Semi Condensed" w:hAnsi="Barlow Semi Condensed"/>
          <w:b/>
          <w:bCs/>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Verifica diretta della serie Portogallo 1966-1975 e dei registri dell'ambasciata di Lisbona presso l'Archivio Storico Diplomatico, sotto i due capi missione Cerulli Irelli e Messeri. Condizione: consultazione autorizzata previo invio dell'elenco dei faldoni, e sblocco della serie telegrafica.</w:t>
      </w:r>
    </w:p>
    <w:p>
      <w:pPr>
        <w:spacing w:after="120" w:line="276"/>
        <w:jc w:val="both"/>
      </w:pPr>
      <w:r>
        <w:rPr>
          <w:rFonts w:ascii="Barlow Semi Condensed" w:cs="Barlow Semi Condensed" w:eastAsia="Barlow Semi Condensed" w:hAnsi="Barlow Semi Condensed"/>
          <w:b/>
          <w:bCs/>
          <w:sz w:val="24"/>
          <w:szCs w:val="24"/>
        </w:rPr>
        <w:t xml:space="preserve">Seconda voce. Verifica, nel fondo della polizia politica alla Torre do Tombo, dell'eventuale presenza di nominativi o corrispondenza italiani di fonte diplomatica. Condizione: autorizzazione secondo il regolamento proprio, e accesso alla metà inesplorata dei depositi.</w:t>
      </w:r>
    </w:p>
    <w:p>
      <w:pPr>
        <w:spacing w:after="120" w:line="276"/>
        <w:jc w:val="both"/>
      </w:pPr>
      <w:r>
        <w:rPr>
          <w:rFonts w:ascii="Barlow Semi Condensed" w:cs="Barlow Semi Condensed" w:eastAsia="Barlow Semi Condensed" w:hAnsi="Barlow Semi Condensed"/>
          <w:b/>
          <w:bCs/>
          <w:sz w:val="24"/>
          <w:szCs w:val="24"/>
        </w:rPr>
        <w:t xml:space="preserve">Terza voce. Verifica negli atti integrali della Commissione P2 — circa centoventi volumi, informatizzati e disponibili anche presso un archivio privato — dell'eventuale presenza del nome Aginter in contesti diplomatici.</w:t>
      </w:r>
    </w:p>
    <w:p>
      <w:pPr>
        <w:spacing w:after="120" w:line="276"/>
        <w:jc w:val="both"/>
      </w:pPr>
      <w:r>
        <w:rPr>
          <w:rFonts w:ascii="Barlow Semi Condensed" w:cs="Barlow Semi Condensed" w:eastAsia="Barlow Semi Condensed" w:hAnsi="Barlow Semi Condensed"/>
          <w:b/>
          <w:bCs/>
          <w:sz w:val="24"/>
          <w:szCs w:val="24"/>
        </w:rPr>
        <w:t xml:space="preserve">Quarta voce, di rendimento incerto. L'eventuale export di armamenti italiani verso il Portogallo coloniale. Condizione: studio specialistico portoghese e banche dati sull'export.</w:t>
      </w:r>
    </w:p>
    <w:p>
      <w:pPr>
        <w:spacing w:after="120" w:line="276"/>
        <w:jc w:val="both"/>
      </w:pPr>
      <w:r>
        <w:rPr>
          <w:rFonts w:ascii="Barlow Semi Condensed" w:cs="Barlow Semi Condensed" w:eastAsia="Barlow Semi Condensed" w:hAnsi="Barlow Semi Condensed"/>
          <w:b/>
          <w:bCs/>
          <w:sz w:val="24"/>
          <w:szCs w:val="24"/>
        </w:rPr>
        <w:t xml:space="preserve">Quinta voce, residuale.\\ Conferma documentale del mancato risalire dell'appunto alla catena politica. Condizione: desecretazione integrale degli archivi del servizio. \\Condizione non disponibile.</w:t>
      </w:r>
    </w:p>
    <w:p>
      <w:pPr>
        <w:spacing w:after="120" w:line="276"/>
        <w:jc w:val="both"/>
      </w:pPr>
      <w:r>
        <w:rPr>
          <w:rFonts w:ascii="Barlow Semi Condensed" w:cs="Barlow Semi Condensed" w:eastAsia="Barlow Semi Condensed" w:hAnsi="Barlow Semi Condensed"/>
          <w:b/>
          <w:bCs/>
          <w:sz w:val="24"/>
          <w:szCs w:val="24"/>
        </w:rPr>
        <w:t xml:space="preserve">E adesso ciò che tredici ricognizioni hanno stabilito sull'Italia, che è il lascito di questo documento.</w:t>
      </w:r>
    </w:p>
    <w:p>
      <w:pPr>
        <w:spacing w:after="120" w:line="276"/>
        <w:jc w:val="both"/>
      </w:pPr>
      <w:r>
        <w:rPr>
          <w:rFonts w:ascii="Barlow Semi Condensed" w:cs="Barlow Semi Condensed" w:eastAsia="Barlow Semi Condensed" w:hAnsi="Barlow Semi Condensed"/>
          <w:b/>
          <w:bCs/>
          <w:sz w:val="24"/>
          <w:szCs w:val="24"/>
        </w:rPr>
        <w:t xml:space="preserve">Dodici ricognizioni avevano accertato l'assenza dello Stato italiano come attore documentato in sei perimetri diplomatici: Spagna, Portogallo, Grecia, Cipro, Turchia, Germania. La spiegazione era stata l'inaccessibilità degli archivi di governo.</w:t>
      </w:r>
    </w:p>
    <w:p>
      <w:pPr>
        <w:spacing w:after="120" w:line="276"/>
        <w:jc w:val="both"/>
      </w:pPr>
      <w:r>
        <w:rPr>
          <w:rFonts w:ascii="Barlow Semi Condensed" w:cs="Barlow Semi Condensed" w:eastAsia="Barlow Semi Condensed" w:hAnsi="Barlow Semi Condensed"/>
          <w:b/>
          <w:bCs/>
          <w:sz w:val="24"/>
          <w:szCs w:val="24"/>
        </w:rPr>
        <w:t xml:space="preserve">Questa tredicesima aggiunge un caso in cui lo Stato italiano non è assente: è presente, e produce un documento falso.</w:t>
      </w:r>
    </w:p>
    <w:p>
      <w:pPr>
        <w:spacing w:after="120" w:line="276"/>
        <w:jc w:val="both"/>
      </w:pPr>
      <w:r>
        <w:rPr>
          <w:rFonts w:ascii="Barlow Semi Condensed" w:cs="Barlow Semi Condensed" w:eastAsia="Barlow Semi Condensed" w:hAnsi="Barlow Semi Condensed"/>
          <w:b/>
          <w:bCs/>
          <w:sz w:val="24"/>
          <w:szCs w:val="24"/>
        </w:rPr>
        <w:t xml:space="preserve">La differenza fra i due tipi di silenzio va enunciata come acquisizione finale.</w:t>
      </w:r>
    </w:p>
    <w:p>
      <w:pPr>
        <w:spacing w:after="120" w:line="276"/>
        <w:jc w:val="both"/>
      </w:pPr>
      <w:r>
        <w:rPr>
          <w:rFonts w:ascii="Barlow Semi Condensed" w:cs="Barlow Semi Condensed" w:eastAsia="Barlow Semi Condensed" w:hAnsi="Barlow Semi Condensed"/>
          <w:b/>
          <w:bCs/>
          <w:sz w:val="24"/>
          <w:szCs w:val="24"/>
        </w:rPr>
        <w:t xml:space="preserve">Dove lo Stato italiano taceva, in dodici ricognizioni, non si è mai potuto stabilire se tacesse perché non agiva o perché il suo archivio non si apre.</w:t>
      </w:r>
    </w:p>
    <w:p>
      <w:pPr>
        <w:spacing w:after="120" w:line="276"/>
        <w:jc w:val="both"/>
      </w:pPr>
      <w:r>
        <w:rPr>
          <w:rFonts w:ascii="Barlow Semi Condensed" w:cs="Barlow Semi Condensed" w:eastAsia="Barlow Semi Condensed" w:hAnsi="Barlow Semi Condensed"/>
          <w:b/>
          <w:bCs/>
          <w:sz w:val="24"/>
          <w:szCs w:val="24"/>
        </w:rPr>
        <w:t xml:space="preserve">Qui, per una volta, l'archivio si è aperto — attraverso un'istruttoria giudiziaria e una segnatura — e ciò che vi si è trovato non è il silenzio. È un appunto che sbaglia la nazionalità del proprio soggetto, ne inverte l'ideologia, e arriva alla magistratura con tre anni di ritardo.</w:t>
      </w:r>
    </w:p>
    <w:p>
      <w:pPr>
        <w:spacing w:after="120" w:line="276"/>
        <w:jc w:val="both"/>
      </w:pPr>
      <w:r>
        <w:rPr>
          <w:rFonts w:ascii="Barlow Semi Condensed" w:cs="Barlow Semi Condensed" w:eastAsia="Barlow Semi Condensed" w:hAnsi="Barlow Semi Condensed"/>
          <w:b/>
          <w:bCs/>
          <w:sz w:val="24"/>
          <w:szCs w:val="24"/>
        </w:rPr>
        <w:t xml:space="preserve">Non so se questo renda più o meno preoccupante il silenzio degli altri undici perimetri. So che lo rende una domanda diversa.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XIV · Aginter Press E Lo Stato Italiano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5.059 parole in 9 sezioni; la più ampia è §9 Altre sezioni, con 4.250.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154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 — Il Silenzio Dello Stato: Azione O Archivio</w:t>
      </w:r>
    </w:p>
    <w:p>
      <w:pPr>
        <w:pStyle w:val="Heading1"/>
        <w:spacing w:after="120" w:before="240"/>
      </w:pPr>
      <w:r>
        <w:rPr>
          <w:rFonts w:ascii="Barlow Semi Condensed" w:cs="Barlow Semi Condensed" w:eastAsia="Barlow Semi Condensed" w:hAnsi="Barlow Semi Condensed"/>
          <w:sz w:val="24"/>
          <w:szCs w:val="24"/>
        </w:rPr>
        <w:t xml:space="preserve">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Quattordicesima ricognizione: la calibrazione libica</w:t>
      </w:r>
    </w:p>
    <w:p>
      <w:pPr>
        <w:pStyle w:val="Heading2"/>
        <w:spacing w:after="100" w:before="200"/>
      </w:pPr>
      <w:r>
        <w:rPr>
          <w:rFonts w:ascii="Barlow Semi Condensed" w:cs="Barlow Semi Condensed" w:eastAsia="Barlow Semi Condensed" w:hAnsi="Barlow Semi Condensed"/>
          <w:sz w:val="24"/>
          <w:szCs w:val="24"/>
        </w:rPr>
        <w:t xml:space="preserve">La Farnesina agi. Osimo, il canale parallelo, e l'emendazione al Registro</w:t>
      </w:r>
    </w:p>
    <w:p>
      <w:pPr>
        <w:pStyle w:val="Heading2"/>
        <w:spacing w:after="100" w:before="200"/>
      </w:pPr>
      <w:r>
        <w:rPr>
          <w:rFonts w:ascii="Barlow Semi Condensed" w:cs="Barlow Semi Condensed" w:eastAsia="Barlow Semi Condensed" w:hAnsi="Barlow Semi Condensed"/>
          <w:sz w:val="24"/>
          <w:szCs w:val="24"/>
        </w:rPr>
        <w:t xml:space="preserve">Dodici Capitoli — verdetto perimetro per perimetro — tre voci nuove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domanda che quattordici ricognizioni giravano intorno</w:t>
      </w:r>
    </w:p>
    <w:p>
      <w:pPr>
        <w:spacing w:after="120" w:line="276"/>
        <w:jc w:val="both"/>
      </w:pPr>
      <w:r>
        <w:rPr>
          <w:rFonts w:ascii="Barlow Semi Condensed" w:cs="Barlow Semi Condensed" w:eastAsia="Barlow Semi Condensed" w:hAnsi="Barlow Semi Condensed"/>
          <w:b/>
          <w:bCs/>
          <w:sz w:val="24"/>
          <w:szCs w:val="24"/>
        </w:rPr>
        <w:t xml:space="preserve">Tredici ricognizioni hanno accertato che il governo italiano non compare come attore documentato in sei perimetri diplomatici del ministero Moro: Spagna, Portogallo, Grecia, Cipro, Turchia, Germania. L'accertamento è stato ripetuto tante volte da diventare una regolarità del corpus.</w:t>
      </w:r>
    </w:p>
    <w:p>
      <w:pPr>
        <w:spacing w:after="120" w:line="276"/>
        <w:jc w:val="both"/>
      </w:pPr>
      <w:r>
        <w:rPr>
          <w:rFonts w:ascii="Barlow Semi Condensed" w:cs="Barlow Semi Condensed" w:eastAsia="Barlow Semi Condensed" w:hAnsi="Barlow Semi Condensed"/>
          <w:b/>
          <w:bCs/>
          <w:sz w:val="24"/>
          <w:szCs w:val="24"/>
        </w:rPr>
        <w:t xml:space="preserve">Ma nessuna di esse ha chiesto che cosa quell'assenza significhi.</w:t>
      </w:r>
    </w:p>
    <w:p>
      <w:pPr>
        <w:spacing w:after="120" w:line="276"/>
        <w:jc w:val="both"/>
      </w:pPr>
      <w:r>
        <w:rPr>
          <w:rFonts w:ascii="Barlow Semi Condensed" w:cs="Barlow Semi Condensed" w:eastAsia="Barlow Semi Condensed" w:hAnsi="Barlow Semi Condensed"/>
          <w:b/>
          <w:bCs/>
          <w:sz w:val="24"/>
          <w:szCs w:val="24"/>
        </w:rPr>
        <w:t xml:space="preserve">La domanda, formulata.\\ Lo Stato italiano non compare \\perché effettivamente non agiva\\, oppure \\perché la documentazione della sua azione non è accessibile, non è indicizzata, non è stata studiata?</w:t>
      </w:r>
    </w:p>
    <w:p>
      <w:pPr>
        <w:spacing w:after="120" w:line="276"/>
        <w:jc w:val="both"/>
      </w:pPr>
      <w:r>
        <w:rPr>
          <w:rFonts w:ascii="Barlow Semi Condensed" w:cs="Barlow Semi Condensed" w:eastAsia="Barlow Semi Condensed" w:hAnsi="Barlow Semi Condensed"/>
          <w:b/>
          <w:bCs/>
          <w:sz w:val="24"/>
          <w:szCs w:val="24"/>
        </w:rPr>
        <w:t xml:space="preserve">Nel primo caso le tredici ricognizioni hanno misurato una condotta. Nel secondo hanno misurato l'accessibilità delle carte, e non lo sapevano.</w:t>
      </w:r>
    </w:p>
    <w:p>
      <w:pPr>
        <w:spacing w:after="120" w:line="276"/>
        <w:jc w:val="both"/>
      </w:pPr>
      <w:r>
        <w:rPr>
          <w:rFonts w:ascii="Barlow Semi Condensed" w:cs="Barlow Semi Condensed" w:eastAsia="Barlow Semi Condensed" w:hAnsi="Barlow Semi Condensed"/>
          <w:b/>
          <w:bCs/>
          <w:sz w:val="24"/>
          <w:szCs w:val="24"/>
        </w:rPr>
        <w:t xml:space="preserve">Perché la Libia scioglie la domanda, e nessun altro perimetro lo farebbe. Il primo settembre 1969 — un mese dopo l'insediamento di Moro — Gheddafi rovesciò re Idris. Nel luglio 1970 il regime confiscò i beni della comunità italiana, presente dal 1911, e ne dispose l'espulsione: circa ventimila persone, cittadini italiani espropriati in massa.</w:t>
      </w:r>
    </w:p>
    <w:p>
      <w:pPr>
        <w:spacing w:after="120" w:line="276"/>
        <w:jc w:val="both"/>
      </w:pPr>
      <w:r>
        <w:rPr>
          <w:rFonts w:ascii="Barlow Semi Condensed" w:cs="Barlow Semi Condensed" w:eastAsia="Barlow Semi Condensed" w:hAnsi="Barlow Semi Condensed"/>
          <w:b/>
          <w:bCs/>
          <w:sz w:val="24"/>
          <w:szCs w:val="24"/>
        </w:rPr>
        <w:t xml:space="preserve">È il caso in cui il governo italiano non poteva non agire. Non per scelta politica ma per obbligo verso i propri cittadini, e con in gioco interessi energetici rilevanti.</w:t>
      </w:r>
    </w:p>
    <w:p>
      <w:pPr>
        <w:spacing w:after="120" w:line="276"/>
        <w:jc w:val="both"/>
      </w:pPr>
      <w:r>
        <w:rPr>
          <w:rFonts w:ascii="Barlow Semi Condensed" w:cs="Barlow Semi Condensed" w:eastAsia="Barlow Semi Condensed" w:hAnsi="Barlow Semi Condensed"/>
          <w:b/>
          <w:bCs/>
          <w:sz w:val="24"/>
          <w:szCs w:val="24"/>
        </w:rPr>
        <w:t xml:space="preserve">Il disegno del test, e la sua simmetria. Se la Farnesina agì e l'azione è ricostruibile, il silenzio altrove è comportamentale. Se anche la Libia risultasse povera di documentazione italiana, il silenzio è archivistico e le tredici ricognizioni hanno misurato altro da ciò che credevano.</w:t>
      </w:r>
    </w:p>
    <w:p>
      <w:pPr>
        <w:spacing w:after="120" w:line="276"/>
        <w:jc w:val="both"/>
      </w:pPr>
      <w:r>
        <w:rPr>
          <w:rFonts w:ascii="Barlow Semi Condensed" w:cs="Barlow Semi Condensed" w:eastAsia="Barlow Semi Condensed" w:hAnsi="Barlow Semi Condensed"/>
          <w:b/>
          <w:bCs/>
          <w:sz w:val="24"/>
          <w:szCs w:val="24"/>
        </w:rPr>
        <w:t xml:space="preserve">L'esito, enunciato subito.\\ \\La Farnesina agì. L'azione è documentata e ricostruibile su carte dell'Archivio Storico Diplomatico e del Fondo Moro.</w:t>
      </w:r>
    </w:p>
    <w:p>
      <w:pPr>
        <w:spacing w:after="120" w:line="276"/>
        <w:jc w:val="both"/>
      </w:pPr>
      <w:r>
        <w:rPr>
          <w:rFonts w:ascii="Barlow Semi Condensed" w:cs="Barlow Semi Condensed" w:eastAsia="Barlow Semi Condensed" w:hAnsi="Barlow Semi Condensed"/>
          <w:b/>
          <w:bCs/>
          <w:sz w:val="24"/>
          <w:szCs w:val="24"/>
        </w:rPr>
        <w:t xml:space="preserve">Ma l'esito non è quello semplice che il test prevedeva, e la complicazione è il vero risultato. Perché la ricerca ha trovato tre cose che il disegno non contemplava, e ciascuna modifica la conclusione.</w:t>
      </w:r>
    </w:p>
    <w:p>
      <w:pPr>
        <w:spacing w:after="120" w:line="276"/>
        <w:jc w:val="both"/>
      </w:pPr>
      <w:r>
        <w:rPr>
          <w:rFonts w:ascii="Barlow Semi Condensed" w:cs="Barlow Semi Condensed" w:eastAsia="Barlow Semi Condensed" w:hAnsi="Barlow Semi Condensed"/>
          <w:b/>
          <w:bCs/>
          <w:sz w:val="24"/>
          <w:szCs w:val="24"/>
        </w:rPr>
        <w:t xml:space="preserve">Prima: dove uno studioso ha aperto le serie della Farnesina, l'azione italiana è sempre emersa. Libia, Cina, Helsinki, Adriatico. Gli assi studiati coincidono con gli assi in cui qualcuno ha lavorato in archivio; i sei perimetri silenziosi coincidono con assi che nessuno ha scandagliato.</w:t>
      </w:r>
    </w:p>
    <w:p>
      <w:pPr>
        <w:spacing w:after="120" w:line="276"/>
        <w:jc w:val="both"/>
      </w:pPr>
      <w:r>
        <w:rPr>
          <w:rFonts w:ascii="Barlow Semi Condensed" w:cs="Barlow Semi Condensed" w:eastAsia="Barlow Semi Condensed" w:hAnsi="Barlow Semi Condensed"/>
          <w:b/>
          <w:bCs/>
          <w:sz w:val="24"/>
          <w:szCs w:val="24"/>
        </w:rPr>
        <w:t xml:space="preserve">Seconda: per almeno un dossier maggiore l'azione dello Stato italiano fu condotta deliberatamente fuori dalla Farnesina. Il Capitolo ottavo lo documenta. Ne discende che l'assenza dall'archivio diplomatico è compatibile con la presenza di azione.</w:t>
      </w:r>
    </w:p>
    <w:p>
      <w:pPr>
        <w:spacing w:after="120" w:line="276"/>
        <w:jc w:val="both"/>
      </w:pPr>
      <w:r>
        <w:rPr>
          <w:rFonts w:ascii="Barlow Semi Condensed" w:cs="Barlow Semi Condensed" w:eastAsia="Barlow Semi Condensed" w:hAnsi="Barlow Semi Condensed"/>
          <w:b/>
          <w:bCs/>
          <w:sz w:val="24"/>
          <w:szCs w:val="24"/>
        </w:rPr>
        <w:t xml:space="preserve">Terza: una voce già iscritta nel Registro va emendata, e il Capitolo decimo lo esegue.</w:t>
      </w:r>
    </w:p>
    <w:p>
      <w:pPr>
        <w:spacing w:after="120" w:line="276"/>
        <w:jc w:val="both"/>
      </w:pPr>
      <w:r>
        <w:rPr>
          <w:rFonts w:ascii="Barlow Semi Condensed" w:cs="Barlow Semi Condensed" w:eastAsia="Barlow Semi Condensed" w:hAnsi="Barlow Semi Condensed"/>
          <w:b/>
          <w:bCs/>
          <w:sz w:val="24"/>
          <w:szCs w:val="24"/>
        </w:rPr>
        <w:t xml:space="preserve">Ne discende una conclusione mista che il Capitolo undicesimo articola perimetro per perimetro, e una lezione sul metodo delle tredici ricognizioni che il Capitolo dodicesimo enuncia senza attenuazioni.</w:t>
      </w:r>
    </w:p>
    <w:p>
      <w:pPr>
        <w:pStyle w:val="Heading2"/>
        <w:spacing w:after="100" w:before="200"/>
      </w:pPr>
      <w:r>
        <w:rPr>
          <w:rFonts w:ascii="Barlow Semi Condensed" w:cs="Barlow Semi Condensed" w:eastAsia="Barlow Semi Condensed" w:hAnsi="Barlow Semi Condensed"/>
          <w:sz w:val="24"/>
          <w:szCs w:val="24"/>
        </w:rPr>
        <w:t xml:space="preserve">Capitolo secondo — Il colpo di Stato e la prima reazione</w:t>
      </w:r>
    </w:p>
    <w:p>
      <w:pPr>
        <w:spacing w:after="120" w:line="276"/>
        <w:jc w:val="both"/>
      </w:pPr>
      <w:r>
        <w:rPr>
          <w:rFonts w:ascii="Barlow Semi Condensed" w:cs="Barlow Semi Condensed" w:eastAsia="Barlow Semi Condensed" w:hAnsi="Barlow Semi Condensed"/>
          <w:b/>
          <w:bCs/>
          <w:sz w:val="24"/>
          <w:szCs w:val="24"/>
        </w:rPr>
        <w:t xml:space="preserve">Il capitolo espone i fatti della fase iniziale, e dichiara subito ciò che non si è trovato.</w:t>
      </w:r>
    </w:p>
    <w:p>
      <w:pPr>
        <w:spacing w:after="120" w:line="276"/>
        <w:jc w:val="both"/>
      </w:pPr>
      <w:r>
        <w:rPr>
          <w:rFonts w:ascii="Barlow Semi Condensed" w:cs="Barlow Semi Condensed" w:eastAsia="Barlow Semi Condensed" w:hAnsi="Barlow Semi Condensed"/>
          <w:b/>
          <w:bCs/>
          <w:sz w:val="24"/>
          <w:szCs w:val="24"/>
        </w:rPr>
        <w:t xml:space="preserve">Il colpo. Nella notte fra il 31 agosto e il 1 settembre 1969 un gruppo di ufficiali guidati da Muammar Gheddafi rovesciò la monarchia di re Idris, assente dal Paese per cure mediche. Il Consiglio del Comando della Rivoluzione proclamò la Repubblica Araba di Libia.</w:t>
      </w:r>
    </w:p>
    <w:p>
      <w:pPr>
        <w:spacing w:after="120" w:line="276"/>
        <w:jc w:val="both"/>
      </w:pPr>
      <w:r>
        <w:rPr>
          <w:rFonts w:ascii="Barlow Semi Condensed" w:cs="Barlow Semi Condensed" w:eastAsia="Barlow Semi Condensed" w:hAnsi="Barlow Semi Condensed"/>
          <w:b/>
          <w:bCs/>
          <w:sz w:val="24"/>
          <w:szCs w:val="24"/>
        </w:rPr>
        <w:t xml:space="preserve">Il regime informò i rappresentanti diplomatici che i trattati e gli accordi esistenti sarebbero rimasti in vigore e che le vite e le proprietà straniere sarebbero state protette, e il riconoscimento diplomatico giunse rapidamente da numerosi Paesi.</w:t>
      </w:r>
    </w:p>
    <w:p>
      <w:pPr>
        <w:spacing w:after="120" w:line="276"/>
        <w:jc w:val="both"/>
      </w:pPr>
      <w:r>
        <w:rPr>
          <w:rFonts w:ascii="Barlow Semi Condensed" w:cs="Barlow Semi Condensed" w:eastAsia="Barlow Semi Condensed" w:hAnsi="Barlow Semi Condensed"/>
          <w:b/>
          <w:bCs/>
          <w:sz w:val="24"/>
          <w:szCs w:val="24"/>
        </w:rPr>
        <w:t xml:space="preserve">Va notato, e sarà rilevante al Capitolo terzo, che la garanzia sulle proprietà straniere fu esplicita e fu violata dieci mesi dopo.</w:t>
      </w:r>
    </w:p>
    <w:p>
      <w:pPr>
        <w:spacing w:after="120" w:line="276"/>
        <w:jc w:val="both"/>
      </w:pPr>
      <w:r>
        <w:rPr>
          <w:rFonts w:ascii="Barlow Semi Condensed" w:cs="Barlow Semi Condensed" w:eastAsia="Barlow Semi Condensed" w:hAnsi="Barlow Semi Condensed"/>
          <w:b/>
          <w:bCs/>
          <w:sz w:val="24"/>
          <w:szCs w:val="24"/>
        </w:rPr>
        <w:t xml:space="preserve">Il primo esito negativo, dichiarato. La data esatta del riconoscimento italiano del nuovo regime non è stata reperita. È voce da sciogliere presso l'Archivio Storico Diplomatico, serie Affari Politici Libia 1969, e sulla stampa italiana coeva.</w:t>
      </w:r>
    </w:p>
    <w:p>
      <w:pPr>
        <w:spacing w:after="120" w:line="276"/>
        <w:jc w:val="both"/>
      </w:pPr>
      <w:r>
        <w:rPr>
          <w:rFonts w:ascii="Barlow Semi Condensed" w:cs="Barlow Semi Condensed" w:eastAsia="Barlow Semi Condensed" w:hAnsi="Barlow Semi Condensed"/>
          <w:b/>
          <w:bCs/>
          <w:sz w:val="24"/>
          <w:szCs w:val="24"/>
        </w:rPr>
        <w:t xml:space="preserve">Che questo dato manchi è esso stesso significativo: si tratta dell'atto formale più elementare di uno Stato verso un nuovo governo, e non risulta.</w:t>
      </w:r>
    </w:p>
    <w:p>
      <w:pPr>
        <w:spacing w:after="120" w:line="276"/>
        <w:jc w:val="both"/>
      </w:pPr>
      <w:r>
        <w:rPr>
          <w:rFonts w:ascii="Barlow Semi Condensed" w:cs="Barlow Semi Condensed" w:eastAsia="Barlow Semi Condensed" w:hAnsi="Barlow Semi Condensed"/>
          <w:b/>
          <w:bCs/>
          <w:sz w:val="24"/>
          <w:szCs w:val="24"/>
        </w:rPr>
        <w:t xml:space="preserve">La chiusura delle basi straniere. Le forze britanniche lasciarono la Libia il 28 marzo 1970, data celebrata dal regime come giornata dell'evacuazione britannica; la base statunitense di Wheelus Field fu consegnata alla Libia l'11 giugno 1970.</w:t>
      </w:r>
    </w:p>
    <w:p>
      <w:pPr>
        <w:spacing w:after="120" w:line="276"/>
        <w:jc w:val="both"/>
      </w:pPr>
      <w:r>
        <w:rPr>
          <w:rFonts w:ascii="Barlow Semi Condensed" w:cs="Barlow Semi Condensed" w:eastAsia="Barlow Semi Condensed" w:hAnsi="Barlow Semi Condensed"/>
          <w:b/>
          <w:bCs/>
          <w:sz w:val="24"/>
          <w:szCs w:val="24"/>
        </w:rPr>
        <w:t xml:space="preserve">L'ambasciatore italiano a Tripoli nella fase cruciale, ed è dato preliminare necessario a chiunque voglia condurre la verifica archivistica.\\ Fu l'ambasciatore \\Borromeo\\, in servizio dal \\20 dicembre 1969 al 30 agosto 1971.</w:t>
      </w:r>
    </w:p>
    <w:p>
      <w:pPr>
        <w:spacing w:after="120" w:line="276"/>
        <w:jc w:val="both"/>
      </w:pPr>
      <w:r>
        <w:rPr>
          <w:rFonts w:ascii="Barlow Semi Condensed" w:cs="Barlow Semi Condensed" w:eastAsia="Barlow Semi Condensed" w:hAnsi="Barlow Semi Condensed"/>
          <w:b/>
          <w:bCs/>
          <w:sz w:val="24"/>
          <w:szCs w:val="24"/>
        </w:rPr>
        <w:t xml:space="preserve">Il suo rapporto di fine missione è conservato nel Fondo Aldo Moro presso l'Archivio Centrale dello Stato, busta centotrentanove, fascicolo due punto due, ed è stato utilizzato dalla letteratura recente.</w:t>
      </w:r>
    </w:p>
    <w:p>
      <w:pPr>
        <w:spacing w:after="120" w:line="276"/>
        <w:jc w:val="both"/>
      </w:pPr>
      <w:r>
        <w:rPr>
          <w:rFonts w:ascii="Barlow Semi Condensed" w:cs="Barlow Semi Condensed" w:eastAsia="Barlow Semi Condensed" w:hAnsi="Barlow Semi Condensed"/>
          <w:b/>
          <w:bCs/>
          <w:sz w:val="24"/>
          <w:szCs w:val="24"/>
        </w:rPr>
        <w:t xml:space="preserve">Questa segnatura è il primo elemento della calibrazione, e va tenuta a mente fino al Capitolo decimo, dove produce l'emendazione al Registro.</w:t>
      </w:r>
    </w:p>
    <w:p>
      <w:pPr>
        <w:spacing w:after="120" w:line="276"/>
        <w:jc w:val="both"/>
      </w:pPr>
      <w:r>
        <w:rPr>
          <w:rFonts w:ascii="Barlow Semi Condensed" w:cs="Barlow Semi Condensed" w:eastAsia="Barlow Semi Condensed" w:hAnsi="Barlow Semi Condensed"/>
          <w:b/>
          <w:bCs/>
          <w:sz w:val="24"/>
          <w:szCs w:val="24"/>
        </w:rPr>
        <w:t xml:space="preserve">Un secondo esito negativo. Il nome di battesimo dell'ambasciatore non è stato reperito e andrebbe verificato nell'annuario diplomatico del Ministero per il 1970-1971.</w:t>
      </w:r>
    </w:p>
    <w:p>
      <w:pPr>
        <w:spacing w:after="120" w:line="276"/>
        <w:jc w:val="both"/>
      </w:pPr>
      <w:r>
        <w:rPr>
          <w:rFonts w:ascii="Barlow Semi Condensed" w:cs="Barlow Semi Condensed" w:eastAsia="Barlow Semi Condensed" w:hAnsi="Barlow Semi Condensed"/>
          <w:b/>
          <w:bCs/>
          <w:sz w:val="24"/>
          <w:szCs w:val="24"/>
        </w:rPr>
        <w:t xml:space="preserve">La documentazione italiana su questa prima fase esiste ed è stata studiata, per il versante diplomatico, dagli studi di Massimiliano Cricco e dalla monografia di Arturo Varvelli fondata sull'Archivio Storico del Ministero degli Affari Esteri. Entrambi mostrano che la diplomazia italiana seguì con attenzione la transizione, preoccupata per la comunità e per gli approvvigionamenti.</w:t>
      </w:r>
    </w:p>
    <w:p>
      <w:pPr>
        <w:spacing w:after="120" w:line="276"/>
        <w:jc w:val="both"/>
      </w:pPr>
      <w:r>
        <w:rPr>
          <w:rFonts w:ascii="Barlow Semi Condensed" w:cs="Barlow Semi Condensed" w:eastAsia="Barlow Semi Condensed" w:hAnsi="Barlow Semi Condensed"/>
          <w:b/>
          <w:bCs/>
          <w:sz w:val="24"/>
          <w:szCs w:val="24"/>
        </w:rPr>
        <w:t xml:space="preserve">Ne discende, già a questo stadio, che la Farnesina osservava e riferiva. La questione è se agì.</w:t>
      </w:r>
    </w:p>
    <w:p>
      <w:pPr>
        <w:pStyle w:val="Heading2"/>
        <w:spacing w:after="100" w:before="200"/>
      </w:pPr>
      <w:r>
        <w:rPr>
          <w:rFonts w:ascii="Barlow Semi Condensed" w:cs="Barlow Semi Condensed" w:eastAsia="Barlow Semi Condensed" w:hAnsi="Barlow Semi Condensed"/>
          <w:sz w:val="24"/>
          <w:szCs w:val="24"/>
        </w:rPr>
        <w:t xml:space="preserve">Capitolo terzo — La confisca: date, natura, divergenze</w:t>
      </w:r>
    </w:p>
    <w:p>
      <w:pPr>
        <w:spacing w:after="120" w:line="276"/>
        <w:jc w:val="both"/>
      </w:pPr>
      <w:r>
        <w:rPr>
          <w:rFonts w:ascii="Barlow Semi Condensed" w:cs="Barlow Semi Condensed" w:eastAsia="Barlow Semi Condensed" w:hAnsi="Barlow Semi Condensed"/>
          <w:b/>
          <w:bCs/>
          <w:sz w:val="24"/>
          <w:szCs w:val="24"/>
        </w:rPr>
        <w:t xml:space="preserve">Il capitolo espone il provvedimento con le divergenze mantenute.</w:t>
      </w:r>
    </w:p>
    <w:p>
      <w:pPr>
        <w:spacing w:after="120" w:line="276"/>
        <w:jc w:val="both"/>
      </w:pPr>
      <w:r>
        <w:rPr>
          <w:rFonts w:ascii="Barlow Semi Condensed" w:cs="Barlow Semi Condensed" w:eastAsia="Barlow Semi Condensed" w:hAnsi="Barlow Semi Condensed"/>
          <w:b/>
          <w:bCs/>
          <w:sz w:val="24"/>
          <w:szCs w:val="24"/>
        </w:rPr>
        <w:t xml:space="preserve">La data e l'organo. Il 21 luglio 1970 il Consiglio del Comando della Rivoluzione promulgò le leggi che disposero la confisca dei beni della comunità italiana — e di quella ebraica — con obbligo di dichiarazione dei beni e pene detentive per i trasgressori.</w:t>
      </w:r>
    </w:p>
    <w:p>
      <w:pPr>
        <w:spacing w:after="120" w:line="276"/>
        <w:jc w:val="both"/>
      </w:pPr>
      <w:r>
        <w:rPr>
          <w:rFonts w:ascii="Barlow Semi Condensed" w:cs="Barlow Semi Condensed" w:eastAsia="Barlow Semi Condensed" w:hAnsi="Barlow Semi Condensed"/>
          <w:b/>
          <w:bCs/>
          <w:sz w:val="24"/>
          <w:szCs w:val="24"/>
        </w:rPr>
        <w:t xml:space="preserve">La giustificazione del regime.\\ Restituzione al popolo libico delle ricchezze \\usurpate dagli oppressori\\ nel corso del colonialismo, secondo la formula pronunciata da Gheddafi nel discorso di \\Misurata.</w:t>
      </w:r>
    </w:p>
    <w:p>
      <w:pPr>
        <w:spacing w:after="120" w:line="276"/>
        <w:jc w:val="both"/>
      </w:pPr>
      <w:r>
        <w:rPr>
          <w:rFonts w:ascii="Barlow Semi Condensed" w:cs="Barlow Semi Condensed" w:eastAsia="Barlow Semi Condensed" w:hAnsi="Barlow Semi Condensed"/>
          <w:b/>
          <w:bCs/>
          <w:sz w:val="24"/>
          <w:szCs w:val="24"/>
        </w:rPr>
        <w:t xml:space="preserve">Una divergenza va riportata. Alcune fonti datano quel discorso al 9 luglio 1970; altre lo collocano genericamente poche settimane prima del 21 luglio.</w:t>
      </w:r>
    </w:p>
    <w:p>
      <w:pPr>
        <w:spacing w:after="120" w:line="276"/>
        <w:jc w:val="both"/>
      </w:pPr>
      <w:r>
        <w:rPr>
          <w:rFonts w:ascii="Barlow Semi Condensed" w:cs="Barlow Semi Condensed" w:eastAsia="Barlow Semi Condensed" w:hAnsi="Barlow Semi Condensed"/>
          <w:b/>
          <w:bCs/>
          <w:sz w:val="24"/>
          <w:szCs w:val="24"/>
        </w:rPr>
        <w:t xml:space="preserve">La natura giuridica va precisata perché è dirimente.\\ Fu \\legge di confisca e non nazionalizzazione economica\\: colpì \\specificamente i beni dei cittadini italiani in quanto tali.</w:t>
      </w:r>
    </w:p>
    <w:p>
      <w:pPr>
        <w:spacing w:after="120" w:line="276"/>
        <w:jc w:val="both"/>
      </w:pPr>
      <w:r>
        <w:rPr>
          <w:rFonts w:ascii="Barlow Semi Condensed" w:cs="Barlow Semi Condensed" w:eastAsia="Barlow Semi Condensed" w:hAnsi="Barlow Semi Condensed"/>
          <w:b/>
          <w:bCs/>
          <w:sz w:val="24"/>
          <w:szCs w:val="24"/>
        </w:rPr>
        <w:t xml:space="preserve">La distinzione conta.\\ Una nazionalizzazione colpisce settori; una confisca su base di cittadinanza colpisce persone. \\La seconda apre al governo dello Stato dei colpiti una possibilità di reazione che la prima non apre nella stessa forma.</w:t>
      </w:r>
    </w:p>
    <w:p>
      <w:pPr>
        <w:spacing w:after="120" w:line="276"/>
        <w:jc w:val="both"/>
      </w:pPr>
      <w:r>
        <w:rPr>
          <w:rFonts w:ascii="Barlow Semi Condensed" w:cs="Barlow Semi Condensed" w:eastAsia="Barlow Semi Condensed" w:hAnsi="Barlow Semi Condensed"/>
          <w:b/>
          <w:bCs/>
          <w:sz w:val="24"/>
          <w:szCs w:val="24"/>
        </w:rPr>
        <w:t xml:space="preserve">Il testo integrale del provvedimento non è stato reperito\\, e va cercato nella gazzetta ufficiale libica del 1970 e, in traduzione, negli allegati della documentazione della Farnesina. \\Esito negativo dichiarato.</w:t>
      </w:r>
    </w:p>
    <w:p>
      <w:pPr>
        <w:spacing w:after="120" w:line="276"/>
        <w:jc w:val="both"/>
      </w:pPr>
      <w:r>
        <w:rPr>
          <w:rFonts w:ascii="Barlow Semi Condensed" w:cs="Barlow Semi Condensed" w:eastAsia="Barlow Semi Condensed" w:hAnsi="Barlow Semi Condensed"/>
          <w:b/>
          <w:bCs/>
          <w:sz w:val="24"/>
          <w:szCs w:val="24"/>
        </w:rPr>
        <w:t xml:space="preserve">Il valore dei beni, con le stime divergenti e la ragione della divergenza. Il Governo italiano calcolò al 1970 duecento miliardi di lire per il solo valore immobiliare, cifra che includendo depositi bancari e attività varie supera i quattrocento miliardi.</w:t>
      </w:r>
    </w:p>
    <w:p>
      <w:pPr>
        <w:spacing w:after="120" w:line="276"/>
        <w:jc w:val="both"/>
      </w:pPr>
      <w:r>
        <w:rPr>
          <w:rFonts w:ascii="Barlow Semi Condensed" w:cs="Barlow Semi Condensed" w:eastAsia="Barlow Semi Condensed" w:hAnsi="Barlow Semi Condensed"/>
          <w:b/>
          <w:bCs/>
          <w:sz w:val="24"/>
          <w:szCs w:val="24"/>
        </w:rPr>
        <w:t xml:space="preserve">L'inventario circolante nella pubblicistica quantifica quattromila ettari di terreni con settecentoquattordicimila olivi, duecentoquarantacinquemila piante di agrumi, centoottantaquattromila mandorli, un milione di tralci di uva, quattromila ville, settecentosessantacinque appartamenti, quattrocentosessantotto edifici, settecentoventisette fra veicoli industriali e trattori, duecentosessantacinque officine e cinquanta industrie.</w:t>
      </w:r>
    </w:p>
    <w:p>
      <w:pPr>
        <w:spacing w:after="120" w:line="276"/>
        <w:jc w:val="both"/>
      </w:pPr>
      <w:r>
        <w:rPr>
          <w:rFonts w:ascii="Barlow Semi Condensed" w:cs="Barlow Semi Condensed" w:eastAsia="Barlow Semi Condensed" w:hAnsi="Barlow Semi Condensed"/>
          <w:b/>
          <w:bCs/>
          <w:sz w:val="24"/>
          <w:szCs w:val="24"/>
        </w:rPr>
        <w:t xml:space="preserve">Queste cifre hanno statuto di pubblicistica e non di rilevazione ufficiale verificata, e vanno impiegate come ordine di grandezza e non come dato.</w:t>
      </w:r>
    </w:p>
    <w:p>
      <w:pPr>
        <w:spacing w:after="120" w:line="276"/>
        <w:jc w:val="both"/>
      </w:pPr>
      <w:r>
        <w:rPr>
          <w:rFonts w:ascii="Barlow Semi Condensed" w:cs="Barlow Semi Condensed" w:eastAsia="Barlow Semi Condensed" w:hAnsi="Barlow Semi Condensed"/>
          <w:b/>
          <w:bCs/>
          <w:sz w:val="24"/>
          <w:szCs w:val="24"/>
        </w:rPr>
        <w:t xml:space="preserve">Va detto qui, per correttezza storica e una volta sola, ciò che il perimetro impone. L'esproprio del 1970 fu preceduto dalla colonizzazione italiana della Libia fra il 1911 e il 1943 e dai suoi crimini. Il fatto va menzionato senza che costituisca giustificazione dell'esproprio né viceversa.</w:t>
      </w:r>
    </w:p>
    <w:p>
      <w:pPr>
        <w:spacing w:after="120" w:line="276"/>
        <w:jc w:val="both"/>
      </w:pPr>
      <w:r>
        <w:rPr>
          <w:rFonts w:ascii="Barlow Semi Condensed" w:cs="Barlow Semi Condensed" w:eastAsia="Barlow Semi Condensed" w:hAnsi="Barlow Semi Condensed"/>
          <w:b/>
          <w:bCs/>
          <w:sz w:val="24"/>
          <w:szCs w:val="24"/>
        </w:rPr>
        <w:t xml:space="preserve">Le due narrazioni contrapposte — quella della memoria dei rimpatriati e quella anticoloniale del regime — vanno riportate con il loro statuto e nessuna delle due va adottata.</w:t>
      </w:r>
    </w:p>
    <w:p>
      <w:pPr>
        <w:pStyle w:val="Heading2"/>
        <w:spacing w:after="100" w:before="200"/>
      </w:pPr>
      <w:r>
        <w:rPr>
          <w:rFonts w:ascii="Barlow Semi Condensed" w:cs="Barlow Semi Condensed" w:eastAsia="Barlow Semi Condensed" w:hAnsi="Barlow Semi Condensed"/>
          <w:sz w:val="24"/>
          <w:szCs w:val="24"/>
        </w:rPr>
        <w:t xml:space="preserve">Capitolo quarto — L'espulsione e i numeri</w:t>
      </w:r>
    </w:p>
    <w:p>
      <w:pPr>
        <w:spacing w:after="120" w:line="276"/>
        <w:jc w:val="both"/>
      </w:pPr>
      <w:r>
        <w:rPr>
          <w:rFonts w:ascii="Barlow Semi Condensed" w:cs="Barlow Semi Condensed" w:eastAsia="Barlow Semi Condensed" w:hAnsi="Barlow Semi Condensed"/>
          <w:b/>
          <w:bCs/>
          <w:sz w:val="24"/>
          <w:szCs w:val="24"/>
        </w:rPr>
        <w:t xml:space="preserve">Il capitolo espone l'esodo e ne registra le stime divergenti.</w:t>
      </w:r>
    </w:p>
    <w:p>
      <w:pPr>
        <w:spacing w:after="120" w:line="276"/>
        <w:jc w:val="both"/>
      </w:pPr>
      <w:r>
        <w:rPr>
          <w:rFonts w:ascii="Barlow Semi Condensed" w:cs="Barlow Semi Condensed" w:eastAsia="Barlow Semi Condensed" w:hAnsi="Barlow Semi Condensed"/>
          <w:b/>
          <w:bCs/>
          <w:sz w:val="24"/>
          <w:szCs w:val="24"/>
        </w:rPr>
        <w:t xml:space="preserve">La cronologia. L'espulsione fu perfezionata entro il 15 ottobre 1970, otto giorni dopo l'ultimatum del 7 ottobre che il regime consacrò come giorno della vendetta, festività nazionale celebrata per un trentennio e ribattezzata giorno dell'amicizia nel quadro del riavvicinamento italo-libico degli anni Duemila.</w:t>
      </w:r>
    </w:p>
    <w:p>
      <w:pPr>
        <w:spacing w:after="120" w:line="276"/>
        <w:jc w:val="both"/>
      </w:pPr>
      <w:r>
        <w:rPr>
          <w:rFonts w:ascii="Barlow Semi Condensed" w:cs="Barlow Semi Condensed" w:eastAsia="Barlow Semi Condensed" w:hAnsi="Barlow Semi Condensed"/>
          <w:b/>
          <w:bCs/>
          <w:sz w:val="24"/>
          <w:szCs w:val="24"/>
        </w:rPr>
        <w:t xml:space="preserve">L'organizzazione del rimpatrio, ed è azione italiana documentata. Il traghettamento fu organizzato attraverso il Ministero della Marina Mercantile, che mise a disposizione nove navi; molte famiglie furono accolte in centri di raccolta distribuiti nella penisola.</w:t>
      </w:r>
    </w:p>
    <w:p>
      <w:pPr>
        <w:spacing w:after="120" w:line="276"/>
        <w:jc w:val="both"/>
      </w:pPr>
      <w:r>
        <w:rPr>
          <w:rFonts w:ascii="Barlow Semi Condensed" w:cs="Barlow Semi Condensed" w:eastAsia="Barlow Semi Condensed" w:hAnsi="Barlow Semi Condensed"/>
          <w:b/>
          <w:bCs/>
          <w:sz w:val="24"/>
          <w:szCs w:val="24"/>
        </w:rPr>
        <w:t xml:space="preserve">Questo è il primo atto italiano accertato della vicenda: non un negoziato, ma un'operazione logistica di rimpatrio.</w:t>
      </w:r>
    </w:p>
    <w:p>
      <w:pPr>
        <w:spacing w:after="120" w:line="276"/>
        <w:jc w:val="both"/>
      </w:pPr>
      <w:r>
        <w:rPr>
          <w:rFonts w:ascii="Barlow Semi Condensed" w:cs="Barlow Semi Condensed" w:eastAsia="Barlow Semi Condensed" w:hAnsi="Barlow Semi Condensed"/>
          <w:b/>
          <w:bCs/>
          <w:sz w:val="24"/>
          <w:szCs w:val="24"/>
        </w:rPr>
        <w:t xml:space="preserve">I numeri, con la loro divergenza e la sua ragione. La cifra più ricorrente è di circa ventimila italiani. Ma alcune fonti parlano di più di diciassettemila effettivamente traghettati entro il 15 ottobre; altre di oltre quindicimila rimasti al momento dell'ultimatum; una fonte divulgativa evoca fino a trentacinquemila italo-libici comprendendo i nati in Libia.</w:t>
      </w:r>
    </w:p>
    <w:p>
      <w:pPr>
        <w:spacing w:after="120" w:line="276"/>
        <w:jc w:val="both"/>
      </w:pPr>
      <w:r>
        <w:rPr>
          <w:rFonts w:ascii="Barlow Semi Condensed" w:cs="Barlow Semi Condensed" w:eastAsia="Barlow Semi Condensed" w:hAnsi="Barlow Semi Condensed"/>
          <w:b/>
          <w:bCs/>
          <w:sz w:val="24"/>
          <w:szCs w:val="24"/>
        </w:rPr>
        <w:t xml:space="preserve">Lo scarto dipende dal criterio adottato — residenti registrati, effettivamente imbarcati, aventi cittadinanza, nati in loco — e la divergenza va riportata anziché risolta.</w:t>
      </w:r>
    </w:p>
    <w:p>
      <w:pPr>
        <w:spacing w:after="120" w:line="276"/>
        <w:jc w:val="both"/>
      </w:pPr>
      <w:r>
        <w:rPr>
          <w:rFonts w:ascii="Barlow Semi Condensed" w:cs="Barlow Semi Condensed" w:eastAsia="Barlow Semi Condensed" w:hAnsi="Barlow Semi Condensed"/>
          <w:b/>
          <w:bCs/>
          <w:sz w:val="24"/>
          <w:szCs w:val="24"/>
        </w:rPr>
        <w:t xml:space="preserve">Il versante degli indennizzi, che è azione italiana ma interna. Una prima legge del 1971, la numero millesessantasei, dispose un acconto sugli indennizzi con coefficienti scalari, nella misura media del quindici per cento, in attesa di accordi internazionali.</w:t>
      </w:r>
    </w:p>
    <w:p>
      <w:pPr>
        <w:spacing w:after="120" w:line="276"/>
        <w:jc w:val="both"/>
      </w:pPr>
      <w:r>
        <w:rPr>
          <w:rFonts w:ascii="Barlow Semi Condensed" w:cs="Barlow Semi Condensed" w:eastAsia="Barlow Semi Condensed" w:hAnsi="Barlow Semi Condensed"/>
          <w:b/>
          <w:bCs/>
          <w:sz w:val="24"/>
          <w:szCs w:val="24"/>
        </w:rPr>
        <w:t xml:space="preserve">Seguirono leggi parziali e senza rivalutazione: la numero sedici del 1980, la centotrentacinque del 1985, la novantotto del 1994. L'ammontare, secondo la fonte associativa dei rimpatriati, non coprì nemmeno il valore nominale delle perdite al 1970.</w:t>
      </w:r>
    </w:p>
    <w:p>
      <w:pPr>
        <w:spacing w:after="120" w:line="276"/>
        <w:jc w:val="both"/>
      </w:pPr>
      <w:r>
        <w:rPr>
          <w:rFonts w:ascii="Barlow Semi Condensed" w:cs="Barlow Semi Condensed" w:eastAsia="Barlow Semi Condensed" w:hAnsi="Barlow Semi Condensed"/>
          <w:b/>
          <w:bCs/>
          <w:sz w:val="24"/>
          <w:szCs w:val="24"/>
        </w:rPr>
        <w:t xml:space="preserve">Il dato che rileva per la calibrazione va isolato: il primo intervento legislativo italiano è del 1971, coevo alla crisi.\\ Lo Stato agì — \\sul versante interno\\, verso i propri cittadini, \\anziché sul versante del negoziato bilaterale.</w:t>
      </w:r>
    </w:p>
    <w:p>
      <w:pPr>
        <w:spacing w:after="120" w:line="276"/>
        <w:jc w:val="both"/>
      </w:pPr>
      <w:r>
        <w:rPr>
          <w:rFonts w:ascii="Barlow Semi Condensed" w:cs="Barlow Semi Condensed" w:eastAsia="Barlow Semi Condensed" w:hAnsi="Barlow Semi Condensed"/>
          <w:b/>
          <w:bCs/>
          <w:sz w:val="24"/>
          <w:szCs w:val="24"/>
        </w:rPr>
        <w:t xml:space="preserve">La chiusura della partita, molto posteriore. Il Trattato di amicizia italo-libico firmato a Bengasi il 30 agosto 2008, ratificato con legge numero sette del 2009, il cui articolo quattro riguarda i rimpatriati, chiuse gli indennizzi fra Stati ottenendo in cambio la cessazione della discriminazione sui visti per i nati a Tripoli; l'associazione dei rimpatriati ottenne un indennizzo che essa stessa definisce men che simbolico.</w:t>
      </w:r>
    </w:p>
    <w:p>
      <w:pPr>
        <w:spacing w:after="120" w:line="276"/>
        <w:jc w:val="both"/>
      </w:pPr>
      <w:r>
        <w:rPr>
          <w:rFonts w:ascii="Barlow Semi Condensed" w:cs="Barlow Semi Condensed" w:eastAsia="Barlow Semi Condensed" w:hAnsi="Barlow Semi Condensed"/>
          <w:b/>
          <w:bCs/>
          <w:sz w:val="24"/>
          <w:szCs w:val="24"/>
        </w:rPr>
        <w:t xml:space="preserve">Sul piano giurisdizionale, i ricorrenti Giovanna Ortu, presidente dell'associazione, Nella e Antonio Ortu presentarono ricorso alla Corte europea dei diritti dell'uomo il 6 ottobre 2005; il ricorso fu respinto con sentenza del 15 febbraio 2011.</w:t>
      </w:r>
    </w:p>
    <w:p>
      <w:pPr>
        <w:pStyle w:val="Heading2"/>
        <w:spacing w:after="100" w:before="200"/>
      </w:pPr>
      <w:r>
        <w:rPr>
          <w:rFonts w:ascii="Barlow Semi Condensed" w:cs="Barlow Semi Condensed" w:eastAsia="Barlow Semi Condensed" w:hAnsi="Barlow Semi Condensed"/>
          <w:sz w:val="24"/>
          <w:szCs w:val="24"/>
        </w:rPr>
        <w:t xml:space="preserve">Capitolo quinto — La Farnesina agì: il cuore della calibrazione</w:t>
      </w:r>
    </w:p>
    <w:p>
      <w:pPr>
        <w:spacing w:after="120" w:line="276"/>
        <w:jc w:val="both"/>
      </w:pPr>
      <w:r>
        <w:rPr>
          <w:rFonts w:ascii="Barlow Semi Condensed" w:cs="Barlow Semi Condensed" w:eastAsia="Barlow Semi Condensed" w:hAnsi="Barlow Semi Condensed"/>
          <w:b/>
          <w:bCs/>
          <w:sz w:val="24"/>
          <w:szCs w:val="24"/>
        </w:rPr>
        <w:t xml:space="preserve">Il capitolo espone l'accertamento su cui il test si decide.</w:t>
      </w:r>
    </w:p>
    <w:p>
      <w:pPr>
        <w:spacing w:after="120" w:line="276"/>
        <w:jc w:val="both"/>
      </w:pPr>
      <w:r>
        <w:rPr>
          <w:rFonts w:ascii="Barlow Semi Condensed" w:cs="Barlow Semi Condensed" w:eastAsia="Barlow Semi Condensed" w:hAnsi="Barlow Semi Condensed"/>
          <w:b/>
          <w:bCs/>
          <w:sz w:val="24"/>
          <w:szCs w:val="24"/>
        </w:rPr>
        <w:t xml:space="preserve">La fonte, e il suo statuto va dichiarato perché è ciò che rende l'accertamento possibile. Arturo Varvelli, \L'Italia e l'ascesa di Gheddafi. La cacciata degli italiani, le armi e il petrolio, 1969-1974\, Baldini Castoldi Dalai, 2009. È monografia fondata su documentazione dell'Archivio Storico del Ministero degli Affari Esteri, integrata con archivi britannici e statunitensi.</w:t>
      </w:r>
    </w:p>
    <w:p>
      <w:pPr>
        <w:spacing w:after="120" w:line="276"/>
        <w:jc w:val="both"/>
      </w:pPr>
      <w:r>
        <w:rPr>
          <w:rFonts w:ascii="Barlow Semi Condensed" w:cs="Barlow Semi Condensed" w:eastAsia="Barlow Semi Condensed" w:hAnsi="Barlow Semi Condensed"/>
          <w:b/>
          <w:bCs/>
          <w:sz w:val="24"/>
          <w:szCs w:val="24"/>
        </w:rPr>
        <w:t xml:space="preserve">Qualcuno ha aperto le serie della Farnesina per questo perimetro. È l'unica differenza fra la Libia e i sei perimetri silenziosi, e produce tutto ciò che segue.</w:t>
      </w:r>
    </w:p>
    <w:p>
      <w:pPr>
        <w:spacing w:after="120" w:line="276"/>
        <w:jc w:val="both"/>
      </w:pPr>
      <w:r>
        <w:rPr>
          <w:rFonts w:ascii="Barlow Semi Condensed" w:cs="Barlow Semi Condensed" w:eastAsia="Barlow Semi Condensed" w:hAnsi="Barlow Semi Condensed"/>
          <w:b/>
          <w:bCs/>
          <w:sz w:val="24"/>
          <w:szCs w:val="24"/>
        </w:rPr>
        <w:t xml:space="preserve">Che cosa ne emerge, in due tempi.</w:t>
      </w:r>
    </w:p>
    <w:p>
      <w:pPr>
        <w:spacing w:after="120" w:line="276"/>
        <w:jc w:val="both"/>
      </w:pPr>
      <w:r>
        <w:rPr>
          <w:rFonts w:ascii="Barlow Semi Condensed" w:cs="Barlow Semi Condensed" w:eastAsia="Barlow Semi Condensed" w:hAnsi="Barlow Semi Condensed"/>
          <w:b/>
          <w:bCs/>
          <w:sz w:val="24"/>
          <w:szCs w:val="24"/>
        </w:rPr>
        <w:t xml:space="preserve">Primo: la diplomazia italiana fu spiazzata dalla legge del 21 luglio 1970, e la mediazione attesa da Nasser si rivelò inconsistente.</w:t>
      </w:r>
    </w:p>
    <w:p>
      <w:pPr>
        <w:spacing w:after="120" w:line="276"/>
        <w:jc w:val="both"/>
      </w:pPr>
      <w:r>
        <w:rPr>
          <w:rFonts w:ascii="Barlow Semi Condensed" w:cs="Barlow Semi Condensed" w:eastAsia="Barlow Semi Condensed" w:hAnsi="Barlow Semi Condensed"/>
          <w:b/>
          <w:bCs/>
          <w:sz w:val="24"/>
          <w:szCs w:val="24"/>
        </w:rPr>
        <w:t xml:space="preserve">Secondo, e decisivo: Moro scelse consapevolmente di scartare le misure di ritorsione, di riallacciare i rapporti con Tripoli e di puntare a compensazioni economiche indirette anziché a improbabili risarcimenti diretti per gli espropri.</w:t>
      </w:r>
    </w:p>
    <w:p>
      <w:pPr>
        <w:spacing w:after="120" w:line="276"/>
        <w:jc w:val="both"/>
      </w:pPr>
      <w:r>
        <w:rPr>
          <w:rFonts w:ascii="Barlow Semi Condensed" w:cs="Barlow Semi Condensed" w:eastAsia="Barlow Semi Condensed" w:hAnsi="Barlow Semi Condensed"/>
          <w:b/>
          <w:bCs/>
          <w:sz w:val="24"/>
          <w:szCs w:val="24"/>
        </w:rPr>
        <w:t xml:space="preserve">La tattica, secondo Varvelli, era stata delineata già dall'autunno precedente\\: in alternativa ai risarcimenti, \\l'ottenimento di rapporti economici privilegiati.</w:t>
      </w:r>
    </w:p>
    <w:p>
      <w:pPr>
        <w:spacing w:after="120" w:line="276"/>
        <w:jc w:val="both"/>
      </w:pPr>
      <w:r>
        <w:rPr>
          <w:rFonts w:ascii="Barlow Semi Condensed" w:cs="Barlow Semi Condensed" w:eastAsia="Barlow Semi Condensed" w:hAnsi="Barlow Semi Condensed"/>
          <w:b/>
          <w:bCs/>
          <w:sz w:val="24"/>
          <w:szCs w:val="24"/>
        </w:rPr>
        <w:t xml:space="preserve">Questo va enunciato con precisione perché è il punto dell'intero documento.</w:t>
      </w:r>
    </w:p>
    <w:p>
      <w:pPr>
        <w:spacing w:after="120" w:line="276"/>
        <w:jc w:val="both"/>
      </w:pPr>
      <w:r>
        <w:rPr>
          <w:rFonts w:ascii="Barlow Semi Condensed" w:cs="Barlow Semi Condensed" w:eastAsia="Barlow Semi Condensed" w:hAnsi="Barlow Semi Condensed"/>
          <w:b/>
          <w:bCs/>
          <w:sz w:val="24"/>
          <w:szCs w:val="24"/>
        </w:rPr>
        <w:t xml:space="preserve">Non è inazione. È una linea politica precisa, tracciabile, deliberata — che privilegiava l'interesse energetico e la stabilità del rapporto rispetto alla tutela patrimoniale dei cittadini espropriati.</w:t>
      </w:r>
    </w:p>
    <w:p>
      <w:pPr>
        <w:spacing w:after="120" w:line="276"/>
        <w:jc w:val="both"/>
      </w:pPr>
      <w:r>
        <w:rPr>
          <w:rFonts w:ascii="Barlow Semi Condensed" w:cs="Barlow Semi Condensed" w:eastAsia="Barlow Semi Condensed" w:hAnsi="Barlow Semi Condensed"/>
          <w:b/>
          <w:bCs/>
          <w:sz w:val="24"/>
          <w:szCs w:val="24"/>
        </w:rPr>
        <w:t xml:space="preserve">Una scelta di questo genere è più difficile da leggere di un'assenza, ed è per questo che le ricognizioni anteriori non l'avrebbero rilevata: non produce atti di protesta, produce l'assenza deliberata di atti di protesta.</w:t>
      </w:r>
    </w:p>
    <w:p>
      <w:pPr>
        <w:spacing w:after="120" w:line="276"/>
        <w:jc w:val="both"/>
      </w:pPr>
      <w:r>
        <w:rPr>
          <w:rFonts w:ascii="Barlow Semi Condensed" w:cs="Barlow Semi Condensed" w:eastAsia="Barlow Semi Condensed" w:hAnsi="Barlow Semi Condensed"/>
          <w:b/>
          <w:bCs/>
          <w:sz w:val="24"/>
          <w:szCs w:val="24"/>
        </w:rPr>
        <w:t xml:space="preserve">Due episodi di azione attiva documentata vanno aggiunti.</w:t>
      </w:r>
    </w:p>
    <w:p>
      <w:pPr>
        <w:spacing w:after="120" w:line="276"/>
        <w:jc w:val="both"/>
      </w:pPr>
      <w:r>
        <w:rPr>
          <w:rFonts w:ascii="Barlow Semi Condensed" w:cs="Barlow Semi Condensed" w:eastAsia="Barlow Semi Condensed" w:hAnsi="Barlow Semi Condensed"/>
          <w:b/>
          <w:bCs/>
          <w:sz w:val="24"/>
          <w:szCs w:val="24"/>
        </w:rPr>
        <w:t xml:space="preserve">Nel marzo 1971 l'Italia contribuì a far fallire un tentativo di colpo di Stato anti-Gheddafi\\, con il sequestro a \\Trieste\\ del battello \\Conquistador Tredicesimo.</w:t>
      </w:r>
    </w:p>
    <w:p>
      <w:pPr>
        <w:spacing w:after="120" w:line="276"/>
        <w:jc w:val="both"/>
      </w:pPr>
      <w:r>
        <w:rPr>
          <w:rFonts w:ascii="Barlow Semi Condensed" w:cs="Barlow Semi Condensed" w:eastAsia="Barlow Semi Condensed" w:hAnsi="Barlow Semi Condensed"/>
          <w:b/>
          <w:bCs/>
          <w:sz w:val="24"/>
          <w:szCs w:val="24"/>
        </w:rPr>
        <w:t xml:space="preserve">Il 5 maggio 1971 Moro si recò a Tripoli e incontrò Gheddafi.\\ Dell'incontro \\resta traccia nel Fondo Aldo Moro conservato presso l'Archivio storico del Senato.</w:t>
      </w:r>
    </w:p>
    <w:p>
      <w:pPr>
        <w:spacing w:after="120" w:line="276"/>
        <w:jc w:val="both"/>
      </w:pPr>
      <w:r>
        <w:rPr>
          <w:rFonts w:ascii="Barlow Semi Condensed" w:cs="Barlow Semi Condensed" w:eastAsia="Barlow Semi Condensed" w:hAnsi="Barlow Semi Condensed"/>
          <w:b/>
          <w:bCs/>
          <w:sz w:val="24"/>
          <w:szCs w:val="24"/>
        </w:rPr>
        <w:t xml:space="preserve">Diciotto mesi dopo la confisca dei beni dei propri cittadini, il ministro degli Esteri italiano andò a Tripoli. Questo è un fatto, e la sua lettura appartiene a chi legge.</w:t>
      </w:r>
    </w:p>
    <w:p>
      <w:pPr>
        <w:spacing w:after="120" w:line="276"/>
        <w:jc w:val="both"/>
      </w:pPr>
      <w:r>
        <w:rPr>
          <w:rFonts w:ascii="Barlow Semi Condensed" w:cs="Barlow Semi Condensed" w:eastAsia="Barlow Semi Condensed" w:hAnsi="Barlow Semi Condensed"/>
          <w:b/>
          <w:bCs/>
          <w:sz w:val="24"/>
          <w:szCs w:val="24"/>
        </w:rPr>
        <w:t xml:space="preserve">Che cosa non si è trovato, e va dichiarato. Note verbali, richiami dell'ambasciatore, ricorsi a organizzazioni internazionali: non è stata reperita conferma documentaria diretta del loro testo. Le fonti concordano anzi nel senso di una linea prudente, priva di provvedimenti formali di ritorsione.</w:t>
      </w:r>
    </w:p>
    <w:p>
      <w:pPr>
        <w:spacing w:after="120" w:line="276"/>
        <w:jc w:val="both"/>
      </w:pPr>
      <w:r>
        <w:rPr>
          <w:rFonts w:ascii="Barlow Semi Condensed" w:cs="Barlow Semi Condensed" w:eastAsia="Barlow Semi Condensed" w:hAnsi="Barlow Semi Condensed"/>
          <w:b/>
          <w:bCs/>
          <w:sz w:val="24"/>
          <w:szCs w:val="24"/>
        </w:rPr>
        <w:t xml:space="preserve">L'esistenza o meno di una formale nota di protesta italiana nel luglio-ottobre 1970 e il testo di eventuali dichiarazioni di Moro in Parlamento restano esiti negativi, da sciogliere presso l'Archivio Storico Diplomatico, serie Affari Politici Libia 1970-1971, e sugli Atti parlamentari a stampa della quinta e sesta legislatura.</w:t>
      </w:r>
    </w:p>
    <w:p>
      <w:pPr>
        <w:spacing w:after="120" w:line="276"/>
        <w:jc w:val="both"/>
      </w:pPr>
      <w:r>
        <w:rPr>
          <w:rFonts w:ascii="Barlow Semi Condensed" w:cs="Barlow Semi Condensed" w:eastAsia="Barlow Semi Condensed" w:hAnsi="Barlow Semi Condensed"/>
          <w:b/>
          <w:bCs/>
          <w:sz w:val="24"/>
          <w:szCs w:val="24"/>
        </w:rPr>
        <w:t xml:space="preserve">Ma la conclusione del capitolo non muta: la condotta italiana esiste, è coerente, è documentata. È dunque una condotta reale, che le ricognizioni potrebbero misurare.</w:t>
      </w:r>
    </w:p>
    <w:p>
      <w:pPr>
        <w:pStyle w:val="Heading2"/>
        <w:spacing w:after="100" w:before="200"/>
      </w:pPr>
      <w:r>
        <w:rPr>
          <w:rFonts w:ascii="Barlow Semi Condensed" w:cs="Barlow Semi Condensed" w:eastAsia="Barlow Semi Condensed" w:hAnsi="Barlow Semi Condensed"/>
          <w:sz w:val="24"/>
          <w:szCs w:val="24"/>
        </w:rPr>
        <w:t xml:space="preserve">Capitolo sesto — L'ENI e la ragione della linea</w:t>
      </w:r>
    </w:p>
    <w:p>
      <w:pPr>
        <w:spacing w:after="120" w:line="276"/>
        <w:jc w:val="both"/>
      </w:pPr>
      <w:r>
        <w:rPr>
          <w:rFonts w:ascii="Barlow Semi Condensed" w:cs="Barlow Semi Condensed" w:eastAsia="Barlow Semi Condensed" w:hAnsi="Barlow Semi Condensed"/>
          <w:b/>
          <w:bCs/>
          <w:sz w:val="24"/>
          <w:szCs w:val="24"/>
        </w:rPr>
        <w:t xml:space="preserve">Il capitolo espone perché la linea di Moro fu quella, e distingue ciò che è documentato da ciò che è interpretato.</w:t>
      </w:r>
    </w:p>
    <w:p>
      <w:pPr>
        <w:spacing w:after="120" w:line="276"/>
        <w:jc w:val="both"/>
      </w:pPr>
      <w:r>
        <w:rPr>
          <w:rFonts w:ascii="Barlow Semi Condensed" w:cs="Barlow Semi Condensed" w:eastAsia="Barlow Semi Condensed" w:hAnsi="Barlow Semi Condensed"/>
          <w:b/>
          <w:bCs/>
          <w:sz w:val="24"/>
          <w:szCs w:val="24"/>
        </w:rPr>
        <w:t xml:space="preserve">Il dato strutturale. L'Italia dipendeva dall'estero per circa l'ottantacinque per cento del proprio fabbisogno energetico all'inizio degli anni Settanta.</w:t>
      </w:r>
    </w:p>
    <w:p>
      <w:pPr>
        <w:spacing w:after="120" w:line="276"/>
        <w:jc w:val="both"/>
      </w:pPr>
      <w:r>
        <w:rPr>
          <w:rFonts w:ascii="Barlow Semi Condensed" w:cs="Barlow Semi Condensed" w:eastAsia="Barlow Semi Condensed" w:hAnsi="Barlow Semi Condensed"/>
          <w:b/>
          <w:bCs/>
          <w:sz w:val="24"/>
          <w:szCs w:val="24"/>
        </w:rPr>
        <w:t xml:space="preserve">La posizione dell'ENI.\\ Presente in Libia dalla fine degli anni Cinquanta, con concessioni ottenute grazie a \\royalty vantaggiose\\ e con la scoperta del giacimento di \\Bu Attifel.</w:t>
      </w:r>
    </w:p>
    <w:p>
      <w:pPr>
        <w:spacing w:after="120" w:line="276"/>
        <w:jc w:val="both"/>
      </w:pPr>
      <w:r>
        <w:rPr>
          <w:rFonts w:ascii="Barlow Semi Condensed" w:cs="Barlow Semi Condensed" w:eastAsia="Barlow Semi Condensed" w:hAnsi="Barlow Semi Condensed"/>
          <w:b/>
          <w:bCs/>
          <w:sz w:val="24"/>
          <w:szCs w:val="24"/>
        </w:rPr>
        <w:t xml:space="preserve">E il fatto che va isolato.\\ \\A differenza delle compagnie anglo-americane, l'ENI non fu nazionalizzata dopo il colpo di Stato e continuò a operare.</w:t>
      </w:r>
    </w:p>
    <w:p>
      <w:pPr>
        <w:spacing w:after="120" w:line="276"/>
        <w:jc w:val="both"/>
      </w:pPr>
      <w:r>
        <w:rPr>
          <w:rFonts w:ascii="Barlow Semi Condensed" w:cs="Barlow Semi Condensed" w:eastAsia="Barlow Semi Condensed" w:hAnsi="Barlow Semi Condensed"/>
          <w:b/>
          <w:bCs/>
          <w:sz w:val="24"/>
          <w:szCs w:val="24"/>
        </w:rPr>
        <w:t xml:space="preserve">La cronologia successiva. Nel 1971 l'accordo di Tripoli impose alle compagnie l'aumento del prezzo del greggio da due virgola cinquantatré a tre virgola trentadue dollari al barile; nel 1972 fu raggiunto un accordo fra l'ENI e il governo libico.</w:t>
      </w:r>
    </w:p>
    <w:p>
      <w:pPr>
        <w:spacing w:after="120" w:line="276"/>
        <w:jc w:val="both"/>
      </w:pPr>
      <w:r>
        <w:rPr>
          <w:rFonts w:ascii="Barlow Semi Condensed" w:cs="Barlow Semi Condensed" w:eastAsia="Barlow Semi Condensed" w:hAnsi="Barlow Semi Condensed"/>
          <w:b/>
          <w:bCs/>
          <w:sz w:val="24"/>
          <w:szCs w:val="24"/>
        </w:rPr>
        <w:t xml:space="preserve">La storiografia su questo versante è solida e fondata su archivi, e va nominata perché è essa a rendere l'accertamento possibile: gli studi di Massimiliano Cricco — \L'ENI in Libia: dal trattato italo-libico del 1956 ai negoziati degli anni Settanta\, in \Nuova Rivista Storica\, novantottesimo volume, fascicolo secondo del 2014, pagine cinquecentocinquantacinque-cinquecentosessantasei; e \Gheddafi e la nuova strategia del petrolio in Libia\, del 2004 — quelli di Silvio Labbate sul governo dell'energia, quelli di Ilaria Tremolada sulla via italiana al petrolio.</w:t>
      </w:r>
    </w:p>
    <w:p>
      <w:pPr>
        <w:spacing w:after="120" w:line="276"/>
        <w:jc w:val="both"/>
      </w:pPr>
      <w:r>
        <w:rPr>
          <w:rFonts w:ascii="Barlow Semi Condensed" w:cs="Barlow Semi Condensed" w:eastAsia="Barlow Semi Condensed" w:hAnsi="Barlow Semi Condensed"/>
          <w:b/>
          <w:bCs/>
          <w:sz w:val="24"/>
          <w:szCs w:val="24"/>
        </w:rPr>
        <w:t xml:space="preserve">E adesso la distinzione che la disciplina impone, perché qui l'inferenza facile è disponibile e seducente.</w:t>
      </w:r>
    </w:p>
    <w:p>
      <w:pPr>
        <w:spacing w:after="120" w:line="276"/>
        <w:jc w:val="both"/>
      </w:pPr>
      <w:r>
        <w:rPr>
          <w:rFonts w:ascii="Barlow Semi Condensed" w:cs="Barlow Semi Condensed" w:eastAsia="Barlow Semi Condensed" w:hAnsi="Barlow Semi Condensed"/>
          <w:b/>
          <w:bCs/>
          <w:sz w:val="24"/>
          <w:szCs w:val="24"/>
        </w:rPr>
        <w:t xml:space="preserve">Che gli interessi petroliferi abbiano condizionato la risposta politica è tesi sostenuta dalla storiografia e coerente con la documentazione.</w:t>
      </w:r>
    </w:p>
    <w:p>
      <w:pPr>
        <w:spacing w:after="120" w:line="276"/>
        <w:jc w:val="both"/>
      </w:pPr>
      <w:r>
        <w:rPr>
          <w:rFonts w:ascii="Barlow Semi Condensed" w:cs="Barlow Semi Condensed" w:eastAsia="Barlow Semi Condensed" w:hAnsi="Barlow Semi Condensed"/>
          <w:b/>
          <w:bCs/>
          <w:sz w:val="24"/>
          <w:szCs w:val="24"/>
        </w:rPr>
        <w:t xml:space="preserve">Ma va enunciata come interpretazione degli studiosi e non come fatto autoevidente. La contemporaneità fra la tutela dell'ENI e la rinuncia alle ritorsioni è forte; ma il nesso causale è argomentato da Varvelli e da Cricco, non semplicemente dedotto dalla coincidenza cronologica.</w:t>
      </w:r>
    </w:p>
    <w:p>
      <w:pPr>
        <w:spacing w:after="120" w:line="276"/>
        <w:jc w:val="both"/>
      </w:pPr>
      <w:r>
        <w:rPr>
          <w:rFonts w:ascii="Barlow Semi Condensed" w:cs="Barlow Semi Condensed" w:eastAsia="Barlow Semi Condensed" w:hAnsi="Barlow Semi Condensed"/>
          <w:b/>
          <w:bCs/>
          <w:sz w:val="24"/>
          <w:szCs w:val="24"/>
        </w:rPr>
        <w:t xml:space="preserve">Ne discende che la ricostruzione qui accolta — Moro rinunciò alle ritorsioni per proteggere la posizione energetica — è la lettura della storiografia fondata su archivio, e come tale va riportata: non come accertamento del documento, ma come tesi argomentata da chi il documento lo ha letto.</w:t>
      </w:r>
    </w:p>
    <w:p>
      <w:pPr>
        <w:spacing w:after="120" w:line="276"/>
        <w:jc w:val="both"/>
      </w:pPr>
      <w:r>
        <w:rPr>
          <w:rFonts w:ascii="Barlow Semi Condensed" w:cs="Barlow Semi Condensed" w:eastAsia="Barlow Semi Condensed" w:hAnsi="Barlow Semi Condensed"/>
          <w:b/>
          <w:bCs/>
          <w:sz w:val="24"/>
          <w:szCs w:val="24"/>
        </w:rPr>
        <w:t xml:space="preserve">Il che, secondo me, è comunque assai più di quanto le tredici ricognizioni anteriori abbiano potuto dire su alcuno dei sei perimetri.</w:t>
      </w:r>
    </w:p>
    <w:p>
      <w:pPr>
        <w:pStyle w:val="Heading2"/>
        <w:spacing w:after="100" w:before="200"/>
      </w:pPr>
      <w:r>
        <w:rPr>
          <w:rFonts w:ascii="Barlow Semi Condensed" w:cs="Barlow Semi Condensed" w:eastAsia="Barlow Semi Condensed" w:hAnsi="Barlow Semi Condensed"/>
          <w:sz w:val="24"/>
          <w:szCs w:val="24"/>
        </w:rPr>
        <w:t xml:space="preserve">Capitolo settimo — Gli altri casi in cui qualcuno ha aperto l'archivio</w:t>
      </w:r>
    </w:p>
    <w:p>
      <w:pPr>
        <w:spacing w:after="120" w:line="276"/>
        <w:jc w:val="both"/>
      </w:pPr>
      <w:r>
        <w:rPr>
          <w:rFonts w:ascii="Barlow Semi Condensed" w:cs="Barlow Semi Condensed" w:eastAsia="Barlow Semi Condensed" w:hAnsi="Barlow Semi Condensed"/>
          <w:b/>
          <w:bCs/>
          <w:sz w:val="24"/>
          <w:szCs w:val="24"/>
        </w:rPr>
        <w:t xml:space="preserve">Il capitolo verifica se la Libia sia eccezione o regola, e trova la regola.</w:t>
      </w:r>
    </w:p>
    <w:p>
      <w:pPr>
        <w:spacing w:after="120" w:line="276"/>
        <w:jc w:val="both"/>
      </w:pPr>
      <w:r>
        <w:rPr>
          <w:rFonts w:ascii="Barlow Semi Condensed" w:cs="Barlow Semi Condensed" w:eastAsia="Barlow Semi Condensed" w:hAnsi="Barlow Semi Condensed"/>
          <w:b/>
          <w:bCs/>
          <w:sz w:val="24"/>
          <w:szCs w:val="24"/>
        </w:rPr>
        <w:t xml:space="preserve">Il riconoscimento della Cina. Formalizzato con il comunicato congiunto di Parigi del 6 novembre 1970. La trattativa è documentata con precisione: il quarto incontro si tenne il 27 e 28 ottobre 1970 presso l'ambasciata cinese a Parigi, ed è attestato da carte dell'Archivio Storico del Ministero — scarico dell'ambasciata a Pechino, busta sul riconoscimento — e da un carteggio Moro-Saragat del 2 e 3 novembre 1970 conservato nel Fondo Moro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La preparazione della Conferenza di Helsinki. I colloqui preparatori si aprirono a Helsinki il 22 novembre 1972; la fase di Ginevra durò dal settembre 1973 al luglio 1975; Moro firmò l'Atto finale il 1 agosto 1975. L'azione italiana sul terzo cesto — libera circolazione di persone, idee e informazioni — è ricostruita da studi fondati sull'Archivio storico del Ministero, quelli di Giuseppe Spagnulo, e da lavori che incrociano fonti tedesche e italiane, quelli di Francesca Zilio, \Roma e Bonn fra Ostpolitik e CSCE 1969-1975.\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Questo nome va isolato perché tocca direttamente un perimetro della serie.\\ \\Zilio ha lavorato sull'azione italiana verso la Germania e la sua Ostpolitik, e l'ha trovata.</w:t>
      </w:r>
    </w:p>
    <w:p>
      <w:pPr>
        <w:spacing w:after="120" w:line="276"/>
        <w:jc w:val="both"/>
      </w:pPr>
      <w:r>
        <w:rPr>
          <w:rFonts w:ascii="Barlow Semi Condensed" w:cs="Barlow Semi Condensed" w:eastAsia="Barlow Semi Condensed" w:hAnsi="Barlow Semi Condensed"/>
          <w:b/>
          <w:bCs/>
          <w:sz w:val="24"/>
          <w:szCs w:val="24"/>
        </w:rPr>
        <w:t xml:space="preserve">Ne discende che la nona ricognizione, che aveva dichiarato non reperita la posizione italiana sui cinque atti della Ostpolitik, ha misurato la propria mancata consultazione di quello studio e non l'assenza dell'azione.</w:t>
      </w:r>
    </w:p>
    <w:p>
      <w:pPr>
        <w:spacing w:after="120" w:line="276"/>
        <w:jc w:val="both"/>
      </w:pPr>
      <w:r>
        <w:rPr>
          <w:rFonts w:ascii="Barlow Semi Condensed" w:cs="Barlow Semi Condensed" w:eastAsia="Barlow Semi Condensed" w:hAnsi="Barlow Semi Condensed"/>
          <w:b/>
          <w:bCs/>
          <w:sz w:val="24"/>
          <w:szCs w:val="24"/>
        </w:rPr>
        <w:t xml:space="preserve">L'Adriatico. Il negoziato di Osimo è ora servito da un volume documentario ufficiale: \Documenti sulla Pace Adriatica. Il negoziato per gli Accordi di Osimo nelle carte della diplomazia italiana\, a cura di Massimo Bucarelli e Arrigo Bonifacio, edito dall'Istituto Poligrafico nel 2025.</w:t>
      </w:r>
    </w:p>
    <w:p>
      <w:pPr>
        <w:spacing w:after="120" w:line="276"/>
        <w:jc w:val="both"/>
      </w:pPr>
      <w:r>
        <w:rPr>
          <w:rFonts w:ascii="Barlow Semi Condensed" w:cs="Barlow Semi Condensed" w:eastAsia="Barlow Semi Condensed" w:hAnsi="Barlow Semi Condensed"/>
          <w:b/>
          <w:bCs/>
          <w:sz w:val="24"/>
          <w:szCs w:val="24"/>
        </w:rPr>
        <w:t xml:space="preserve">Il quadro complessivo, ed è la regolarità.\\ \\Ogni volta che uno studioso ha aperto le serie pertinenti dell'archivio diplomatico, l'azione italiana è emersa.</w:t>
      </w:r>
    </w:p>
    <w:p>
      <w:pPr>
        <w:spacing w:after="120" w:line="276"/>
        <w:jc w:val="both"/>
      </w:pPr>
      <w:r>
        <w:rPr>
          <w:rFonts w:ascii="Barlow Semi Condensed" w:cs="Barlow Semi Condensed" w:eastAsia="Barlow Semi Condensed" w:hAnsi="Barlow Semi Condensed"/>
          <w:b/>
          <w:bCs/>
          <w:sz w:val="24"/>
          <w:szCs w:val="24"/>
        </w:rPr>
        <w:t xml:space="preserve">Libia, Cina, Helsinki, Adriatico. Quattro casi su quattro.</w:t>
      </w:r>
    </w:p>
    <w:p>
      <w:pPr>
        <w:spacing w:after="120" w:line="276"/>
        <w:jc w:val="both"/>
      </w:pPr>
      <w:r>
        <w:rPr>
          <w:rFonts w:ascii="Barlow Semi Condensed" w:cs="Barlow Semi Condensed" w:eastAsia="Barlow Semi Condensed" w:hAnsi="Barlow Semi Condensed"/>
          <w:b/>
          <w:bCs/>
          <w:sz w:val="24"/>
          <w:szCs w:val="24"/>
        </w:rPr>
        <w:t xml:space="preserve">La Libia non è dunque eccezione. È un esempio della regola secondo cui l'azione esiste ed è documentabile là dove è stata cercata.</w:t>
      </w:r>
    </w:p>
    <w:p>
      <w:pPr>
        <w:spacing w:after="120" w:line="276"/>
        <w:jc w:val="both"/>
      </w:pPr>
      <w:r>
        <w:rPr>
          <w:rFonts w:ascii="Barlow Semi Condensed" w:cs="Barlow Semi Condensed" w:eastAsia="Barlow Semi Condensed" w:hAnsi="Barlow Semi Condensed"/>
          <w:b/>
          <w:bCs/>
          <w:sz w:val="24"/>
          <w:szCs w:val="24"/>
        </w:rPr>
        <w:t xml:space="preserve">E ne discende il sospetto che governa il resto di questo documento: i sei perimetri silenziosi potrebbero essere semplicemente i sei perimetri che nessuno ha cercato.</w:t>
      </w:r>
    </w:p>
    <w:p>
      <w:pPr>
        <w:pStyle w:val="Heading2"/>
        <w:spacing w:after="100" w:before="200"/>
      </w:pPr>
      <w:r>
        <w:rPr>
          <w:rFonts w:ascii="Barlow Semi Condensed" w:cs="Barlow Semi Condensed" w:eastAsia="Barlow Semi Condensed" w:hAnsi="Barlow Semi Condensed"/>
          <w:sz w:val="24"/>
          <w:szCs w:val="24"/>
        </w:rPr>
        <w:t xml:space="preserve">Capitolo ottavo — Osimo: l'azione condotta fuori dalla Farnesina</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che, secondo me, ha la conseguenza metodologica più grave dell'intera serie.</w:t>
      </w:r>
    </w:p>
    <w:p>
      <w:pPr>
        <w:spacing w:after="120" w:line="276"/>
        <w:jc w:val="both"/>
      </w:pPr>
      <w:r>
        <w:rPr>
          <w:rFonts w:ascii="Barlow Semi Condensed" w:cs="Barlow Semi Condensed" w:eastAsia="Barlow Semi Condensed" w:hAnsi="Barlow Semi Condensed"/>
          <w:b/>
          <w:bCs/>
          <w:sz w:val="24"/>
          <w:szCs w:val="24"/>
        </w:rPr>
        <w:t xml:space="preserve">Il fatto.\\ Il negoziato che portò al \\trattato di Osimo del 10 novembre 1975\\ con la Jugoslavia \\fu condotto, per scelta deliberata, attraverso un canale del Ministero dell'Industria.</w:t>
      </w:r>
    </w:p>
    <w:p>
      <w:pPr>
        <w:spacing w:after="120" w:line="276"/>
        <w:jc w:val="both"/>
      </w:pPr>
      <w:r>
        <w:rPr>
          <w:rFonts w:ascii="Barlow Semi Condensed" w:cs="Barlow Semi Condensed" w:eastAsia="Barlow Semi Condensed" w:hAnsi="Barlow Semi Condensed"/>
          <w:b/>
          <w:bCs/>
          <w:sz w:val="24"/>
          <w:szCs w:val="24"/>
        </w:rPr>
        <w:t xml:space="preserve">Il nome del canale: Eugenio Carbone, direttore generale.\\ Il canale era stato \\predisposto nel 1973 dai ministri Medici e Minić.</w:t>
      </w:r>
    </w:p>
    <w:p>
      <w:pPr>
        <w:spacing w:after="120" w:line="276"/>
        <w:jc w:val="both"/>
      </w:pPr>
      <w:r>
        <w:rPr>
          <w:rFonts w:ascii="Barlow Semi Condensed" w:cs="Barlow Semi Condensed" w:eastAsia="Barlow Semi Condensed" w:hAnsi="Barlow Semi Condensed"/>
          <w:b/>
          <w:bCs/>
          <w:sz w:val="24"/>
          <w:szCs w:val="24"/>
        </w:rPr>
        <w:t xml:space="preserve">E la qualificazione che le fonti gli danno va riportata testualmente perché è categorica.\\ \\Fu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b/>
          <w:bCs/>
          <w:sz w:val="24"/>
          <w:szCs w:val="24"/>
        </w:rPr>
        <w:t xml:space="preserve">La conferma per via di conflitto.\\ \\Alla vigilia della firma si registrarono le dimissioni dell'ambasciatore Camillo Giurati.</w:t>
      </w:r>
    </w:p>
    <w:p>
      <w:pPr>
        <w:spacing w:after="120" w:line="276"/>
        <w:jc w:val="both"/>
      </w:pPr>
      <w:r>
        <w:rPr>
          <w:rFonts w:ascii="Barlow Semi Condensed" w:cs="Barlow Semi Condensed" w:eastAsia="Barlow Semi Condensed" w:hAnsi="Barlow Semi Condensed"/>
          <w:b/>
          <w:bCs/>
          <w:sz w:val="24"/>
          <w:szCs w:val="24"/>
        </w:rPr>
        <w:t xml:space="preserve">Un ambasciatore si dimette quando il proprio ministero viene aggirato: la dimissione è la prova che l'aggiramento fu reale e percepito come tale.</w:t>
      </w:r>
    </w:p>
    <w:p>
      <w:pPr>
        <w:spacing w:after="120" w:line="276"/>
        <w:jc w:val="both"/>
      </w:pPr>
      <w:r>
        <w:rPr>
          <w:rFonts w:ascii="Barlow Semi Condensed" w:cs="Barlow Semi Condensed" w:eastAsia="Barlow Semi Condensed" w:hAnsi="Barlow Semi Condensed"/>
          <w:b/>
          <w:bCs/>
          <w:sz w:val="24"/>
          <w:szCs w:val="24"/>
        </w:rPr>
        <w:t xml:space="preserve">La circostanza era stata indicata dal committente come da verificare. Risulta confermata.</w:t>
      </w:r>
    </w:p>
    <w:p>
      <w:pPr>
        <w:spacing w:after="120" w:line="276"/>
        <w:jc w:val="both"/>
      </w:pPr>
      <w:r>
        <w:rPr>
          <w:rFonts w:ascii="Barlow Semi Condensed" w:cs="Barlow Semi Condensed" w:eastAsia="Barlow Semi Condensed" w:hAnsi="Barlow Semi Condensed"/>
          <w:b/>
          <w:bCs/>
          <w:sz w:val="24"/>
          <w:szCs w:val="24"/>
        </w:rPr>
        <w:t xml:space="preserve">E adesso la conseguenza metodologica, che va enunciata con la massima chiarezza perché rovescia il presupposto di tredici ricognizioni.</w:t>
      </w:r>
    </w:p>
    <w:p>
      <w:pPr>
        <w:spacing w:after="120" w:line="276"/>
        <w:jc w:val="both"/>
      </w:pPr>
      <w:r>
        <w:rPr>
          <w:rFonts w:ascii="Barlow Semi Condensed" w:cs="Barlow Semi Condensed" w:eastAsia="Barlow Semi Condensed" w:hAnsi="Barlow Semi Condensed"/>
          <w:b/>
          <w:bCs/>
          <w:sz w:val="24"/>
          <w:szCs w:val="24"/>
        </w:rPr>
        <w:t xml:space="preserve">Per alcuni dossier l'azione dello Stato può non lasciare traccia nell'archivio diplomatico proprio perché fu condotta altrove.</w:t>
      </w:r>
    </w:p>
    <w:p>
      <w:pPr>
        <w:spacing w:after="120" w:line="276"/>
        <w:jc w:val="both"/>
      </w:pPr>
      <w:r>
        <w:rPr>
          <w:rFonts w:ascii="Barlow Semi Condensed" w:cs="Barlow Semi Condensed" w:eastAsia="Barlow Semi Condensed" w:hAnsi="Barlow Semi Condensed"/>
          <w:b/>
          <w:bCs/>
          <w:sz w:val="24"/>
          <w:szCs w:val="24"/>
        </w:rPr>
        <w:t xml:space="preserve">Ne discende che l'assenza in Archivio Storico Diplomatico è compatibile con la presenza di azione.</w:t>
      </w:r>
    </w:p>
    <w:p>
      <w:pPr>
        <w:spacing w:after="120" w:line="276"/>
        <w:jc w:val="both"/>
      </w:pPr>
      <w:r>
        <w:rPr>
          <w:rFonts w:ascii="Barlow Semi Condensed" w:cs="Barlow Semi Condensed" w:eastAsia="Barlow Semi Condensed" w:hAnsi="Barlow Semi Condensed"/>
          <w:b/>
          <w:bCs/>
          <w:sz w:val="24"/>
          <w:szCs w:val="24"/>
        </w:rPr>
        <w:t xml:space="preserve">Questo non è un dettaglio procedurale: è la falsificazione del criterio implicito con cui le tredici ricognizioni hanno letto il silenzio. Esse assumevano che, se lo Stato avesse agito, l'azione sarebbe stata nell'archivio della Farnesina o negli atti parlamentari. Osimo prova che tale assunto non tiene in generale.</w:t>
      </w:r>
    </w:p>
    <w:p>
      <w:pPr>
        <w:spacing w:after="120" w:line="276"/>
        <w:jc w:val="both"/>
      </w:pPr>
      <w:r>
        <w:rPr>
          <w:rFonts w:ascii="Barlow Semi Condensed" w:cs="Barlow Semi Condensed" w:eastAsia="Barlow Semi Condensed" w:hAnsi="Barlow Semi Condensed"/>
          <w:b/>
          <w:bCs/>
          <w:sz w:val="24"/>
          <w:szCs w:val="24"/>
        </w:rPr>
        <w:t xml:space="preserve">E apre una domanda che nessuna ricognizione ha posto: per i sei perimetri, esistevano canali paralleli?</w:t>
      </w:r>
    </w:p>
    <w:p>
      <w:pPr>
        <w:spacing w:after="120" w:line="276"/>
        <w:jc w:val="both"/>
      </w:pPr>
      <w:r>
        <w:rPr>
          <w:rFonts w:ascii="Barlow Semi Condensed" w:cs="Barlow Semi Condensed" w:eastAsia="Barlow Semi Condensed" w:hAnsi="Barlow Semi Condensed"/>
          <w:b/>
          <w:bCs/>
          <w:sz w:val="24"/>
          <w:szCs w:val="24"/>
        </w:rPr>
        <w:t xml:space="preserve">Il caso jugoslavo passò per il Ministero dell'Industria perché la materia era in larga parte economica. I sei perimetri hanno materie diverse — Spagna e Portogallo con questioni migratorie e comunitarie, Grecia e Turchia con questioni comunitarie e atlantiche, Cipro con questione multilaterale, Germania con questione economica e monetaria — e ciascuna di esse ha un ministero competente diverso dalla Farnesina.</w:t>
      </w:r>
    </w:p>
    <w:p>
      <w:pPr>
        <w:spacing w:after="120" w:line="276"/>
        <w:jc w:val="both"/>
      </w:pPr>
      <w:r>
        <w:rPr>
          <w:rFonts w:ascii="Barlow Semi Condensed" w:cs="Barlow Semi Condensed" w:eastAsia="Barlow Semi Condensed" w:hAnsi="Barlow Semi Condensed"/>
          <w:b/>
          <w:bCs/>
          <w:sz w:val="24"/>
          <w:szCs w:val="24"/>
        </w:rPr>
        <w:t xml:space="preserve">Nessuna delle tredici ricognizioni ha cercato in quei ministeri. È voce nuova della tavola, e la si colloca al Capitolo dodicesimo.</w:t>
      </w:r>
    </w:p>
    <w:p>
      <w:pPr>
        <w:pStyle w:val="Heading2"/>
        <w:spacing w:after="100" w:before="200"/>
      </w:pPr>
      <w:r>
        <w:rPr>
          <w:rFonts w:ascii="Barlow Semi Condensed" w:cs="Barlow Semi Condensed" w:eastAsia="Barlow Semi Condensed" w:hAnsi="Barlow Semi Condensed"/>
          <w:sz w:val="24"/>
          <w:szCs w:val="24"/>
        </w:rPr>
        <w:t xml:space="preserve">Capitolo nono — Lo stato degli archivi e perché il silenzio è in parte artefatto</w:t>
      </w:r>
    </w:p>
    <w:p>
      <w:pPr>
        <w:spacing w:after="120" w:line="276"/>
        <w:jc w:val="both"/>
      </w:pPr>
      <w:r>
        <w:rPr>
          <w:rFonts w:ascii="Barlow Semi Condensed" w:cs="Barlow Semi Condensed" w:eastAsia="Barlow Semi Condensed" w:hAnsi="Barlow Semi Condensed"/>
          <w:b/>
          <w:bCs/>
          <w:sz w:val="24"/>
          <w:szCs w:val="24"/>
        </w:rPr>
        <w:t xml:space="preserve">Il capitolo documenta le condizioni materiali che producono il silenzio percepito.</w:t>
      </w:r>
    </w:p>
    <w:p>
      <w:pPr>
        <w:spacing w:after="120" w:line="276"/>
        <w:jc w:val="both"/>
      </w:pPr>
      <w:r>
        <w:rPr>
          <w:rFonts w:ascii="Barlow Semi Condensed" w:cs="Barlow Semi Condensed" w:eastAsia="Barlow Semi Condensed" w:hAnsi="Barlow Semi Condensed"/>
          <w:b/>
          <w:bCs/>
          <w:sz w:val="24"/>
          <w:szCs w:val="24"/>
        </w:rPr>
        <w:t xml:space="preserve">L'Archivio Storico Diplomatico. Conserva circa trenta chilometri lineari di documenti ordinati per ufficio versante. Sono ammessi alla consultazione i documenti anteriori al cinquantennio; per quelli fra i trenta e i cinquant'anni occorre il parere favorevole dell'ufficio produttore, secondo il decreto ministeriale milledodici bis settecentododici del 22 dicembre 2015.</w:t>
      </w:r>
    </w:p>
    <w:p>
      <w:pPr>
        <w:spacing w:after="120" w:line="276"/>
        <w:jc w:val="both"/>
      </w:pPr>
      <w:r>
        <w:rPr>
          <w:rFonts w:ascii="Barlow Semi Condensed" w:cs="Barlow Semi Condensed" w:eastAsia="Barlow Semi Condensed" w:hAnsi="Barlow Semi Condensed"/>
          <w:b/>
          <w:bCs/>
          <w:sz w:val="24"/>
          <w:szCs w:val="24"/>
        </w:rPr>
        <w:t xml:space="preserve">Per la documentazione dal 1949 in poi l'utente deve inviare preventivamente l'elenco dei faldoni per verificarne la disponibilità\\, e l'archivio avverte che \\il materiale potrebbe non essere disponibile in tempi brevi.</w:t>
      </w:r>
    </w:p>
    <w:p>
      <w:pPr>
        <w:spacing w:after="120" w:line="276"/>
        <w:jc w:val="both"/>
      </w:pPr>
      <w:r>
        <w:rPr>
          <w:rFonts w:ascii="Barlow Semi Condensed" w:cs="Barlow Semi Condensed" w:eastAsia="Barlow Semi Condensed" w:hAnsi="Barlow Semi Condensed"/>
          <w:b/>
          <w:bCs/>
          <w:sz w:val="24"/>
          <w:szCs w:val="24"/>
        </w:rPr>
        <w:t xml:space="preserve">Ne discende una condizione operativa che va enunciata perché spiega molto. Le serie del periodo Moro sono formalmente aperte ma di accesso condizionato e non indicizzato online. Non è possibile una ricerca esplorativa: occorre sapere che cosa si cerca prima di poterlo cercare, il che scoraggia lo spoglio sistematico e favorisce chi lavori su un perimetro già delimitato.</w:t>
      </w:r>
    </w:p>
    <w:p>
      <w:pPr>
        <w:spacing w:after="120" w:line="276"/>
        <w:jc w:val="both"/>
      </w:pPr>
      <w:r>
        <w:rPr>
          <w:rFonts w:ascii="Barlow Semi Condensed" w:cs="Barlow Semi Condensed" w:eastAsia="Barlow Semi Condensed" w:hAnsi="Barlow Semi Condensed"/>
          <w:b/>
          <w:bCs/>
          <w:sz w:val="24"/>
          <w:szCs w:val="24"/>
        </w:rPr>
        <w:t xml:space="preserve">I Documenti Diplomatici Italiani. La collana che renderebbe l'azione consultabile in edizione critica non ha raggiunto gli anni Sessanta-Settanta: l'ultimo volume pubblicato è il sesto dell'undicesima serie, relativo alla prima parte del settimo governo De Gasperi, 1951-1952.</w:t>
      </w:r>
    </w:p>
    <w:p>
      <w:pPr>
        <w:spacing w:after="120" w:line="276"/>
        <w:jc w:val="both"/>
      </w:pPr>
      <w:r>
        <w:rPr>
          <w:rFonts w:ascii="Barlow Semi Condensed" w:cs="Barlow Semi Condensed" w:eastAsia="Barlow Semi Condensed" w:hAnsi="Barlow Semi Condensed"/>
          <w:b/>
          <w:bCs/>
          <w:sz w:val="24"/>
          <w:szCs w:val="24"/>
        </w:rPr>
        <w:t xml:space="preserve">Per il periodo Moro non esiste edizione. Questo è, secondo me, il singolo fattore che più pesa sul silenzio documentario percepito.</w:t>
      </w:r>
    </w:p>
    <w:p>
      <w:pPr>
        <w:spacing w:after="120" w:line="276"/>
        <w:jc w:val="both"/>
      </w:pPr>
      <w:r>
        <w:rPr>
          <w:rFonts w:ascii="Barlow Semi Condensed" w:cs="Barlow Semi Condensed" w:eastAsia="Barlow Semi Condensed" w:hAnsi="Barlow Semi Condensed"/>
          <w:b/>
          <w:bCs/>
          <w:sz w:val="24"/>
          <w:szCs w:val="24"/>
        </w:rPr>
        <w:t xml:space="preserve">Gli atti parlamentari.\\ La banca dati del sindacato ispettivo \\copre soltanto dal 5 luglio 1976.\\ Per la quinta e sesta legislatura la ricerca va condotta \\sui resoconti a stampa, non digitalizzati in forma indicizzata.</w:t>
      </w:r>
    </w:p>
    <w:p>
      <w:pPr>
        <w:spacing w:after="120" w:line="276"/>
        <w:jc w:val="both"/>
      </w:pPr>
      <w:r>
        <w:rPr>
          <w:rFonts w:ascii="Barlow Semi Condensed" w:cs="Barlow Semi Condensed" w:eastAsia="Barlow Semi Condensed" w:hAnsi="Barlow Semi Condensed"/>
          <w:b/>
          <w:bCs/>
          <w:sz w:val="24"/>
          <w:szCs w:val="24"/>
        </w:rPr>
        <w:t xml:space="preserve">Il che spiega perché le dichiarazioni di Moro sulla Libia non emergano nelle ricerche online: non perché non esistano, ma perché non sono cercabili.</w:t>
      </w:r>
    </w:p>
    <w:p>
      <w:pPr>
        <w:spacing w:after="120" w:line="276"/>
        <w:jc w:val="both"/>
      </w:pPr>
      <w:r>
        <w:rPr>
          <w:rFonts w:ascii="Barlow Semi Condensed" w:cs="Barlow Semi Condensed" w:eastAsia="Barlow Semi Condensed" w:hAnsi="Barlow Semi Condensed"/>
          <w:b/>
          <w:bCs/>
          <w:sz w:val="24"/>
          <w:szCs w:val="24"/>
        </w:rPr>
        <w:t xml:space="preserve">I fondi personali collaterali consultabili, che nessuna ricognizione ha aperto: il Fondo Ugo La Malfa all'Archivio Centrale dello Stato; il Fondo Nenni; le carte Andreotti presso l'Istituto Luigi Sturzo, base del volume Bucarelli-Micheletta del 2018.</w:t>
      </w:r>
    </w:p>
    <w:p>
      <w:pPr>
        <w:spacing w:after="120" w:line="276"/>
        <w:jc w:val="both"/>
      </w:pPr>
      <w:r>
        <w:rPr>
          <w:rFonts w:ascii="Barlow Semi Condensed" w:cs="Barlow Semi Condensed" w:eastAsia="Barlow Semi Condensed" w:hAnsi="Barlow Semi Condensed"/>
          <w:b/>
          <w:bCs/>
          <w:sz w:val="24"/>
          <w:szCs w:val="24"/>
        </w:rPr>
        <w:t xml:space="preserve">Ne discende il bilancio del capitolo.\\ \\Nessuna delle tre vie di verifica rapida — edizione critica, banca dati parlamentare, catalogo online dell'archivio — è percorribile per il periodo Moro.</w:t>
      </w:r>
    </w:p>
    <w:p>
      <w:pPr>
        <w:spacing w:after="120" w:line="276"/>
        <w:jc w:val="both"/>
      </w:pPr>
      <w:r>
        <w:rPr>
          <w:rFonts w:ascii="Barlow Semi Condensed" w:cs="Barlow Semi Condensed" w:eastAsia="Barlow Semi Condensed" w:hAnsi="Barlow Semi Condensed"/>
          <w:b/>
          <w:bCs/>
          <w:sz w:val="24"/>
          <w:szCs w:val="24"/>
        </w:rPr>
        <w:t xml:space="preserve">Chi cerchi per via telematica trova silenzio. Chi vada in sede con un perimetro delimitato trova carte. La differenza fra le tredici ricognizioni e Varvelli è tutta qui.</w:t>
      </w:r>
    </w:p>
    <w:p>
      <w:pPr>
        <w:pStyle w:val="Heading2"/>
        <w:spacing w:after="100" w:before="200"/>
      </w:pPr>
      <w:r>
        <w:rPr>
          <w:rFonts w:ascii="Barlow Semi Condensed" w:cs="Barlow Semi Condensed" w:eastAsia="Barlow Semi Condensed" w:hAnsi="Barlow Semi Condensed"/>
          <w:sz w:val="24"/>
          <w:szCs w:val="24"/>
        </w:rPr>
        <w:t xml:space="preserve">Capitolo decimo — L'emendazione al Registro</w:t>
      </w:r>
    </w:p>
    <w:p>
      <w:pPr>
        <w:spacing w:after="120" w:line="276"/>
        <w:jc w:val="both"/>
      </w:pPr>
      <w:r>
        <w:rPr>
          <w:rFonts w:ascii="Barlow Semi Condensed" w:cs="Barlow Semi Condensed" w:eastAsia="Barlow Semi Condensed" w:hAnsi="Barlow Semi Condensed"/>
          <w:b/>
          <w:bCs/>
          <w:sz w:val="24"/>
          <w:szCs w:val="24"/>
        </w:rPr>
        <w:t xml:space="preserve">Il capitolo esegue una correzione a una voce già iscritta nel corpus, e la esegue formalmente perché una voce errata è peggio di una voce assente.</w:t>
      </w:r>
    </w:p>
    <w:p>
      <w:pPr>
        <w:spacing w:after="120" w:line="276"/>
        <w:jc w:val="both"/>
      </w:pPr>
      <w:r>
        <w:rPr>
          <w:rFonts w:ascii="Barlow Semi Condensed" w:cs="Barlow Semi Condensed" w:eastAsia="Barlow Semi Condensed" w:hAnsi="Barlow Semi Condensed"/>
          <w:b/>
          <w:bCs/>
          <w:sz w:val="24"/>
          <w:szCs w:val="24"/>
        </w:rPr>
        <w:t xml:space="preserve">La voce da emendare. Il Registro delle Undici Ricognizioni, al Capitolo quinto, quinta sede, iscrive il Fondo Moro presso l'Archivio Centrale dello Stato con l'avvertenza che l'inventario per la titolarità degli Esteri comincerebbe dal quarto governo Moro, cioè da novembre 1974, e dunque posteriore a gran parte del perimetro.</w:t>
      </w:r>
    </w:p>
    <w:p>
      <w:pPr>
        <w:spacing w:after="120" w:line="276"/>
        <w:jc w:val="both"/>
      </w:pPr>
      <w:r>
        <w:rPr>
          <w:rFonts w:ascii="Barlow Semi Condensed" w:cs="Barlow Semi Condensed" w:eastAsia="Barlow Semi Condensed" w:hAnsi="Barlow Semi Condensed"/>
          <w:b/>
          <w:bCs/>
          <w:sz w:val="24"/>
          <w:szCs w:val="24"/>
        </w:rPr>
        <w:t xml:space="preserve">Quell'avvertenza è smentita da questa ricognizione.</w:t>
      </w:r>
    </w:p>
    <w:p>
      <w:pPr>
        <w:spacing w:after="120" w:line="276"/>
        <w:jc w:val="both"/>
      </w:pPr>
      <w:r>
        <w:rPr>
          <w:rFonts w:ascii="Barlow Semi Condensed" w:cs="Barlow Semi Condensed" w:eastAsia="Barlow Semi Condensed" w:hAnsi="Barlow Semi Condensed"/>
          <w:b/>
          <w:bCs/>
          <w:sz w:val="24"/>
          <w:szCs w:val="24"/>
        </w:rPr>
        <w:t xml:space="preserve">Il riscontro. Il Fondo Aldo Moro cinquantatré-settantotto conserva documentazione sulla comunità italiana di Libia alla busta centotrentanove, fascicoli due punto uno, due punto due e due punto quattro; e il fascicolo due punto due contiene il rapporto di fine missione dell'ambasciatore Borromeo, del 1971.</w:t>
      </w:r>
    </w:p>
    <w:p>
      <w:pPr>
        <w:spacing w:after="120" w:line="276"/>
        <w:jc w:val="both"/>
      </w:pPr>
      <w:r>
        <w:rPr>
          <w:rFonts w:ascii="Barlow Semi Condensed" w:cs="Barlow Semi Condensed" w:eastAsia="Barlow Semi Condensed" w:hAnsi="Barlow Semi Condensed"/>
          <w:b/>
          <w:bCs/>
          <w:sz w:val="24"/>
          <w:szCs w:val="24"/>
        </w:rPr>
        <w:t xml:space="preserve">Ne discende che il materiale esteri del primo mandato è presente nel fondo, ancorché forse non riflesso pienamente nella struttura inventariale che l'avvertenza descriveva.</w:t>
      </w:r>
    </w:p>
    <w:p>
      <w:pPr>
        <w:spacing w:after="120" w:line="276"/>
        <w:jc w:val="both"/>
      </w:pPr>
      <w:r>
        <w:rPr>
          <w:rFonts w:ascii="Barlow Semi Condensed" w:cs="Barlow Semi Condensed" w:eastAsia="Barlow Semi Condensed" w:hAnsi="Barlow Semi Condensed"/>
          <w:b/>
          <w:bCs/>
          <w:sz w:val="24"/>
          <w:szCs w:val="24"/>
        </w:rPr>
        <w:t xml:space="preserve">La correzione va formulata così: il Fondo Moro contiene documentazione di rilievo esteri già per il 1969-1971, e l'avvertenza sulla decorrenza da novembre 1974 va espunta o quanto meno circoscritta a una parte dell'inventario.</w:t>
      </w:r>
    </w:p>
    <w:p>
      <w:pPr>
        <w:spacing w:after="120" w:line="276"/>
        <w:jc w:val="both"/>
      </w:pPr>
      <w:r>
        <w:rPr>
          <w:rFonts w:ascii="Barlow Semi Condensed" w:cs="Barlow Semi Condensed" w:eastAsia="Barlow Semi Condensed" w:hAnsi="Barlow Semi Condensed"/>
          <w:b/>
          <w:bCs/>
          <w:sz w:val="24"/>
          <w:szCs w:val="24"/>
        </w:rPr>
        <w:t xml:space="preserve">La conseguenza operativa è considerevole e va enunciata. Il Fondo Moro passa dall'ultimo posto in cui l'avvertenza lo collocava — sede parzialmente inutile per il perimetro — a sede di primo rango, perché consta di duecentodiciotto buste per gli anni 1953-1978, ha inventario analitico informatizzato e parziale digitalizzazione consultabile sul portale del Senato.</w:t>
      </w:r>
    </w:p>
    <w:p>
      <w:pPr>
        <w:spacing w:after="120" w:line="276"/>
        <w:jc w:val="both"/>
      </w:pPr>
      <w:r>
        <w:rPr>
          <w:rFonts w:ascii="Barlow Semi Condensed" w:cs="Barlow Semi Condensed" w:eastAsia="Barlow Semi Condensed" w:hAnsi="Barlow Semi Condensed"/>
          <w:b/>
          <w:bCs/>
          <w:sz w:val="24"/>
          <w:szCs w:val="24"/>
        </w:rPr>
        <w:t xml:space="preserve">Un fondo di duecentodiciotto buste, inventariato e in parte digitalizzato, che contiene carte esteri del primo mandato, era stato accantonato per un'avvertenza inesatta.</w:t>
      </w:r>
    </w:p>
    <w:p>
      <w:pPr>
        <w:pStyle w:val="Heading2"/>
        <w:spacing w:after="100" w:before="200"/>
      </w:pPr>
      <w:r>
        <w:rPr>
          <w:rFonts w:ascii="Barlow Semi Condensed" w:cs="Barlow Semi Condensed" w:eastAsia="Barlow Semi Condensed" w:hAnsi="Barlow Semi Condensed"/>
          <w:sz w:val="24"/>
          <w:szCs w:val="24"/>
        </w:rPr>
        <w:t xml:space="preserve">Registro l'errore come tale, e ne traggo la lezione che vale oltre il caso: un'avvertenza sull'inaccessibilità di un fondo, se accolta senza verifica, produce esattamente lo stesso effetto dell'inaccessibilità reale — con la differenza che è rimediabile.</w:t>
      </w:r>
    </w:p>
    <w:p>
      <w:pPr>
        <w:spacing w:after="120" w:line="276"/>
        <w:jc w:val="both"/>
      </w:pPr>
      <w:r>
        <w:rPr>
          <w:rFonts w:ascii="Barlow Semi Condensed" w:cs="Barlow Semi Condensed" w:eastAsia="Barlow Semi Condensed" w:hAnsi="Barlow Semi Condensed"/>
          <w:b/>
          <w:bCs/>
          <w:sz w:val="24"/>
          <w:szCs w:val="24"/>
        </w:rPr>
        <w:t xml:space="preserve">E ne discende un sospetto che la tavola dovrà verificare: quante altre delle quattordici sedi del Registro portano avvertenze non verificate?</w:t>
      </w:r>
    </w:p>
    <w:p>
      <w:pPr>
        <w:pStyle w:val="Heading2"/>
        <w:spacing w:after="100" w:before="200"/>
      </w:pPr>
      <w:r>
        <w:rPr>
          <w:rFonts w:ascii="Barlow Semi Condensed" w:cs="Barlow Semi Condensed" w:eastAsia="Barlow Semi Condensed" w:hAnsi="Barlow Semi Condensed"/>
          <w:sz w:val="24"/>
          <w:szCs w:val="24"/>
        </w:rPr>
        <w:t xml:space="preserve">Capitolo undicesimo — Il verdetto, perimetro per perimetro</w:t>
      </w:r>
    </w:p>
    <w:p>
      <w:pPr>
        <w:spacing w:after="120" w:line="276"/>
        <w:jc w:val="both"/>
      </w:pPr>
      <w:r>
        <w:rPr>
          <w:rFonts w:ascii="Barlow Semi Condensed" w:cs="Barlow Semi Condensed" w:eastAsia="Barlow Semi Condensed" w:hAnsi="Barlow Semi Condensed"/>
          <w:b/>
          <w:bCs/>
          <w:sz w:val="24"/>
          <w:szCs w:val="24"/>
        </w:rPr>
        <w:t xml:space="preserve">Il capitolo si pronuncia sulla domanda centrale, come il committente ha richiesto, e lo fa in modo articolato perché la risposta uniforme non sarebbe onesta.</w:t>
      </w:r>
    </w:p>
    <w:p>
      <w:pPr>
        <w:spacing w:after="120" w:line="276"/>
        <w:jc w:val="both"/>
      </w:pPr>
      <w:r>
        <w:rPr>
          <w:rFonts w:ascii="Barlow Semi Condensed" w:cs="Barlow Semi Condensed" w:eastAsia="Barlow Semi Condensed" w:hAnsi="Barlow Semi Condensed"/>
          <w:b/>
          <w:bCs/>
          <w:sz w:val="24"/>
          <w:szCs w:val="24"/>
        </w:rPr>
        <w:t xml:space="preserve">Il verdetto complessivo: il silenzio è misto.\\ Prevalentemente \\comportamentale nei casi già studiati\\, prevalentemente \\archivistico nei casi non studiati.</w:t>
      </w:r>
    </w:p>
    <w:p>
      <w:pPr>
        <w:spacing w:after="120" w:line="276"/>
        <w:jc w:val="both"/>
      </w:pPr>
      <w:r>
        <w:rPr>
          <w:rFonts w:ascii="Barlow Semi Condensed" w:cs="Barlow Semi Condensed" w:eastAsia="Barlow Semi Condensed" w:hAnsi="Barlow Semi Condensed"/>
          <w:b/>
          <w:bCs/>
          <w:sz w:val="24"/>
          <w:szCs w:val="24"/>
        </w:rPr>
        <w:t xml:space="preserve">La ragione della forma mista. La calibrazione libica dimostra che, quando lo Stato non poteva non agire, esso agì e la sua azione è ricostruibile. Ciò autorizza a leggere il non-comparire dello Stato come misura di condotta — ma solo a condizione che la condotta sia stata cercata dove essa risiede.</w:t>
      </w:r>
    </w:p>
    <w:p>
      <w:pPr>
        <w:spacing w:after="120" w:line="276"/>
        <w:jc w:val="both"/>
      </w:pPr>
      <w:r>
        <w:rPr>
          <w:rFonts w:ascii="Barlow Semi Condensed" w:cs="Barlow Semi Condensed" w:eastAsia="Barlow Semi Condensed" w:hAnsi="Barlow Semi Condensed"/>
          <w:b/>
          <w:bCs/>
          <w:sz w:val="24"/>
          <w:szCs w:val="24"/>
        </w:rPr>
        <w:t xml:space="preserve">Poiché nei sei perimetri non risultano studi fondati sullo spoglio delle serie pertinenti della Farnesina, il loro silenzio non può essere qualificato come comportamentale con la sicurezza con cui lo si può fare per la Libia.</w:t>
      </w:r>
    </w:p>
    <w:p>
      <w:pPr>
        <w:spacing w:after="120" w:line="276"/>
        <w:jc w:val="both"/>
      </w:pPr>
      <w:r>
        <w:rPr>
          <w:rFonts w:ascii="Barlow Semi Condensed" w:cs="Barlow Semi Condensed" w:eastAsia="Barlow Semi Condensed" w:hAnsi="Barlow Semi Condensed"/>
          <w:b/>
          <w:bCs/>
          <w:sz w:val="24"/>
          <w:szCs w:val="24"/>
        </w:rPr>
        <w:t xml:space="preserve">La ripartizione, perimetro per perimetro.</w:t>
      </w:r>
    </w:p>
    <w:p>
      <w:pPr>
        <w:spacing w:after="120" w:line="276"/>
        <w:jc w:val="both"/>
      </w:pPr>
      <w:r>
        <w:rPr>
          <w:rFonts w:ascii="Barlow Semi Condensed" w:cs="Barlow Semi Condensed" w:eastAsia="Barlow Semi Condensed" w:hAnsi="Barlow Semi Condensed"/>
          <w:b/>
          <w:bCs/>
          <w:sz w:val="24"/>
          <w:szCs w:val="24"/>
        </w:rPr>
        <w:t xml:space="preserve">Germania: silenzio probabilmente archivistico più che comportamentale. La ricerca di Francesca Zilio su Roma e Bonn fra Ostpolitik e CSCE dimostra che l'azione italiana verso la Germania esiste ed è documentabile. L'assenza rilevata dalla nona ricognizione riflette la mancanza di uno spoglio dedicato, non l'inazione.</w:t>
      </w:r>
    </w:p>
    <w:p>
      <w:pPr>
        <w:spacing w:after="120" w:line="276"/>
        <w:jc w:val="both"/>
      </w:pPr>
      <w:r>
        <w:rPr>
          <w:rFonts w:ascii="Barlow Semi Condensed" w:cs="Barlow Semi Condensed" w:eastAsia="Barlow Semi Condensed" w:hAnsi="Barlow Semi Condensed"/>
          <w:b/>
          <w:bCs/>
          <w:sz w:val="24"/>
          <w:szCs w:val="24"/>
        </w:rPr>
        <w:t xml:space="preserve">Questo è il caso in cui la ricognizione anteriore ha sbagliato con maggiore certezza, e lo si registra.</w:t>
      </w:r>
    </w:p>
    <w:p>
      <w:pPr>
        <w:spacing w:after="120" w:line="276"/>
        <w:jc w:val="both"/>
      </w:pPr>
      <w:r>
        <w:rPr>
          <w:rFonts w:ascii="Barlow Semi Condensed" w:cs="Barlow Semi Condensed" w:eastAsia="Barlow Semi Condensed" w:hAnsi="Barlow Semi Condensed"/>
          <w:b/>
          <w:bCs/>
          <w:sz w:val="24"/>
          <w:szCs w:val="24"/>
        </w:rPr>
        <w:t xml:space="preserve">Portogallo: silenzio misto. L'espulsione dei comboniani dal Mozambico il 13 aprile 1974, conseguenza del documento \Imperativo di coscienza\ del vescovo Manuel Vieira Pinto, è documentata da fonti ecclesiastiche — che parlano di undici comboniani, contro i nove del contesto acquisito e i tredici di altra tradizione — ma non risulta studiata sul versante della reazione italiana, che andrebbe cercata in Archivio Storico Diplomatico e negli archivi della Santa Sede e dell'ordine.</w:t>
      </w:r>
    </w:p>
    <w:p>
      <w:pPr>
        <w:spacing w:after="120" w:line="276"/>
        <w:jc w:val="both"/>
      </w:pPr>
      <w:r>
        <w:rPr>
          <w:rFonts w:ascii="Barlow Semi Condensed" w:cs="Barlow Semi Condensed" w:eastAsia="Barlow Semi Condensed" w:hAnsi="Barlow Semi Condensed"/>
          <w:b/>
          <w:bCs/>
          <w:sz w:val="24"/>
          <w:szCs w:val="24"/>
        </w:rPr>
        <w:t xml:space="preserve">Grecia, Cipro e Turchia: silenzio indeterminato, presuntivamente archivistico fino a spoglio contrario. Con un'avvertenza che li accomuna e che va enunciata: l'azione italiana in questi teatri passò in larga misura per sedi multilaterali — Comunità europea, Alleanza atlantica, Nazioni Unite — dove la traccia documentaria è dispersa fra più archivi.</w:t>
      </w:r>
    </w:p>
    <w:p>
      <w:pPr>
        <w:spacing w:after="120" w:line="276"/>
        <w:jc w:val="both"/>
      </w:pPr>
      <w:r>
        <w:rPr>
          <w:rFonts w:ascii="Barlow Semi Condensed" w:cs="Barlow Semi Condensed" w:eastAsia="Barlow Semi Condensed" w:hAnsi="Barlow Semi Condensed"/>
          <w:b/>
          <w:bCs/>
          <w:sz w:val="24"/>
          <w:szCs w:val="24"/>
        </w:rPr>
        <w:t xml:space="preserve">Ne discende che per questi tre perimetri il silenzio potrebbe non essere né comportamentale né archivistico ma topologico: l'azione esiste ed è documentata, ma non in un archivio nazionale.</w:t>
      </w:r>
    </w:p>
    <w:p>
      <w:pPr>
        <w:spacing w:after="120" w:line="276"/>
        <w:jc w:val="both"/>
      </w:pPr>
      <w:r>
        <w:rPr>
          <w:rFonts w:ascii="Barlow Semi Condensed" w:cs="Barlow Semi Condensed" w:eastAsia="Barlow Semi Condensed" w:hAnsi="Barlow Semi Condensed"/>
          <w:b/>
          <w:bCs/>
          <w:sz w:val="24"/>
          <w:szCs w:val="24"/>
        </w:rPr>
        <w:t xml:space="preserve">Spagna: il solo caso in cui la povertà di iniziative potrebbe riflettere una reale marginalità del dossier nell'agenda di Moro.\\ Ma \\anche qui l'affermazione va sospesa fino allo spoglio della serie spagnola.</w:t>
      </w:r>
    </w:p>
    <w:p>
      <w:pPr>
        <w:spacing w:after="120" w:line="276"/>
        <w:jc w:val="both"/>
      </w:pPr>
      <w:r>
        <w:rPr>
          <w:rFonts w:ascii="Barlow Semi Condensed" w:cs="Barlow Semi Condensed" w:eastAsia="Barlow Semi Condensed" w:hAnsi="Barlow Semi Condensed"/>
          <w:b/>
          <w:bCs/>
          <w:sz w:val="24"/>
          <w:szCs w:val="24"/>
        </w:rPr>
        <w:t xml:space="preserve">Ne discende che, dei sei perimetri, nessuno può oggi essere dichiarato comportamentalmente silenzioso con la sicurezza che compete alla Libia — dove peraltro la sicurezza riguarda l'esito opposto, cioè la presenza dell'azione.</w:t>
      </w:r>
    </w:p>
    <w:p>
      <w:pPr>
        <w:pStyle w:val="Heading2"/>
        <w:spacing w:after="100" w:before="200"/>
      </w:pPr>
      <w:r>
        <w:rPr>
          <w:rFonts w:ascii="Barlow Semi Condensed" w:cs="Barlow Semi Condensed" w:eastAsia="Barlow Semi Condensed" w:hAnsi="Barlow Semi Condensed"/>
          <w:sz w:val="24"/>
          <w:szCs w:val="24"/>
        </w:rPr>
        <w:t xml:space="preserve">Capitolo dodicesimo — Che cosa questo fa alle tredici ricognizioni</w:t>
      </w:r>
    </w:p>
    <w:p>
      <w:pPr>
        <w:spacing w:after="120" w:line="276"/>
        <w:jc w:val="both"/>
      </w:pPr>
      <w:r>
        <w:rPr>
          <w:rFonts w:ascii="Barlow Semi Condensed" w:cs="Barlow Semi Condensed" w:eastAsia="Barlow Semi Condensed" w:hAnsi="Barlow Semi Condensed"/>
          <w:b/>
          <w:bCs/>
          <w:sz w:val="24"/>
          <w:szCs w:val="24"/>
        </w:rPr>
        <w:t xml:space="preserve">La lezione metodologica, enunciata senza attenuazioni perché riguarda il lavoro fatto.</w:t>
      </w:r>
    </w:p>
    <w:p>
      <w:pPr>
        <w:spacing w:after="120" w:line="276"/>
        <w:jc w:val="both"/>
      </w:pPr>
      <w:r>
        <w:rPr>
          <w:rFonts w:ascii="Barlow Semi Condensed" w:cs="Barlow Semi Condensed" w:eastAsia="Barlow Semi Condensed" w:hAnsi="Barlow Semi Condensed"/>
          <w:b/>
          <w:bCs/>
          <w:sz w:val="24"/>
          <w:szCs w:val="24"/>
        </w:rPr>
        <w:t xml:space="preserve">Le tredici ricognizioni hanno misurato in modo affidabile ciò che gli studi hanno reso visibile, e in modo inaffidabile ciò che nessuno studio ha ancora scandagliato.</w:t>
      </w:r>
    </w:p>
    <w:p>
      <w:pPr>
        <w:spacing w:after="120" w:line="276"/>
        <w:jc w:val="both"/>
      </w:pPr>
      <w:r>
        <w:rPr>
          <w:rFonts w:ascii="Barlow Semi Condensed" w:cs="Barlow Semi Condensed" w:eastAsia="Barlow Semi Condensed" w:hAnsi="Barlow Semi Condensed"/>
          <w:b/>
          <w:bCs/>
          <w:sz w:val="24"/>
          <w:szCs w:val="24"/>
        </w:rPr>
        <w:t xml:space="preserve">La Libia prova che lo strumento funziona. Prova anche che va calibrato sull'accessibilità delle carte prima di trarre conclusioni sull'inazione.</w:t>
      </w:r>
    </w:p>
    <w:p>
      <w:pPr>
        <w:spacing w:after="120" w:line="276"/>
        <w:jc w:val="both"/>
      </w:pPr>
      <w:r>
        <w:rPr>
          <w:rFonts w:ascii="Barlow Semi Condensed" w:cs="Barlow Semi Condensed" w:eastAsia="Barlow Semi Condensed" w:hAnsi="Barlow Semi Condensed"/>
          <w:b/>
          <w:bCs/>
          <w:sz w:val="24"/>
          <w:szCs w:val="24"/>
        </w:rPr>
        <w:t xml:space="preserve">Che cosa resta valido del lavoro anteriore. Restano validi tutti gli accertamenti positivi; resta valido il nesso Oder-Neisse; restano validi gli Stati Zero di quarto grado, cioè gli insiemi vuoti verificati contro il registro ufficiale del soggetto, che non dipendono dall'accessibilità di archivi di Stato. Resta valida la genealogia della connessione falsa.</w:t>
      </w:r>
    </w:p>
    <w:p>
      <w:pPr>
        <w:spacing w:after="120" w:line="276"/>
        <w:jc w:val="both"/>
      </w:pPr>
      <w:r>
        <w:rPr>
          <w:rFonts w:ascii="Barlow Semi Condensed" w:cs="Barlow Semi Condensed" w:eastAsia="Barlow Semi Condensed" w:hAnsi="Barlow Semi Condensed"/>
          <w:b/>
          <w:bCs/>
          <w:sz w:val="24"/>
          <w:szCs w:val="24"/>
        </w:rPr>
        <w:t xml:space="preserve">Che cosa va riqualificato.\\ \\La regolarità sull'assenza dello Stato italiano\\, che il Registro iscrive come prima regolarità empirica della serie, \\va riformulata.</w:t>
      </w:r>
    </w:p>
    <w:p>
      <w:pPr>
        <w:spacing w:after="120" w:line="276"/>
        <w:jc w:val="both"/>
      </w:pPr>
      <w:r>
        <w:rPr>
          <w:rFonts w:ascii="Barlow Semi Condensed" w:cs="Barlow Semi Condensed" w:eastAsia="Barlow Semi Condensed" w:hAnsi="Barlow Semi Condensed"/>
          <w:b/>
          <w:bCs/>
          <w:sz w:val="24"/>
          <w:szCs w:val="24"/>
        </w:rPr>
        <w:t xml:space="preserve">Nella forma attuale essa dice: il governo italiano non compare come attore documentato in nessuno dei sei perimetri.</w:t>
      </w:r>
    </w:p>
    <w:p>
      <w:pPr>
        <w:spacing w:after="120" w:line="276"/>
        <w:jc w:val="both"/>
      </w:pPr>
      <w:r>
        <w:rPr>
          <w:rFonts w:ascii="Barlow Semi Condensed" w:cs="Barlow Semi Condensed" w:eastAsia="Barlow Semi Condensed" w:hAnsi="Barlow Semi Condensed"/>
          <w:b/>
          <w:bCs/>
          <w:sz w:val="24"/>
          <w:szCs w:val="24"/>
        </w:rPr>
        <w:t xml:space="preserve">Nella forma emendata deve dire: il governo italiano non compare negli studi disponibili su nessuno dei sei perimetri, e per nessuno di essi è stato condotto lo spoglio archivistico che solo potrebbe distinguere l'assenza di azione dall'assenza di ricerca.</w:t>
      </w:r>
    </w:p>
    <w:p>
      <w:pPr>
        <w:spacing w:after="120" w:line="276"/>
        <w:jc w:val="both"/>
      </w:pPr>
      <w:r>
        <w:rPr>
          <w:rFonts w:ascii="Barlow Semi Condensed" w:cs="Barlow Semi Condensed" w:eastAsia="Barlow Semi Condensed" w:hAnsi="Barlow Semi Condensed"/>
          <w:b/>
          <w:bCs/>
          <w:sz w:val="24"/>
          <w:szCs w:val="24"/>
        </w:rPr>
        <w:t xml:space="preserve">La differenza fra le due formulazioni è la differenza fra un accertamento e una descrizione dello stato della letteratura.</w:t>
      </w:r>
    </w:p>
    <w:p>
      <w:pPr>
        <w:spacing w:after="120" w:line="276"/>
        <w:jc w:val="both"/>
      </w:pPr>
      <w:r>
        <w:rPr>
          <w:rFonts w:ascii="Barlow Semi Condensed" w:cs="Barlow Semi Condensed" w:eastAsia="Barlow Semi Condensed" w:hAnsi="Barlow Semi Condensed"/>
          <w:b/>
          <w:bCs/>
          <w:sz w:val="24"/>
          <w:szCs w:val="24"/>
        </w:rPr>
        <w:t xml:space="preserve">Tre voci nuove per la tavola, in ordine di rendimento.</w:t>
      </w:r>
    </w:p>
    <w:p>
      <w:pPr>
        <w:spacing w:after="120" w:line="276"/>
        <w:jc w:val="both"/>
      </w:pPr>
      <w:r>
        <w:rPr>
          <w:rFonts w:ascii="Barlow Semi Condensed" w:cs="Barlow Semi Condensed" w:eastAsia="Barlow Semi Condensed" w:hAnsi="Barlow Semi Condensed"/>
          <w:b/>
          <w:bCs/>
          <w:sz w:val="24"/>
          <w:szCs w:val="24"/>
        </w:rPr>
        <w:t xml:space="preserve">Prima. Lo spoglio della serie Affari Politici dell'Archivio Storico Diplomatico per ciascuno dei sei perimetri, 1969-1974, previa richiesta dell'elenco dei faldoni. È la sola operazione che trasformi un silenzio presunto in esito accertato.</w:t>
      </w:r>
    </w:p>
    <w:p>
      <w:pPr>
        <w:spacing w:after="120" w:line="276"/>
        <w:jc w:val="both"/>
      </w:pPr>
      <w:r>
        <w:rPr>
          <w:rFonts w:ascii="Barlow Semi Condensed" w:cs="Barlow Semi Condensed" w:eastAsia="Barlow Semi Condensed" w:hAnsi="Barlow Semi Condensed"/>
          <w:b/>
          <w:bCs/>
          <w:sz w:val="24"/>
          <w:szCs w:val="24"/>
        </w:rPr>
        <w:t xml:space="preserve">Seconda, ed è nuova e nasce da Osimo.\\ La verifica dell'esistenza di \\canali paralleli alla Farnesina\\ per ciascun perimetro, presso i ministeri competenti per materia. \\Nessuna ricognizione l'ha cercata, e Osimo prova che il caso esiste.</w:t>
      </w:r>
    </w:p>
    <w:p>
      <w:pPr>
        <w:spacing w:after="120" w:line="276"/>
        <w:jc w:val="both"/>
      </w:pPr>
      <w:r>
        <w:rPr>
          <w:rFonts w:ascii="Barlow Semi Condensed" w:cs="Barlow Semi Condensed" w:eastAsia="Barlow Semi Condensed" w:hAnsi="Barlow Semi Condensed"/>
          <w:b/>
          <w:bCs/>
          <w:sz w:val="24"/>
          <w:szCs w:val="24"/>
        </w:rPr>
        <w:t xml:space="preserve">Terza. Lo spoglio integrale del Fondo Moro oltre la busta centotrentanove, con verifica diretta della struttura inventariale, alla luce dell'emendazione del Capitolo decimo.</w:t>
      </w:r>
    </w:p>
    <w:p>
      <w:pPr>
        <w:spacing w:after="120" w:line="276"/>
        <w:jc w:val="both"/>
      </w:pPr>
      <w:r>
        <w:rPr>
          <w:rFonts w:ascii="Barlow Semi Condensed" w:cs="Barlow Semi Condensed" w:eastAsia="Barlow Semi Condensed" w:hAnsi="Barlow Semi Condensed"/>
          <w:b/>
          <w:bCs/>
          <w:sz w:val="24"/>
          <w:szCs w:val="24"/>
        </w:rPr>
        <w:t xml:space="preserve">E una osservazione conclusiva, che riguarda il senso di quattordici ricognizioni.</w:t>
      </w:r>
    </w:p>
    <w:p>
      <w:pPr>
        <w:spacing w:after="120" w:line="276"/>
        <w:jc w:val="both"/>
      </w:pPr>
      <w:r>
        <w:rPr>
          <w:rFonts w:ascii="Barlow Semi Condensed" w:cs="Barlow Semi Condensed" w:eastAsia="Barlow Semi Condensed" w:hAnsi="Barlow Semi Condensed"/>
          <w:b/>
          <w:bCs/>
          <w:sz w:val="24"/>
          <w:szCs w:val="24"/>
        </w:rPr>
        <w:t xml:space="preserve">La tredicesima si chiudeva constatando che, dove l'archivio italiano si era aperto una volta, non vi era silenzio ma un documento falso. Concludevo che non sapevo se questo rendesse più o meno preoccupante il silenzio degli altri perimetri, e che lo rendeva una domanda diversa.</w:t>
      </w:r>
    </w:p>
    <w:p>
      <w:pPr>
        <w:spacing w:after="120" w:line="276"/>
        <w:jc w:val="both"/>
      </w:pPr>
      <w:r>
        <w:rPr>
          <w:rFonts w:ascii="Barlow Semi Condensed" w:cs="Barlow Semi Condensed" w:eastAsia="Barlow Semi Condensed" w:hAnsi="Barlow Semi Condensed"/>
          <w:b/>
          <w:bCs/>
          <w:sz w:val="24"/>
          <w:szCs w:val="24"/>
        </w:rPr>
        <w:t xml:space="preserve">Questa quattordicesima risponde a quella domanda, e la risposta è meno drammatica di quanto la formulazione lasciasse temere.</w:t>
      </w:r>
    </w:p>
    <w:p>
      <w:pPr>
        <w:spacing w:after="120" w:line="276"/>
        <w:jc w:val="both"/>
      </w:pPr>
      <w:r>
        <w:rPr>
          <w:rFonts w:ascii="Barlow Semi Condensed" w:cs="Barlow Semi Condensed" w:eastAsia="Barlow Semi Condensed" w:hAnsi="Barlow Semi Condensed"/>
          <w:b/>
          <w:bCs/>
          <w:sz w:val="24"/>
          <w:szCs w:val="24"/>
        </w:rPr>
        <w:t xml:space="preserve">Il silenzio degli altri perimetri non è, in prevalenza, un occultamento. È in larga parte l'ombra proiettata da tre circostanze materiali: una collana documentaria ferma al 1952, una banca dati parlamentare che comincia dal 1976, un archivio che non si lascia esplorare ma solo interrogare.</w:t>
      </w:r>
    </w:p>
    <w:p>
      <w:pPr>
        <w:spacing w:after="120" w:line="276"/>
        <w:jc w:val="both"/>
      </w:pPr>
      <w:r>
        <w:rPr>
          <w:rFonts w:ascii="Barlow Semi Condensed" w:cs="Barlow Semi Condensed" w:eastAsia="Barlow Semi Condensed" w:hAnsi="Barlow Semi Condensed"/>
          <w:b/>
          <w:bCs/>
          <w:sz w:val="24"/>
          <w:szCs w:val="24"/>
        </w:rPr>
        <w:t xml:space="preserve">Non è un risultato meno importante. È un risultato meno romanzesco, e per questo più utile: perché indica che cosa fare — quattordici sedi, un elenco di faldoni, e qualcuno che ci vada.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 · Il Silenzio Dello Stato: Azione O Archivio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4.573 parole in 9 sezioni; la più ampia è §9 Altre sezioni, con 3.776.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150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 — L'Italia, L'Aermacchi E Il Sudafrica Dell'Apartheid</w:t>
      </w:r>
    </w:p>
    <w:p>
      <w:pPr>
        <w:pStyle w:val="Heading1"/>
        <w:spacing w:after="120" w:before="240"/>
      </w:pPr>
      <w:r>
        <w:rPr>
          <w:rFonts w:ascii="Barlow Semi Condensed" w:cs="Barlow Semi Condensed" w:eastAsia="Barlow Semi Condensed" w:hAnsi="Barlow Semi Condensed"/>
          <w:sz w:val="24"/>
          <w:szCs w:val="24"/>
        </w:rPr>
        <w:t xml:space="preserve">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Quindicesima ricognizione: la presenza anziche l'assenza</w:t>
      </w:r>
    </w:p>
    <w:p>
      <w:pPr>
        <w:pStyle w:val="Heading2"/>
        <w:spacing w:after="100" w:before="200"/>
      </w:pPr>
      <w:r>
        <w:rPr>
          <w:rFonts w:ascii="Barlow Semi Condensed" w:cs="Barlow Semi Condensed" w:eastAsia="Barlow Semi Condensed" w:hAnsi="Barlow Semi Condensed"/>
          <w:sz w:val="24"/>
          <w:szCs w:val="24"/>
        </w:rPr>
        <w:t xml:space="preserve">Il regime del 1941 e il nono grado di Stato Zero: l'atto atipico</w:t>
      </w:r>
    </w:p>
    <w:p>
      <w:pPr>
        <w:pStyle w:val="Heading2"/>
        <w:spacing w:after="100" w:before="200"/>
      </w:pPr>
      <w:r>
        <w:rPr>
          <w:rFonts w:ascii="Barlow Semi Condensed" w:cs="Barlow Semi Condensed" w:eastAsia="Barlow Semi Condensed" w:hAnsi="Barlow Semi Condensed"/>
          <w:sz w:val="24"/>
          <w:szCs w:val="24"/>
        </w:rPr>
        <w:t xml:space="preserve">Dodici Capitoli — sette acquisizioni — due voti opposti nello stesso giorno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sola ricognizione che muova da una presenza</w:t>
      </w:r>
    </w:p>
    <w:p>
      <w:pPr>
        <w:spacing w:after="120" w:line="276"/>
        <w:jc w:val="both"/>
      </w:pPr>
      <w:r>
        <w:rPr>
          <w:rFonts w:ascii="Barlow Semi Condensed" w:cs="Barlow Semi Condensed" w:eastAsia="Barlow Semi Condensed" w:hAnsi="Barlow Semi Condensed"/>
          <w:b/>
          <w:bCs/>
          <w:sz w:val="24"/>
          <w:szCs w:val="24"/>
        </w:rPr>
        <w:t xml:space="preserve">Quattordici ricognizioni sono partite da un'assenza da verificare. Questa parte da una presenza documentata, e la differenza cambia tutto.</w:t>
      </w:r>
    </w:p>
    <w:p>
      <w:pPr>
        <w:spacing w:after="120" w:line="276"/>
        <w:jc w:val="both"/>
      </w:pPr>
      <w:r>
        <w:rPr>
          <w:rFonts w:ascii="Barlow Semi Condensed" w:cs="Barlow Semi Condensed" w:eastAsia="Barlow Semi Condensed" w:hAnsi="Barlow Semi Condensed"/>
          <w:b/>
          <w:bCs/>
          <w:sz w:val="24"/>
          <w:szCs w:val="24"/>
        </w:rPr>
        <w:t xml:space="preserve">Il fatto di partenza, che non richiede dimostrazione. L'Aermacchi MB-326, progettato dall'ingegnere Ermanno Bazzocchi presso l'Aeronautica Macchi di Varese e volato in prototipo il 10 dicembre 1957, fu prodotto su licenza in Sudafrica dall'Atlas Aircraft Corporation con la denominazione Impala. La licenza è del 1964, la produzione locale iniziò nel 1966, e gli esemplari furono impiegati operativamente dalla South African Air Force.</w:t>
      </w:r>
    </w:p>
    <w:p>
      <w:pPr>
        <w:spacing w:after="120" w:line="276"/>
        <w:jc w:val="both"/>
      </w:pPr>
      <w:r>
        <w:rPr>
          <w:rFonts w:ascii="Barlow Semi Condensed" w:cs="Barlow Semi Condensed" w:eastAsia="Barlow Semi Condensed" w:hAnsi="Barlow Semi Condensed"/>
          <w:b/>
          <w:bCs/>
          <w:sz w:val="24"/>
          <w:szCs w:val="24"/>
        </w:rPr>
        <w:t xml:space="preserve">La produzione corse per l'intero arco in cui Aldo Moro resse la Farnesina e poi la Presidenza del Consiglio.</w:t>
      </w:r>
    </w:p>
    <w:p>
      <w:pPr>
        <w:spacing w:after="120" w:line="276"/>
        <w:jc w:val="both"/>
      </w:pPr>
      <w:r>
        <w:rPr>
          <w:rFonts w:ascii="Barlow Semi Condensed" w:cs="Barlow Semi Condensed" w:eastAsia="Barlow Semi Condensed" w:hAnsi="Barlow Semi Condensed"/>
          <w:b/>
          <w:bCs/>
          <w:sz w:val="24"/>
          <w:szCs w:val="24"/>
        </w:rPr>
        <w:t xml:space="preserve">Ne discende che la domanda non è se l'Italia fosse presente — lo era in modo palese — ma che cosa il governo italiano abbia fatto di quella presenza.</w:t>
      </w:r>
    </w:p>
    <w:p>
      <w:pPr>
        <w:spacing w:after="120" w:line="276"/>
        <w:jc w:val="both"/>
      </w:pPr>
      <w:r>
        <w:rPr>
          <w:rFonts w:ascii="Barlow Semi Condensed" w:cs="Barlow Semi Condensed" w:eastAsia="Barlow Semi Condensed" w:hAnsi="Barlow Semi Condensed"/>
          <w:b/>
          <w:bCs/>
          <w:sz w:val="24"/>
          <w:szCs w:val="24"/>
        </w:rPr>
        <w:t xml:space="preserve">La prescrizione ereditata dalla ricognizione anteriore, e va enunciata perché governa tutto il documento. La quattordicesima ha accertato che il negoziato di Osimo fu condotto attraverso un canale del Ministero dell'Industria, e che esso 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b/>
          <w:bCs/>
          <w:sz w:val="24"/>
          <w:szCs w:val="24"/>
        </w:rPr>
        <w:t xml:space="preserve">Ne discende che l'assenza di traccia nell'archivio diplomatico è compatibile con la presenza di azione altrove.</w:t>
      </w:r>
    </w:p>
    <w:p>
      <w:pPr>
        <w:spacing w:after="120" w:line="276"/>
        <w:jc w:val="both"/>
      </w:pPr>
      <w:r>
        <w:rPr>
          <w:rFonts w:ascii="Barlow Semi Condensed" w:cs="Barlow Semi Condensed" w:eastAsia="Barlow Semi Condensed" w:hAnsi="Barlow Semi Condensed"/>
          <w:b/>
          <w:bCs/>
          <w:sz w:val="24"/>
          <w:szCs w:val="24"/>
        </w:rPr>
        <w:t xml:space="preserve">Pertanto questa ricognizione si è vietata di concludere per l'inazione senza avere prima identificato l'apparato competente. E l'ha identificato. Il Capitolo sesto espone il risultato, che è il più importante del documento e che non somiglia a nulla di quanto la serie abbia finora prodotto.</w:t>
      </w:r>
    </w:p>
    <w:p>
      <w:pPr>
        <w:spacing w:after="120" w:line="276"/>
        <w:jc w:val="both"/>
      </w:pPr>
      <w:r>
        <w:rPr>
          <w:rFonts w:ascii="Barlow Semi Condensed" w:cs="Barlow Semi Condensed" w:eastAsia="Barlow Semi Condensed" w:hAnsi="Barlow Semi Condensed"/>
          <w:b/>
          <w:bCs/>
          <w:sz w:val="24"/>
          <w:szCs w:val="24"/>
        </w:rPr>
        <w:t xml:space="preserve">Il regime giuridico, che va fissato subito perché è dirimente e perché la valutazione retroattiva sarebbe scorretta. La risoluzione centottantuno del Consiglio di Sicurezza del 7 agosto 1963 chiese a tutti gli Stati di cessare la vendita di armi al Sudafrica con formula di raccomandazione ed espressamente su base volontaria; la centottantadue del 4 dicembre 1963 ne confermò il carattere volontario. L'embargo divenne obbligatorio solo con la risoluzione quattrocentodiciotto del 4 novembre 1977, adottata all'unanimità ai sensi del Capitolo settimo della Carta.</w:t>
      </w:r>
    </w:p>
    <w:p>
      <w:pPr>
        <w:spacing w:after="120" w:line="276"/>
        <w:jc w:val="both"/>
      </w:pPr>
      <w:r>
        <w:rPr>
          <w:rFonts w:ascii="Barlow Semi Condensed" w:cs="Barlow Semi Condensed" w:eastAsia="Barlow Semi Condensed" w:hAnsi="Barlow Semi Condensed"/>
          <w:b/>
          <w:bCs/>
          <w:sz w:val="24"/>
          <w:szCs w:val="24"/>
        </w:rPr>
        <w:t xml:space="preserve">I mandati di Moro si chiusero il 29 luglio 1976. L'intero periodo si colloca sotto il regime raccomandato e non sotto quello obbligatorio.</w:t>
      </w:r>
    </w:p>
    <w:p>
      <w:pPr>
        <w:spacing w:after="120" w:line="276"/>
        <w:jc w:val="both"/>
      </w:pPr>
      <w:r>
        <w:rPr>
          <w:rFonts w:ascii="Barlow Semi Condensed" w:cs="Barlow Semi Condensed" w:eastAsia="Barlow Semi Condensed" w:hAnsi="Barlow Semi Condensed"/>
          <w:b/>
          <w:bCs/>
          <w:sz w:val="24"/>
          <w:szCs w:val="24"/>
        </w:rPr>
        <w:t xml:space="preserve">Ciò non esclude la valutazione politica, ma impone di non qualificare come violazione ciò che nel diritto del tempo non lo era.</w:t>
      </w:r>
    </w:p>
    <w:p>
      <w:pPr>
        <w:spacing w:after="120" w:line="276"/>
        <w:jc w:val="both"/>
      </w:pPr>
      <w:r>
        <w:rPr>
          <w:rFonts w:ascii="Barlow Semi Condensed" w:cs="Barlow Semi Condensed" w:eastAsia="Barlow Semi Condensed" w:hAnsi="Barlow Semi Condensed"/>
          <w:b/>
          <w:bCs/>
          <w:sz w:val="24"/>
          <w:szCs w:val="24"/>
        </w:rPr>
        <w:t xml:space="preserve">E va enunciato come contesto, una volta e senza che impedisca l'accertamento dei fatti: l'apartheid fu un sistema di segregazione razziale istituzionalizzata che l'Assemblea generale qualificò come crimine contro l'umanità.</w:t>
      </w:r>
    </w:p>
    <w:p>
      <w:pPr>
        <w:pStyle w:val="Heading2"/>
        <w:spacing w:after="100" w:before="200"/>
      </w:pPr>
      <w:r>
        <w:rPr>
          <w:rFonts w:ascii="Barlow Semi Condensed" w:cs="Barlow Semi Condensed" w:eastAsia="Barlow Semi Condensed" w:hAnsi="Barlow Semi Condensed"/>
          <w:sz w:val="24"/>
          <w:szCs w:val="24"/>
        </w:rPr>
        <w:t xml:space="preserve">Capitolo secondo — La licenza, i numeri, e le divergenze che non si risolvono</w:t>
      </w:r>
    </w:p>
    <w:p>
      <w:pPr>
        <w:spacing w:after="120" w:line="276"/>
        <w:jc w:val="both"/>
      </w:pPr>
      <w:r>
        <w:rPr>
          <w:rFonts w:ascii="Barlow Semi Condensed" w:cs="Barlow Semi Condensed" w:eastAsia="Barlow Semi Condensed" w:hAnsi="Barlow Semi Condensed"/>
          <w:b/>
          <w:bCs/>
          <w:sz w:val="24"/>
          <w:szCs w:val="24"/>
        </w:rPr>
        <w:t xml:space="preserve">Il capitolo espone i fatti industriali e mantiene le divergenze.</w:t>
      </w:r>
    </w:p>
    <w:p>
      <w:pPr>
        <w:spacing w:after="120" w:line="276"/>
        <w:jc w:val="both"/>
      </w:pPr>
      <w:r>
        <w:rPr>
          <w:rFonts w:ascii="Barlow Semi Condensed" w:cs="Barlow Semi Condensed" w:eastAsia="Barlow Semi Condensed" w:hAnsi="Barlow Semi Condensed"/>
          <w:b/>
          <w:bCs/>
          <w:sz w:val="24"/>
          <w:szCs w:val="24"/>
        </w:rPr>
        <w:t xml:space="preserve">La cronologia. Il Sudafrica ottenne nel 1964 la licenza di produzione della versione MB-326M, corrispondente alla variante G, denominata localmente Impala Mark primo; la produzione iniziò nel 1966, con primo volo dell'esemplare di costruzione locale nell'autunno 1966. La produzione della versione monoposto Impala Mark secondo iniziò nel 1974.</w:t>
      </w:r>
    </w:p>
    <w:p>
      <w:pPr>
        <w:spacing w:after="120" w:line="276"/>
        <w:jc w:val="both"/>
      </w:pPr>
      <w:r>
        <w:rPr>
          <w:rFonts w:ascii="Barlow Semi Condensed" w:cs="Barlow Semi Condensed" w:eastAsia="Barlow Semi Condensed" w:hAnsi="Barlow Semi Condensed"/>
          <w:b/>
          <w:bCs/>
          <w:sz w:val="24"/>
          <w:szCs w:val="24"/>
        </w:rPr>
        <w:t xml:space="preserve">L'Atlas Aircraft Corporation era stata costituita nel 1965 con lo scopo precipuo di fabbricare localmente velivoli militari, e fu riorganizzata nel 1968 poco dopo la creazione dell'Armaments Corporation of South Africa, il conglomerato statale della difesa, sotto il cui controllo venne posta.</w:t>
      </w:r>
    </w:p>
    <w:p>
      <w:pPr>
        <w:spacing w:after="120" w:line="276"/>
        <w:jc w:val="both"/>
      </w:pPr>
      <w:r>
        <w:rPr>
          <w:rFonts w:ascii="Barlow Semi Condensed" w:cs="Barlow Semi Condensed" w:eastAsia="Barlow Semi Condensed" w:hAnsi="Barlow Semi Condensed"/>
          <w:b/>
          <w:bCs/>
          <w:sz w:val="24"/>
          <w:szCs w:val="24"/>
        </w:rPr>
        <w:t xml:space="preserve">Un dato va isolato perché qualifica la natura dell'operazione. L'MB-326 fu il primo velivolo prodotto su licenza in Sudafrica, e il programma servì da leva per la costituzione di un'industria aeronautica nazionale, secondo un disegno di sostituzione delle importazioni che le pressioni internazionali rendevano necessario.</w:t>
      </w:r>
    </w:p>
    <w:p>
      <w:pPr>
        <w:spacing w:after="120" w:line="276"/>
        <w:jc w:val="both"/>
      </w:pPr>
      <w:r>
        <w:rPr>
          <w:rFonts w:ascii="Barlow Semi Condensed" w:cs="Barlow Semi Condensed" w:eastAsia="Barlow Semi Condensed" w:hAnsi="Barlow Semi Condensed"/>
          <w:b/>
          <w:bCs/>
          <w:sz w:val="24"/>
          <w:szCs w:val="24"/>
        </w:rPr>
        <w:t xml:space="preserve">Ne discende che il canale italiano non fornì soltanto aerei: fornì la capacità di costruirli.</w:t>
      </w:r>
    </w:p>
    <w:p>
      <w:pPr>
        <w:spacing w:after="120" w:line="276"/>
        <w:jc w:val="both"/>
      </w:pPr>
      <w:r>
        <w:rPr>
          <w:rFonts w:ascii="Barlow Semi Condensed" w:cs="Barlow Semi Condensed" w:eastAsia="Barlow Semi Condensed" w:hAnsi="Barlow Semi Condensed"/>
          <w:b/>
          <w:bCs/>
          <w:sz w:val="24"/>
          <w:szCs w:val="24"/>
        </w:rPr>
        <w:t xml:space="preserve">Le due varianti vanno distinte e la distinzione va tenuta ferma. L'Impala Mark primo era il biposto da addestramento e appoggio. L'Impala Mark secondo era il monoposto da attacco al suolo derivato dall'MB-326K, con cellula rinforzata, motore Viper della serie seicento, due cannoni da trenta millimetri, armamento di produzione francese e una suite di guerra elettronica di sviluppo sudafricano.</w:t>
      </w:r>
    </w:p>
    <w:p>
      <w:pPr>
        <w:spacing w:after="120" w:line="276"/>
        <w:jc w:val="both"/>
      </w:pPr>
      <w:r>
        <w:rPr>
          <w:rFonts w:ascii="Barlow Semi Condensed" w:cs="Barlow Semi Condensed" w:eastAsia="Barlow Semi Condensed" w:hAnsi="Barlow Semi Condensed"/>
          <w:b/>
          <w:bCs/>
          <w:sz w:val="24"/>
          <w:szCs w:val="24"/>
        </w:rPr>
        <w:t xml:space="preserve">L'evoluzione — dal biposto italiano al monoposto a contenuto crescentemente locale — documenta come il Sudafrica abbia progressivamente ridotto la dipendenza dal fornitore originario.</w:t>
      </w:r>
    </w:p>
    <w:p>
      <w:pPr>
        <w:spacing w:after="120" w:line="276"/>
        <w:jc w:val="both"/>
      </w:pPr>
      <w:r>
        <w:rPr>
          <w:rFonts w:ascii="Barlow Semi Condensed" w:cs="Barlow Semi Condensed" w:eastAsia="Barlow Semi Condensed" w:hAnsi="Barlow Semi Condensed"/>
          <w:b/>
          <w:bCs/>
          <w:sz w:val="24"/>
          <w:szCs w:val="24"/>
        </w:rPr>
        <w:t xml:space="preserve">E adesso i numeri, con le divergenze che il metodo impone di riportare anziché risolvere.</w:t>
      </w:r>
    </w:p>
    <w:p>
      <w:pPr>
        <w:spacing w:after="120" w:line="276"/>
        <w:jc w:val="both"/>
      </w:pPr>
      <w:r>
        <w:rPr>
          <w:rFonts w:ascii="Barlow Semi Condensed" w:cs="Barlow Semi Condensed" w:eastAsia="Barlow Semi Condensed" w:hAnsi="Barlow Semi Condensed"/>
          <w:b/>
          <w:bCs/>
          <w:sz w:val="24"/>
          <w:szCs w:val="24"/>
        </w:rPr>
        <w:t xml:space="preserve">Sul primo lotto di costruzione italiana: la maggior parte delle fonti indica quaranta esemplari; almeno una riporta sedici, segnalando essa stessa la variabilità.</w:t>
      </w:r>
    </w:p>
    <w:p>
      <w:pPr>
        <w:spacing w:after="120" w:line="276"/>
        <w:jc w:val="both"/>
      </w:pPr>
      <w:r>
        <w:rPr>
          <w:rFonts w:ascii="Barlow Semi Condensed" w:cs="Barlow Semi Condensed" w:eastAsia="Barlow Semi Condensed" w:hAnsi="Barlow Semi Condensed"/>
          <w:b/>
          <w:bCs/>
          <w:sz w:val="24"/>
          <w:szCs w:val="24"/>
        </w:rPr>
        <w:t xml:space="preserve">Sugli esemplari costruiti localmente\\: la cifra più ricorrente è di circa \\centoventicinque\\ Impala Mark primo; compare anche \\centotrentacinque.</w:t>
      </w:r>
    </w:p>
    <w:p>
      <w:pPr>
        <w:spacing w:after="120" w:line="276"/>
        <w:jc w:val="both"/>
      </w:pPr>
      <w:r>
        <w:rPr>
          <w:rFonts w:ascii="Barlow Semi Condensed" w:cs="Barlow Semi Condensed" w:eastAsia="Barlow Semi Condensed" w:hAnsi="Barlow Semi Condensed"/>
          <w:b/>
          <w:bCs/>
          <w:sz w:val="24"/>
          <w:szCs w:val="24"/>
        </w:rPr>
        <w:t xml:space="preserve">Sulla versione monoposto: sette MB-326K acquistati, quindici assemblati da kit, circa settantotto prodotti su licenza.</w:t>
      </w:r>
    </w:p>
    <w:p>
      <w:pPr>
        <w:spacing w:after="120" w:line="276"/>
        <w:jc w:val="both"/>
      </w:pPr>
      <w:r>
        <w:rPr>
          <w:rFonts w:ascii="Barlow Semi Condensed" w:cs="Barlow Semi Condensed" w:eastAsia="Barlow Semi Condensed" w:hAnsi="Barlow Semi Condensed"/>
          <w:b/>
          <w:bCs/>
          <w:sz w:val="24"/>
          <w:szCs w:val="24"/>
        </w:rPr>
        <w:t xml:space="preserve">Una fonte museale sudafricana propone invece centocinque biposto e cento monoposto, cifre che non collimano con le precedenti.</w:t>
      </w:r>
    </w:p>
    <w:p>
      <w:pPr>
        <w:spacing w:after="120" w:line="276"/>
        <w:jc w:val="both"/>
      </w:pPr>
      <w:r>
        <w:rPr>
          <w:rFonts w:ascii="Barlow Semi Condensed" w:cs="Barlow Semi Condensed" w:eastAsia="Barlow Semi Condensed" w:hAnsi="Barlow Semi Condensed"/>
          <w:b/>
          <w:bCs/>
          <w:sz w:val="24"/>
          <w:szCs w:val="24"/>
        </w:rPr>
        <w:t xml:space="preserve">Un ordine di grandezza indipendente proviene dai motori: degli oltre cinquemilasettecento Viper costruiti nel mondo, trecentotrentaquattro furono fabbricati in Sudafrica.</w:t>
      </w:r>
    </w:p>
    <w:p>
      <w:pPr>
        <w:spacing w:after="120" w:line="276"/>
        <w:jc w:val="both"/>
      </w:pPr>
      <w:r>
        <w:rPr>
          <w:rFonts w:ascii="Barlow Semi Condensed" w:cs="Barlow Semi Condensed" w:eastAsia="Barlow Semi Condensed" w:hAnsi="Barlow Semi Condensed"/>
          <w:b/>
          <w:bCs/>
          <w:sz w:val="24"/>
          <w:szCs w:val="24"/>
        </w:rPr>
        <w:t xml:space="preserve">La ragione della divergenza è duplice. Le fonti contano cose diverse — alcune sommano costruzione italiana, assemblaggio da kit e produzione su licenza, altre distinguono. E la produzione bellica sudafricana fu materia di riservatezza crescente, tanto più dopo il 1977.</w:t>
      </w:r>
    </w:p>
    <w:p>
      <w:pPr>
        <w:spacing w:after="120" w:line="276"/>
        <w:jc w:val="both"/>
      </w:pPr>
      <w:r>
        <w:rPr>
          <w:rFonts w:ascii="Barlow Semi Condensed" w:cs="Barlow Semi Condensed" w:eastAsia="Barlow Semi Condensed" w:hAnsi="Barlow Semi Condensed"/>
          <w:b/>
          <w:bCs/>
          <w:sz w:val="24"/>
          <w:szCs w:val="24"/>
        </w:rPr>
        <w:t xml:space="preserve">Non è possibile stabilire una cifra unica, e proporne una sarebbe scorretto.</w:t>
      </w:r>
    </w:p>
    <w:p>
      <w:pPr>
        <w:pStyle w:val="Heading2"/>
        <w:spacing w:after="100" w:before="200"/>
      </w:pPr>
      <w:r>
        <w:rPr>
          <w:rFonts w:ascii="Barlow Semi Condensed" w:cs="Barlow Semi Condensed" w:eastAsia="Barlow Semi Condensed" w:hAnsi="Barlow Semi Condensed"/>
          <w:sz w:val="24"/>
          <w:szCs w:val="24"/>
        </w:rPr>
        <w:t xml:space="preserve">Capitolo terzo — Il motore, e il documento americano che nomina l'Italia</w:t>
      </w:r>
    </w:p>
    <w:p>
      <w:pPr>
        <w:spacing w:after="120" w:line="276"/>
        <w:jc w:val="both"/>
      </w:pPr>
      <w:r>
        <w:rPr>
          <w:rFonts w:ascii="Barlow Semi Condensed" w:cs="Barlow Semi Condensed" w:eastAsia="Barlow Semi Condensed" w:hAnsi="Barlow Semi Condensed"/>
          <w:b/>
          <w:bCs/>
          <w:sz w:val="24"/>
          <w:szCs w:val="24"/>
        </w:rPr>
        <w:t xml:space="preserve">Il capitolo espone il nodo che attraversa tre giurisdizioni, ed è il ritrovamento documentale maggiore.</w:t>
      </w:r>
    </w:p>
    <w:p>
      <w:pPr>
        <w:spacing w:after="120" w:line="276"/>
        <w:jc w:val="both"/>
      </w:pPr>
      <w:r>
        <w:rPr>
          <w:rFonts w:ascii="Barlow Semi Condensed" w:cs="Barlow Semi Condensed" w:eastAsia="Barlow Semi Condensed" w:hAnsi="Barlow Semi Condensed"/>
          <w:b/>
          <w:bCs/>
          <w:sz w:val="24"/>
          <w:szCs w:val="24"/>
        </w:rPr>
        <w:t xml:space="preserve">La catena, per anelli. Il propulsore era il turbogetto Viper, progettato dalla Armstrong Siddeley come unità a vita breve per bersagli radiocomandati, e rivelatosi poi affidabile e longevo. Attraverso le concentrazioni industriali britanniche esso passò alla Bristol Siddeley e infine alla Rolls-Royce, che acquisì la Bristol Siddeley nel 1966.</w:t>
      </w:r>
    </w:p>
    <w:p>
      <w:pPr>
        <w:spacing w:after="120" w:line="276"/>
        <w:jc w:val="both"/>
      </w:pPr>
      <w:r>
        <w:rPr>
          <w:rFonts w:ascii="Barlow Semi Condensed" w:cs="Barlow Semi Condensed" w:eastAsia="Barlow Semi Condensed" w:hAnsi="Barlow Semi Condensed"/>
          <w:b/>
          <w:bCs/>
          <w:sz w:val="24"/>
          <w:szCs w:val="24"/>
        </w:rPr>
        <w:t xml:space="preserve">Il secondo anello, ed è italiano.\\ Il Viper destinato all'MB-326 fu \\prodotto in Italia su licenza dalla Piaggio in forza di un accordo con la Bristol Siddeley del 1959.</w:t>
      </w:r>
    </w:p>
    <w:p>
      <w:pPr>
        <w:spacing w:after="120" w:line="276"/>
        <w:jc w:val="both"/>
      </w:pPr>
      <w:r>
        <w:rPr>
          <w:rFonts w:ascii="Barlow Semi Condensed" w:cs="Barlow Semi Condensed" w:eastAsia="Barlow Semi Condensed" w:hAnsi="Barlow Semi Condensed"/>
          <w:b/>
          <w:bCs/>
          <w:sz w:val="24"/>
          <w:szCs w:val="24"/>
        </w:rPr>
        <w:t xml:space="preserve">La ripartizione italiana è attestata con precisione dal Museo Motori dell'Università di Palermo\\, secondo cui \\la Piaggio produceva il modello Mark ventidue per l'addestratore Aermacchi, mentre la FIAT produsse la più potente serie seicento.</w:t>
      </w:r>
    </w:p>
    <w:p>
      <w:pPr>
        <w:spacing w:after="120" w:line="276"/>
        <w:jc w:val="both"/>
      </w:pPr>
      <w:r>
        <w:rPr>
          <w:rFonts w:ascii="Barlow Semi Condensed" w:cs="Barlow Semi Condensed" w:eastAsia="Barlow Semi Condensed" w:hAnsi="Barlow Semi Condensed"/>
          <w:b/>
          <w:bCs/>
          <w:sz w:val="24"/>
          <w:szCs w:val="24"/>
        </w:rPr>
        <w:t xml:space="preserve">Ne consegue che il Sudafrica ottenne il Viper non direttamente dal Regno Unito ma attraverso la catena della sub-licenza italiana.</w:t>
      </w:r>
    </w:p>
    <w:p>
      <w:pPr>
        <w:spacing w:after="120" w:line="276"/>
        <w:jc w:val="both"/>
      </w:pPr>
      <w:r>
        <w:rPr>
          <w:rFonts w:ascii="Barlow Semi Condensed" w:cs="Barlow Semi Condensed" w:eastAsia="Barlow Semi Condensed" w:hAnsi="Barlow Semi Condensed"/>
          <w:b/>
          <w:bCs/>
          <w:sz w:val="24"/>
          <w:szCs w:val="24"/>
        </w:rPr>
        <w:t xml:space="preserve">E adesso il documento. Un rapporto declassificato della Central Intelligence Agency, intitolato \South Africa: Evading the Arms Embargo\ e reso disponibile nel 2018 con segnatura C06283667, nell'elencare i sistemi prodotti localmente registra il motore a getto Rolls-Royce Viper, Atlas, con l'annotazione: produzione autorizzata su licenza dall'Italia per l'Impala.</w:t>
      </w:r>
    </w:p>
    <w:p>
      <w:pPr>
        <w:spacing w:after="120" w:line="276"/>
        <w:jc w:val="both"/>
      </w:pPr>
      <w:r>
        <w:rPr>
          <w:rFonts w:ascii="Barlow Semi Condensed" w:cs="Barlow Semi Condensed" w:eastAsia="Barlow Semi Condensed" w:hAnsi="Barlow Semi Condensed"/>
          <w:b/>
          <w:bCs/>
          <w:sz w:val="24"/>
          <w:szCs w:val="24"/>
        </w:rPr>
        <w:t xml:space="preserve">Un documento d'intelligence statunitense attribuisce all'Italia, e non al Regno Unito, l'anello autorizzativo attraverso cui il motore raggiunse la linea di montaggio sudafricana.</w:t>
      </w:r>
    </w:p>
    <w:p>
      <w:pPr>
        <w:spacing w:after="120" w:line="276"/>
        <w:jc w:val="both"/>
      </w:pPr>
      <w:r>
        <w:rPr>
          <w:rFonts w:ascii="Barlow Semi Condensed" w:cs="Barlow Semi Condensed" w:eastAsia="Barlow Semi Condensed" w:hAnsi="Barlow Semi Condensed"/>
          <w:b/>
          <w:bCs/>
          <w:sz w:val="24"/>
          <w:szCs w:val="24"/>
        </w:rPr>
        <w:t xml:space="preserve">Il medesimo rapporto, alla voce Impala, registra: copia su licenza dell'italiano MB 326, prodotto dal 1964 al 1986.</w:t>
      </w:r>
    </w:p>
    <w:p>
      <w:pPr>
        <w:spacing w:after="120" w:line="276"/>
        <w:jc w:val="both"/>
      </w:pPr>
      <w:r>
        <w:rPr>
          <w:rFonts w:ascii="Barlow Semi Condensed" w:cs="Barlow Semi Condensed" w:eastAsia="Barlow Semi Condensed" w:hAnsi="Barlow Semi Condensed"/>
          <w:b/>
          <w:bCs/>
          <w:sz w:val="24"/>
          <w:szCs w:val="24"/>
        </w:rPr>
        <w:t xml:space="preserve">Lo statuto della fonte va dichiarato: è documento d'intelligence declassificato, di natura valutativa e non giudiziaria. Ma il suo tenore è univoco.</w:t>
      </w:r>
    </w:p>
    <w:p>
      <w:pPr>
        <w:spacing w:after="120" w:line="276"/>
        <w:jc w:val="both"/>
      </w:pPr>
      <w:r>
        <w:rPr>
          <w:rFonts w:ascii="Barlow Semi Condensed" w:cs="Barlow Semi Condensed" w:eastAsia="Barlow Semi Condensed" w:hAnsi="Barlow Semi Condensed"/>
          <w:b/>
          <w:bCs/>
          <w:sz w:val="24"/>
          <w:szCs w:val="24"/>
        </w:rPr>
        <w:t xml:space="preserve">Perché la responsabilità si concentrò sull'Italia e non sul Regno Unito, ed è la spiegazione strutturale. La licenza originaria britannica alla Piaggio è del 1959, anteriore a qualunque embargo, anche a quello raccomandato del 1963. La struttura della catena — Bristol Siddeley verso Piaggio, Piaggio o Aermacchi verso Atlas — colloca l'anello decisionale rilevante in Italia.</w:t>
      </w:r>
    </w:p>
    <w:p>
      <w:pPr>
        <w:spacing w:after="120" w:line="276"/>
        <w:jc w:val="both"/>
      </w:pPr>
      <w:r>
        <w:rPr>
          <w:rFonts w:ascii="Barlow Semi Condensed" w:cs="Barlow Semi Condensed" w:eastAsia="Barlow Semi Condensed" w:hAnsi="Barlow Semi Condensed"/>
          <w:b/>
          <w:bCs/>
          <w:sz w:val="24"/>
          <w:szCs w:val="24"/>
        </w:rPr>
        <w:t xml:space="preserve">Che cosa non si è trovato, e va dichiarato.\\ \\Nessun documento primario in cui la Rolls-Royce o il governo britannico autorizzino espressamente la produzione sudafricana del Viper o la fornitura di ricambi.</w:t>
      </w:r>
    </w:p>
    <w:p>
      <w:pPr>
        <w:spacing w:after="120" w:line="276"/>
        <w:jc w:val="both"/>
      </w:pPr>
      <w:r>
        <w:rPr>
          <w:rFonts w:ascii="Barlow Semi Condensed" w:cs="Barlow Semi Condensed" w:eastAsia="Barlow Semi Condensed" w:hAnsi="Barlow Semi Condensed"/>
          <w:b/>
          <w:bCs/>
          <w:sz w:val="24"/>
          <w:szCs w:val="24"/>
        </w:rPr>
        <w:t xml:space="preserve">Le sedi: i National Archives britannici, che conservano i fascicoli sull'applicazione dell'embargo, e gli archivi della Bristol Siddeley e del Rolls-Royce Heritage Trust.</w:t>
      </w:r>
    </w:p>
    <w:p>
      <w:pPr>
        <w:spacing w:after="120" w:line="276"/>
        <w:jc w:val="both"/>
      </w:pPr>
      <w:r>
        <w:rPr>
          <w:rFonts w:ascii="Barlow Semi Condensed" w:cs="Barlow Semi Condensed" w:eastAsia="Barlow Semi Condensed" w:hAnsi="Barlow Semi Condensed"/>
          <w:b/>
          <w:bCs/>
          <w:sz w:val="24"/>
          <w:szCs w:val="24"/>
        </w:rPr>
        <w:t xml:space="preserve">Sino a tale verifica, ogni affermazione sul ruolo attivo o passivo della Rolls-Royce nella catena sudafricana è inferenza e non fatto.</w:t>
      </w:r>
    </w:p>
    <w:p>
      <w:pPr>
        <w:pStyle w:val="Heading2"/>
        <w:spacing w:after="100" w:before="200"/>
      </w:pPr>
      <w:r>
        <w:rPr>
          <w:rFonts w:ascii="Barlow Semi Condensed" w:cs="Barlow Semi Condensed" w:eastAsia="Barlow Semi Condensed" w:hAnsi="Barlow Semi Condensed"/>
          <w:sz w:val="24"/>
          <w:szCs w:val="24"/>
        </w:rPr>
        <w:t xml:space="preserve">Capitolo quarto — L'impiego operativo, e la sua collocazione cronologica</w:t>
      </w:r>
    </w:p>
    <w:p>
      <w:pPr>
        <w:spacing w:after="120" w:line="276"/>
        <w:jc w:val="both"/>
      </w:pPr>
      <w:r>
        <w:rPr>
          <w:rFonts w:ascii="Barlow Semi Condensed" w:cs="Barlow Semi Condensed" w:eastAsia="Barlow Semi Condensed" w:hAnsi="Barlow Semi Condensed"/>
          <w:b/>
          <w:bCs/>
          <w:sz w:val="24"/>
          <w:szCs w:val="24"/>
        </w:rPr>
        <w:t xml:space="preserve">Il capitolo espone che cosa fu fatto degli aerei, e colloca il tutto rispetto ai mandati di Moro.</w:t>
      </w:r>
    </w:p>
    <w:p>
      <w:pPr>
        <w:spacing w:after="120" w:line="276"/>
        <w:jc w:val="both"/>
      </w:pPr>
      <w:r>
        <w:rPr>
          <w:rFonts w:ascii="Barlow Semi Condensed" w:cs="Barlow Semi Condensed" w:eastAsia="Barlow Semi Condensed" w:hAnsi="Barlow Semi Condensed"/>
          <w:b/>
          <w:bCs/>
          <w:sz w:val="24"/>
          <w:szCs w:val="24"/>
        </w:rPr>
        <w:t xml:space="preserve">L'impiego.\\ Il velivolo fu adoperato sia come addestratore sia in configurazione armata. La \\scuola di volo aveva sede a Langebaanweg\\; gli squadroni operativi indicati sono il \\quarto, il quinto, il sesto, il settimo e l'ottavo.</w:t>
      </w:r>
    </w:p>
    <w:p>
      <w:pPr>
        <w:spacing w:after="120" w:line="276"/>
        <w:jc w:val="both"/>
      </w:pPr>
      <w:r>
        <w:rPr>
          <w:rFonts w:ascii="Barlow Semi Condensed" w:cs="Barlow Semi Condensed" w:eastAsia="Barlow Semi Condensed" w:hAnsi="Barlow Semi Condensed"/>
          <w:b/>
          <w:bCs/>
          <w:sz w:val="24"/>
          <w:szCs w:val="24"/>
        </w:rPr>
        <w:t xml:space="preserve">La versione monoposto Impala Mark secondo fu impiegata come velivolo da attacco al suolo nella guerra di confine contro le forze angolane e cubane\\, nel periodo indicato dalle fonti fra il \\1975 e il 1989.</w:t>
      </w:r>
    </w:p>
    <w:p>
      <w:pPr>
        <w:spacing w:after="120" w:line="276"/>
        <w:jc w:val="both"/>
      </w:pPr>
      <w:r>
        <w:rPr>
          <w:rFonts w:ascii="Barlow Semi Condensed" w:cs="Barlow Semi Condensed" w:eastAsia="Barlow Semi Condensed" w:hAnsi="Barlow Semi Condensed"/>
          <w:b/>
          <w:bCs/>
          <w:sz w:val="24"/>
          <w:szCs w:val="24"/>
        </w:rPr>
        <w:t xml:space="preserve">I vantaggi operativi documentati. Benché più lento dei caccia ad alte prestazioni, il velivolo poteva operare da piste sommarie e colpire con rapidità a bassissima quota; le fonti riferiscono missioni condotte a circa seicentocinquanta chilometri orari e ad altezze di poche decine di metri.</w:t>
      </w:r>
    </w:p>
    <w:p>
      <w:pPr>
        <w:spacing w:after="120" w:line="276"/>
        <w:jc w:val="both"/>
      </w:pPr>
      <w:r>
        <w:rPr>
          <w:rFonts w:ascii="Barlow Semi Condensed" w:cs="Barlow Semi Condensed" w:eastAsia="Barlow Semi Condensed" w:hAnsi="Barlow Semi Condensed"/>
          <w:b/>
          <w:bCs/>
          <w:sz w:val="24"/>
          <w:szCs w:val="24"/>
        </w:rPr>
        <w:t xml:space="preserve">Due episodi specifici, con lo statuto della fonte dichiarato. Nel 1985, in una fase cruciale della guerra terrestre, gli Impala Mark secondo sarebbero stati impiegati anche in funzione di intercettazione contro elicotteri, con l'abbattimento di sei velivoli ad ala rotante fra Mi-otto e Mi-ventiquattro. È registrata altresì la perdita di un Impala abbattuto da un missile portatile SA-sette angolano.</w:t>
      </w:r>
    </w:p>
    <w:p>
      <w:pPr>
        <w:spacing w:after="120" w:line="276"/>
        <w:jc w:val="both"/>
      </w:pPr>
      <w:r>
        <w:rPr>
          <w:rFonts w:ascii="Barlow Semi Condensed" w:cs="Barlow Semi Condensed" w:eastAsia="Barlow Semi Condensed" w:hAnsi="Barlow Semi Condensed"/>
          <w:b/>
          <w:bCs/>
          <w:sz w:val="24"/>
          <w:szCs w:val="24"/>
        </w:rPr>
        <w:t xml:space="preserve">Questi dati provengono da pubblicistica aeronautica e vanno assunti con la cautela dovuta a tale natura di fonte. Il quadro complessivo — impiego operativo effettivo del velivolo di origine italiana nel teatro angolano-namibiano — è invece solidamente attestato e non controverso.</w:t>
      </w:r>
    </w:p>
    <w:p>
      <w:pPr>
        <w:spacing w:after="120" w:line="276"/>
        <w:jc w:val="both"/>
      </w:pPr>
      <w:r>
        <w:rPr>
          <w:rFonts w:ascii="Barlow Semi Condensed" w:cs="Barlow Semi Condensed" w:eastAsia="Barlow Semi Condensed" w:hAnsi="Barlow Semi Condensed"/>
          <w:b/>
          <w:bCs/>
          <w:sz w:val="24"/>
          <w:szCs w:val="24"/>
        </w:rPr>
        <w:t xml:space="preserve">E adesso la collocazione cronologica, che è di rilievo giuridico e va enunciata con precisione perché impedisce un'imputazione facile.</w:t>
      </w:r>
    </w:p>
    <w:p>
      <w:pPr>
        <w:spacing w:after="120" w:line="276"/>
        <w:jc w:val="both"/>
      </w:pPr>
      <w:r>
        <w:rPr>
          <w:rFonts w:ascii="Barlow Semi Condensed" w:cs="Barlow Semi Condensed" w:eastAsia="Barlow Semi Condensed" w:hAnsi="Barlow Semi Condensed"/>
          <w:b/>
          <w:bCs/>
          <w:sz w:val="24"/>
          <w:szCs w:val="24"/>
        </w:rPr>
        <w:t xml:space="preserve">La quota maggiore delle operazioni belliche documentate si colloca dopo il 1976, dunque dopo la fine dei mandati di Moro, e in larga parte dopo il 1977, cioè sotto il regime dell'embargo obbligatorio.</w:t>
      </w:r>
    </w:p>
    <w:p>
      <w:pPr>
        <w:spacing w:after="120" w:line="276"/>
        <w:jc w:val="both"/>
      </w:pPr>
      <w:r>
        <w:rPr>
          <w:rFonts w:ascii="Barlow Semi Condensed" w:cs="Barlow Semi Condensed" w:eastAsia="Barlow Semi Condensed" w:hAnsi="Barlow Semi Condensed"/>
          <w:b/>
          <w:bCs/>
          <w:sz w:val="24"/>
          <w:szCs w:val="24"/>
        </w:rPr>
        <w:t xml:space="preserve">Ne discende che l'impiego operativo degli anni Ottanta non può essere retroattivamente imputato alle decisioni del governo italiano del periodo 1969-1976 — se non nella misura, tutta da dimostrare documentalmente, in cui a quelle decisioni sia riconducibile la fornitura continuativa di ricambi, motori e assistenza tecnica in epoca successiva.</w:t>
      </w:r>
    </w:p>
    <w:p>
      <w:pPr>
        <w:spacing w:after="120" w:line="276"/>
        <w:jc w:val="both"/>
      </w:pPr>
      <w:r>
        <w:rPr>
          <w:rFonts w:ascii="Barlow Semi Condensed" w:cs="Barlow Semi Condensed" w:eastAsia="Barlow Semi Condensed" w:hAnsi="Barlow Semi Condensed"/>
          <w:b/>
          <w:bCs/>
          <w:sz w:val="24"/>
          <w:szCs w:val="24"/>
        </w:rPr>
        <w:t xml:space="preserve">Su tale fornitura continuativa esiste un indizio, esposto al Capitolo settimo, che si colloca però nel gennaio 1980 e va tenuto distinto.</w:t>
      </w:r>
    </w:p>
    <w:p>
      <w:pPr>
        <w:pStyle w:val="Heading2"/>
        <w:spacing w:after="100" w:before="200"/>
      </w:pPr>
      <w:r>
        <w:rPr>
          <w:rFonts w:ascii="Barlow Semi Condensed" w:cs="Barlow Semi Condensed" w:eastAsia="Barlow Semi Condensed" w:hAnsi="Barlow Semi Condensed"/>
          <w:sz w:val="24"/>
          <w:szCs w:val="24"/>
        </w:rPr>
        <w:t xml:space="preserve">Capitolo quinto — I voti alle Nazioni Unite: due voti opposti nello stesso giorno</w:t>
      </w:r>
    </w:p>
    <w:p>
      <w:pPr>
        <w:spacing w:after="120" w:line="276"/>
        <w:jc w:val="both"/>
      </w:pPr>
      <w:r>
        <w:rPr>
          <w:rFonts w:ascii="Barlow Semi Condensed" w:cs="Barlow Semi Condensed" w:eastAsia="Barlow Semi Condensed" w:hAnsi="Barlow Semi Condensed"/>
          <w:b/>
          <w:bCs/>
          <w:sz w:val="24"/>
          <w:szCs w:val="24"/>
        </w:rPr>
        <w:t xml:space="preserve">Il capitolo espone il versante multilaterale, dove le fonti sono primarie e di prima qualità, e produce il risultato documentale più netto della ricognizione.</w:t>
      </w:r>
    </w:p>
    <w:p>
      <w:pPr>
        <w:spacing w:after="120" w:line="276"/>
        <w:jc w:val="both"/>
      </w:pPr>
      <w:r>
        <w:rPr>
          <w:rFonts w:ascii="Barlow Semi Condensed" w:cs="Barlow Semi Condensed" w:eastAsia="Barlow Semi Condensed" w:hAnsi="Barlow Semi Condensed"/>
          <w:b/>
          <w:bCs/>
          <w:sz w:val="24"/>
          <w:szCs w:val="24"/>
        </w:rPr>
        <w:t xml:space="preserve">Il voto sulle credenziali del 1974, e l'Italia vi è fra i contrari. Sul rifiuto delle credenziali della delegazione sudafricana alla ventinovesima sessione, deciso con la risoluzione tremiladuecentosei nella duemiladuecentoquarantottesima seduta plenaria del 30 settembre 1974, verbale A/PV.2248, il registro di voto documenta novantotto favorevoli, ventitré contrari e quattordici astenuti.</w:t>
      </w:r>
    </w:p>
    <w:p>
      <w:pPr>
        <w:spacing w:after="120" w:line="276"/>
        <w:jc w:val="both"/>
      </w:pPr>
      <w:r>
        <w:rPr>
          <w:rFonts w:ascii="Barlow Semi Condensed" w:cs="Barlow Semi Condensed" w:eastAsia="Barlow Semi Condensed" w:hAnsi="Barlow Semi Condensed"/>
          <w:b/>
          <w:bCs/>
          <w:sz w:val="24"/>
          <w:szCs w:val="24"/>
        </w:rPr>
        <w:t xml:space="preserve">L'Italia votò contro\\, in compagnia di \\Belgio, Danimarca, Francia, Germania Federale, Irlanda, Lussemburgo, Paesi Bassi, Regno Unito e Stati Uniti.</w:t>
      </w:r>
    </w:p>
    <w:p>
      <w:pPr>
        <w:spacing w:after="120" w:line="276"/>
        <w:jc w:val="both"/>
      </w:pPr>
      <w:r>
        <w:rPr>
          <w:rFonts w:ascii="Barlow Semi Condensed" w:cs="Barlow Semi Condensed" w:eastAsia="Barlow Semi Condensed" w:hAnsi="Barlow Semi Condensed"/>
          <w:b/>
          <w:bCs/>
          <w:sz w:val="24"/>
          <w:szCs w:val="24"/>
        </w:rPr>
        <w:t xml:space="preserve">Alla successiva decisione del Presidente dell'Assemblea, l'algerino Abdelaziz Bouteflika, del 12 novembre 1974, di ritenere il rifiuto delle credenziali equivalente all'esclusione, seguì la conferma in aula con novantuno favorevoli, ventidue contrari e diciannove astenuti.</w:t>
      </w:r>
    </w:p>
    <w:p>
      <w:pPr>
        <w:spacing w:after="120" w:line="276"/>
        <w:jc w:val="both"/>
      </w:pPr>
      <w:r>
        <w:rPr>
          <w:rFonts w:ascii="Barlow Semi Condensed" w:cs="Barlow Semi Condensed" w:eastAsia="Barlow Semi Condensed" w:hAnsi="Barlow Semi Condensed"/>
          <w:b/>
          <w:bCs/>
          <w:sz w:val="24"/>
          <w:szCs w:val="24"/>
        </w:rPr>
        <w:t xml:space="preserve">E adesso il voto che rende il quadro non semplice, ed è del medesimo giorno.</w:t>
      </w:r>
    </w:p>
    <w:p>
      <w:pPr>
        <w:spacing w:after="120" w:line="276"/>
        <w:jc w:val="both"/>
      </w:pPr>
      <w:r>
        <w:rPr>
          <w:rFonts w:ascii="Barlow Semi Condensed" w:cs="Barlow Semi Condensed" w:eastAsia="Barlow Semi Condensed" w:hAnsi="Barlow Semi Condensed"/>
          <w:b/>
          <w:bCs/>
          <w:sz w:val="24"/>
          <w:szCs w:val="24"/>
        </w:rPr>
        <w:t xml:space="preserve">Sulla risoluzione tremiladuecentosette del 30 settembre 1974, relativa alla relazione fra Nazioni Unite e Sudafrica, il registro riporta centoventicinque favorevoli, un solo contrario e nove astenuti, e vi annota l'Italia fra i favorevoli.</w:t>
      </w:r>
    </w:p>
    <w:p>
      <w:pPr>
        <w:spacing w:after="120" w:line="276"/>
        <w:jc w:val="both"/>
      </w:pPr>
      <w:r>
        <w:rPr>
          <w:rFonts w:ascii="Barlow Semi Condensed" w:cs="Barlow Semi Condensed" w:eastAsia="Barlow Semi Condensed" w:hAnsi="Barlow Semi Condensed"/>
          <w:b/>
          <w:bCs/>
          <w:sz w:val="24"/>
          <w:szCs w:val="24"/>
        </w:rPr>
        <w:t xml:space="preserve">Il 30 settembre 1974 l'Italia votò contro la sospensione procedurale del Sudafrica e a favore della condanna di merito. Due voti, lo stesso giorno, in direzione opposta.</w:t>
      </w:r>
    </w:p>
    <w:p>
      <w:pPr>
        <w:spacing w:after="120" w:line="276"/>
        <w:jc w:val="both"/>
      </w:pPr>
      <w:r>
        <w:rPr>
          <w:rFonts w:ascii="Barlow Semi Condensed" w:cs="Barlow Semi Condensed" w:eastAsia="Barlow Semi Condensed" w:hAnsi="Barlow Semi Condensed"/>
          <w:b/>
          <w:bCs/>
          <w:sz w:val="24"/>
          <w:szCs w:val="24"/>
        </w:rPr>
        <w:t xml:space="preserve">Questa è la chiave interpretativa dell'intera condotta italiana e va tenuta ferma: no alla misura procedurale, sì alla condanna sostanziale.</w:t>
      </w:r>
    </w:p>
    <w:p>
      <w:pPr>
        <w:spacing w:after="120" w:line="276"/>
        <w:jc w:val="both"/>
      </w:pPr>
      <w:r>
        <w:rPr>
          <w:rFonts w:ascii="Barlow Semi Condensed" w:cs="Barlow Semi Condensed" w:eastAsia="Barlow Semi Condensed" w:hAnsi="Barlow Semi Condensed"/>
          <w:b/>
          <w:bCs/>
          <w:sz w:val="24"/>
          <w:szCs w:val="24"/>
        </w:rPr>
        <w:t xml:space="preserve">La ragione della posizione procedurale è documentata\\: le principali democrazie occidentali ritenevano \\l'uso della procedura delle credenziali per escludere uno Stato membro un precedente pericoloso e contrario alla Carta.</w:t>
      </w:r>
    </w:p>
    <w:p>
      <w:pPr>
        <w:spacing w:after="120" w:line="276"/>
        <w:jc w:val="both"/>
      </w:pPr>
      <w:r>
        <w:rPr>
          <w:rFonts w:ascii="Barlow Semi Condensed" w:cs="Barlow Semi Condensed" w:eastAsia="Barlow Semi Condensed" w:hAnsi="Barlow Semi Condensed"/>
          <w:b/>
          <w:bCs/>
          <w:sz w:val="24"/>
          <w:szCs w:val="24"/>
        </w:rPr>
        <w:t xml:space="preserve">Il versante del Consiglio di Sicurezza. L'Italia fu membro non permanente nel 1971-1972 e nel 1975-1976. La risoluzione trecentoundici del 4 febbraio 1972, adottata nella milleseicentotrentottesima seduta, condannò l'apartheid con quattordici favorevoli e la sola astensione francese, e l'Italia, allora membro, concorse alla condanna. La risoluzione trecentonovantadue del 19 giugno 1976, adottata dopo il massacro di Soweto, vide nuovamente l'Italia fra i membri.</w:t>
      </w:r>
    </w:p>
    <w:p>
      <w:pPr>
        <w:spacing w:after="120" w:line="276"/>
        <w:jc w:val="both"/>
      </w:pPr>
      <w:r>
        <w:rPr>
          <w:rFonts w:ascii="Barlow Semi Condensed" w:cs="Barlow Semi Condensed" w:eastAsia="Barlow Semi Condensed" w:hAnsi="Barlow Semi Condensed"/>
          <w:b/>
          <w:bCs/>
          <w:sz w:val="24"/>
          <w:szCs w:val="24"/>
        </w:rPr>
        <w:t xml:space="preserve">Un dato storiografico va riportato con la sua qualificazione. Uno studio pubblicato dal \Journal for Contemporary History\ dell'Università dello Stato Libero accerta che Italia, Regno Unito, Germania Federale e Stati Uniti si adeguarono all'embargo raccomandato del 1963 senza particolari ritardi, mentre fu la Francia a sfruttare l'occasione per divenire il principale fornitore militare di Pretoria.</w:t>
      </w:r>
    </w:p>
    <w:p>
      <w:pPr>
        <w:spacing w:after="120" w:line="276"/>
        <w:jc w:val="both"/>
      </w:pPr>
      <w:r>
        <w:rPr>
          <w:rFonts w:ascii="Barlow Semi Condensed" w:cs="Barlow Semi Condensed" w:eastAsia="Barlow Semi Condensed" w:hAnsi="Barlow Semi Condensed"/>
          <w:b/>
          <w:bCs/>
          <w:sz w:val="24"/>
          <w:szCs w:val="24"/>
        </w:rPr>
        <w:t xml:space="preserve">Ma tale affermazione va contemperata con il dato del canale Aermacchi, che mostra come l'adeguamento italiano non abbia comportato la cessazione della licenza già concessa. Distinzione, ancora una volta, fra il divieto di nuove vendite e la prosecuzione di un accordo industriale preesistente, che il regime raccomandato non imponeva di risolvere.</w:t>
      </w:r>
    </w:p>
    <w:p>
      <w:pPr>
        <w:pStyle w:val="Heading2"/>
        <w:spacing w:after="100" w:before="200"/>
      </w:pPr>
      <w:r>
        <w:rPr>
          <w:rFonts w:ascii="Barlow Semi Condensed" w:cs="Barlow Semi Condensed" w:eastAsia="Barlow Semi Condensed" w:hAnsi="Barlow Semi Condensed"/>
          <w:sz w:val="24"/>
          <w:szCs w:val="24"/>
        </w:rPr>
        <w:t xml:space="preserve">Capitolo sesto — Il regime del millenovecentoquarantuno, e il nono grado di Stato Zero</w:t>
      </w:r>
    </w:p>
    <w:p>
      <w:pPr>
        <w:spacing w:after="120" w:line="276"/>
        <w:jc w:val="both"/>
      </w:pPr>
      <w:r>
        <w:rPr>
          <w:rFonts w:ascii="Barlow Semi Condensed" w:cs="Barlow Semi Condensed" w:eastAsia="Barlow Semi Condensed" w:hAnsi="Barlow Semi Condensed"/>
          <w:b/>
          <w:bCs/>
          <w:sz w:val="24"/>
          <w:szCs w:val="24"/>
        </w:rPr>
        <w:t xml:space="preserve">Il capitolo espone il risultato più importante della ricognizione, e propone una categoria che il sistema di gradazione del corpus non contiene.</w:t>
      </w:r>
    </w:p>
    <w:p>
      <w:pPr>
        <w:spacing w:after="120" w:line="276"/>
        <w:jc w:val="both"/>
      </w:pPr>
      <w:r>
        <w:rPr>
          <w:rFonts w:ascii="Barlow Semi Condensed" w:cs="Barlow Semi Condensed" w:eastAsia="Barlow Semi Condensed" w:hAnsi="Barlow Semi Condensed"/>
          <w:b/>
          <w:bCs/>
          <w:sz w:val="24"/>
          <w:szCs w:val="24"/>
        </w:rPr>
        <w:t xml:space="preserve">Il fatto giuridico centrale.\\ \\Per tutto il periodo in esame l'Italia non ebbe una legge organica sul controllo dell'esportazione di materiale di armamento.</w:t>
      </w:r>
    </w:p>
    <w:p>
      <w:pPr>
        <w:spacing w:after="120" w:line="276"/>
        <w:jc w:val="both"/>
      </w:pPr>
      <w:r>
        <w:rPr>
          <w:rFonts w:ascii="Barlow Semi Condensed" w:cs="Barlow Semi Condensed" w:eastAsia="Barlow Semi Condensed" w:hAnsi="Barlow Semi Condensed"/>
          <w:b/>
          <w:bCs/>
          <w:sz w:val="24"/>
          <w:szCs w:val="24"/>
        </w:rPr>
        <w:t xml:space="preserve">La disciplina applicabile. Il Testo unico delle leggi di pubblica sicurezza, e in particolare l'articolo ventotto e gli articoli dal quarantuno al cinquantotto del regolamento di attuazione, regio decreto 6 maggio 1940 numero seicentotrentacinque.</w:t>
      </w:r>
    </w:p>
    <w:p>
      <w:pPr>
        <w:spacing w:after="120" w:line="276"/>
        <w:jc w:val="both"/>
      </w:pPr>
      <w:r>
        <w:rPr>
          <w:rFonts w:ascii="Barlow Semi Condensed" w:cs="Barlow Semi Condensed" w:eastAsia="Barlow Semi Condensed" w:hAnsi="Barlow Semi Condensed"/>
          <w:b/>
          <w:bCs/>
          <w:sz w:val="24"/>
          <w:szCs w:val="24"/>
        </w:rPr>
        <w:t xml:space="preserve">E soprattutto il regio decreto 11 luglio 1941 numero millecentosessantuno, firmato da Mussolini, Ciano, Teruzzi e Grandi, che sottoponeva l'esportazione di armi al segreto di Stato, sottraendola al controllo del Parlamento e della società civile.</w:t>
      </w:r>
    </w:p>
    <w:p>
      <w:pPr>
        <w:spacing w:after="120" w:line="276"/>
        <w:jc w:val="both"/>
      </w:pPr>
      <w:r>
        <w:rPr>
          <w:rFonts w:ascii="Barlow Semi Condensed" w:cs="Barlow Semi Condensed" w:eastAsia="Barlow Semi Condensed" w:hAnsi="Barlow Semi Condensed"/>
          <w:b/>
          <w:bCs/>
          <w:sz w:val="24"/>
          <w:szCs w:val="24"/>
        </w:rPr>
        <w:t xml:space="preserve">Questo assetto rimase in vigore fino alla legge 9 luglio 1990 numero centottantacinque.</w:t>
      </w:r>
    </w:p>
    <w:p>
      <w:pPr>
        <w:spacing w:after="120" w:line="276"/>
        <w:jc w:val="both"/>
      </w:pPr>
      <w:r>
        <w:rPr>
          <w:rFonts w:ascii="Barlow Semi Condensed" w:cs="Barlow Semi Condensed" w:eastAsia="Barlow Semi Condensed" w:hAnsi="Barlow Semi Condensed"/>
          <w:b/>
          <w:bCs/>
          <w:sz w:val="24"/>
          <w:szCs w:val="24"/>
        </w:rPr>
        <w:t xml:space="preserve">Ne discendono tre conseguenze che vanno enunciate una per una.</w:t>
      </w:r>
    </w:p>
    <w:p>
      <w:pPr>
        <w:spacing w:after="120" w:line="276"/>
        <w:jc w:val="both"/>
      </w:pPr>
      <w:r>
        <w:rPr>
          <w:rFonts w:ascii="Barlow Semi Condensed" w:cs="Barlow Semi Condensed" w:eastAsia="Barlow Semi Condensed" w:hAnsi="Barlow Semi Condensed"/>
          <w:b/>
          <w:bCs/>
          <w:sz w:val="24"/>
          <w:szCs w:val="24"/>
        </w:rPr>
        <w:t xml:space="preserve">Prima: nel periodo di Moro non esistevano il comitato interministeriale per gli scambi di materiali di armamento, né l'unità autorizzativa della Farnesina, né il potere di veto o consultivo formalizzato del Ministro degli esteri. Sono tutte istituzioni create dalla legge del 1990.</w:t>
      </w:r>
    </w:p>
    <w:p>
      <w:pPr>
        <w:spacing w:after="120" w:line="276"/>
        <w:jc w:val="both"/>
      </w:pPr>
      <w:r>
        <w:rPr>
          <w:rFonts w:ascii="Barlow Semi Condensed" w:cs="Barlow Semi Condensed" w:eastAsia="Barlow Semi Condensed" w:hAnsi="Barlow Semi Condensed"/>
          <w:b/>
          <w:bCs/>
          <w:sz w:val="24"/>
          <w:szCs w:val="24"/>
        </w:rPr>
        <w:t xml:space="preserve">Seconda, e decisiva: la concessione all'estero di licenze industriali di produzione — la fattispecie propria del caso Aermacchi-Atlas — non era espressamente disciplinata come tale. La disciplina organica della cessione all'estero delle licenze di produzione comparve solo con l'articolo tredici della legge centottantacinque del 1990, che la sottopose ad autorizzazione del Ministro degli affari esteri di concerto con quello delle finanze.</w:t>
      </w:r>
    </w:p>
    <w:p>
      <w:pPr>
        <w:spacing w:after="120" w:line="276"/>
        <w:jc w:val="both"/>
      </w:pPr>
      <w:r>
        <w:rPr>
          <w:rFonts w:ascii="Barlow Semi Condensed" w:cs="Barlow Semi Condensed" w:eastAsia="Barlow Semi Condensed" w:hAnsi="Barlow Semi Condensed"/>
          <w:b/>
          <w:bCs/>
          <w:sz w:val="24"/>
          <w:szCs w:val="24"/>
        </w:rPr>
        <w:t xml:space="preserve">Terza: la storiografia specializzata qualifica il regime anteriore senza ambiguità. Fino al 1990 l'industria italiana degli armamenti fu sostanzialmente libera di esportare, senza una legge che ne subordinasse le vendite alla situazione dei diritti umani nei Paesi destinatari, e la politica delle esportazioni era improntata a criteri prevalentemente commerciali.</w:t>
      </w:r>
    </w:p>
    <w:p>
      <w:pPr>
        <w:spacing w:after="120" w:line="276"/>
        <w:jc w:val="both"/>
      </w:pPr>
      <w:r>
        <w:rPr>
          <w:rFonts w:ascii="Barlow Semi Condensed" w:cs="Barlow Semi Condensed" w:eastAsia="Barlow Semi Condensed" w:hAnsi="Barlow Semi Condensed"/>
          <w:b/>
          <w:bCs/>
          <w:sz w:val="24"/>
          <w:szCs w:val="24"/>
        </w:rPr>
        <w:t xml:space="preserve">E adesso la conseguenza metodologica, che è il contributo di questo documento al sistema di gradazione degli Stati Zero.</w:t>
      </w:r>
    </w:p>
    <w:p>
      <w:pPr>
        <w:spacing w:after="120" w:line="276"/>
        <w:jc w:val="both"/>
      </w:pPr>
      <w:r>
        <w:rPr>
          <w:rFonts w:ascii="Barlow Semi Condensed" w:cs="Barlow Semi Condensed" w:eastAsia="Barlow Semi Condensed" w:hAnsi="Barlow Semi Condensed"/>
          <w:b/>
          <w:bCs/>
          <w:sz w:val="24"/>
          <w:szCs w:val="24"/>
        </w:rPr>
        <w:t xml:space="preserve">Quando si cerca la traccia dell'azione governativa sulla licenza Aermacchi, non la si deve cercare nelle forme procedurali che esisteranno solo dopo il 1990.</w:t>
      </w:r>
    </w:p>
    <w:p>
      <w:pPr>
        <w:spacing w:after="120" w:line="276"/>
        <w:jc w:val="both"/>
      </w:pPr>
      <w:r>
        <w:rPr>
          <w:rFonts w:ascii="Barlow Semi Condensed" w:cs="Barlow Semi Condensed" w:eastAsia="Barlow Semi Condensed" w:hAnsi="Barlow Semi Condensed"/>
          <w:b/>
          <w:bCs/>
          <w:sz w:val="24"/>
          <w:szCs w:val="24"/>
        </w:rPr>
        <w:t xml:space="preserve">Nel periodo di Moro non vi era un atto tipico di autorizzazione o di revoca di una licenza di produzione all'estero, perché la fattispecie non era tipizzata.</w:t>
      </w:r>
    </w:p>
    <w:p>
      <w:pPr>
        <w:spacing w:after="120" w:line="276"/>
        <w:jc w:val="both"/>
      </w:pPr>
      <w:r>
        <w:rPr>
          <w:rFonts w:ascii="Barlow Semi Condensed" w:cs="Barlow Semi Condensed" w:eastAsia="Barlow Semi Condensed" w:hAnsi="Barlow Semi Condensed"/>
          <w:b/>
          <w:bCs/>
          <w:sz w:val="24"/>
          <w:szCs w:val="24"/>
        </w:rPr>
        <w:t xml:space="preserve">Ne discende che l'atto non è documentato non perché sia stato occultato, ma perché nell'ordinamento del tempo esso non esisteva come atto.</w:t>
      </w:r>
    </w:p>
    <w:p>
      <w:pPr>
        <w:spacing w:after="120" w:line="276"/>
        <w:jc w:val="both"/>
      </w:pPr>
      <w:r>
        <w:rPr>
          <w:rFonts w:ascii="Barlow Semi Condensed" w:cs="Barlow Semi Condensed" w:eastAsia="Barlow Semi Condensed" w:hAnsi="Barlow Semi Condensed"/>
          <w:b/>
          <w:bCs/>
          <w:sz w:val="24"/>
          <w:szCs w:val="24"/>
        </w:rPr>
        <w:t xml:space="preserve">Il sistema del corpus conta sette gradi, e la tredicesima ricognizione ne ha aggiunto un ottavo, il falso positivo. Tutti e otto presuppongono che l'informazione o esista e sia inaccessibile, o non esista perché il fatto non avvenne.</w:t>
      </w:r>
    </w:p>
    <w:p>
      <w:pPr>
        <w:spacing w:after="120" w:line="276"/>
        <w:jc w:val="both"/>
      </w:pPr>
      <w:r>
        <w:rPr>
          <w:rFonts w:ascii="Barlow Semi Condensed" w:cs="Barlow Semi Condensed" w:eastAsia="Barlow Semi Condensed" w:hAnsi="Barlow Semi Condensed"/>
          <w:b/>
          <w:bCs/>
          <w:sz w:val="24"/>
          <w:szCs w:val="24"/>
        </w:rPr>
        <w:t xml:space="preserve">Qui il fatto avvenne e non produsse documento, perché l'ordinamento non lo richiedeva.</w:t>
      </w:r>
    </w:p>
    <w:p>
      <w:pPr>
        <w:spacing w:after="120" w:line="276"/>
        <w:jc w:val="both"/>
      </w:pPr>
      <w:r>
        <w:rPr>
          <w:rFonts w:ascii="Barlow Semi Condensed" w:cs="Barlow Semi Condensed" w:eastAsia="Barlow Semi Condensed" w:hAnsi="Barlow Semi Condensed"/>
          <w:b/>
          <w:bCs/>
          <w:sz w:val="24"/>
          <w:szCs w:val="24"/>
        </w:rPr>
        <w:t xml:space="preserve">Propongo un nono grado, e lo denomino l'atto atipico.</w:t>
      </w:r>
    </w:p>
    <w:p>
      <w:pPr>
        <w:spacing w:after="120" w:line="276"/>
        <w:jc w:val="both"/>
      </w:pPr>
      <w:r>
        <w:rPr>
          <w:rFonts w:ascii="Barlow Semi Condensed" w:cs="Barlow Semi Condensed" w:eastAsia="Barlow Semi Condensed" w:hAnsi="Barlow Semi Condensed"/>
          <w:b/>
          <w:bCs/>
          <w:sz w:val="24"/>
          <w:szCs w:val="24"/>
        </w:rPr>
        <w:t xml:space="preserve">Definizione: una condotta dello Stato non lascia traccia documentale perché il diritto vigente al momento non la configurava come atto giuridico tipico, e dunque non ne prescriveva la forma, la motivazione né la registrazione.</w:t>
      </w:r>
    </w:p>
    <w:p>
      <w:pPr>
        <w:spacing w:after="120" w:line="276"/>
        <w:jc w:val="both"/>
      </w:pPr>
      <w:r>
        <w:rPr>
          <w:rFonts w:ascii="Barlow Semi Condensed" w:cs="Barlow Semi Condensed" w:eastAsia="Barlow Semi Condensed" w:hAnsi="Barlow Semi Condensed"/>
          <w:b/>
          <w:bCs/>
          <w:sz w:val="24"/>
          <w:szCs w:val="24"/>
        </w:rPr>
        <w:t xml:space="preserve">La proprietà che lo distingue dagli altri otto: non è rimediabile con l'apertura di un archivio, perché non vi è nulla da aprire. È rimediabile soltanto per via indiretta — corrispondenza aziendale, carte ministeriali informali, atti parlamentari — e con la consapevolezza che l'assenza è strutturale e non colposa.</w:t>
      </w:r>
    </w:p>
    <w:p>
      <w:pPr>
        <w:pStyle w:val="Heading2"/>
        <w:spacing w:after="100" w:before="200"/>
      </w:pPr>
      <w:r>
        <w:rPr>
          <w:rFonts w:ascii="Barlow Semi Condensed" w:cs="Barlow Semi Condensed" w:eastAsia="Barlow Semi Condensed" w:hAnsi="Barlow Semi Condensed"/>
          <w:sz w:val="24"/>
          <w:szCs w:val="24"/>
        </w:rPr>
        <w:t xml:space="preserve">Capitolo settimo — Le due lettere alle Nazioni Unite e l'operaio di Varese</w:t>
      </w:r>
    </w:p>
    <w:p>
      <w:pPr>
        <w:spacing w:after="120" w:line="276"/>
        <w:jc w:val="both"/>
      </w:pPr>
      <w:r>
        <w:rPr>
          <w:rFonts w:ascii="Barlow Semi Condensed" w:cs="Barlow Semi Condensed" w:eastAsia="Barlow Semi Condensed" w:hAnsi="Barlow Semi Condensed"/>
          <w:b/>
          <w:bCs/>
          <w:sz w:val="24"/>
          <w:szCs w:val="24"/>
        </w:rPr>
        <w:t xml:space="preserve">Il capitolo espone la sola traccia reperita di un'azione italiana specificamente riferita alla questione, e la fonte che la mise in moto.</w:t>
      </w:r>
    </w:p>
    <w:p>
      <w:pPr>
        <w:spacing w:after="120" w:line="276"/>
        <w:jc w:val="both"/>
      </w:pPr>
      <w:r>
        <w:rPr>
          <w:rFonts w:ascii="Barlow Semi Condensed" w:cs="Barlow Semi Condensed" w:eastAsia="Barlow Semi Condensed" w:hAnsi="Barlow Semi Condensed"/>
          <w:b/>
          <w:bCs/>
          <w:sz w:val="24"/>
          <w:szCs w:val="24"/>
        </w:rPr>
        <w:t xml:space="preserve">La questione fu sollevata in sede internazionale, e l'Italia rispose formalmente due volte, a dieci anni di distanza.</w:t>
      </w:r>
    </w:p>
    <w:p>
      <w:pPr>
        <w:spacing w:after="120" w:line="276"/>
        <w:jc w:val="both"/>
      </w:pPr>
      <w:r>
        <w:rPr>
          <w:rFonts w:ascii="Barlow Semi Condensed" w:cs="Barlow Semi Condensed" w:eastAsia="Barlow Semi Condensed" w:hAnsi="Barlow Semi Condensed"/>
          <w:b/>
          <w:bCs/>
          <w:sz w:val="24"/>
          <w:szCs w:val="24"/>
        </w:rPr>
        <w:t xml:space="preserve">Prima lettera. Documento S/9640 del 6 febbraio 1970, indirizzato al Presidente del Consiglio di Sicurezza, con cui l'Italia confutava l'affermazione dello Zambia secondo cui essa avrebbe rifiutato di imporre un divieto alla vendita di armi al Sudafrica.</w:t>
      </w:r>
    </w:p>
    <w:p>
      <w:pPr>
        <w:spacing w:after="120" w:line="276"/>
        <w:jc w:val="both"/>
      </w:pPr>
      <w:r>
        <w:rPr>
          <w:rFonts w:ascii="Barlow Semi Condensed" w:cs="Barlow Semi Condensed" w:eastAsia="Barlow Semi Condensed" w:hAnsi="Barlow Semi Condensed"/>
          <w:b/>
          <w:bCs/>
          <w:sz w:val="24"/>
          <w:szCs w:val="24"/>
        </w:rPr>
        <w:t xml:space="preserve">Va notata la data: febbraio 1970, sei mesi dopo l'insediamento di Moro alla Farnesina. L'accusa era già stata mossa allora.</w:t>
      </w:r>
    </w:p>
    <w:p>
      <w:pPr>
        <w:spacing w:after="120" w:line="276"/>
        <w:jc w:val="both"/>
      </w:pPr>
      <w:r>
        <w:rPr>
          <w:rFonts w:ascii="Barlow Semi Condensed" w:cs="Barlow Semi Condensed" w:eastAsia="Barlow Semi Condensed" w:hAnsi="Barlow Semi Condensed"/>
          <w:b/>
          <w:bCs/>
          <w:sz w:val="24"/>
          <w:szCs w:val="24"/>
        </w:rPr>
        <w:t xml:space="preserve">Seconda lettera. Documento S/AC.20/27 del 27 giugno 1980, con cui il Rappresentante permanente italiano negava le accuse di violazione dell'embargo formulate da Abdul Minty nella dichiarazione registrata come S/AC.20/SR.25 dinanzi al Comitato del Consiglio di Sicurezza istituito dalla risoluzione quattrocentoventuno del 1977.</w:t>
      </w:r>
    </w:p>
    <w:p>
      <w:pPr>
        <w:spacing w:after="120" w:line="276"/>
        <w:jc w:val="both"/>
      </w:pPr>
      <w:r>
        <w:rPr>
          <w:rFonts w:ascii="Barlow Semi Condensed" w:cs="Barlow Semi Condensed" w:eastAsia="Barlow Semi Condensed" w:hAnsi="Barlow Semi Condensed"/>
          <w:b/>
          <w:bCs/>
          <w:sz w:val="24"/>
          <w:szCs w:val="24"/>
        </w:rPr>
        <w:t xml:space="preserve">Il testo integrale di entrambe le lettere e della dichiarazione di Minty non è stato reperito, e va cercato presso la Biblioteca digitale delle Nazioni Unite e negli atti del Comitato. È l'acquisizione a più basso costo e più rapido rendimento dell'intera tavola.</w:t>
      </w:r>
    </w:p>
    <w:p>
      <w:pPr>
        <w:spacing w:after="120" w:line="276"/>
        <w:jc w:val="both"/>
      </w:pPr>
      <w:r>
        <w:rPr>
          <w:rFonts w:ascii="Barlow Semi Condensed" w:cs="Barlow Semi Condensed" w:eastAsia="Barlow Semi Condensed" w:hAnsi="Barlow Semi Condensed"/>
          <w:b/>
          <w:bCs/>
          <w:sz w:val="24"/>
          <w:szCs w:val="24"/>
        </w:rPr>
        <w:t xml:space="preserve">Ma la sola esistenza delle due lettere è già un accertamento: la questione della complicità italiana con l'apparato militare sudafricano fu sollevata due volte in sede internazionale, e l'Italia vi rispose negando.</w:t>
      </w:r>
    </w:p>
    <w:p>
      <w:pPr>
        <w:spacing w:after="120" w:line="276"/>
        <w:jc w:val="both"/>
      </w:pPr>
      <w:r>
        <w:rPr>
          <w:rFonts w:ascii="Barlow Semi Condensed" w:cs="Barlow Semi Condensed" w:eastAsia="Barlow Semi Condensed" w:hAnsi="Barlow Semi Condensed"/>
          <w:b/>
          <w:bCs/>
          <w:sz w:val="24"/>
          <w:szCs w:val="24"/>
        </w:rPr>
        <w:t xml:space="preserve">E adesso la fonte che mise in moto la seconda.</w:t>
      </w:r>
    </w:p>
    <w:p>
      <w:pPr>
        <w:spacing w:after="120" w:line="276"/>
        <w:jc w:val="both"/>
      </w:pPr>
      <w:r>
        <w:rPr>
          <w:rFonts w:ascii="Barlow Semi Condensed" w:cs="Barlow Semi Condensed" w:eastAsia="Barlow Semi Condensed" w:hAnsi="Barlow Semi Condensed"/>
          <w:b/>
          <w:bCs/>
          <w:sz w:val="24"/>
          <w:szCs w:val="24"/>
        </w:rPr>
        <w:t xml:space="preserve">Elio Pagani, operaio dell'Aermacchi e obiettore di coscienza, testimoniò che l'Aermacchi avrebbe consegnato velivoli alla South African Air Force nel gennaio 1980. La campagna nata da tale denuncia, rilanciata nel marzo 1988 attraverso un settimanale cattolico, sarebbe stata fra i fattori che condussero alla legge centottantacinque del 1990.</w:t>
      </w:r>
    </w:p>
    <w:p>
      <w:pPr>
        <w:spacing w:after="120" w:line="276"/>
        <w:jc w:val="both"/>
      </w:pPr>
      <w:r>
        <w:rPr>
          <w:rFonts w:ascii="Barlow Semi Condensed" w:cs="Barlow Semi Condensed" w:eastAsia="Barlow Semi Condensed" w:hAnsi="Barlow Semi Condensed"/>
          <w:b/>
          <w:bCs/>
          <w:sz w:val="24"/>
          <w:szCs w:val="24"/>
        </w:rPr>
        <w:t xml:space="preserve">Lo statuto della fonte va dichiarato: è testimonianza di protagonista e pubblicistica militante, non fonte primaria d'archivio. E le consegne cui si riferisce sono del 1980, fuori dal perimetro dei mandati di Moro.</w:t>
      </w:r>
    </w:p>
    <w:p>
      <w:pPr>
        <w:spacing w:after="120" w:line="276"/>
        <w:jc w:val="both"/>
      </w:pPr>
      <w:r>
        <w:rPr>
          <w:rFonts w:ascii="Barlow Semi Condensed" w:cs="Barlow Semi Condensed" w:eastAsia="Barlow Semi Condensed" w:hAnsi="Barlow Semi Condensed"/>
          <w:b/>
          <w:bCs/>
          <w:sz w:val="24"/>
          <w:szCs w:val="24"/>
        </w:rPr>
        <w:t xml:space="preserve">Va dunque registrata come indizio della continuità del canale industriale oltre il 1976, non come prova di una condotta governativa del periodo in esame.</w:t>
      </w:r>
    </w:p>
    <w:p>
      <w:pPr>
        <w:spacing w:after="120" w:line="276"/>
        <w:jc w:val="both"/>
      </w:pPr>
      <w:r>
        <w:rPr>
          <w:rFonts w:ascii="Barlow Semi Condensed" w:cs="Barlow Semi Condensed" w:eastAsia="Barlow Semi Condensed" w:hAnsi="Barlow Semi Condensed"/>
          <w:b/>
          <w:bCs/>
          <w:sz w:val="24"/>
          <w:szCs w:val="24"/>
        </w:rPr>
        <w:t xml:space="preserve">Ma vi è in questa vicenda una circolarità che merita di essere enunciata, ed è, secondo me, il fatto più notevole dell'intero documento.</w:t>
      </w:r>
    </w:p>
    <w:p>
      <w:pPr>
        <w:spacing w:after="120" w:line="276"/>
        <w:jc w:val="both"/>
      </w:pPr>
      <w:r>
        <w:rPr>
          <w:rFonts w:ascii="Barlow Semi Condensed" w:cs="Barlow Semi Condensed" w:eastAsia="Barlow Semi Condensed" w:hAnsi="Barlow Semi Condensed"/>
          <w:b/>
          <w:bCs/>
          <w:sz w:val="24"/>
          <w:szCs w:val="24"/>
        </w:rPr>
        <w:t xml:space="preserve">Il Capitolo sesto ha stabilito che l'atto non è documentato perché l'ordinamento non lo tipizzava.</w:t>
      </w:r>
    </w:p>
    <w:p>
      <w:pPr>
        <w:spacing w:after="120" w:line="276"/>
        <w:jc w:val="both"/>
      </w:pPr>
      <w:r>
        <w:rPr>
          <w:rFonts w:ascii="Barlow Semi Condensed" w:cs="Barlow Semi Condensed" w:eastAsia="Barlow Semi Condensed" w:hAnsi="Barlow Semi Condensed"/>
          <w:b/>
          <w:bCs/>
          <w:sz w:val="24"/>
          <w:szCs w:val="24"/>
        </w:rPr>
        <w:t xml:space="preserve">Questo capitolo stabilisce che la legge che avrebbe tipizzato quell'atto — la centottantacinque del 1990 — fu prodotta anche dalla denuncia di un operaio dello stabilimento che quegli aerei costruiva.</w:t>
      </w:r>
    </w:p>
    <w:p>
      <w:pPr>
        <w:spacing w:after="120" w:line="276"/>
        <w:jc w:val="both"/>
      </w:pPr>
      <w:r>
        <w:rPr>
          <w:rFonts w:ascii="Barlow Semi Condensed" w:cs="Barlow Semi Condensed" w:eastAsia="Barlow Semi Condensed" w:hAnsi="Barlow Semi Condensed"/>
          <w:b/>
          <w:bCs/>
          <w:sz w:val="24"/>
          <w:szCs w:val="24"/>
        </w:rPr>
        <w:t xml:space="preserve">L'assenza di documentazione non era dunque un dato di natura. Era una proprietà di un ordinamento, e quell'ordinamento fu cambiato dal basso.</w:t>
      </w:r>
    </w:p>
    <w:p>
      <w:pPr>
        <w:pStyle w:val="Heading2"/>
        <w:spacing w:after="100" w:before="200"/>
      </w:pPr>
      <w:r>
        <w:rPr>
          <w:rFonts w:ascii="Barlow Semi Condensed" w:cs="Barlow Semi Condensed" w:eastAsia="Barlow Semi Condensed" w:hAnsi="Barlow Semi Condensed"/>
          <w:sz w:val="24"/>
          <w:szCs w:val="24"/>
        </w:rPr>
        <w:t xml:space="preserve">Capitolo ottavo — L'apparato competente, e dove si è cercato</w:t>
      </w:r>
    </w:p>
    <w:p>
      <w:pPr>
        <w:spacing w:after="120" w:line="276"/>
        <w:jc w:val="both"/>
      </w:pPr>
      <w:r>
        <w:rPr>
          <w:rFonts w:ascii="Barlow Semi Condensed" w:cs="Barlow Semi Condensed" w:eastAsia="Barlow Semi Condensed" w:hAnsi="Barlow Semi Condensed"/>
          <w:b/>
          <w:bCs/>
          <w:sz w:val="24"/>
          <w:szCs w:val="24"/>
        </w:rPr>
        <w:t xml:space="preserve">Il capitolo esegue la prescrizione: identificare l'apparato competente e dichiarare se vi si sia cercato.</w:t>
      </w:r>
    </w:p>
    <w:p>
      <w:pPr>
        <w:spacing w:after="120" w:line="276"/>
        <w:jc w:val="both"/>
      </w:pPr>
      <w:r>
        <w:rPr>
          <w:rFonts w:ascii="Barlow Semi Condensed" w:cs="Barlow Semi Condensed" w:eastAsia="Barlow Semi Condensed" w:hAnsi="Barlow Semi Condensed"/>
          <w:b/>
          <w:bCs/>
          <w:sz w:val="24"/>
          <w:szCs w:val="24"/>
        </w:rPr>
        <w:t xml:space="preserve">Il Ministero degli Affari Esteri. Aveva competenza sulla politica estera complessiva e, nel regime anteriore al 1990, non un potere formalizzato di autorizzazione ma un ruolo di indirizzo politico generale. La sede naturale di verifica è la serie Sudafrica 1969-1976 dell'Archivio Storico Diplomatico. La ricognizione non ha potuto accedervi fisicamente e dichiara la verifica come da compiere in loco.</w:t>
      </w:r>
    </w:p>
    <w:p>
      <w:pPr>
        <w:spacing w:after="120" w:line="276"/>
        <w:jc w:val="both"/>
      </w:pPr>
      <w:r>
        <w:rPr>
          <w:rFonts w:ascii="Barlow Semi Condensed" w:cs="Barlow Semi Condensed" w:eastAsia="Barlow Semi Condensed" w:hAnsi="Barlow Semi Condensed"/>
          <w:b/>
          <w:bCs/>
          <w:sz w:val="24"/>
          <w:szCs w:val="24"/>
        </w:rPr>
        <w:t xml:space="preserve">Ciò che si è accertato per via documentale è che la rappresentanza permanente presso le Nazioni Unite intervenne due volte, come esposto al capitolo precedente. Questo è azione della Farnesina, ancorché difensiva e in sede multilaterale.</w:t>
      </w:r>
    </w:p>
    <w:p>
      <w:pPr>
        <w:spacing w:after="120" w:line="276"/>
        <w:jc w:val="both"/>
      </w:pPr>
      <w:r>
        <w:rPr>
          <w:rFonts w:ascii="Barlow Semi Condensed" w:cs="Barlow Semi Condensed" w:eastAsia="Barlow Semi Condensed" w:hAnsi="Barlow Semi Condensed"/>
          <w:b/>
          <w:bCs/>
          <w:sz w:val="24"/>
          <w:szCs w:val="24"/>
        </w:rPr>
        <w:t xml:space="preserve">Il Ministero della Difesa. Aveva competenza tecnica sulle armi da guerra e concorreva, nella prassi del regime anteriore, alla gestione delle autorizzazioni. Sede: i suoi archivi e quelli dello Stato Maggiore dell'Aeronautica. Verifica da compiere.</w:t>
      </w:r>
    </w:p>
    <w:p>
      <w:pPr>
        <w:spacing w:after="120" w:line="276"/>
        <w:jc w:val="both"/>
      </w:pPr>
      <w:r>
        <w:rPr>
          <w:rFonts w:ascii="Barlow Semi Condensed" w:cs="Barlow Semi Condensed" w:eastAsia="Barlow Semi Condensed" w:hAnsi="Barlow Semi Condensed"/>
          <w:b/>
          <w:bCs/>
          <w:sz w:val="24"/>
          <w:szCs w:val="24"/>
        </w:rPr>
        <w:t xml:space="preserve">Il Ministero del Commercio con l'Estero.\\ Competenza sulle \\autorizzazioni valutarie e commerciali all'esportazione. Verifica da compiere.</w:t>
      </w:r>
    </w:p>
    <w:p>
      <w:pPr>
        <w:spacing w:after="120" w:line="276"/>
        <w:jc w:val="both"/>
      </w:pPr>
      <w:r>
        <w:rPr>
          <w:rFonts w:ascii="Barlow Semi Condensed" w:cs="Barlow Semi Condensed" w:eastAsia="Barlow Semi Condensed" w:hAnsi="Barlow Semi Condensed"/>
          <w:b/>
          <w:bCs/>
          <w:sz w:val="24"/>
          <w:szCs w:val="24"/>
        </w:rPr>
        <w:t xml:space="preserve">Il Ministero delle Partecipazioni Statali.\\ Esercitava la \\vigilanza sul sistema delle imprese pubbliche. Verifica da compiere.</w:t>
      </w:r>
    </w:p>
    <w:p>
      <w:pPr>
        <w:spacing w:after="120" w:line="276"/>
        <w:jc w:val="both"/>
      </w:pPr>
      <w:r>
        <w:rPr>
          <w:rFonts w:ascii="Barlow Semi Condensed" w:cs="Barlow Semi Condensed" w:eastAsia="Barlow Semi Condensed" w:hAnsi="Barlow Semi Condensed"/>
          <w:b/>
          <w:bCs/>
          <w:sz w:val="24"/>
          <w:szCs w:val="24"/>
        </w:rPr>
        <w:t xml:space="preserve">L'Istituto per la Ricostruzione Industriale. Controllava, attraverso la Finmeccanica, il comparto aeronautico a partecipazione statale. Va peraltro verificato l'esatto assetto proprietario dell'Aermacchi nel periodo, poiché l'azienda ebbe storia societaria complessa e non fu sempre e integralmente pubblica. Sede: Archivio storico dell'IRI presso l'Archivio Centrale dello Stato e archivio storico di Finmeccanica-Leonardo.</w:t>
      </w:r>
    </w:p>
    <w:p>
      <w:pPr>
        <w:spacing w:after="120" w:line="276"/>
        <w:jc w:val="both"/>
      </w:pPr>
      <w:r>
        <w:rPr>
          <w:rFonts w:ascii="Barlow Semi Condensed" w:cs="Barlow Semi Condensed" w:eastAsia="Barlow Semi Condensed" w:hAnsi="Barlow Semi Condensed"/>
          <w:b/>
          <w:bCs/>
          <w:sz w:val="24"/>
          <w:szCs w:val="24"/>
        </w:rPr>
        <w:t xml:space="preserve">L'esito, formulato secondo la prescrizione.\\ \\Non è stata trovata, nelle fonti accessibili per via telematica, traccia di un atto specifico relativo alla licenza Aermacchi-Atlas presso alcuno di questi apparati.</w:t>
      </w:r>
    </w:p>
    <w:p>
      <w:pPr>
        <w:spacing w:after="120" w:line="276"/>
        <w:jc w:val="both"/>
      </w:pPr>
      <w:r>
        <w:rPr>
          <w:rFonts w:ascii="Barlow Semi Condensed" w:cs="Barlow Semi Condensed" w:eastAsia="Barlow Semi Condensed" w:hAnsi="Barlow Semi Condensed"/>
          <w:b/>
          <w:bCs/>
          <w:sz w:val="24"/>
          <w:szCs w:val="24"/>
        </w:rPr>
        <w:t xml:space="preserve">Ma la conclusione metodologicamente corretta non è che il governo italiano non fece nulla.</w:t>
      </w:r>
    </w:p>
    <w:p>
      <w:pPr>
        <w:spacing w:after="120" w:line="276"/>
        <w:jc w:val="both"/>
      </w:pPr>
      <w:r>
        <w:rPr>
          <w:rFonts w:ascii="Barlow Semi Condensed" w:cs="Barlow Semi Condensed" w:eastAsia="Barlow Semi Condensed" w:hAnsi="Barlow Semi Condensed"/>
          <w:b/>
          <w:bCs/>
          <w:sz w:val="24"/>
          <w:szCs w:val="24"/>
        </w:rPr>
        <w:t xml:space="preserve">È che l'apparato competente è stato identificato — nel regime del millenovecentoquarantuno esso era la costellazione fra pubblica sicurezza, Difesa e amministrazioni economiche, sotto il segreto di Stato — e che la traccia della sua azione o inazione non è stata reperita presso le sedi archivistiche competenti, che restano da consultare fisicamente.</w:t>
      </w:r>
    </w:p>
    <w:p>
      <w:pPr>
        <w:spacing w:after="120" w:line="276"/>
        <w:jc w:val="both"/>
      </w:pPr>
      <w:r>
        <w:rPr>
          <w:rFonts w:ascii="Barlow Semi Condensed" w:cs="Barlow Semi Condensed" w:eastAsia="Barlow Semi Condensed" w:hAnsi="Barlow Semi Condensed"/>
          <w:b/>
          <w:bCs/>
          <w:sz w:val="24"/>
          <w:szCs w:val="24"/>
        </w:rPr>
        <w:t xml:space="preserve">E si aggiunga il rilievo del Capitolo sesto, che rende questa conclusione ancora più cauta: presso quelle sedi potrebbe non esservi nulla da trovare, non per occultamento ma perché l'atto non era tipizzato.</w:t>
      </w:r>
    </w:p>
    <w:p>
      <w:pPr>
        <w:spacing w:after="120" w:line="276"/>
        <w:jc w:val="both"/>
      </w:pPr>
      <w:r>
        <w:rPr>
          <w:rFonts w:ascii="Barlow Semi Condensed" w:cs="Barlow Semi Condensed" w:eastAsia="Barlow Semi Condensed" w:hAnsi="Barlow Semi Condensed"/>
          <w:b/>
          <w:bCs/>
          <w:sz w:val="24"/>
          <w:szCs w:val="24"/>
        </w:rPr>
        <w:t xml:space="preserve">Ne discende che questo è, allo stato, il perimetro in cui la distinzione fra assenza di azione, inaccessibilità dell'archivio e atipicità dell'atto è la più difficile da sciogliere di tutta la serie.</w:t>
      </w:r>
    </w:p>
    <w:p>
      <w:pPr>
        <w:pStyle w:val="Heading2"/>
        <w:spacing w:after="100" w:before="200"/>
      </w:pPr>
      <w:r>
        <w:rPr>
          <w:rFonts w:ascii="Barlow Semi Condensed" w:cs="Barlow Semi Condensed" w:eastAsia="Barlow Semi Condensed" w:hAnsi="Barlow Semi Condensed"/>
          <w:sz w:val="24"/>
          <w:szCs w:val="24"/>
        </w:rPr>
        <w:t xml:space="preserve">Capitolo nono — Gli interessi economici e il confronto con lo schema libico</w:t>
      </w:r>
    </w:p>
    <w:p>
      <w:pPr>
        <w:spacing w:after="120" w:line="276"/>
        <w:jc w:val="both"/>
      </w:pPr>
      <w:r>
        <w:rPr>
          <w:rFonts w:ascii="Barlow Semi Condensed" w:cs="Barlow Semi Condensed" w:eastAsia="Barlow Semi Condensed" w:hAnsi="Barlow Semi Condensed"/>
          <w:b/>
          <w:bCs/>
          <w:sz w:val="24"/>
          <w:szCs w:val="24"/>
        </w:rPr>
        <w:t xml:space="preserve">Il capitolo verifica se lo schema accertato per la Libia si applichi, e risponde di no in forma documentata e di forse in forma strutturale.</w:t>
      </w:r>
    </w:p>
    <w:p>
      <w:pPr>
        <w:spacing w:after="120" w:line="276"/>
        <w:jc w:val="both"/>
      </w:pPr>
      <w:r>
        <w:rPr>
          <w:rFonts w:ascii="Barlow Semi Condensed" w:cs="Barlow Semi Condensed" w:eastAsia="Barlow Semi Condensed" w:hAnsi="Barlow Semi Condensed"/>
          <w:b/>
          <w:bCs/>
          <w:sz w:val="24"/>
          <w:szCs w:val="24"/>
        </w:rPr>
        <w:t xml:space="preserve">Lo schema libico, per come la quattordicesima ricognizione lo ha accertato. In Libia la tutela della posizione dell'ENI condizionò la rinuncia dell'Italia alle ritorsioni dopo la confisca dei beni di ventimila cittadini italiani.</w:t>
      </w:r>
    </w:p>
    <w:p>
      <w:pPr>
        <w:spacing w:after="120" w:line="276"/>
        <w:jc w:val="both"/>
      </w:pPr>
      <w:r>
        <w:rPr>
          <w:rFonts w:ascii="Barlow Semi Condensed" w:cs="Barlow Semi Condensed" w:eastAsia="Barlow Semi Condensed" w:hAnsi="Barlow Semi Condensed"/>
          <w:b/>
          <w:bCs/>
          <w:sz w:val="24"/>
          <w:szCs w:val="24"/>
        </w:rPr>
        <w:t xml:space="preserve">La verifica sul caso sudafricano dà esito diverso, e va enunciato senza forzature.</w:t>
      </w:r>
    </w:p>
    <w:p>
      <w:pPr>
        <w:spacing w:after="120" w:line="276"/>
        <w:jc w:val="both"/>
      </w:pPr>
      <w:r>
        <w:rPr>
          <w:rFonts w:ascii="Barlow Semi Condensed" w:cs="Barlow Semi Condensed" w:eastAsia="Barlow Semi Condensed" w:hAnsi="Barlow Semi Condensed"/>
          <w:b/>
          <w:bCs/>
          <w:sz w:val="24"/>
          <w:szCs w:val="24"/>
        </w:rPr>
        <w:t xml:space="preserve">Sul piano strutturale, il Sudafrica era per l'Italia fornitore di materie prime e mercato di sbocco. Le fonti attestano che il carbone italiano è in larga parte importato e che il Sudafrica figura fra i principali Paesi di origine; e che il Sudafrica è grande produttore mondiale di oro, platino, cromo e manganese, di cui l'Italia è importatrice.</w:t>
      </w:r>
    </w:p>
    <w:p>
      <w:pPr>
        <w:spacing w:after="120" w:line="276"/>
        <w:jc w:val="both"/>
      </w:pPr>
      <w:r>
        <w:rPr>
          <w:rFonts w:ascii="Barlow Semi Condensed" w:cs="Barlow Semi Condensed" w:eastAsia="Barlow Semi Condensed" w:hAnsi="Barlow Semi Condensed"/>
          <w:b/>
          <w:bCs/>
          <w:sz w:val="24"/>
          <w:szCs w:val="24"/>
        </w:rPr>
        <w:t xml:space="preserve">Ma non è stato reperito un accordo commerciale bilaterale specifico del periodo, né traccia di un ruolo dell'ENI in Sudafrica paragonabile a quello libico.\\ Le fonti sul ruolo africano dell'ENI lo collocano in \\Angola, Congo e Nigeria.</w:t>
      </w:r>
    </w:p>
    <w:p>
      <w:pPr>
        <w:spacing w:after="120" w:line="276"/>
        <w:jc w:val="both"/>
      </w:pPr>
      <w:r>
        <w:rPr>
          <w:rFonts w:ascii="Barlow Semi Condensed" w:cs="Barlow Semi Condensed" w:eastAsia="Barlow Semi Condensed" w:hAnsi="Barlow Semi Condensed"/>
          <w:b/>
          <w:bCs/>
          <w:sz w:val="24"/>
          <w:szCs w:val="24"/>
        </w:rPr>
        <w:t xml:space="preserve">E vi è una ragione strutturale che spiega l'assenza: il Sudafrica non era Paese produttore di idrocarburi ma, al contrario, cronicamente dipendente dalle importazioni di greggio, e perciò bersaglio degli embarghi petroliferi anziché posta petrolifera.</w:t>
      </w:r>
    </w:p>
    <w:p>
      <w:pPr>
        <w:spacing w:after="120" w:line="276"/>
        <w:jc w:val="both"/>
      </w:pPr>
      <w:r>
        <w:rPr>
          <w:rFonts w:ascii="Barlow Semi Condensed" w:cs="Barlow Semi Condensed" w:eastAsia="Barlow Semi Condensed" w:hAnsi="Barlow Semi Condensed"/>
          <w:b/>
          <w:bCs/>
          <w:sz w:val="24"/>
          <w:szCs w:val="24"/>
        </w:rPr>
        <w:t xml:space="preserve">Ne discende che lo schema libico non trova nel caso sudafricano una conferma documentale diretta: non vi era un interesse italiano di approvvigionamento di consistenza comparabile.</w:t>
      </w:r>
    </w:p>
    <w:p>
      <w:pPr>
        <w:spacing w:after="120" w:line="276"/>
        <w:jc w:val="both"/>
      </w:pPr>
      <w:r>
        <w:rPr>
          <w:rFonts w:ascii="Barlow Semi Condensed" w:cs="Barlow Semi Condensed" w:eastAsia="Barlow Semi Condensed" w:hAnsi="Barlow Semi Condensed"/>
          <w:b/>
          <w:bCs/>
          <w:sz w:val="24"/>
          <w:szCs w:val="24"/>
        </w:rPr>
        <w:t xml:space="preserve">Ma vi è un interesse di natura diversa, e va nominato.</w:t>
      </w:r>
    </w:p>
    <w:p>
      <w:pPr>
        <w:spacing w:after="120" w:line="276"/>
        <w:jc w:val="both"/>
      </w:pPr>
      <w:r>
        <w:rPr>
          <w:rFonts w:ascii="Barlow Semi Condensed" w:cs="Barlow Semi Condensed" w:eastAsia="Barlow Semi Condensed" w:hAnsi="Barlow Semi Condensed"/>
          <w:b/>
          <w:bCs/>
          <w:sz w:val="24"/>
          <w:szCs w:val="24"/>
        </w:rPr>
        <w:t xml:space="preserve">L'interesse economico più tangibile e specificamente riconducibile alla condotta in esame non è di approvvigionamento bensì industriale ed esportativo: quello dell'Aermacchi e dell'indotto aeronautico alla prosecuzione di un programma di licenza redditizio.</w:t>
      </w:r>
    </w:p>
    <w:p>
      <w:pPr>
        <w:spacing w:after="120" w:line="276"/>
        <w:jc w:val="both"/>
      </w:pPr>
      <w:r>
        <w:rPr>
          <w:rFonts w:ascii="Barlow Semi Condensed" w:cs="Barlow Semi Condensed" w:eastAsia="Barlow Semi Condensed" w:hAnsi="Barlow Semi Condensed"/>
          <w:b/>
          <w:bCs/>
          <w:sz w:val="24"/>
          <w:szCs w:val="24"/>
        </w:rPr>
        <w:t xml:space="preserve">Le fonti aeronautiche descrivono l'esportazione come il fondamento della redditività del programma MB-326, con quota rilevantissima del fatturato proveniente dalle vendite estere negli anni di picco. Ma questo dato proviene da pubblicistica settoriale e in parte da fonte esclusa dal committente, e va verificato su bilanci aziendali.</w:t>
      </w:r>
    </w:p>
    <w:p>
      <w:pPr>
        <w:spacing w:after="120" w:line="276"/>
        <w:jc w:val="both"/>
      </w:pPr>
      <w:r>
        <w:rPr>
          <w:rFonts w:ascii="Barlow Semi Condensed" w:cs="Barlow Semi Condensed" w:eastAsia="Barlow Semi Condensed" w:hAnsi="Barlow Semi Condensed"/>
          <w:b/>
          <w:bCs/>
          <w:sz w:val="24"/>
          <w:szCs w:val="24"/>
        </w:rPr>
        <w:t xml:space="preserve">La conclusione va formulata con precisione.\\ \\Affermare che tale interesse abbia condizionato la condotta governativa sarebbe, allo stato, inferenza non sorretta da documento, e la ricognizione si astiene dal formularla come accertata.</w:t>
      </w:r>
    </w:p>
    <w:p>
      <w:pPr>
        <w:spacing w:after="120" w:line="276"/>
        <w:jc w:val="both"/>
      </w:pPr>
      <w:r>
        <w:rPr>
          <w:rFonts w:ascii="Barlow Semi Condensed" w:cs="Barlow Semi Condensed" w:eastAsia="Barlow Semi Condensed" w:hAnsi="Barlow Semi Condensed"/>
          <w:b/>
          <w:bCs/>
          <w:sz w:val="24"/>
          <w:szCs w:val="24"/>
        </w:rPr>
        <w:t xml:space="preserve">Lo schema libico trova dunque nel caso sudafricano un'analogia di struttura — l'interesse di un'impresa a partecipazione pubblica come sfondo della prudenza governativa — e non un'identità confermata.</w:t>
      </w:r>
    </w:p>
    <w:p>
      <w:pPr>
        <w:spacing w:after="120" w:line="276"/>
        <w:jc w:val="both"/>
      </w:pPr>
      <w:r>
        <w:rPr>
          <w:rFonts w:ascii="Barlow Semi Condensed" w:cs="Barlow Semi Condensed" w:eastAsia="Barlow Semi Condensed" w:hAnsi="Barlow Semi Condensed"/>
          <w:b/>
          <w:bCs/>
          <w:sz w:val="24"/>
          <w:szCs w:val="24"/>
        </w:rPr>
        <w:t xml:space="preserve">L'analogia si consegna come ipotesi di lavoro, con l'onere della prova rinviato agli archivi dell'IRI, di Finmeccanica e dei ministeri economici.</w:t>
      </w:r>
    </w:p>
    <w:p>
      <w:pPr>
        <w:pStyle w:val="Heading2"/>
        <w:spacing w:after="100" w:before="200"/>
      </w:pPr>
      <w:r>
        <w:rPr>
          <w:rFonts w:ascii="Barlow Semi Condensed" w:cs="Barlow Semi Condensed" w:eastAsia="Barlow Semi Condensed" w:hAnsi="Barlow Semi Condensed"/>
          <w:sz w:val="24"/>
          <w:szCs w:val="24"/>
        </w:rPr>
        <w:t xml:space="preserve">Capitolo decimo — La comunità italiana e il limite dell'inferenza</w:t>
      </w:r>
    </w:p>
    <w:p>
      <w:pPr>
        <w:spacing w:after="120" w:line="276"/>
        <w:jc w:val="both"/>
      </w:pPr>
      <w:r>
        <w:rPr>
          <w:rFonts w:ascii="Barlow Semi Condensed" w:cs="Barlow Semi Condensed" w:eastAsia="Barlow Semi Condensed" w:hAnsi="Barlow Semi Condensed"/>
          <w:b/>
          <w:bCs/>
          <w:sz w:val="24"/>
          <w:szCs w:val="24"/>
        </w:rPr>
        <w:t xml:space="preserve">Il capitolo espone un fatto ben documentato e si vieta di trarne la conclusione che sarebbe facile.</w:t>
      </w:r>
    </w:p>
    <w:p>
      <w:pPr>
        <w:spacing w:after="120" w:line="276"/>
        <w:jc w:val="both"/>
      </w:pPr>
      <w:r>
        <w:rPr>
          <w:rFonts w:ascii="Barlow Semi Condensed" w:cs="Barlow Semi Condensed" w:eastAsia="Barlow Semi Condensed" w:hAnsi="Barlow Semi Condensed"/>
          <w:b/>
          <w:bCs/>
          <w:sz w:val="24"/>
          <w:szCs w:val="24"/>
        </w:rPr>
        <w:t xml:space="preserve">L'origine, che è di guerra. Il Sudafrica, per la collocazione lontana dai fronti e la disponibilità di spazio, divenne uno dei principali luoghi di detenzione dei prigionieri italiani catturati nelle campagne dell'Africa orientale e settentrionale, concentrati in gran parte nel campo di Zonderwater presso Cullinan.</w:t>
      </w:r>
    </w:p>
    <w:p>
      <w:pPr>
        <w:spacing w:after="120" w:line="276"/>
        <w:jc w:val="both"/>
      </w:pPr>
      <w:r>
        <w:rPr>
          <w:rFonts w:ascii="Barlow Semi Condensed" w:cs="Barlow Semi Condensed" w:eastAsia="Barlow Semi Condensed" w:hAnsi="Barlow Semi Condensed"/>
          <w:b/>
          <w:bCs/>
          <w:sz w:val="24"/>
          <w:szCs w:val="24"/>
        </w:rPr>
        <w:t xml:space="preserve">La crescita è documentata dal Consolato Generale d'Italia a Johannesburg\\: \\cinquantaquattromila\\ prigionieri nell'aprile 1942, \\sessantatremila\\ nel 1943, fino a un totale di \\novantamila.</w:t>
      </w:r>
    </w:p>
    <w:p>
      <w:pPr>
        <w:spacing w:after="120" w:line="276"/>
        <w:jc w:val="both"/>
      </w:pPr>
      <w:r>
        <w:rPr>
          <w:rFonts w:ascii="Barlow Semi Condensed" w:cs="Barlow Semi Condensed" w:eastAsia="Barlow Semi Condensed" w:hAnsi="Barlow Semi Condensed"/>
          <w:b/>
          <w:bCs/>
          <w:sz w:val="24"/>
          <w:szCs w:val="24"/>
        </w:rPr>
        <w:t xml:space="preserve">È la più grande rilocazione di italiani nel continente africano.</w:t>
      </w:r>
    </w:p>
    <w:p>
      <w:pPr>
        <w:spacing w:after="120" w:line="276"/>
        <w:jc w:val="both"/>
      </w:pPr>
      <w:r>
        <w:rPr>
          <w:rFonts w:ascii="Barlow Semi Condensed" w:cs="Barlow Semi Condensed" w:eastAsia="Barlow Semi Condensed" w:hAnsi="Barlow Semi Condensed"/>
          <w:b/>
          <w:bCs/>
          <w:sz w:val="24"/>
          <w:szCs w:val="24"/>
        </w:rPr>
        <w:t xml:space="preserve">Il cimitero militare italiano di Zonderwater onora i trecentododici prigionieri morti in prigionia.</w:t>
      </w:r>
    </w:p>
    <w:p>
      <w:pPr>
        <w:spacing w:after="120" w:line="276"/>
        <w:jc w:val="both"/>
      </w:pPr>
      <w:r>
        <w:rPr>
          <w:rFonts w:ascii="Barlow Semi Condensed" w:cs="Barlow Semi Condensed" w:eastAsia="Barlow Semi Condensed" w:hAnsi="Barlow Semi Condensed"/>
          <w:b/>
          <w:bCs/>
          <w:sz w:val="24"/>
          <w:szCs w:val="24"/>
        </w:rPr>
        <w:t xml:space="preserve">Il nesso con la comunità del dopoguerra, documentato dalla medesima fonte consolare. A partire dagli anni Cinquanta gli stessi ex prigionieri rimpatriati aprirono la via a un flusso migratorio: entro pochi anni circa ventimila ex prigionieri tornarono in Sudafrica, e una parte importante della comunità italiana — circa quarantamila — è tuttora costituita da discendenti di quel gruppo.</w:t>
      </w:r>
    </w:p>
    <w:p>
      <w:pPr>
        <w:spacing w:after="120" w:line="276"/>
        <w:jc w:val="both"/>
      </w:pPr>
      <w:r>
        <w:rPr>
          <w:rFonts w:ascii="Barlow Semi Condensed" w:cs="Barlow Semi Condensed" w:eastAsia="Barlow Semi Condensed" w:hAnsi="Barlow Semi Condensed"/>
          <w:b/>
          <w:bCs/>
          <w:sz w:val="24"/>
          <w:szCs w:val="24"/>
        </w:rPr>
        <w:t xml:space="preserve">Le stime complessive. Metà degli anni Novanta: circa centoventimila fra italiani e discendenti, equamente ripartiti fra nati in Italia e discendenti. Dati consolari del 2022: circa trentacinquemila iscritti ai servizi consolari, cifra che esclude i discendenti non iscritti.</w:t>
      </w:r>
    </w:p>
    <w:p>
      <w:pPr>
        <w:spacing w:after="120" w:line="276"/>
        <w:jc w:val="both"/>
      </w:pPr>
      <w:r>
        <w:rPr>
          <w:rFonts w:ascii="Barlow Semi Condensed" w:cs="Barlow Semi Condensed" w:eastAsia="Barlow Semi Condensed" w:hAnsi="Barlow Semi Condensed"/>
          <w:b/>
          <w:bCs/>
          <w:sz w:val="24"/>
          <w:szCs w:val="24"/>
        </w:rPr>
        <w:t xml:space="preserve">E adesso il dato che tocca la questione del peso politico, e che va trattato con la disciplina che la serie impone.</w:t>
      </w:r>
    </w:p>
    <w:p>
      <w:pPr>
        <w:spacing w:after="120" w:line="276"/>
        <w:jc w:val="both"/>
      </w:pPr>
      <w:r>
        <w:rPr>
          <w:rFonts w:ascii="Barlow Semi Condensed" w:cs="Barlow Semi Condensed" w:eastAsia="Barlow Semi Condensed" w:hAnsi="Barlow Semi Condensed"/>
          <w:b/>
          <w:bCs/>
          <w:sz w:val="24"/>
          <w:szCs w:val="24"/>
        </w:rPr>
        <w:t xml:space="preserve">La storiografia riferisce, sulla scorta dello storico italo-sudafricano Gabriele Sani, che la figura riconosciuta come leader naturale della comunità italiana, tale Mottalini, fu per un quarantennio l'artefice dei rapporti fra l'associazione degli ex prigionieri e il governo sudafricano, ed era considerato amico personale sia da Balthazar Johannes Vorster sia da Pieter Willem Botha, entrambi primi ministri e presidenti.</w:t>
      </w:r>
    </w:p>
    <w:p>
      <w:pPr>
        <w:spacing w:after="120" w:line="276"/>
        <w:jc w:val="both"/>
      </w:pPr>
      <w:r>
        <w:rPr>
          <w:rFonts w:ascii="Barlow Semi Condensed" w:cs="Barlow Semi Condensed" w:eastAsia="Barlow Semi Condensed" w:hAnsi="Barlow Semi Condensed"/>
          <w:b/>
          <w:bCs/>
          <w:sz w:val="24"/>
          <w:szCs w:val="24"/>
        </w:rPr>
        <w:t xml:space="preserve">Il fatto è documentato. E qui si applica il divieto di trattare la relazione come prova di una condotta.</w:t>
      </w:r>
    </w:p>
    <w:p>
      <w:pPr>
        <w:spacing w:after="120" w:line="276"/>
        <w:jc w:val="both"/>
      </w:pPr>
      <w:r>
        <w:rPr>
          <w:rFonts w:ascii="Barlow Semi Condensed" w:cs="Barlow Semi Condensed" w:eastAsia="Barlow Semi Condensed" w:hAnsi="Barlow Semi Condensed"/>
          <w:b/>
          <w:bCs/>
          <w:sz w:val="24"/>
          <w:szCs w:val="24"/>
        </w:rPr>
        <w:t xml:space="preserve">Che esistessero rapporti cordiali fra un leader comunitario e i vertici del regime non prova che la comunità italiana abbia costituito un fattore attivo della politica italiana verso Pretoria, né che abbia influenzato le decisioni del governo di Roma.</w:t>
      </w:r>
    </w:p>
    <w:p>
      <w:pPr>
        <w:spacing w:after="120" w:line="276"/>
        <w:jc w:val="both"/>
      </w:pPr>
      <w:r>
        <w:rPr>
          <w:rFonts w:ascii="Barlow Semi Condensed" w:cs="Barlow Semi Condensed" w:eastAsia="Barlow Semi Condensed" w:hAnsi="Barlow Semi Condensed"/>
          <w:b/>
          <w:bCs/>
          <w:sz w:val="24"/>
          <w:szCs w:val="24"/>
        </w:rPr>
        <w:t xml:space="preserve">La ricognizione può affermare che la comunità esisteva, era numerosa, era integrata e disponeva di canali di relazione con il regime. Non può affermare che abbia condizionato la condotta governativa italiana.</w:t>
      </w:r>
    </w:p>
    <w:p>
      <w:pPr>
        <w:spacing w:after="120" w:line="276"/>
        <w:jc w:val="both"/>
      </w:pPr>
      <w:r>
        <w:rPr>
          <w:rFonts w:ascii="Barlow Semi Condensed" w:cs="Barlow Semi Condensed" w:eastAsia="Barlow Semi Condensed" w:hAnsi="Barlow Semi Condensed"/>
          <w:b/>
          <w:bCs/>
          <w:sz w:val="24"/>
          <w:szCs w:val="24"/>
        </w:rPr>
        <w:t xml:space="preserve">La sede per verificare tale ipotesi è la documentazione consolare e diplomatica e gli studi sull'emigrazione italiana.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controllato con la Repubblica Federale e la Baviera</w:t>
      </w:r>
    </w:p>
    <w:p>
      <w:pPr>
        <w:spacing w:after="120" w:line="276"/>
        <w:jc w:val="both"/>
      </w:pPr>
      <w:r>
        <w:rPr>
          <w:rFonts w:ascii="Barlow Semi Condensed" w:cs="Barlow Semi Condensed" w:eastAsia="Barlow Semi Condensed" w:hAnsi="Barlow Semi Condensed"/>
          <w:b/>
          <w:bCs/>
          <w:sz w:val="24"/>
          <w:szCs w:val="24"/>
        </w:rPr>
        <w:t xml:space="preserve">Il capitolo è secondario per indicazione del committente e più breve per una seconda ragione, cronologica, che va enunciata subito.</w:t>
      </w:r>
    </w:p>
    <w:p>
      <w:pPr>
        <w:spacing w:after="120" w:line="276"/>
        <w:jc w:val="both"/>
      </w:pPr>
      <w:r>
        <w:rPr>
          <w:rFonts w:ascii="Barlow Semi Condensed" w:cs="Barlow Semi Condensed" w:eastAsia="Barlow Semi Condensed" w:hAnsi="Barlow Semi Condensed"/>
          <w:b/>
          <w:bCs/>
          <w:sz w:val="24"/>
          <w:szCs w:val="24"/>
        </w:rPr>
        <w:t xml:space="preserve">L'impossibilità della triangolazione a tre termini.\\ \\Aldo Moro morì nel 1978.\\ \\Pieter Willem Botha divenne primo ministro nel 1978\\, e la vicenda dei sommergibili e dei rapporti con Franz Josef Strauß si colloca \\negli anni Ottanta.</w:t>
      </w:r>
    </w:p>
    <w:p>
      <w:pPr>
        <w:spacing w:after="120" w:line="276"/>
        <w:jc w:val="both"/>
      </w:pPr>
      <w:r>
        <w:rPr>
          <w:rFonts w:ascii="Barlow Semi Condensed" w:cs="Barlow Semi Condensed" w:eastAsia="Barlow Semi Condensed" w:hAnsi="Barlow Semi Condensed"/>
          <w:b/>
          <w:bCs/>
          <w:sz w:val="24"/>
          <w:szCs w:val="24"/>
        </w:rPr>
        <w:t xml:space="preserve">Ne discende che ogni triangolazione fra Moro, la Baviera e il Sudafrica nella fase Botha è cronologicamente impossibile. Se ne prende atto e lo si dichiara.</w:t>
      </w:r>
    </w:p>
    <w:p>
      <w:pPr>
        <w:spacing w:after="120" w:line="276"/>
        <w:jc w:val="both"/>
      </w:pPr>
      <w:r>
        <w:rPr>
          <w:rFonts w:ascii="Barlow Semi Condensed" w:cs="Barlow Semi Condensed" w:eastAsia="Barlow Semi Condensed" w:hAnsi="Barlow Semi Condensed"/>
          <w:b/>
          <w:bCs/>
          <w:sz w:val="24"/>
          <w:szCs w:val="24"/>
        </w:rPr>
        <w:t xml:space="preserve">Il confronto può dunque essere soltanto termine di paragone strutturale, e come tale si conduce.</w:t>
      </w:r>
    </w:p>
    <w:p>
      <w:pPr>
        <w:spacing w:after="120" w:line="276"/>
        <w:jc w:val="both"/>
      </w:pPr>
      <w:r>
        <w:rPr>
          <w:rFonts w:ascii="Barlow Semi Condensed" w:cs="Barlow Semi Condensed" w:eastAsia="Barlow Semi Condensed" w:hAnsi="Barlow Semi Condensed"/>
          <w:b/>
          <w:bCs/>
          <w:sz w:val="24"/>
          <w:szCs w:val="24"/>
        </w:rPr>
        <w:t xml:space="preserve">La cooperazione nucleare, distinguendo il documentato dall'allegato.</w:t>
      </w:r>
    </w:p>
    <w:p>
      <w:pPr>
        <w:spacing w:after="120" w:line="276"/>
        <w:jc w:val="both"/>
      </w:pPr>
      <w:r>
        <w:rPr>
          <w:rFonts w:ascii="Barlow Semi Condensed" w:cs="Barlow Semi Condensed" w:eastAsia="Barlow Semi Condensed" w:hAnsi="Barlow Semi Condensed"/>
          <w:b/>
          <w:bCs/>
          <w:sz w:val="24"/>
          <w:szCs w:val="24"/>
        </w:rPr>
        <w:t xml:space="preserve">È documentato che il Sudafrica sviluppò negli anni Settanta una capacità di arricchimento dell'uranio basata sul processo Helikon di separazione a vortice, derivato dal metodo a getto ideato dal professore tedesco Erwin Willy Becker, con cui scienziati sudafricani cooperavano dal 1974; ed è documentato che una società tedesca, la STEAG, fu coinvolta in colloqui sull'arricchimento prima che il Sudafrica sviluppasse la propria tecnologia.</w:t>
      </w:r>
    </w:p>
    <w:p>
      <w:pPr>
        <w:spacing w:after="120" w:line="276"/>
        <w:jc w:val="both"/>
      </w:pPr>
      <w:r>
        <w:rPr>
          <w:rFonts w:ascii="Barlow Semi Condensed" w:cs="Barlow Semi Condensed" w:eastAsia="Barlow Semi Condensed" w:hAnsi="Barlow Semi Condensed"/>
          <w:b/>
          <w:bCs/>
          <w:sz w:val="24"/>
          <w:szCs w:val="24"/>
        </w:rPr>
        <w:t xml:space="preserve">È invece allegazione, e non fatto giudizialmente accertato, l'esistenza di una cooperazione nucleare militare governativa fra Bonn e Pretoria. Il 19 agosto 1977 l'alto funzionario del ministero degli Esteri tedesco van Well dichiarò che non vi era cooperazione nucleare tedesco-sudafricana, pur ammettendo l'acquisto di uranio e il coinvolgimento della STEAG nei colloqui.</w:t>
      </w:r>
    </w:p>
    <w:p>
      <w:pPr>
        <w:spacing w:after="120" w:line="276"/>
        <w:jc w:val="both"/>
      </w:pPr>
      <w:r>
        <w:rPr>
          <w:rFonts w:ascii="Barlow Semi Condensed" w:cs="Barlow Semi Condensed" w:eastAsia="Barlow Semi Condensed" w:hAnsi="Barlow Semi Condensed"/>
          <w:b/>
          <w:bCs/>
          <w:sz w:val="24"/>
          <w:szCs w:val="24"/>
        </w:rPr>
        <w:t xml:space="preserve">L'African National Congress pubblicò a Bonn nel 1975 e nel 1977 due dossier\\ — \The Nuclear Conspiracy\ e \Conspiracy to Arm Apartheid Continues\ — \\che sono fonte militante di parte e vanno qualificati come tali.</w:t>
      </w:r>
    </w:p>
    <w:p>
      <w:pPr>
        <w:spacing w:after="120" w:line="276"/>
        <w:jc w:val="both"/>
      </w:pPr>
      <w:r>
        <w:rPr>
          <w:rFonts w:ascii="Barlow Semi Condensed" w:cs="Barlow Semi Condensed" w:eastAsia="Barlow Semi Condensed" w:hAnsi="Barlow Semi Condensed"/>
          <w:b/>
          <w:bCs/>
          <w:sz w:val="24"/>
          <w:szCs w:val="24"/>
        </w:rPr>
        <w:t xml:space="preserve">Il crinale su cui la storiografia recente basata su archivi colloca la questione — si veda lo studio di Robin Möser in Cold War History del 2024 — è la distinzione fra lo studio di fattibilità congiunto, che le controparti ammisero, e la condivisione di tecnologia sensibile per fini militari, che negarono.</w:t>
      </w:r>
    </w:p>
    <w:p>
      <w:pPr>
        <w:spacing w:after="120" w:line="276"/>
        <w:jc w:val="both"/>
      </w:pPr>
      <w:r>
        <w:rPr>
          <w:rFonts w:ascii="Barlow Semi Condensed" w:cs="Barlow Semi Condensed" w:eastAsia="Barlow Semi Condensed" w:hAnsi="Barlow Semi Condensed"/>
          <w:b/>
          <w:bCs/>
          <w:sz w:val="24"/>
          <w:szCs w:val="24"/>
        </w:rPr>
        <w:t xml:space="preserve">La Hanns-Seidel-Stiftung, con le date. La fondazione vicina alla Christlich-Soziale Union operò in Namibia a partire dal 1978, con ufficio a Windhoek, e iniziò a operare direttamente in Sudafrica nel 1991, a Johannesburg e poi a Città del Capo, dichiaratamente per sostenere la transizione verso una società democratica e non razziale.</w:t>
      </w:r>
    </w:p>
    <w:p>
      <w:pPr>
        <w:spacing w:after="120" w:line="276"/>
        <w:jc w:val="both"/>
      </w:pPr>
      <w:r>
        <w:rPr>
          <w:rFonts w:ascii="Barlow Semi Condensed" w:cs="Barlow Semi Condensed" w:eastAsia="Barlow Semi Condensed" w:hAnsi="Barlow Semi Condensed"/>
          <w:b/>
          <w:bCs/>
          <w:sz w:val="24"/>
          <w:szCs w:val="24"/>
        </w:rPr>
        <w:t xml:space="preserve">Il dato del 1978 per la Namibia va notato perché è anteriore all'indipendenza del 1990 e colloca la presenza in territorio ancora amministrato dal Sudafrica. Le fonti reperite descrivono l'attività in termini di sostegno allo sviluppo democratico; il contenuto puntuale delle attività degli anni Settanta e Ottanta non è stato accertato e va verificato presso l'archivio della fondazione.</w:t>
      </w:r>
    </w:p>
    <w:p>
      <w:pPr>
        <w:spacing w:after="120" w:line="276"/>
        <w:jc w:val="both"/>
      </w:pPr>
      <w:r>
        <w:rPr>
          <w:rFonts w:ascii="Barlow Semi Condensed" w:cs="Barlow Semi Condensed" w:eastAsia="Barlow Semi Condensed" w:hAnsi="Barlow Semi Condensed"/>
          <w:b/>
          <w:bCs/>
          <w:sz w:val="24"/>
          <w:szCs w:val="24"/>
        </w:rPr>
        <w:t xml:space="preserve">Sulla posizione della Christlich-Soziale Union in materia di sanzioni negli anni Ottanta si dichiara esito sostanzialmente negativo di reperimento puntuale: è noto in via generale l'orientamento critico verso le sanzioni, ma la ricostruzione documentale delle posizioni ufficiali richiederebbe gli atti del Bundestag e gli archivi del partito.</w:t>
      </w:r>
    </w:p>
    <w:p>
      <w:pPr>
        <w:spacing w:after="120" w:line="276"/>
        <w:jc w:val="both"/>
      </w:pPr>
      <w:r>
        <w:rPr>
          <w:rFonts w:ascii="Barlow Semi Condensed" w:cs="Barlow Semi Condensed" w:eastAsia="Barlow Semi Condensed" w:hAnsi="Barlow Semi Condensed"/>
          <w:b/>
          <w:bCs/>
          <w:sz w:val="24"/>
          <w:szCs w:val="24"/>
        </w:rPr>
        <w:t xml:space="preserve">E si ribadisce la cautela già stabilita dall'undicesima ricognizione sulla vicenda dei sommergibili del 1984-1986: le fonti stesse qualificano come voci le allegazioni sulle provvigioni, e la ricognizione non le eleva a fatto.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nono grado</w:t>
      </w:r>
    </w:p>
    <w:p>
      <w:pPr>
        <w:spacing w:after="120" w:line="276"/>
        <w:jc w:val="both"/>
      </w:pPr>
      <w:r>
        <w:rPr>
          <w:rFonts w:ascii="Barlow Semi Condensed" w:cs="Barlow Semi Condensed" w:eastAsia="Barlow Semi Condensed" w:hAnsi="Barlow Semi Condensed"/>
          <w:b/>
          <w:bCs/>
          <w:sz w:val="24"/>
          <w:szCs w:val="24"/>
        </w:rPr>
        <w:t xml:space="preserve">Primo punto su cui la ricognizione deve pronunciarsi: se la condotta italiana verso il Sudafrica nel periodo Moro sia documentata, non documentata, o documentata soltanto presso apparati diversi dalla Farnesina.</w:t>
      </w:r>
    </w:p>
    <w:p>
      <w:pPr>
        <w:spacing w:after="120" w:line="276"/>
        <w:jc w:val="both"/>
      </w:pPr>
      <w:r>
        <w:rPr>
          <w:rFonts w:ascii="Barlow Semi Condensed" w:cs="Barlow Semi Condensed" w:eastAsia="Barlow Semi Condensed" w:hAnsi="Barlow Semi Condensed"/>
          <w:b/>
          <w:bCs/>
          <w:sz w:val="24"/>
          <w:szCs w:val="24"/>
        </w:rPr>
        <w:t xml:space="preserve">La risposta è la terza, con una precisazione che la modifica sostanzialmente.</w:t>
      </w:r>
    </w:p>
    <w:p>
      <w:pPr>
        <w:spacing w:after="120" w:line="276"/>
        <w:jc w:val="both"/>
      </w:pPr>
      <w:r>
        <w:rPr>
          <w:rFonts w:ascii="Barlow Semi Condensed" w:cs="Barlow Semi Condensed" w:eastAsia="Barlow Semi Condensed" w:hAnsi="Barlow Semi Condensed"/>
          <w:b/>
          <w:bCs/>
          <w:sz w:val="24"/>
          <w:szCs w:val="24"/>
        </w:rPr>
        <w:t xml:space="preserve">Ciò che è documentato: la presenza industriale — licenza 1964, produzione dal 1966, canale del motore attraverso la sub-licenza Piaggio, impiego operativo. E la condotta politica multilaterale, da fonte primaria: contro la sospensione procedurale e a favore della condanna sostanziale, il medesimo giorno del 30 settembre 1974.</w:t>
      </w:r>
    </w:p>
    <w:p>
      <w:pPr>
        <w:spacing w:after="120" w:line="276"/>
        <w:jc w:val="both"/>
      </w:pPr>
      <w:r>
        <w:rPr>
          <w:rFonts w:ascii="Barlow Semi Condensed" w:cs="Barlow Semi Condensed" w:eastAsia="Barlow Semi Condensed" w:hAnsi="Barlow Semi Condensed"/>
          <w:b/>
          <w:bCs/>
          <w:sz w:val="24"/>
          <w:szCs w:val="24"/>
        </w:rPr>
        <w:t xml:space="preserve">Ciò che non è documentato: l'atto specifico di governo relativo alla licenza.</w:t>
      </w:r>
    </w:p>
    <w:p>
      <w:pPr>
        <w:spacing w:after="120" w:line="276"/>
        <w:jc w:val="both"/>
      </w:pPr>
      <w:r>
        <w:rPr>
          <w:rFonts w:ascii="Barlow Semi Condensed" w:cs="Barlow Semi Condensed" w:eastAsia="Barlow Semi Condensed" w:hAnsi="Barlow Semi Condensed"/>
          <w:b/>
          <w:bCs/>
          <w:sz w:val="24"/>
          <w:szCs w:val="24"/>
        </w:rPr>
        <w:t xml:space="preserve">E qui la precisazione decisiva, che è il lascito del documento.\\ \\Quell'atto non è documentato non perché sia stato occultato, ma perché nel regime giuridico del tempo esso non esisteva come atto tipico.</w:t>
      </w:r>
    </w:p>
    <w:p>
      <w:pPr>
        <w:spacing w:after="120" w:line="276"/>
        <w:jc w:val="both"/>
      </w:pPr>
      <w:r>
        <w:rPr>
          <w:rFonts w:ascii="Barlow Semi Condensed" w:cs="Barlow Semi Condensed" w:eastAsia="Barlow Semi Condensed" w:hAnsi="Barlow Semi Condensed"/>
          <w:b/>
          <w:bCs/>
          <w:sz w:val="24"/>
          <w:szCs w:val="24"/>
        </w:rPr>
        <w:t xml:space="preserve">Fino al 1990 la cessione all'estero di licenze di produzione non era fattispecie autorizzativa tipizzata; la materia era coperta dal segreto di Stato ai sensi del regio decreto del 1941; non esistevano il comitato interministeriale, l'unità autorizzativa, il potere di veto formalizzato.</w:t>
      </w:r>
    </w:p>
    <w:p>
      <w:pPr>
        <w:spacing w:after="120" w:line="276"/>
        <w:jc w:val="both"/>
      </w:pPr>
      <w:r>
        <w:rPr>
          <w:rFonts w:ascii="Barlow Semi Condensed" w:cs="Barlow Semi Condensed" w:eastAsia="Barlow Semi Condensed" w:hAnsi="Barlow Semi Condensed"/>
          <w:b/>
          <w:bCs/>
          <w:sz w:val="24"/>
          <w:szCs w:val="24"/>
        </w:rPr>
        <w:t xml:space="preserve">Ne discende il nono grado di Stato Zero — l'atto atipico — enunciato al Capitolo sesto: una condotta dello Stato non lascia traccia perché il diritto vigente non la configurava come atto giuridico tipico, e dunque non ne prescriveva forma, motivazione né registrazione.</w:t>
      </w:r>
    </w:p>
    <w:p>
      <w:pPr>
        <w:spacing w:after="120" w:line="276"/>
        <w:jc w:val="both"/>
      </w:pPr>
      <w:r>
        <w:rPr>
          <w:rFonts w:ascii="Barlow Semi Condensed" w:cs="Barlow Semi Condensed" w:eastAsia="Barlow Semi Condensed" w:hAnsi="Barlow Semi Condensed"/>
          <w:b/>
          <w:bCs/>
          <w:sz w:val="24"/>
          <w:szCs w:val="24"/>
        </w:rPr>
        <w:t xml:space="preserve">Non è rimediabile con l'apertura di un archivio, perché non vi è nulla da aprire.</w:t>
      </w:r>
    </w:p>
    <w:p>
      <w:pPr>
        <w:spacing w:after="120" w:line="276"/>
        <w:jc w:val="both"/>
      </w:pPr>
      <w:r>
        <w:rPr>
          <w:rFonts w:ascii="Barlow Semi Condensed" w:cs="Barlow Semi Condensed" w:eastAsia="Barlow Semi Condensed" w:hAnsi="Barlow Semi Condensed"/>
          <w:b/>
          <w:bCs/>
          <w:sz w:val="24"/>
          <w:szCs w:val="24"/>
        </w:rPr>
        <w:t xml:space="preserve">Secondo punto: se il caso sudafricano confermi o smentisca lo schema libico.</w:t>
      </w:r>
    </w:p>
    <w:p>
      <w:pPr>
        <w:spacing w:after="120" w:line="276"/>
        <w:jc w:val="both"/>
      </w:pPr>
      <w:r>
        <w:rPr>
          <w:rFonts w:ascii="Barlow Semi Condensed" w:cs="Barlow Semi Condensed" w:eastAsia="Barlow Semi Condensed" w:hAnsi="Barlow Semi Condensed"/>
          <w:b/>
          <w:bCs/>
          <w:sz w:val="24"/>
          <w:szCs w:val="24"/>
        </w:rPr>
        <w:t xml:space="preserve">Non lo conferma in forma documentata, non lo smentisce, e ne suggerisce una variante. In Libia l'interesse era di approvvigionamento; qui è industriale ed esportativo. L'analogia è di struttura, non di identità, e l'onere della prova è rinviato agli archivi industriali.</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e la più economica: il testo integrale dei documenti S/9640 del 1970 e S/AC.20/27 del 1980, con la dichiarazione di Abdul Minty in S/AC.20/SR.25. Sede: Biblioteca digitale delle Nazioni Unite e atti del Comitato istituito dalla risoluzione quattrocentoventuno. Condizione: meramente tecnica, l'accesso ai file.</w:t>
      </w:r>
    </w:p>
    <w:p>
      <w:pPr>
        <w:spacing w:after="120" w:line="276"/>
        <w:jc w:val="both"/>
      </w:pPr>
      <w:r>
        <w:rPr>
          <w:rFonts w:ascii="Barlow Semi Condensed" w:cs="Barlow Semi Condensed" w:eastAsia="Barlow Semi Condensed" w:hAnsi="Barlow Semi Condensed"/>
          <w:b/>
          <w:bCs/>
          <w:sz w:val="24"/>
          <w:szCs w:val="24"/>
        </w:rPr>
        <w:t xml:space="preserve">Seconda: il testo dell'accordo di licenza Aermacchi-Atlas del 1964, con termini finanziari, geografici e di rinnovo. Sedi: archivio storico di Finmeccanica-Leonardo e archivio Aermacchi; controparti negli archivi Atlas-Denel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Terza: la documentazione dell'apparato competente italiano. Sedi: Archivio storico dell'IRI presso l'Archivio Centrale dello Stato, archivi della Difesa e dello Stato Maggiore dell'Aeronautica, ministeri economici. Condizione: declassificazione degli atti coperti dal segreto di Stato del regime del 1941 — con l'avvertenza del nono grado, che presso quelle sedi potrebbe non esservi nulla.</w:t>
      </w:r>
    </w:p>
    <w:p>
      <w:pPr>
        <w:spacing w:after="120" w:line="276"/>
        <w:jc w:val="both"/>
      </w:pPr>
      <w:r>
        <w:rPr>
          <w:rFonts w:ascii="Barlow Semi Condensed" w:cs="Barlow Semi Condensed" w:eastAsia="Barlow Semi Condensed" w:hAnsi="Barlow Semi Condensed"/>
          <w:b/>
          <w:bCs/>
          <w:sz w:val="24"/>
          <w:szCs w:val="24"/>
        </w:rPr>
        <w:t xml:space="preserve">Quarta: la serie Sudafrica 1969-1976 dell'Archivio Storico Diplomatico.</w:t>
      </w:r>
    </w:p>
    <w:p>
      <w:pPr>
        <w:spacing w:after="120" w:line="276"/>
        <w:jc w:val="both"/>
      </w:pPr>
      <w:r>
        <w:rPr>
          <w:rFonts w:ascii="Barlow Semi Condensed" w:cs="Barlow Semi Condensed" w:eastAsia="Barlow Semi Condensed" w:hAnsi="Barlow Semi Condensed"/>
          <w:b/>
          <w:bCs/>
          <w:sz w:val="24"/>
          <w:szCs w:val="24"/>
        </w:rPr>
        <w:t xml:space="preserve">Quinta: la documentazione britannica sul ruolo della Rolls-Royce. Sedi: National Archives, archivi Bristol Siddeley e Rolls-Royce Heritage Trust.</w:t>
      </w:r>
    </w:p>
    <w:p>
      <w:pPr>
        <w:spacing w:after="120" w:line="276"/>
        <w:jc w:val="both"/>
      </w:pPr>
      <w:r>
        <w:rPr>
          <w:rFonts w:ascii="Barlow Semi Condensed" w:cs="Barlow Semi Condensed" w:eastAsia="Barlow Semi Condensed" w:hAnsi="Barlow Semi Condensed"/>
          <w:b/>
          <w:bCs/>
          <w:sz w:val="24"/>
          <w:szCs w:val="24"/>
        </w:rPr>
        <w:t xml:space="preserve">Sesta: il voto italiano puntuale sulle risoluzioni namibiane e i dati d'interscambio del periodo.</w:t>
      </w:r>
    </w:p>
    <w:p>
      <w:pPr>
        <w:spacing w:after="120" w:line="276"/>
        <w:jc w:val="both"/>
      </w:pPr>
      <w:r>
        <w:rPr>
          <w:rFonts w:ascii="Barlow Semi Condensed" w:cs="Barlow Semi Condensed" w:eastAsia="Barlow Semi Condensed" w:hAnsi="Barlow Semi Condensed"/>
          <w:b/>
          <w:bCs/>
          <w:sz w:val="24"/>
          <w:szCs w:val="24"/>
        </w:rPr>
        <w:t xml:space="preserve">Settima, la più fragile: l'influenza della comunità italiana e le attività della Hanns-Seidel-Stiftung negli anni Settanta e Ottanta.</w:t>
      </w:r>
    </w:p>
    <w:p>
      <w:pPr>
        <w:spacing w:after="120" w:line="276"/>
        <w:jc w:val="both"/>
      </w:pPr>
      <w:r>
        <w:rPr>
          <w:rFonts w:ascii="Barlow Semi Condensed" w:cs="Barlow Semi Condensed" w:eastAsia="Barlow Semi Condensed" w:hAnsi="Barlow Semi Condensed"/>
          <w:b/>
          <w:bCs/>
          <w:sz w:val="24"/>
          <w:szCs w:val="24"/>
        </w:rPr>
        <w:t xml:space="preserve">Una osservazione conclusiva, che riguarda la serie intera.</w:t>
      </w:r>
    </w:p>
    <w:p>
      <w:pPr>
        <w:spacing w:after="120" w:line="276"/>
        <w:jc w:val="both"/>
      </w:pPr>
      <w:r>
        <w:rPr>
          <w:rFonts w:ascii="Barlow Semi Condensed" w:cs="Barlow Semi Condensed" w:eastAsia="Barlow Semi Condensed" w:hAnsi="Barlow Semi Condensed"/>
          <w:b/>
          <w:bCs/>
          <w:sz w:val="24"/>
          <w:szCs w:val="24"/>
        </w:rPr>
        <w:t xml:space="preserve">Quindici ricognizioni hanno cercato lo Stato italiano e per quattordici volte non lo hanno trovato, o lo hanno trovato per interposta storiografia.</w:t>
      </w:r>
    </w:p>
    <w:p>
      <w:pPr>
        <w:spacing w:after="120" w:line="276"/>
        <w:jc w:val="both"/>
      </w:pPr>
      <w:r>
        <w:rPr>
          <w:rFonts w:ascii="Barlow Semi Condensed" w:cs="Barlow Semi Condensed" w:eastAsia="Barlow Semi Condensed" w:hAnsi="Barlow Semi Condensed"/>
          <w:b/>
          <w:bCs/>
          <w:sz w:val="24"/>
          <w:szCs w:val="24"/>
        </w:rPr>
        <w:t xml:space="preserve">Qui lo si è trovato in un documento americano, che lo nomina per attribuirgli un'autorizzazione.</w:t>
      </w:r>
    </w:p>
    <w:p>
      <w:pPr>
        <w:spacing w:after="120" w:line="276"/>
        <w:jc w:val="both"/>
      </w:pPr>
      <w:r>
        <w:rPr>
          <w:rFonts w:ascii="Barlow Semi Condensed" w:cs="Barlow Semi Condensed" w:eastAsia="Barlow Semi Condensed" w:hAnsi="Barlow Semi Condensed"/>
          <w:b/>
          <w:bCs/>
          <w:sz w:val="24"/>
          <w:szCs w:val="24"/>
        </w:rPr>
        <w:t xml:space="preserve">Non un archivio italiano, non un atto parlamentare, non una sentenza: una scheda della Central Intelligence Agency, declassificata nel 2018, che accanto a un motore scrive che la produzione fu autorizzata su licenza dall'Italia.</w:t>
      </w:r>
    </w:p>
    <w:p>
      <w:pPr>
        <w:spacing w:after="120" w:line="276"/>
        <w:jc w:val="both"/>
      </w:pPr>
      <w:r>
        <w:rPr>
          <w:rFonts w:ascii="Barlow Semi Condensed" w:cs="Barlow Semi Condensed" w:eastAsia="Barlow Semi Condensed" w:hAnsi="Barlow Semi Condensed"/>
          <w:b/>
          <w:bCs/>
          <w:sz w:val="24"/>
          <w:szCs w:val="24"/>
        </w:rPr>
        <w:t xml:space="preserve">Che la traccia più netta dell'azione italiana in questo perimetro provenga dall'apparato informativo di un altro Stato è, secondo me, il dato più eloquente che questa ricognizione consegna — e vale come commento a tutte le quattordici che l'hanno preceduta.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 · L'Italia, L'Aermacchi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5.185 parole in 9 sezioni; la più ampia è §9 Altre sezioni, con 4.383.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168 paragrafi in 9 sezioni, 19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 — Italia E Germania Sul Dossier Namibiano</w:t>
      </w:r>
    </w:p>
    <w:p>
      <w:pPr>
        <w:pStyle w:val="Heading1"/>
        <w:spacing w:after="120" w:before="240"/>
      </w:pPr>
      <w:r>
        <w:rPr>
          <w:rFonts w:ascii="Barlow Semi Condensed" w:cs="Barlow Semi Condensed" w:eastAsia="Barlow Semi Condensed" w:hAnsi="Barlow Semi Condensed"/>
          <w:sz w:val="24"/>
          <w:szCs w:val="24"/>
        </w:rPr>
        <w:t xml:space="preserve">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Sedicesima ricognizione: la terza confutazione</w:t>
      </w:r>
    </w:p>
    <w:p>
      <w:pPr>
        <w:pStyle w:val="Heading2"/>
        <w:spacing w:after="100" w:before="200"/>
      </w:pPr>
      <w:r>
        <w:rPr>
          <w:rFonts w:ascii="Barlow Semi Condensed" w:cs="Barlow Semi Condensed" w:eastAsia="Barlow Semi Condensed" w:hAnsi="Barlow Semi Condensed"/>
          <w:sz w:val="24"/>
          <w:szCs w:val="24"/>
        </w:rPr>
        <w:t xml:space="preserve">Il Gruppo di contatto occidentale e la meccanica dei seggi</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un'ipotesi dell'autore respinta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L'ipotesi che ho proposto, e la sua confutazione</w:t>
      </w:r>
    </w:p>
    <w:p>
      <w:pPr>
        <w:spacing w:after="120" w:line="276"/>
        <w:jc w:val="both"/>
      </w:pPr>
      <w:r>
        <w:rPr>
          <w:rFonts w:ascii="Barlow Semi Condensed" w:cs="Barlow Semi Condensed" w:eastAsia="Barlow Semi Condensed" w:hAnsi="Barlow Semi Condensed"/>
          <w:b/>
          <w:bCs/>
          <w:sz w:val="24"/>
          <w:szCs w:val="24"/>
        </w:rPr>
        <w:t xml:space="preserve">Ho lanciato questa ricerca con un'ipotesi esplicita, e le fonti l'hanno respinta. La registro in apertura perché è la terza volta nella serie che ciò accade, e perché tacerla sarebbe il vizio che la serie serve a prevenire.</w:t>
      </w:r>
    </w:p>
    <w:p>
      <w:pPr>
        <w:spacing w:after="120" w:line="276"/>
        <w:jc w:val="both"/>
      </w:pPr>
      <w:r>
        <w:rPr>
          <w:rFonts w:ascii="Barlow Semi Condensed" w:cs="Barlow Semi Condensed" w:eastAsia="Barlow Semi Condensed" w:hAnsi="Barlow Semi Condensed"/>
          <w:b/>
          <w:bCs/>
          <w:sz w:val="24"/>
          <w:szCs w:val="24"/>
        </w:rPr>
        <w:t xml:space="preserve">L'ipotesi. Che l'inclusione della Repubblica Federale nel Gruppo di contatto occidentale sulla Namibia, e la contestuale esclusione dell'Italia, si spiegassero con il passato coloniale tedesco — l'Africa del Sud-Ovest tedesca dal 1884 al 1915 e il genocidio degli Herero e dei Nama fra il 1904 e il 1908 — che avrebbe conferito a Bonn un titolo particolare su quel dossier.</w:t>
      </w:r>
    </w:p>
    <w:p>
      <w:pPr>
        <w:spacing w:after="120" w:line="276"/>
        <w:jc w:val="both"/>
      </w:pPr>
      <w:r>
        <w:rPr>
          <w:rFonts w:ascii="Barlow Semi Condensed" w:cs="Barlow Semi Condensed" w:eastAsia="Barlow Semi Condensed" w:hAnsi="Barlow Semi Condensed"/>
          <w:b/>
          <w:bCs/>
          <w:sz w:val="24"/>
          <w:szCs w:val="24"/>
        </w:rPr>
        <w:t xml:space="preserve">La confutazione, e proviene dalla fonte più autorevole possibile: il protagonista.</w:t>
      </w:r>
    </w:p>
    <w:p>
      <w:pPr>
        <w:spacing w:after="120" w:line="276"/>
        <w:jc w:val="both"/>
      </w:pPr>
      <w:r>
        <w:rPr>
          <w:rFonts w:ascii="Barlow Semi Condensed" w:cs="Barlow Semi Condensed" w:eastAsia="Barlow Semi Condensed" w:hAnsi="Barlow Semi Condensed"/>
          <w:b/>
          <w:bCs/>
          <w:sz w:val="24"/>
          <w:szCs w:val="24"/>
        </w:rPr>
        <w:t xml:space="preserve">Hans-Dietrich Genscher, nella conferenza tenuta alla Humboldt-Universität il 13 aprile 2010 e pubblicata dalla Konrad-Adenauer-Stiftung, spiega l'inclusione in termini che non lasciano margine: nel 1976 la Repubblica Federale fu eletta membro non permanente del Consiglio di Sicurezza per due anni. Cinque Stati occidentali erano allora rappresentati nel Consiglio: oltre ai membri permanenti — Stati Uniti, Francia e Regno Unito — il Canada e la Repubblica Federale di Germania.</w:t>
      </w:r>
    </w:p>
    <w:p>
      <w:pPr>
        <w:spacing w:after="120" w:line="276"/>
        <w:jc w:val="both"/>
      </w:pPr>
      <w:r>
        <w:rPr>
          <w:rFonts w:ascii="Barlow Semi Condensed" w:cs="Barlow Semi Condensed" w:eastAsia="Barlow Semi Condensed" w:hAnsi="Barlow Semi Condensed"/>
          <w:b/>
          <w:bCs/>
          <w:sz w:val="24"/>
          <w:szCs w:val="24"/>
        </w:rPr>
        <w:t xml:space="preserve">Il criterio di appartenenza era il seggio. Nient'altro.</w:t>
      </w:r>
    </w:p>
    <w:p>
      <w:pPr>
        <w:spacing w:after="120" w:line="276"/>
        <w:jc w:val="both"/>
      </w:pPr>
      <w:r>
        <w:rPr>
          <w:rFonts w:ascii="Barlow Semi Condensed" w:cs="Barlow Semi Condensed" w:eastAsia="Barlow Semi Condensed" w:hAnsi="Barlow Semi Condensed"/>
          <w:b/>
          <w:bCs/>
          <w:sz w:val="24"/>
          <w:szCs w:val="24"/>
        </w:rPr>
        <w:t xml:space="preserve">E vi è di più, perché il passato coloniale non fu titolo ma ingombro. Genscher riconosce che la Germania aveva su questo un particolare handicap: Bonn aveva un consolato a Windhoek per l'assistenza ai tedeschi residenti, ma a condizione, imposta da Pretoria, che fosse parte dell'ambasciata tedesca in Sudafrica — sicché Pretoria lo interpretava come riconoscimento del proprio dominio sulla Namibia.</w:t>
      </w:r>
    </w:p>
    <w:p>
      <w:pPr>
        <w:spacing w:after="120" w:line="276"/>
        <w:jc w:val="both"/>
      </w:pPr>
      <w:r>
        <w:rPr>
          <w:rFonts w:ascii="Barlow Semi Condensed" w:cs="Barlow Semi Condensed" w:eastAsia="Barlow Semi Condensed" w:hAnsi="Barlow Semi Condensed"/>
          <w:b/>
          <w:bCs/>
          <w:sz w:val="24"/>
          <w:szCs w:val="24"/>
        </w:rPr>
        <w:t xml:space="preserve">Alla fine dell'ottobre 1977 il governo socialdemocratico-liberale chiuse il consolato di Windhoek, e Genscher lo qualifica passo decisivo nella politica africana tedesca e soprattutto nella sua credibilità verso gli Stati ancora in attesa dell'indipendenza.</w:t>
      </w:r>
    </w:p>
    <w:p>
      <w:pPr>
        <w:spacing w:after="120" w:line="276"/>
        <w:jc w:val="both"/>
      </w:pPr>
      <w:r>
        <w:rPr>
          <w:rFonts w:ascii="Barlow Semi Condensed" w:cs="Barlow Semi Condensed" w:eastAsia="Barlow Semi Condensed" w:hAnsi="Barlow Semi Condensed"/>
          <w:b/>
          <w:bCs/>
          <w:sz w:val="24"/>
          <w:szCs w:val="24"/>
        </w:rPr>
        <w:t xml:space="preserve">Ne discende che la comunità germanofona non fu motivo di inclusione ma ostacolo diplomatico che il governo dovette attivamente disinnescare.</w:t>
      </w:r>
    </w:p>
    <w:p>
      <w:pPr>
        <w:spacing w:after="120" w:line="276"/>
        <w:jc w:val="both"/>
      </w:pPr>
      <w:r>
        <w:rPr>
          <w:rFonts w:ascii="Barlow Semi Condensed" w:cs="Barlow Semi Condensed" w:eastAsia="Barlow Semi Condensed" w:hAnsi="Barlow Semi Condensed"/>
          <w:b/>
          <w:bCs/>
          <w:sz w:val="24"/>
          <w:szCs w:val="24"/>
        </w:rPr>
        <w:t xml:space="preserve">La mia ipotesi era dunque doppiamente errata: il titolo non era coloniale ma istituzionale, e la presenza tedesca in loco giocava contro anziché a favore.</w:t>
      </w:r>
    </w:p>
    <w:p>
      <w:pPr>
        <w:spacing w:after="120" w:line="276"/>
        <w:jc w:val="both"/>
      </w:pPr>
      <w:r>
        <w:rPr>
          <w:rFonts w:ascii="Barlow Semi Condensed" w:cs="Barlow Semi Condensed" w:eastAsia="Barlow Semi Condensed" w:hAnsi="Barlow Semi Condensed"/>
          <w:b/>
          <w:bCs/>
          <w:sz w:val="24"/>
          <w:szCs w:val="24"/>
        </w:rPr>
        <w:t xml:space="preserve">Che cosa resta in piedi della domanda. L'esclusione italiana è confermata, e la sua ragione è accertata con precisione al Capitolo terzo. Ma essa non dice nulla sul merito della condotta italiana: dice soltanto che l'Italia non sedeva nel Consiglio nel momento decisivo.</w:t>
      </w:r>
    </w:p>
    <w:p>
      <w:pPr>
        <w:spacing w:after="120" w:line="276"/>
        <w:jc w:val="both"/>
      </w:pPr>
      <w:r>
        <w:rPr>
          <w:rFonts w:ascii="Barlow Semi Condensed" w:cs="Barlow Semi Condensed" w:eastAsia="Barlow Semi Condensed" w:hAnsi="Barlow Semi Condensed"/>
          <w:b/>
          <w:bCs/>
          <w:sz w:val="24"/>
          <w:szCs w:val="24"/>
        </w:rPr>
        <w:t xml:space="preserve">E il Capitolo undicesimo mostra che, quando si guarda alla condotta anziché alla collocazione, il quadro si rovescia in modo istruttivo: nessuna delle due potenze ebbe condotta lineare.</w:t>
      </w:r>
    </w:p>
    <w:p>
      <w:pPr>
        <w:pStyle w:val="Heading2"/>
        <w:spacing w:after="100" w:before="200"/>
      </w:pPr>
      <w:r>
        <w:rPr>
          <w:rFonts w:ascii="Barlow Semi Condensed" w:cs="Barlow Semi Condensed" w:eastAsia="Barlow Semi Condensed" w:hAnsi="Barlow Semi Condensed"/>
          <w:sz w:val="24"/>
          <w:szCs w:val="24"/>
        </w:rPr>
        <w:t xml:space="preserve">Capitolo secondo — Il Gruppo di contatto: composizione, date, mandato, esito</w:t>
      </w:r>
    </w:p>
    <w:p>
      <w:pPr>
        <w:spacing w:after="120" w:line="276"/>
        <w:jc w:val="both"/>
      </w:pPr>
      <w:r>
        <w:rPr>
          <w:rFonts w:ascii="Barlow Semi Condensed" w:cs="Barlow Semi Condensed" w:eastAsia="Barlow Semi Condensed" w:hAnsi="Barlow Semi Condensed"/>
          <w:b/>
          <w:bCs/>
          <w:sz w:val="24"/>
          <w:szCs w:val="24"/>
        </w:rPr>
        <w:t xml:space="preserve">Il capitolo espone i fatti con le fonti che li reggono.</w:t>
      </w:r>
    </w:p>
    <w:p>
      <w:pPr>
        <w:spacing w:after="120" w:line="276"/>
        <w:jc w:val="both"/>
      </w:pPr>
      <w:r>
        <w:rPr>
          <w:rFonts w:ascii="Barlow Semi Condensed" w:cs="Barlow Semi Condensed" w:eastAsia="Barlow Semi Condensed" w:hAnsi="Barlow Semi Condensed"/>
          <w:b/>
          <w:bCs/>
          <w:sz w:val="24"/>
          <w:szCs w:val="24"/>
        </w:rPr>
        <w:t xml:space="preserve">La composizione, concorde in fonti di rango diverso. Il Gruppo di contatto occidentale — detto anche \Western Five\ o \Group of the Five\ — fu costituito nell'aprile 1977 e si compose di Stati Uniti, Regno Unito, Francia, Canada e Repubblica Federale di Germania.</w:t>
      </w:r>
    </w:p>
    <w:p>
      <w:pPr>
        <w:spacing w:after="120" w:line="276"/>
        <w:jc w:val="both"/>
      </w:pPr>
      <w:r>
        <w:rPr>
          <w:rFonts w:ascii="Barlow Semi Condensed" w:cs="Barlow Semi Condensed" w:eastAsia="Barlow Semi Condensed" w:hAnsi="Barlow Semi Condensed"/>
          <w:b/>
          <w:bCs/>
          <w:sz w:val="24"/>
          <w:szCs w:val="24"/>
        </w:rPr>
        <w:t xml:space="preserve">Le fonti. La voce curata da Chris Saunders per la Wiley Blackwell e lo studio di Tetsuya Iji in \Diplomacy &amp; Statecraft\, volume ventiduesimo numero quarto del 2011, pagine seicentotrentaquattro-seicentocinquanta, descrivono il gruppo come composto di cinque membri del Consiglio di Sicurezza. Lo studio classico di Margaret P. Karns in \International Organization\, volume quarantunesimo numero primo, inverno 1987, pagine novantatré-centoventitré, precisa che esso operò attivamente dall'aprile 1977 alla metà del 1982. La monografia di Jochen Prantl per la Oxford University Press del 2006 lo inquadra come primo esempio di gruppo informale collegato al Consiglio.</w:t>
      </w:r>
    </w:p>
    <w:p>
      <w:pPr>
        <w:spacing w:after="120" w:line="276"/>
        <w:jc w:val="both"/>
      </w:pPr>
      <w:r>
        <w:rPr>
          <w:rFonts w:ascii="Barlow Semi Condensed" w:cs="Barlow Semi Condensed" w:eastAsia="Barlow Semi Condensed" w:hAnsi="Barlow Semi Condensed"/>
          <w:b/>
          <w:bCs/>
          <w:sz w:val="24"/>
          <w:szCs w:val="24"/>
        </w:rPr>
        <w:t xml:space="preserve">Il mandato. Negoziale e non coercitivo: elaborare una proposta di transizione all'indipendenza accettabile per il Sudafrica, per gli Stati della linea del fronte e per la SWAPO. L'attività si dispiegò, secondo Karns, in stretta prossimità alle Nazioni Unite ma senza collegamento diretto con esse.</w:t>
      </w:r>
    </w:p>
    <w:p>
      <w:pPr>
        <w:spacing w:after="120" w:line="276"/>
        <w:jc w:val="both"/>
      </w:pPr>
      <w:r>
        <w:rPr>
          <w:rFonts w:ascii="Barlow Semi Condensed" w:cs="Barlow Semi Condensed" w:eastAsia="Barlow Semi Condensed" w:hAnsi="Barlow Semi Condensed"/>
          <w:b/>
          <w:bCs/>
          <w:sz w:val="24"/>
          <w:szCs w:val="24"/>
        </w:rPr>
        <w:t xml:space="preserve">L'esito formale.\\ La \Settlement Proposal\ del 1978 confluì nella \\risoluzione quattrocentotrentacinque, adottata il 29 settembre 1978.</w:t>
      </w:r>
    </w:p>
    <w:p>
      <w:pPr>
        <w:spacing w:after="120" w:line="276"/>
        <w:jc w:val="both"/>
      </w:pPr>
      <w:r>
        <w:rPr>
          <w:rFonts w:ascii="Barlow Semi Condensed" w:cs="Barlow Semi Condensed" w:eastAsia="Barlow Semi Condensed" w:hAnsi="Barlow Semi Condensed"/>
          <w:b/>
          <w:bCs/>
          <w:sz w:val="24"/>
          <w:szCs w:val="24"/>
        </w:rPr>
        <w:t xml:space="preserve">Il testo ufficiale attesta che essa fu adottata nella duemilaottantasettesima seduta con dodici voti favorevoli, nessuno contrario e due astensioni — Cecoslovacchia e Unione Sovietica — con la Cina non partecipante al voto. Approvava il rapporto del Segretario generale sull'attuazione della proposta e istituiva lo United Nations Transition Assistance Group per un massimo di dodici mesi.</w:t>
      </w:r>
    </w:p>
    <w:p>
      <w:pPr>
        <w:spacing w:after="120" w:line="276"/>
        <w:jc w:val="both"/>
      </w:pPr>
      <w:r>
        <w:rPr>
          <w:rFonts w:ascii="Barlow Semi Condensed" w:cs="Barlow Semi Condensed" w:eastAsia="Barlow Semi Condensed" w:hAnsi="Barlow Semi Condensed"/>
          <w:b/>
          <w:bCs/>
          <w:sz w:val="24"/>
          <w:szCs w:val="24"/>
        </w:rPr>
        <w:t xml:space="preserve">E qui il dato che vale per la nostra domanda.\\ Fra i votanti figurano \\Bolivia, Canada, Cecoslovacchia, Francia, Gabon, Repubblica Federale di Germania, India, Kuwait, Mauritius, Nigeria, Unione Sovietica, Regno Unito, Stati Uniti e Venezuela.</w:t>
      </w:r>
    </w:p>
    <w:p>
      <w:pPr>
        <w:spacing w:after="120" w:line="276"/>
        <w:jc w:val="both"/>
      </w:pPr>
      <w:r>
        <w:rPr>
          <w:rFonts w:ascii="Barlow Semi Condensed" w:cs="Barlow Semi Condensed" w:eastAsia="Barlow Semi Condensed" w:hAnsi="Barlow Semi Condensed"/>
          <w:b/>
          <w:bCs/>
          <w:sz w:val="24"/>
          <w:szCs w:val="24"/>
        </w:rPr>
        <w:t xml:space="preserve">La Repubblica Federale è presente. L'Italia non c'è.</w:t>
      </w:r>
    </w:p>
    <w:p>
      <w:pPr>
        <w:spacing w:after="120" w:line="276"/>
        <w:jc w:val="both"/>
      </w:pPr>
      <w:r>
        <w:rPr>
          <w:rFonts w:ascii="Barlow Semi Condensed" w:cs="Barlow Semi Condensed" w:eastAsia="Barlow Semi Condensed" w:hAnsi="Barlow Semi Condensed"/>
          <w:b/>
          <w:bCs/>
          <w:sz w:val="24"/>
          <w:szCs w:val="24"/>
        </w:rPr>
        <w:t xml:space="preserve">Durata ed esito vanno distinti su due piani. La letteratura colloca la fase attiva fra l'aprile 1977 e il 1982-1983, con dissoluzione attorno al 1983. Ma la proposta non fu attuata per oltre un decennio: il Sudafrica tenne elezioni unilaterali boicottate dalla SWAPO, continuò ad amministrare il territorio tramite un Amministratore generale, e gli Stati Uniti dell'amministrazione Reagan subordinarono l'attuazione al ritiro delle truppe cubane dall'Angola, secondo la dottrina del \linkage\.</w:t>
      </w:r>
    </w:p>
    <w:p>
      <w:pPr>
        <w:spacing w:after="120" w:line="276"/>
        <w:jc w:val="both"/>
      </w:pPr>
      <w:r>
        <w:rPr>
          <w:rFonts w:ascii="Barlow Semi Condensed" w:cs="Barlow Semi Condensed" w:eastAsia="Barlow Semi Condensed" w:hAnsi="Barlow Semi Condensed"/>
          <w:b/>
          <w:bCs/>
          <w:sz w:val="24"/>
          <w:szCs w:val="24"/>
        </w:rPr>
        <w:t xml:space="preserve">L'indipendenza si raggiunse il 21 marzo 1990, in attuazione degli accordi di New York del dicembre 1988.</w:t>
      </w:r>
    </w:p>
    <w:p>
      <w:pPr>
        <w:spacing w:after="120" w:line="276"/>
        <w:jc w:val="both"/>
      </w:pPr>
      <w:r>
        <w:rPr>
          <w:rFonts w:ascii="Barlow Semi Condensed" w:cs="Barlow Semi Condensed" w:eastAsia="Barlow Semi Condensed" w:hAnsi="Barlow Semi Condensed"/>
          <w:b/>
          <w:bCs/>
          <w:sz w:val="24"/>
          <w:szCs w:val="24"/>
        </w:rPr>
        <w:t xml:space="preserve">Il giudizio del protagonista va riportato come tale.\\ Genscher, nel 2010: \\otto anni preziosi furono così perduti.</w:t>
      </w:r>
    </w:p>
    <w:p>
      <w:pPr>
        <w:pStyle w:val="Heading2"/>
        <w:spacing w:after="100" w:before="200"/>
      </w:pPr>
      <w:r>
        <w:rPr>
          <w:rFonts w:ascii="Barlow Semi Condensed" w:cs="Barlow Semi Condensed" w:eastAsia="Barlow Semi Condensed" w:hAnsi="Barlow Semi Condensed"/>
          <w:sz w:val="24"/>
          <w:szCs w:val="24"/>
        </w:rPr>
        <w:t xml:space="preserve">Capitolo terzo — L'esclusione italiana: confermata, e la sua ragione</w:t>
      </w:r>
    </w:p>
    <w:p>
      <w:pPr>
        <w:spacing w:after="120" w:line="276"/>
        <w:jc w:val="both"/>
      </w:pPr>
      <w:r>
        <w:rPr>
          <w:rFonts w:ascii="Barlow Semi Condensed" w:cs="Barlow Semi Condensed" w:eastAsia="Barlow Semi Condensed" w:hAnsi="Barlow Semi Condensed"/>
          <w:b/>
          <w:bCs/>
          <w:sz w:val="24"/>
          <w:szCs w:val="24"/>
        </w:rPr>
        <w:t xml:space="preserve">Il capitolo accerta l'esclusione e ne stabilisce la causa con precisione definitiva.</w:t>
      </w:r>
    </w:p>
    <w:p>
      <w:pPr>
        <w:spacing w:after="120" w:line="276"/>
        <w:jc w:val="both"/>
      </w:pPr>
      <w:r>
        <w:rPr>
          <w:rFonts w:ascii="Barlow Semi Condensed" w:cs="Barlow Semi Condensed" w:eastAsia="Barlow Semi Condensed" w:hAnsi="Barlow Semi Condensed"/>
          <w:b/>
          <w:bCs/>
          <w:sz w:val="24"/>
          <w:szCs w:val="24"/>
        </w:rPr>
        <w:t xml:space="preserve">I mandati italiani nel Consiglio di Sicurezza\\, dall'elenco della Missione permanente e dalla pagina del Consiglio: \\1959-1960, 1971-1972, 1975-1976, 1987-1988, 1995-1996, 2007-2008, 2017-2018.</w:t>
      </w:r>
    </w:p>
    <w:p>
      <w:pPr>
        <w:spacing w:after="120" w:line="276"/>
        <w:jc w:val="both"/>
      </w:pPr>
      <w:r>
        <w:rPr>
          <w:rFonts w:ascii="Barlow Semi Condensed" w:cs="Barlow Semi Condensed" w:eastAsia="Barlow Semi Condensed" w:hAnsi="Barlow Semi Condensed"/>
          <w:b/>
          <w:bCs/>
          <w:sz w:val="24"/>
          <w:szCs w:val="24"/>
        </w:rPr>
        <w:t xml:space="preserve">Il dato dirimente.\\ Il mandato \\1975-1976 si concluse il 31 dicembre 1976.\\ Il successivo iniziò il \\1 gennaio 1987.</w:t>
      </w:r>
    </w:p>
    <w:p>
      <w:pPr>
        <w:spacing w:after="120" w:line="276"/>
        <w:jc w:val="both"/>
      </w:pPr>
      <w:r>
        <w:rPr>
          <w:rFonts w:ascii="Barlow Semi Condensed" w:cs="Barlow Semi Condensed" w:eastAsia="Barlow Semi Condensed" w:hAnsi="Barlow Semi Condensed"/>
          <w:b/>
          <w:bCs/>
          <w:sz w:val="24"/>
          <w:szCs w:val="24"/>
        </w:rPr>
        <w:t xml:space="preserve">L'Italia non ebbe dunque seggio nel 1977, nel 1978, e per l'intera vita attiva del Gruppo dal 1977 al 1983.</w:t>
      </w:r>
    </w:p>
    <w:p>
      <w:pPr>
        <w:spacing w:after="120" w:line="276"/>
        <w:jc w:val="both"/>
      </w:pPr>
      <w:r>
        <w:rPr>
          <w:rFonts w:ascii="Barlow Semi Condensed" w:cs="Barlow Semi Condensed" w:eastAsia="Barlow Semi Condensed" w:hAnsi="Barlow Semi Condensed"/>
          <w:b/>
          <w:bCs/>
          <w:sz w:val="24"/>
          <w:szCs w:val="24"/>
        </w:rPr>
        <w:t xml:space="preserve">Poiché l'appartenenza al gruppo era vincolata alla contestuale appartenenza al Consiglio, l'Italia era strutturalmente ineleggibile.</w:t>
      </w:r>
    </w:p>
    <w:p>
      <w:pPr>
        <w:spacing w:after="120" w:line="276"/>
        <w:jc w:val="both"/>
      </w:pPr>
      <w:r>
        <w:rPr>
          <w:rFonts w:ascii="Barlow Semi Condensed" w:cs="Barlow Semi Condensed" w:eastAsia="Barlow Semi Condensed" w:hAnsi="Barlow Semi Condensed"/>
          <w:b/>
          <w:bCs/>
          <w:sz w:val="24"/>
          <w:szCs w:val="24"/>
        </w:rPr>
        <w:t xml:space="preserve">E la simmetria va enunciata perché rende la causa incontrovertibile: Canada e Repubblica Federale vi entrarono precisamente perché occupavano i due seggi occidentali non permanenti che l'Italia non deteneva.</w:t>
      </w:r>
    </w:p>
    <w:p>
      <w:pPr>
        <w:spacing w:after="120" w:line="276"/>
        <w:jc w:val="both"/>
      </w:pPr>
      <w:r>
        <w:rPr>
          <w:rFonts w:ascii="Barlow Semi Condensed" w:cs="Barlow Semi Condensed" w:eastAsia="Barlow Semi Condensed" w:hAnsi="Barlow Semi Condensed"/>
          <w:b/>
          <w:bCs/>
          <w:sz w:val="24"/>
          <w:szCs w:val="24"/>
        </w:rPr>
        <w:t xml:space="preserve">Ne discende che la ragione è istituzionale e non un giudizio di merito.\\ Non vi fu esclusione dell'Italia: \\vi fu inclusione di chi sedeva, e l'Italia non sedeva.</w:t>
      </w:r>
    </w:p>
    <w:p>
      <w:pPr>
        <w:spacing w:after="120" w:line="276"/>
        <w:jc w:val="both"/>
      </w:pPr>
      <w:r>
        <w:rPr>
          <w:rFonts w:ascii="Barlow Semi Condensed" w:cs="Barlow Semi Condensed" w:eastAsia="Barlow Semi Condensed" w:hAnsi="Barlow Semi Condensed"/>
          <w:b/>
          <w:bCs/>
          <w:sz w:val="24"/>
          <w:szCs w:val="24"/>
        </w:rPr>
        <w:t xml:space="preserve">Il parallelo con il caso cipriota, già acquisito dalla serie, è esatto e va enunciato con la medesima cautela. Come a Cipro l'Italia risultò esclusa dal quadro delle potenze garanti, dal Consiglio di Sicurezza nel 1974 e dai contributori della forza di pace, così sulla Namibia essa risultò esclusa dal consesso negoziale per assenza dal Consiglio nel momento decisivo.</w:t>
      </w:r>
    </w:p>
    <w:p>
      <w:pPr>
        <w:spacing w:after="120" w:line="276"/>
        <w:jc w:val="both"/>
      </w:pPr>
      <w:r>
        <w:rPr>
          <w:rFonts w:ascii="Barlow Semi Condensed" w:cs="Barlow Semi Condensed" w:eastAsia="Barlow Semi Condensed" w:hAnsi="Barlow Semi Condensed"/>
          <w:b/>
          <w:bCs/>
          <w:sz w:val="24"/>
          <w:szCs w:val="24"/>
        </w:rPr>
        <w:t xml:space="preserve">In entrambi i casi l'esclusione non discende da un demerito, ma da una collocazione.</w:t>
      </w:r>
    </w:p>
    <w:p>
      <w:pPr>
        <w:spacing w:after="120" w:line="276"/>
        <w:jc w:val="both"/>
      </w:pPr>
      <w:r>
        <w:rPr>
          <w:rFonts w:ascii="Barlow Semi Condensed" w:cs="Barlow Semi Condensed" w:eastAsia="Barlow Semi Condensed" w:hAnsi="Barlow Semi Condensed"/>
          <w:b/>
          <w:bCs/>
          <w:sz w:val="24"/>
          <w:szCs w:val="24"/>
        </w:rPr>
        <w:t xml:space="preserve">Dove la posizione italiana si esprimeva, di necessità. Nell'Assemblea generale e, in forma collettiva, nella Cooperazione politica europea in ambito comunitario, che negli anni Ottanta disponeva di un gruppo di lavoro sull'Africa.</w:t>
      </w:r>
    </w:p>
    <w:p>
      <w:pPr>
        <w:spacing w:after="120" w:line="276"/>
        <w:jc w:val="both"/>
      </w:pPr>
      <w:r>
        <w:rPr>
          <w:rFonts w:ascii="Barlow Semi Condensed" w:cs="Barlow Semi Condensed" w:eastAsia="Barlow Semi Condensed" w:hAnsi="Barlow Semi Condensed"/>
          <w:b/>
          <w:bCs/>
          <w:sz w:val="24"/>
          <w:szCs w:val="24"/>
        </w:rPr>
        <w:t xml:space="preserve">Un esito negativo va dichiarato. I voti specifici italiani sulle singole risoluzioni dell'Assemblea generale relative alla Namibia e alla SWAPO non sono stati reperiti, né dichiarazioni verbali del delegato italiano. Tali documenti esistono con ogni probabilità nei verbali ufficiali reperibili tramite lo United Nations Digital Library System e nelle carte diplomatiche italiane. Sede di chiusura: l'Archivio Storico Diplomatico, Direzione Generale Affari Politici, serie ONU e Africa.</w:t>
      </w:r>
    </w:p>
    <w:p>
      <w:pPr>
        <w:spacing w:after="120" w:line="276"/>
        <w:jc w:val="both"/>
      </w:pPr>
      <w:r>
        <w:rPr>
          <w:rFonts w:ascii="Barlow Semi Condensed" w:cs="Barlow Semi Condensed" w:eastAsia="Barlow Semi Condensed" w:hAnsi="Barlow Semi Condensed"/>
          <w:b/>
          <w:bCs/>
          <w:sz w:val="24"/>
          <w:szCs w:val="24"/>
        </w:rPr>
        <w:t xml:space="preserve">Il contributo italiano più concreto e documentato fu operativo e tardivo. L'Italia fornì uno squadrone di elicotteri allo UNTAG nel 1989-1990, secondo la storia ufficiale delle operazioni di pace; la Repubblica Federale contribuì con personale civile per rifornimento, trasporto e manutenzione.</w:t>
      </w:r>
    </w:p>
    <w:p>
      <w:pPr>
        <w:spacing w:after="120" w:line="276"/>
        <w:jc w:val="both"/>
      </w:pPr>
      <w:r>
        <w:rPr>
          <w:rFonts w:ascii="Barlow Semi Condensed" w:cs="Barlow Semi Condensed" w:eastAsia="Barlow Semi Condensed" w:hAnsi="Barlow Semi Condensed"/>
          <w:b/>
          <w:bCs/>
          <w:sz w:val="24"/>
          <w:szCs w:val="24"/>
        </w:rPr>
        <w:t xml:space="preserve">Il dato è di valore comparativo: nella fase conclusiva le due potenze furono entrambe presenti, in ruoli diversi ma entrambi ausiliari.</w:t>
      </w:r>
    </w:p>
    <w:p>
      <w:pPr>
        <w:spacing w:after="120" w:line="276"/>
        <w:jc w:val="both"/>
      </w:pPr>
      <w:r>
        <w:rPr>
          <w:rFonts w:ascii="Barlow Semi Condensed" w:cs="Barlow Semi Condensed" w:eastAsia="Barlow Semi Condensed" w:hAnsi="Barlow Semi Condensed"/>
          <w:b/>
          <w:bCs/>
          <w:sz w:val="24"/>
          <w:szCs w:val="24"/>
        </w:rPr>
        <w:t xml:space="preserve">A titolo di contesto, l'Italia aveva votato su questioni namibiane quando sedeva nel Consiglio in periodi anteriori, per esempio sulla risoluzione trecentoventitré del 6 dicembre 1972. L'impegno italiano sulla Namibia precede e segue, ma non attraversa, la finestra del Gruppo di contatto.</w:t>
      </w:r>
    </w:p>
    <w:p>
      <w:pPr>
        <w:pStyle w:val="Heading2"/>
        <w:spacing w:after="100" w:before="200"/>
      </w:pPr>
      <w:r>
        <w:rPr>
          <w:rFonts w:ascii="Barlow Semi Condensed" w:cs="Barlow Semi Condensed" w:eastAsia="Barlow Semi Condensed" w:hAnsi="Barlow Semi Condensed"/>
          <w:sz w:val="24"/>
          <w:szCs w:val="24"/>
        </w:rPr>
        <w:t xml:space="preserve">Capitolo quarto — Il passato coloniale e il genocidio: i fatti e la loro collocazione</w:t>
      </w:r>
    </w:p>
    <w:p>
      <w:pPr>
        <w:spacing w:after="120" w:line="276"/>
        <w:jc w:val="both"/>
      </w:pPr>
      <w:r>
        <w:rPr>
          <w:rFonts w:ascii="Barlow Semi Condensed" w:cs="Barlow Semi Condensed" w:eastAsia="Barlow Semi Condensed" w:hAnsi="Barlow Semi Condensed"/>
          <w:b/>
          <w:bCs/>
          <w:sz w:val="24"/>
          <w:szCs w:val="24"/>
        </w:rPr>
        <w:t xml:space="preserve">Il capitolo espone la materia coloniale, che l'ipotesi confutata al Capitolo primo aveva erroneamente eletto a causa, e che resta comunque contesto necessario.</w:t>
      </w:r>
    </w:p>
    <w:p>
      <w:pPr>
        <w:spacing w:after="120" w:line="276"/>
        <w:jc w:val="both"/>
      </w:pPr>
      <w:r>
        <w:rPr>
          <w:rFonts w:ascii="Barlow Semi Condensed" w:cs="Barlow Semi Condensed" w:eastAsia="Barlow Semi Condensed" w:hAnsi="Barlow Semi Condensed"/>
          <w:b/>
          <w:bCs/>
          <w:sz w:val="24"/>
          <w:szCs w:val="24"/>
        </w:rPr>
        <w:t xml:space="preserve">Il dominio. L'Africa del Sud-Ovest tedesca fu colonia formale dell'Impero dal 1884 al 1915, quando l'occupazione militare sudafricana nella Prima guerra mondiale vi pose fine.</w:t>
      </w:r>
    </w:p>
    <w:p>
      <w:pPr>
        <w:spacing w:after="120" w:line="276"/>
        <w:jc w:val="both"/>
      </w:pPr>
      <w:r>
        <w:rPr>
          <w:rFonts w:ascii="Barlow Semi Condensed" w:cs="Barlow Semi Condensed" w:eastAsia="Barlow Semi Condensed" w:hAnsi="Barlow Semi Condensed"/>
          <w:b/>
          <w:bCs/>
          <w:sz w:val="24"/>
          <w:szCs w:val="24"/>
        </w:rPr>
        <w:t xml:space="preserve">Il genocidio, con la sequenza. Nel gennaio 1904 gli Herero guidati da Samuel Maharero insorsero, uccidendo oltre cento coloni tedeschi nell'area di Okahandja. Nel giugno 1904 il generale Lothar von Trotha fu inviato a reprimere la rivolta. Dopo la battaglia di Waterberg, nell'agosto 1904, gli Herero furono spinti nel deserto dell'Omaheke, dove gran parte morì per il blocco militare tedesco. Nell'ottobre 1904 insorsero anche i Nama, guidati da Hendrik Witbooi, e subirono sorte analoga. I sopravvissuti furono internati in campi di concentramento, dove la maggioranza morì.</w:t>
      </w:r>
    </w:p>
    <w:p>
      <w:pPr>
        <w:spacing w:after="120" w:line="276"/>
        <w:jc w:val="both"/>
      </w:pPr>
      <w:r>
        <w:rPr>
          <w:rFonts w:ascii="Barlow Semi Condensed" w:cs="Barlow Semi Condensed" w:eastAsia="Barlow Semi Condensed" w:hAnsi="Barlow Semi Condensed"/>
          <w:b/>
          <w:bCs/>
          <w:sz w:val="24"/>
          <w:szCs w:val="24"/>
        </w:rPr>
        <w:t xml:space="preserve">Le stime delle vittime divergono ampiamente, e la divergenza va riportata anziché uniformata.</w:t>
      </w:r>
    </w:p>
    <w:p>
      <w:pPr>
        <w:spacing w:after="120" w:line="276"/>
        <w:jc w:val="both"/>
      </w:pPr>
      <w:r>
        <w:rPr>
          <w:rFonts w:ascii="Barlow Semi Condensed" w:cs="Barlow Semi Condensed" w:eastAsia="Barlow Semi Condensed" w:hAnsi="Barlow Semi Condensed"/>
          <w:b/>
          <w:bCs/>
          <w:sz w:val="24"/>
          <w:szCs w:val="24"/>
        </w:rPr>
        <w:t xml:space="preserve">L'\Encyclopædia Britannica\ indica la morte di circa il settantacinque per cento della popolazione Herero. Una fonte su Faber-Jonker del 2023 riporta da quarantamila a ottantamila Herero, l'ottanta per cento della popolazione prebellica, e diecimila Nama, la metà. La dichiarazione tedesco-namibiana del 2021 parla di circa sessantacinquemila Herero e almeno diecimila Nama. Altra fonte indica da cinquantamila a sessantacinquemila Herero e diecimila Nama. Una voce sulla rivolta riporta da sessantacinquemila a settantamila comprendendo i civili.</w:t>
      </w:r>
    </w:p>
    <w:p>
      <w:pPr>
        <w:spacing w:after="120" w:line="276"/>
        <w:jc w:val="both"/>
      </w:pPr>
      <w:r>
        <w:rPr>
          <w:rFonts w:ascii="Barlow Semi Condensed" w:cs="Barlow Semi Condensed" w:eastAsia="Barlow Semi Condensed" w:hAnsi="Barlow Semi Condensed"/>
          <w:b/>
          <w:bCs/>
          <w:sz w:val="24"/>
          <w:szCs w:val="24"/>
        </w:rPr>
        <w:t xml:space="preserve">Le forbici oscillano per gli Herero fra ventiquattromila-quarantamila e ottantamila-centomila; per i Nama vi è maggiore convergenza attorno a diecimila. La divergenza dipende dalla base demografica prebellica assunta, dai criteri di computo e dalla scarsità di censimenti affidabili.</w:t>
      </w:r>
    </w:p>
    <w:p>
      <w:pPr>
        <w:spacing w:after="120" w:line="276"/>
        <w:jc w:val="both"/>
      </w:pPr>
      <w:r>
        <w:rPr>
          <w:rFonts w:ascii="Barlow Semi Condensed" w:cs="Barlow Semi Condensed" w:eastAsia="Barlow Semi Condensed" w:hAnsi="Barlow Semi Condensed"/>
          <w:b/>
          <w:bCs/>
          <w:sz w:val="24"/>
          <w:szCs w:val="24"/>
        </w:rPr>
        <w:t xml:space="preserve">Sul piano della qualificazione, il regime giuridico va distinto dal giudizio storiografico. La Convenzione sul genocidio è del 1948, e la posizione ufficiale tedesca, ribadita nel 2021, è che essa non può applicarsi retroattivamente: la responsabilità è dichiarata morale, storica e politica ma non giuridica in senso stretto. Heiko Maas, il 28 maggio 2021: da ciò non possono derivarsi pretese giuridiche di risarcimento.</w:t>
      </w:r>
    </w:p>
    <w:p>
      <w:pPr>
        <w:spacing w:after="120" w:line="276"/>
        <w:jc w:val="both"/>
      </w:pPr>
      <w:r>
        <w:rPr>
          <w:rFonts w:ascii="Barlow Semi Condensed" w:cs="Barlow Semi Condensed" w:eastAsia="Barlow Semi Condensed" w:hAnsi="Barlow Semi Condensed"/>
          <w:b/>
          <w:bCs/>
          <w:sz w:val="24"/>
          <w:szCs w:val="24"/>
        </w:rPr>
        <w:t xml:space="preserve">La qualificazione di genocidio fu proposta già dal Rapporto Whitaker delle Nazioni Unite del 1985.</w:t>
      </w:r>
    </w:p>
    <w:p>
      <w:pPr>
        <w:spacing w:after="120" w:line="276"/>
        <w:jc w:val="both"/>
      </w:pPr>
      <w:r>
        <w:rPr>
          <w:rFonts w:ascii="Barlow Semi Condensed" w:cs="Barlow Semi Condensed" w:eastAsia="Barlow Semi Condensed" w:hAnsi="Barlow Semi Condensed"/>
          <w:b/>
          <w:bCs/>
          <w:sz w:val="24"/>
          <w:szCs w:val="24"/>
        </w:rPr>
        <w:t xml:space="preserve">La distinzione fra qualificazione storiografico-morale e regime applicabile ratione temporis è una precisa scelta interpretativa dello Stato tedesco, di cui va dato conto senza per questo attenuare la natura criminale dei fatti, che va enunciata come contesto.</w:t>
      </w:r>
    </w:p>
    <w:p>
      <w:pPr>
        <w:pStyle w:val="Heading2"/>
        <w:spacing w:after="100" w:before="200"/>
      </w:pPr>
      <w:r>
        <w:rPr>
          <w:rFonts w:ascii="Barlow Semi Condensed" w:cs="Barlow Semi Condensed" w:eastAsia="Barlow Semi Condensed" w:hAnsi="Barlow Semi Condensed"/>
          <w:sz w:val="24"/>
          <w:szCs w:val="24"/>
        </w:rPr>
        <w:t xml:space="preserve">Capitolo quinto — Il riconoscimento, e perché è posteriore al perimetro</w:t>
      </w:r>
    </w:p>
    <w:p>
      <w:pPr>
        <w:spacing w:after="120" w:line="276"/>
        <w:jc w:val="both"/>
      </w:pPr>
      <w:r>
        <w:rPr>
          <w:rFonts w:ascii="Barlow Semi Condensed" w:cs="Barlow Semi Condensed" w:eastAsia="Barlow Semi Condensed" w:hAnsi="Barlow Semi Condensed"/>
          <w:b/>
          <w:bCs/>
          <w:sz w:val="24"/>
          <w:szCs w:val="24"/>
        </w:rPr>
        <w:t xml:space="preserve">Il capitolo espone il percorso del riconoscimento tedesco e ne fissa la collocazione cronologica, che è dirimente.</w:t>
      </w:r>
    </w:p>
    <w:p>
      <w:pPr>
        <w:spacing w:after="120" w:line="276"/>
        <w:jc w:val="both"/>
      </w:pPr>
      <w:r>
        <w:rPr>
          <w:rFonts w:ascii="Barlow Semi Condensed" w:cs="Barlow Semi Condensed" w:eastAsia="Barlow Semi Condensed" w:hAnsi="Barlow Semi Condensed"/>
          <w:b/>
          <w:bCs/>
          <w:sz w:val="24"/>
          <w:szCs w:val="24"/>
        </w:rPr>
        <w:t xml:space="preserve">Il percorso, per date. Nel 2004 la ministra per la cooperazione allo sviluppo Heidemarie Wieczorek-Zeul, in visita in Namibia, offrì quella che definì un'apologia, parlando di ciò che oggi si chiamerebbe genocidio, pur escludendo compensazioni. Nel 2015 il governo tedesco riconobbe che era stato commesso un genocidio. Il 28 maggio 2021, dopo oltre cinque anni di negoziati aperti nel 2015, riconobbe formalmente gli eventi del 1904-1908 come genocidio e annunciò un pacchetto di un miliardo e cento milioni di euro da erogare in trent'anni.</w:t>
      </w:r>
    </w:p>
    <w:p>
      <w:pPr>
        <w:spacing w:after="120" w:line="276"/>
        <w:jc w:val="both"/>
      </w:pPr>
      <w:r>
        <w:rPr>
          <w:rFonts w:ascii="Barlow Semi Condensed" w:cs="Barlow Semi Condensed" w:eastAsia="Barlow Semi Condensed" w:hAnsi="Barlow Semi Condensed"/>
          <w:b/>
          <w:bCs/>
          <w:sz w:val="24"/>
          <w:szCs w:val="24"/>
        </w:rPr>
        <w:t xml:space="preserve">La ripartizione, secondo le fonti ufficiali e la stampa namibiana: cinquanta milioni per la riconciliazione, centotrenta per energie rinnovabili, centocinquanta per la formazione professionale, cento per strade rurali, centotrenta per l'approvvigionamento idrico rurale e cinquecentoquaranta per acquisizione di terreni e formazione.</w:t>
      </w:r>
    </w:p>
    <w:p>
      <w:pPr>
        <w:spacing w:after="120" w:line="276"/>
        <w:jc w:val="both"/>
      </w:pPr>
      <w:r>
        <w:rPr>
          <w:rFonts w:ascii="Barlow Semi Condensed" w:cs="Barlow Semi Condensed" w:eastAsia="Barlow Semi Condensed" w:hAnsi="Barlow Semi Condensed"/>
          <w:b/>
          <w:bCs/>
          <w:sz w:val="24"/>
          <w:szCs w:val="24"/>
        </w:rPr>
        <w:t xml:space="preserve">I negoziatori furono Ruprecht Polenz per la Germania e Zedekia Ngavirue per la Namibia.</w:t>
      </w:r>
    </w:p>
    <w:p>
      <w:pPr>
        <w:spacing w:after="120" w:line="276"/>
        <w:jc w:val="both"/>
      </w:pPr>
      <w:r>
        <w:rPr>
          <w:rFonts w:ascii="Barlow Semi Condensed" w:cs="Barlow Semi Condensed" w:eastAsia="Barlow Semi Condensed" w:hAnsi="Barlow Semi Condensed"/>
          <w:b/>
          <w:bCs/>
          <w:sz w:val="24"/>
          <w:szCs w:val="24"/>
        </w:rPr>
        <w:t xml:space="preserve">Le critiche vanno riportate perché sono parte del fatto. L'accordo è stato aspramente criticato dai rappresentanti Ovaherero e Nama — fra cui l'Ovaherero Traditional Authority, la Nama Traditional Leaders Association e l'Ovaherero Genocide Foundation di Nandiuasora Mazeingo — per averli esclusi dai negoziati e per l'esclusione di riparazioni dirette.</w:t>
      </w:r>
    </w:p>
    <w:p>
      <w:pPr>
        <w:spacing w:after="120" w:line="276"/>
        <w:jc w:val="both"/>
      </w:pPr>
      <w:r>
        <w:rPr>
          <w:rFonts w:ascii="Barlow Semi Condensed" w:cs="Barlow Semi Condensed" w:eastAsia="Barlow Semi Condensed" w:hAnsi="Barlow Semi Condensed"/>
          <w:b/>
          <w:bCs/>
          <w:sz w:val="24"/>
          <w:szCs w:val="24"/>
        </w:rPr>
        <w:t xml:space="preserve">E adesso la collocazione cronologica, che è la ragione per cui questo capitolo esiste ed è breve.</w:t>
      </w:r>
    </w:p>
    <w:p>
      <w:pPr>
        <w:spacing w:after="120" w:line="276"/>
        <w:jc w:val="both"/>
      </w:pPr>
      <w:r>
        <w:rPr>
          <w:rFonts w:ascii="Barlow Semi Condensed" w:cs="Barlow Semi Condensed" w:eastAsia="Barlow Semi Condensed" w:hAnsi="Barlow Semi Condensed"/>
          <w:b/>
          <w:bCs/>
          <w:sz w:val="24"/>
          <w:szCs w:val="24"/>
        </w:rPr>
        <w:t xml:space="preserve">Tutto ciò è posteriore al periodo in esame, e va tenuto rigorosamente distinto da esso.</w:t>
      </w:r>
    </w:p>
    <w:p>
      <w:pPr>
        <w:spacing w:after="120" w:line="276"/>
        <w:jc w:val="both"/>
      </w:pPr>
      <w:r>
        <w:rPr>
          <w:rFonts w:ascii="Barlow Semi Condensed" w:cs="Barlow Semi Condensed" w:eastAsia="Barlow Semi Condensed" w:hAnsi="Barlow Semi Condensed"/>
          <w:b/>
          <w:bCs/>
          <w:sz w:val="24"/>
          <w:szCs w:val="24"/>
        </w:rPr>
        <w:t xml:space="preserve">Negli anni dell'apartheid il genocidio non era oggetto di riconoscimento ufficiale né di dibattito politico tedesco significativo.</w:t>
      </w:r>
    </w:p>
    <w:p>
      <w:pPr>
        <w:spacing w:after="120" w:line="276"/>
        <w:jc w:val="both"/>
      </w:pPr>
      <w:r>
        <w:rPr>
          <w:rFonts w:ascii="Barlow Semi Condensed" w:cs="Barlow Semi Condensed" w:eastAsia="Barlow Semi Condensed" w:hAnsi="Barlow Semi Condensed"/>
          <w:b/>
          <w:bCs/>
          <w:sz w:val="24"/>
          <w:szCs w:val="24"/>
        </w:rPr>
        <w:t xml:space="preserve">E ne esiste un indizio eloquente, che vale come prova per assenza.</w:t>
      </w:r>
    </w:p>
    <w:p>
      <w:pPr>
        <w:spacing w:after="120" w:line="276"/>
        <w:jc w:val="both"/>
      </w:pPr>
      <w:r>
        <w:rPr>
          <w:rFonts w:ascii="Barlow Semi Condensed" w:cs="Barlow Semi Condensed" w:eastAsia="Barlow Semi Condensed" w:hAnsi="Barlow Semi Condensed"/>
          <w:b/>
          <w:bCs/>
          <w:sz w:val="24"/>
          <w:szCs w:val="24"/>
        </w:rPr>
        <w:t xml:space="preserve">La testimonianza di Genscher del 2010 non menziona il genocidio in alcun punto, pur trattando diffusamente della Namibia.</w:t>
      </w:r>
    </w:p>
    <w:p>
      <w:pPr>
        <w:spacing w:after="120" w:line="276"/>
        <w:jc w:val="both"/>
      </w:pPr>
      <w:r>
        <w:rPr>
          <w:rFonts w:ascii="Barlow Semi Condensed" w:cs="Barlow Semi Condensed" w:eastAsia="Barlow Semi Condensed" w:hAnsi="Barlow Semi Condensed"/>
          <w:b/>
          <w:bCs/>
          <w:sz w:val="24"/>
          <w:szCs w:val="24"/>
        </w:rPr>
        <w:t xml:space="preserve">Un ministro degli Esteri che ricostruisce trent'anni dopo la propria politica namibiana e tace il genocidio commesso dal proprio Paese in quel territorio documenta, con il proprio silenzio, che quel tema non apparteneva al lessico politico del momento che sta ricostruendo.</w:t>
      </w:r>
    </w:p>
    <w:p>
      <w:pPr>
        <w:spacing w:after="120" w:line="276"/>
        <w:jc w:val="both"/>
      </w:pPr>
      <w:r>
        <w:rPr>
          <w:rFonts w:ascii="Barlow Semi Condensed" w:cs="Barlow Semi Condensed" w:eastAsia="Barlow Semi Condensed" w:hAnsi="Barlow Semi Condensed"/>
          <w:b/>
          <w:bCs/>
          <w:sz w:val="24"/>
          <w:szCs w:val="24"/>
        </w:rPr>
        <w:t xml:space="preserve">Genscher inquadra invece la questione nel superamento del conflitto Est-Ovest e nel principio di autodeterminazione, con un parallelo esplicito che va riportato: rivendicammo il diritto di autodeterminazione per noi tedeschi al fine di riunirci pacificamente. Come avremmo potuto negare il diritto di autodeterminazione al popolo namibiano?</w:t>
      </w:r>
    </w:p>
    <w:p>
      <w:pPr>
        <w:spacing w:after="120" w:line="276"/>
        <w:jc w:val="both"/>
      </w:pPr>
      <w:r>
        <w:rPr>
          <w:rFonts w:ascii="Barlow Semi Condensed" w:cs="Barlow Semi Condensed" w:eastAsia="Barlow Semi Condensed" w:hAnsi="Barlow Semi Condensed"/>
          <w:b/>
          <w:bCs/>
          <w:sz w:val="24"/>
          <w:szCs w:val="24"/>
        </w:rPr>
        <w:t xml:space="preserve">Il parallelo è fra la questione tedesca e quella namibiana. Non fra il crimine tedesco e la vittima namibiana.</w:t>
      </w:r>
    </w:p>
    <w:p>
      <w:pPr>
        <w:pStyle w:val="Heading2"/>
        <w:spacing w:after="100" w:before="200"/>
      </w:pPr>
      <w:r>
        <w:rPr>
          <w:rFonts w:ascii="Barlow Semi Condensed" w:cs="Barlow Semi Condensed" w:eastAsia="Barlow Semi Condensed" w:hAnsi="Barlow Semi Condensed"/>
          <w:sz w:val="24"/>
          <w:szCs w:val="24"/>
        </w:rPr>
        <w:t xml:space="preserve">Capitolo sesto — La comunità germanofona: consistenza e funzione</w:t>
      </w:r>
    </w:p>
    <w:p>
      <w:pPr>
        <w:spacing w:after="120" w:line="276"/>
        <w:jc w:val="both"/>
      </w:pPr>
      <w:r>
        <w:rPr>
          <w:rFonts w:ascii="Barlow Semi Condensed" w:cs="Barlow Semi Condensed" w:eastAsia="Barlow Semi Condensed" w:hAnsi="Barlow Semi Condensed"/>
          <w:b/>
          <w:bCs/>
          <w:sz w:val="24"/>
          <w:szCs w:val="24"/>
        </w:rPr>
        <w:t xml:space="preserve">Il capitolo misura la comunità e ne stabilisce la funzione politica, che non è quella che l'ipotesi confutata supponeva.</w:t>
      </w:r>
    </w:p>
    <w:p>
      <w:pPr>
        <w:spacing w:after="120" w:line="276"/>
        <w:jc w:val="both"/>
      </w:pPr>
      <w:r>
        <w:rPr>
          <w:rFonts w:ascii="Barlow Semi Condensed" w:cs="Barlow Semi Condensed" w:eastAsia="Barlow Semi Condensed" w:hAnsi="Barlow Semi Condensed"/>
          <w:b/>
          <w:bCs/>
          <w:sz w:val="24"/>
          <w:szCs w:val="24"/>
        </w:rPr>
        <w:t xml:space="preserve">I numeri, con la divergenza. Il censimento sudafricano del 1981 riportava una popolazione bianca in Namibia di settantaseimilaquattrocentotrenta unità, di cui il settantuno per cento afrikaner e il diciassette per cento germanofona — dunque circa tredicimila persone di lingua tedesca.</w:t>
      </w:r>
    </w:p>
    <w:p>
      <w:pPr>
        <w:spacing w:after="120" w:line="276"/>
        <w:jc w:val="both"/>
      </w:pPr>
      <w:r>
        <w:rPr>
          <w:rFonts w:ascii="Barlow Semi Condensed" w:cs="Barlow Semi Condensed" w:eastAsia="Barlow Semi Condensed" w:hAnsi="Barlow Semi Condensed"/>
          <w:b/>
          <w:bCs/>
          <w:sz w:val="24"/>
          <w:szCs w:val="24"/>
        </w:rPr>
        <w:t xml:space="preserve">Le stime contemporanee attestano invece circa trentamila namibiani di origine tedesca, circa il due per cento della popolazione, a fronte di una popolazione bianca totale di cinquantatremilasettecentosettantatré al censimento del 2023.</w:t>
      </w:r>
    </w:p>
    <w:p>
      <w:pPr>
        <w:spacing w:after="120" w:line="276"/>
        <w:jc w:val="both"/>
      </w:pPr>
      <w:r>
        <w:rPr>
          <w:rFonts w:ascii="Barlow Semi Condensed" w:cs="Barlow Semi Condensed" w:eastAsia="Barlow Semi Condensed" w:hAnsi="Barlow Semi Condensed"/>
          <w:b/>
          <w:bCs/>
          <w:sz w:val="24"/>
          <w:szCs w:val="24"/>
        </w:rPr>
        <w:t xml:space="preserve">La divergenza fra il dato censuario del 1981 e le stime odierne è spiegabile con la crescita demografica, con i diversi criteri — lingua madre contro ascendenza — e con l'assenza di censimenti linguistici affidabili.</w:t>
      </w:r>
    </w:p>
    <w:p>
      <w:pPr>
        <w:spacing w:after="120" w:line="276"/>
        <w:jc w:val="both"/>
      </w:pPr>
      <w:r>
        <w:rPr>
          <w:rFonts w:ascii="Barlow Semi Condensed" w:cs="Barlow Semi Condensed" w:eastAsia="Barlow Semi Condensed" w:hAnsi="Barlow Semi Condensed"/>
          <w:b/>
          <w:bCs/>
          <w:sz w:val="24"/>
          <w:szCs w:val="24"/>
        </w:rPr>
        <w:t xml:space="preserve">La distribuzione. Concentrata a Windhoek e nelle località costiere di Swakopmund e Lüderitz, oltre che nel triangolo di Otavi e a Otjiwarongo, con scuole, chiese, stampa e radiodiffusione in tedesco e una varietà linguistica propria, il Südwesterdeutsch.</w:t>
      </w:r>
    </w:p>
    <w:p>
      <w:pPr>
        <w:spacing w:after="120" w:line="276"/>
        <w:jc w:val="both"/>
      </w:pPr>
      <w:r>
        <w:rPr>
          <w:rFonts w:ascii="Barlow Semi Condensed" w:cs="Barlow Semi Condensed" w:eastAsia="Barlow Semi Condensed" w:hAnsi="Barlow Semi Condensed"/>
          <w:b/>
          <w:bCs/>
          <w:sz w:val="24"/>
          <w:szCs w:val="24"/>
        </w:rPr>
        <w:t xml:space="preserve">E adesso la funzione politica, che va enunciata con la disciplina che la serie impone.</w:t>
      </w:r>
    </w:p>
    <w:p>
      <w:pPr>
        <w:spacing w:after="120" w:line="276"/>
        <w:jc w:val="both"/>
      </w:pPr>
      <w:r>
        <w:rPr>
          <w:rFonts w:ascii="Barlow Semi Condensed" w:cs="Barlow Semi Condensed" w:eastAsia="Barlow Semi Condensed" w:hAnsi="Barlow Semi Condensed"/>
          <w:b/>
          <w:bCs/>
          <w:sz w:val="24"/>
          <w:szCs w:val="24"/>
        </w:rPr>
        <w:t xml:space="preserve">La presenza di una comunità germanofona non prova, di per sé, una politica tedesca a essa ispirata.</w:t>
      </w:r>
    </w:p>
    <w:p>
      <w:pPr>
        <w:spacing w:after="120" w:line="276"/>
        <w:jc w:val="both"/>
      </w:pPr>
      <w:r>
        <w:rPr>
          <w:rFonts w:ascii="Barlow Semi Condensed" w:cs="Barlow Semi Condensed" w:eastAsia="Barlow Semi Condensed" w:hAnsi="Barlow Semi Condensed"/>
          <w:b/>
          <w:bCs/>
          <w:sz w:val="24"/>
          <w:szCs w:val="24"/>
        </w:rPr>
        <w:t xml:space="preserve">Ciò che le fonti attestano è l'opposto di quanto l'ipotesi supponeva: Bonn dovette gestire la comunità come fattore diplomatico delicato, e per riguadagnare credibilità presso gli Stati africani chiuse il consolato di Windhoek alla fine dell'ottobre 1977.</w:t>
      </w:r>
    </w:p>
    <w:p>
      <w:pPr>
        <w:spacing w:after="120" w:line="276"/>
        <w:jc w:val="both"/>
      </w:pPr>
      <w:r>
        <w:rPr>
          <w:rFonts w:ascii="Barlow Semi Condensed" w:cs="Barlow Semi Condensed" w:eastAsia="Barlow Semi Condensed" w:hAnsi="Barlow Semi Condensed"/>
          <w:b/>
          <w:bCs/>
          <w:sz w:val="24"/>
          <w:szCs w:val="24"/>
        </w:rPr>
        <w:t xml:space="preserve">La comunità era un costo, non una rendita.</w:t>
      </w:r>
    </w:p>
    <w:p>
      <w:pPr>
        <w:spacing w:after="120" w:line="276"/>
        <w:jc w:val="both"/>
      </w:pPr>
      <w:r>
        <w:rPr>
          <w:rFonts w:ascii="Barlow Semi Condensed" w:cs="Barlow Semi Condensed" w:eastAsia="Barlow Semi Condensed" w:hAnsi="Barlow Semi Condensed"/>
          <w:b/>
          <w:bCs/>
          <w:sz w:val="24"/>
          <w:szCs w:val="24"/>
        </w:rPr>
        <w:t xml:space="preserve">Un episodio va riportato con lo statuto della fonte dichiarato. La testata \taz\, pubblicistica di orientamento di sinistra, documenta una visita di Franz Josef Strauß a Windhoek con un ricevimento presso l'amministratore generale sudafricano Louis Pienaar, alla presenza di Pik Botha, e riferisce che Strauß vi si sarebbe autodefinito Südwester, collegandolo come successore di coloro che occuparono l'Africa del Sud-Ovest tedesca nel 1884.</w:t>
      </w:r>
    </w:p>
    <w:p>
      <w:pPr>
        <w:spacing w:after="120" w:line="276"/>
        <w:jc w:val="both"/>
      </w:pPr>
      <w:r>
        <w:rPr>
          <w:rFonts w:ascii="Barlow Semi Condensed" w:cs="Barlow Semi Condensed" w:eastAsia="Barlow Semi Condensed" w:hAnsi="Barlow Semi Condensed"/>
          <w:b/>
          <w:bCs/>
          <w:sz w:val="24"/>
          <w:szCs w:val="24"/>
        </w:rPr>
        <w:t xml:space="preserve">L'autoidentificazione, se autentica, è coerente con il quadro complessivo e mostra che il richiamo coloniale esisteva — ma esisteva in un uomo di partito bavarese, non nella politica del governo federale, che andava in direzione contraria.</w:t>
      </w:r>
    </w:p>
    <w:p>
      <w:pPr>
        <w:spacing w:after="120" w:line="276"/>
        <w:jc w:val="both"/>
      </w:pPr>
      <w:r>
        <w:rPr>
          <w:rFonts w:ascii="Barlow Semi Condensed" w:cs="Barlow Semi Condensed" w:eastAsia="Barlow Semi Condensed" w:hAnsi="Barlow Semi Condensed"/>
          <w:b/>
          <w:bCs/>
          <w:sz w:val="24"/>
          <w:szCs w:val="24"/>
        </w:rPr>
        <w:t xml:space="preserve">Ne discende una distinzione che il Capitolo decimo sviluppa: fra la politica di Bonn e la politica della Baviera vi era, su questa materia, uno scarto.</w:t>
      </w:r>
    </w:p>
    <w:p>
      <w:pPr>
        <w:pStyle w:val="Heading2"/>
        <w:spacing w:after="100" w:before="200"/>
      </w:pPr>
      <w:r>
        <w:rPr>
          <w:rFonts w:ascii="Barlow Semi Condensed" w:cs="Barlow Semi Condensed" w:eastAsia="Barlow Semi Condensed" w:hAnsi="Barlow Semi Condensed"/>
          <w:sz w:val="24"/>
          <w:szCs w:val="24"/>
        </w:rPr>
        <w:t xml:space="preserve">Capitolo settimo — I sommergibili: ciò che è accertato e ciò che rimase non chiarito</w:t>
      </w:r>
    </w:p>
    <w:p>
      <w:pPr>
        <w:spacing w:after="120" w:line="276"/>
        <w:jc w:val="both"/>
      </w:pPr>
      <w:r>
        <w:rPr>
          <w:rFonts w:ascii="Barlow Semi Condensed" w:cs="Barlow Semi Condensed" w:eastAsia="Barlow Semi Condensed" w:hAnsi="Barlow Semi Condensed"/>
          <w:b/>
          <w:bCs/>
          <w:sz w:val="24"/>
          <w:szCs w:val="24"/>
        </w:rPr>
        <w:t xml:space="preserve">Il capitolo espone la sola vicenda tedesca per cui esista un accertamento documentale robusto, e separa con cura il documentato dalle voci.</w:t>
      </w:r>
    </w:p>
    <w:p>
      <w:pPr>
        <w:spacing w:after="120" w:line="276"/>
        <w:jc w:val="both"/>
      </w:pPr>
      <w:r>
        <w:rPr>
          <w:rFonts w:ascii="Barlow Semi Condensed" w:cs="Barlow Semi Condensed" w:eastAsia="Barlow Semi Condensed" w:hAnsi="Barlow Semi Condensed"/>
          <w:b/>
          <w:bCs/>
          <w:sz w:val="24"/>
          <w:szCs w:val="24"/>
        </w:rPr>
        <w:t xml:space="preserve">La rivelazione. Le Kieler Nachrichten del 26 novembre 1986, con il giornalista Peter Höver, rivelarono che l'Ingenieurkontor Lübeck e la Howaldtswerke-Deutsche Werft di Kiel avevano consegnato al Sudafrica piani costruttivi per quattro sommergibili di tipo duecentonove senza la richiesta autorizzazione.</w:t>
      </w:r>
    </w:p>
    <w:p>
      <w:pPr>
        <w:spacing w:after="120" w:line="276"/>
        <w:jc w:val="both"/>
      </w:pPr>
      <w:r>
        <w:rPr>
          <w:rFonts w:ascii="Barlow Semi Condensed" w:cs="Barlow Semi Condensed" w:eastAsia="Barlow Semi Condensed" w:hAnsi="Barlow Semi Condensed"/>
          <w:b/>
          <w:bCs/>
          <w:sz w:val="24"/>
          <w:szCs w:val="24"/>
        </w:rPr>
        <w:t xml:space="preserve">Il prezzo di quarantasei milioni di marchi risultava già iscritto nel bilancio della Howaldtswerke, secondo la \taz\.</w:t>
      </w:r>
    </w:p>
    <w:p>
      <w:pPr>
        <w:spacing w:after="120" w:line="276"/>
        <w:jc w:val="both"/>
      </w:pPr>
      <w:r>
        <w:rPr>
          <w:rFonts w:ascii="Barlow Semi Condensed" w:cs="Barlow Semi Condensed" w:eastAsia="Barlow Semi Condensed" w:hAnsi="Barlow Semi Condensed"/>
          <w:b/>
          <w:bCs/>
          <w:sz w:val="24"/>
          <w:szCs w:val="24"/>
        </w:rPr>
        <w:t xml:space="preserve">L'inchiesta.\\ Il \\10 dicembre 1986\\ fu istituito un comitato d'inchiesta parlamentare del Bundestag — quarto comitato della decima legislatura, proseguito come primo dell'undicesima — \\attivo dal 1986 al 1990.</w:t>
      </w:r>
    </w:p>
    <w:p>
      <w:pPr>
        <w:spacing w:after="120" w:line="276"/>
        <w:jc w:val="both"/>
      </w:pPr>
      <w:r>
        <w:rPr>
          <w:rFonts w:ascii="Barlow Semi Condensed" w:cs="Barlow Semi Condensed" w:eastAsia="Barlow Semi Condensed" w:hAnsi="Barlow Semi Condensed"/>
          <w:b/>
          <w:bCs/>
          <w:sz w:val="24"/>
          <w:szCs w:val="24"/>
        </w:rPr>
        <w:t xml:space="preserve">L'esito, riportato testualmente.\\ \\La raccomandazione conclusiva fu disomogenea, i partiti di opposizione e di governo divergevano in tutti i punti rilevanti. I fatti centrali dell'affare rimasero dunque non chiariti.</w:t>
      </w:r>
    </w:p>
    <w:p>
      <w:pPr>
        <w:spacing w:after="120" w:line="276"/>
        <w:jc w:val="both"/>
      </w:pPr>
      <w:r>
        <w:rPr>
          <w:rFonts w:ascii="Barlow Semi Condensed" w:cs="Barlow Semi Condensed" w:eastAsia="Barlow Semi Condensed" w:hAnsi="Barlow Semi Condensed"/>
          <w:b/>
          <w:bCs/>
          <w:sz w:val="24"/>
          <w:szCs w:val="24"/>
        </w:rPr>
        <w:t xml:space="preserve">Ma ciò che è accertato va enunciato con eguale precisione, perché è molto. È documentato che le due imprese pianificarono e in parte eseguirono una fornitura di progetti e componenti eludendo l'autorizzazione del Bundesamt für Wirtschaft, con trasporto affidato a corrieri tramite valigia diplomatica.</w:t>
      </w:r>
    </w:p>
    <w:p>
      <w:pPr>
        <w:spacing w:after="120" w:line="276"/>
        <w:jc w:val="both"/>
      </w:pPr>
      <w:r>
        <w:rPr>
          <w:rFonts w:ascii="Barlow Semi Condensed" w:cs="Barlow Semi Condensed" w:eastAsia="Barlow Semi Condensed" w:hAnsi="Barlow Semi Condensed"/>
          <w:b/>
          <w:bCs/>
          <w:sz w:val="24"/>
          <w:szCs w:val="24"/>
        </w:rPr>
        <w:t xml:space="preserve">La cronologia interna, dagli atti del comitato riportati dalla taz. Al 1 giugno 1983 un primo colloquio fra Genscher, Kohl e Strauß sull'affare. Al 5 giugno 1984 il ricevimento di Pieter Willem Botha da parte di Kohl, nel quale — secondo la testimonianza del consigliere Horst Teltschik — Botha sollevò il progetto denominato IK novantasette. Dieci giorni dopo, la firma fra le due imprese e il partner sudafricano di un contratto con clausola sospensiva subordinata all'approvazione del governo federale entro il 15 agosto 1984.</w:t>
      </w:r>
    </w:p>
    <w:p>
      <w:pPr>
        <w:spacing w:after="120" w:line="276"/>
        <w:jc w:val="both"/>
      </w:pPr>
      <w:r>
        <w:rPr>
          <w:rFonts w:ascii="Barlow Semi Condensed" w:cs="Barlow Semi Condensed" w:eastAsia="Barlow Semi Condensed" w:hAnsi="Barlow Semi Condensed"/>
          <w:b/>
          <w:bCs/>
          <w:sz w:val="24"/>
          <w:szCs w:val="24"/>
        </w:rPr>
        <w:t xml:space="preserve">L'esito sanzionatorio. L'Oberfinanzdirektion di Kiel archiviò a metà gennaio il procedimento, ritenendo che i documenti forniti non fossero sufficienti a costruire un sommergibile o parti essenziali di esso; non furono comminate nemmeno le sanzioni pecuniarie di cinquantamila marchi inizialmente prospettate.</w:t>
      </w:r>
    </w:p>
    <w:p>
      <w:pPr>
        <w:spacing w:after="120" w:line="276"/>
        <w:jc w:val="both"/>
      </w:pPr>
      <w:r>
        <w:rPr>
          <w:rFonts w:ascii="Barlow Semi Condensed" w:cs="Barlow Semi Condensed" w:eastAsia="Barlow Semi Condensed" w:hAnsi="Barlow Semi Condensed"/>
          <w:b/>
          <w:bCs/>
          <w:sz w:val="24"/>
          <w:szCs w:val="24"/>
        </w:rPr>
        <w:t xml:space="preserve">Il ruolo di Strauß va enunciato con la cautela che le fonti stesse impongono. Le fonti giornalistiche riferiscono che Strauß, in occasione di una visita in Sudafrica, si sarebbe impegnato a favore della fornitura; ma la ricostruzione più cauta riconosce che ciò che realmente avvenne non fu mai chiarito completamente e offre ancora oggi molto spazio a speculazioni.</w:t>
      </w:r>
    </w:p>
    <w:p>
      <w:pPr>
        <w:spacing w:after="120" w:line="276"/>
        <w:jc w:val="both"/>
      </w:pPr>
      <w:r>
        <w:rPr>
          <w:rFonts w:ascii="Barlow Semi Condensed" w:cs="Barlow Semi Condensed" w:eastAsia="Barlow Semi Condensed" w:hAnsi="Barlow Semi Condensed"/>
          <w:b/>
          <w:bCs/>
          <w:sz w:val="24"/>
          <w:szCs w:val="24"/>
        </w:rPr>
        <w:t xml:space="preserve">Ne discende la ripartizione che il metodo impone. Documentato: la fornitura non autorizzata di progetti e l'esito inconcludente dell'inchiesta. Allegato e non provato: la catena di responsabilità politiche ai massimi livelli, e l'entità e destinazione dei pagamenti.</w:t>
      </w:r>
    </w:p>
    <w:p>
      <w:pPr>
        <w:spacing w:after="120" w:line="276"/>
        <w:jc w:val="both"/>
      </w:pPr>
      <w:r>
        <w:rPr>
          <w:rFonts w:ascii="Barlow Semi Condensed" w:cs="Barlow Semi Condensed" w:eastAsia="Barlow Semi Condensed" w:hAnsi="Barlow Semi Condensed"/>
          <w:b/>
          <w:bCs/>
          <w:sz w:val="24"/>
          <w:szCs w:val="24"/>
        </w:rPr>
        <w:t xml:space="preserve">Le presunte provvigioni vanno riportate come oggetto di indagine e di contestazione, non come fatto accertato.</w:t>
      </w:r>
    </w:p>
    <w:p>
      <w:pPr>
        <w:pStyle w:val="Heading2"/>
        <w:spacing w:after="100" w:before="200"/>
      </w:pPr>
      <w:r>
        <w:rPr>
          <w:rFonts w:ascii="Barlow Semi Condensed" w:cs="Barlow Semi Condensed" w:eastAsia="Barlow Semi Condensed" w:hAnsi="Barlow Semi Condensed"/>
          <w:sz w:val="24"/>
          <w:szCs w:val="24"/>
        </w:rPr>
        <w:t xml:space="preserve">Capitolo ottavo — Il nucleare: che cosa gli archivi confermano e che cosa smentiscono</w:t>
      </w:r>
    </w:p>
    <w:p>
      <w:pPr>
        <w:spacing w:after="120" w:line="276"/>
        <w:jc w:val="both"/>
      </w:pPr>
      <w:r>
        <w:rPr>
          <w:rFonts w:ascii="Barlow Semi Condensed" w:cs="Barlow Semi Condensed" w:eastAsia="Barlow Semi Condensed" w:hAnsi="Barlow Semi Condensed"/>
          <w:b/>
          <w:bCs/>
          <w:sz w:val="24"/>
          <w:szCs w:val="24"/>
        </w:rPr>
        <w:t xml:space="preserve">Il capitolo distingue il documentato dall'allegato in una materia dove la distinzione è particolarmente difficile.</w:t>
      </w:r>
    </w:p>
    <w:p>
      <w:pPr>
        <w:spacing w:after="120" w:line="276"/>
        <w:jc w:val="both"/>
      </w:pPr>
      <w:r>
        <w:rPr>
          <w:rFonts w:ascii="Barlow Semi Condensed" w:cs="Barlow Semi Condensed" w:eastAsia="Barlow Semi Condensed" w:hAnsi="Barlow Semi Condensed"/>
          <w:b/>
          <w:bCs/>
          <w:sz w:val="24"/>
          <w:szCs w:val="24"/>
        </w:rPr>
        <w:t xml:space="preserve">I fatti sudafricani, con le date. Il 20 luglio 1970 il primo ministro John Vorster annunciò al Parlamento che il Sudafrica era in grado di arricchire l'uranio mediante un processo proprio, il processo di separazione a vortice Helikon, basato su un ugello. La Uranium Enrichment Corporation fu costituita per costruire l'impianto pilota presso un sito adiacente a Pelindaba chiamato Valindaba — parola zulu che significa di questo non parliamo affatto — noto anche come Y-Plant.</w:t>
      </w:r>
    </w:p>
    <w:p>
      <w:pPr>
        <w:spacing w:after="120" w:line="276"/>
        <w:jc w:val="both"/>
      </w:pPr>
      <w:r>
        <w:rPr>
          <w:rFonts w:ascii="Barlow Semi Condensed" w:cs="Barlow Semi Condensed" w:eastAsia="Barlow Semi Condensed" w:hAnsi="Barlow Semi Condensed"/>
          <w:b/>
          <w:bCs/>
          <w:sz w:val="24"/>
          <w:szCs w:val="24"/>
        </w:rPr>
        <w:t xml:space="preserve">La costruzione iniziò nell'agosto 1971, l'impianto divenne operativo nel maggio 1975, iniziò a produrre uranio altamente arricchito nel 1978, fu chiuso per quasi due anni dopo un incidente del 1979, tornò in produzione nel 1981 e fu definitivamente chiuso e smantellato il 1 febbraio 1990.</w:t>
      </w:r>
    </w:p>
    <w:p>
      <w:pPr>
        <w:spacing w:after="120" w:line="276"/>
        <w:jc w:val="both"/>
      </w:pPr>
      <w:r>
        <w:rPr>
          <w:rFonts w:ascii="Barlow Semi Condensed" w:cs="Barlow Semi Condensed" w:eastAsia="Barlow Semi Condensed" w:hAnsi="Barlow Semi Condensed"/>
          <w:b/>
          <w:bCs/>
          <w:sz w:val="24"/>
          <w:szCs w:val="24"/>
        </w:rPr>
        <w:t xml:space="preserve">Il contributo tedesco documentato. Il processo Helikon era variante del metodo sviluppato dal professor Erwin Willy Becker presso il centro di ricerca di Karlsruhe. La società Steinkohlen-Elektrizität, secondo Thomas B. Cochran in \Science and Global Security\ del 1993, agevolò il trasferimento del processo tedesco ai sudafricani; l'Institute for Science and International Security precisa, su documenti, che essa fornì al Sudafrica il proprio processo segreto a ugello e che intendeva concedere alla corporazione sudafricana un'opzione per una sub-licenza di fabbricazione.</w:t>
      </w:r>
    </w:p>
    <w:p>
      <w:pPr>
        <w:spacing w:after="120" w:line="276"/>
        <w:jc w:val="both"/>
      </w:pPr>
      <w:r>
        <w:rPr>
          <w:rFonts w:ascii="Barlow Semi Condensed" w:cs="Barlow Semi Condensed" w:eastAsia="Barlow Semi Condensed" w:hAnsi="Barlow Semi Condensed"/>
          <w:b/>
          <w:bCs/>
          <w:sz w:val="24"/>
          <w:szCs w:val="24"/>
        </w:rPr>
        <w:t xml:space="preserve">Una cautela sulla provenienza va apposta, ed è sostanziale: la base documentale primaria risale in parte agli stessi documenti resi noti dai dossier dell'African National Congress.</w:t>
      </w:r>
    </w:p>
    <w:p>
      <w:pPr>
        <w:spacing w:after="120" w:line="276"/>
        <w:jc w:val="both"/>
      </w:pPr>
      <w:r>
        <w:rPr>
          <w:rFonts w:ascii="Barlow Semi Condensed" w:cs="Barlow Semi Condensed" w:eastAsia="Barlow Semi Condensed" w:hAnsi="Barlow Semi Condensed"/>
          <w:b/>
          <w:bCs/>
          <w:sz w:val="24"/>
          <w:szCs w:val="24"/>
        </w:rPr>
        <w:t xml:space="preserve">La genealogia di quei documenti. Secondo Tom Vaughan dell'Università di Aberystwyth, i documenti su cui poggia \The Nuclear Axis\ di Zdenek Červenka e Barbara Rogers, pubblicato nel 1978, furono ottenuti da personale dell'African National Congress presso l'ambasciata sudafricana nella Germania Federale, apparentemente smarriti durante un trasloco.</w:t>
      </w:r>
    </w:p>
    <w:p>
      <w:pPr>
        <w:spacing w:after="120" w:line="276"/>
        <w:jc w:val="both"/>
      </w:pPr>
      <w:r>
        <w:rPr>
          <w:rFonts w:ascii="Barlow Semi Condensed" w:cs="Barlow Semi Condensed" w:eastAsia="Barlow Semi Condensed" w:hAnsi="Barlow Semi Condensed"/>
          <w:b/>
          <w:bCs/>
          <w:sz w:val="24"/>
          <w:szCs w:val="24"/>
        </w:rPr>
        <w:t xml:space="preserve">E adesso il vaglio di Vaughan, che è severo e va riportato in entrambe le direzioni.</w:t>
      </w:r>
    </w:p>
    <w:p>
      <w:pPr>
        <w:spacing w:after="120" w:line="276"/>
        <w:jc w:val="both"/>
      </w:pPr>
      <w:r>
        <w:rPr>
          <w:rFonts w:ascii="Barlow Semi Condensed" w:cs="Barlow Semi Condensed" w:eastAsia="Barlow Semi Condensed" w:hAnsi="Barlow Semi Condensed"/>
          <w:b/>
          <w:bCs/>
          <w:sz w:val="24"/>
          <w:szCs w:val="24"/>
        </w:rPr>
        <w:t xml:space="preserve">A favore: l'opera è una pietra miliare, e l'indizio più evidente della cooperazione era la somiglianza fra il processo di arricchimento Helikon apparentemente indigeno del Sudafrica e il processo a ugello sviluppato dall'équipe di Becker a Karlsruhe.</w:t>
      </w:r>
    </w:p>
    <w:p>
      <w:pPr>
        <w:spacing w:after="120" w:line="276"/>
        <w:jc w:val="both"/>
      </w:pPr>
      <w:r>
        <w:rPr>
          <w:rFonts w:ascii="Barlow Semi Condensed" w:cs="Barlow Semi Condensed" w:eastAsia="Barlow Semi Condensed" w:hAnsi="Barlow Semi Condensed"/>
          <w:b/>
          <w:bCs/>
          <w:sz w:val="24"/>
          <w:szCs w:val="24"/>
        </w:rPr>
        <w:t xml:space="preserve">Contro\\: \\la loro affermazione stravagante secondo cui la Germania Federale avrebbe potuto cercare di ottenere fisicamente testate nucleari dal Sudafrica si è rivelata fuorviante.</w:t>
      </w:r>
    </w:p>
    <w:p>
      <w:pPr>
        <w:spacing w:after="120" w:line="276"/>
        <w:jc w:val="both"/>
      </w:pPr>
      <w:r>
        <w:rPr>
          <w:rFonts w:ascii="Barlow Semi Condensed" w:cs="Barlow Semi Condensed" w:eastAsia="Barlow Semi Condensed" w:hAnsi="Barlow Semi Condensed"/>
          <w:b/>
          <w:bCs/>
          <w:sz w:val="24"/>
          <w:szCs w:val="24"/>
        </w:rPr>
        <w:t xml:space="preserve">Vaughan avverte inoltre che tali resoconti sono di qualità e livello di dettaglio alquanto disomogenei e che la loro attendibilità va valutata criticamente.</w:t>
      </w:r>
    </w:p>
    <w:p>
      <w:pPr>
        <w:spacing w:after="120" w:line="276"/>
        <w:jc w:val="both"/>
      </w:pPr>
      <w:r>
        <w:rPr>
          <w:rFonts w:ascii="Barlow Semi Condensed" w:cs="Barlow Semi Condensed" w:eastAsia="Barlow Semi Condensed" w:hAnsi="Barlow Semi Condensed"/>
          <w:b/>
          <w:bCs/>
          <w:sz w:val="24"/>
          <w:szCs w:val="24"/>
        </w:rPr>
        <w:t xml:space="preserve">La collocazione della storiografia recente fondata su archivi. Robin Möser, con \Disarming Apartheid\ per la Cambridge University Press del 2024 e con l'articolo \A Fly in the Ointment\ in \Cold War History\, volume venticinquesimo numero primo del 2025, ricostruisce la rete nucleare transnazionale sudafricana su documenti sudafricani, britannici, austriaci e tedeschi, mostrando negoziati paralleli con imprese francesi e tedesche.</w:t>
      </w:r>
    </w:p>
    <w:p>
      <w:pPr>
        <w:spacing w:after="120" w:line="276"/>
        <w:jc w:val="both"/>
      </w:pPr>
      <w:r>
        <w:rPr>
          <w:rFonts w:ascii="Barlow Semi Condensed" w:cs="Barlow Semi Condensed" w:eastAsia="Barlow Semi Condensed" w:hAnsi="Barlow Semi Condensed"/>
          <w:b/>
          <w:bCs/>
          <w:sz w:val="24"/>
          <w:szCs w:val="24"/>
        </w:rPr>
        <w:t xml:space="preserve">Ne discende la ripartizione finale. Documentato: il trasferimento del metodo di arricchimento tramite la società tedesca, e i negoziati con imprese di due Paesi. Smentito dalla storiografia d'archivio: l'asse nucleare finalizzato all'acquisizione tedesca di testate.</w:t>
      </w:r>
    </w:p>
    <w:p>
      <w:pPr>
        <w:spacing w:after="120" w:line="276"/>
        <w:jc w:val="both"/>
      </w:pPr>
      <w:r>
        <w:rPr>
          <w:rFonts w:ascii="Barlow Semi Condensed" w:cs="Barlow Semi Condensed" w:eastAsia="Barlow Semi Condensed" w:hAnsi="Barlow Semi Condensed"/>
          <w:b/>
          <w:bCs/>
          <w:sz w:val="24"/>
          <w:szCs w:val="24"/>
        </w:rPr>
        <w:t xml:space="preserve">La cooperazione fu commerciale e scientifica dentro una rete transnazionale, non un complotto bilaterale orientato all'arma.</w:t>
      </w:r>
    </w:p>
    <w:p>
      <w:pPr>
        <w:pStyle w:val="Heading2"/>
        <w:spacing w:after="100" w:before="200"/>
      </w:pPr>
      <w:r>
        <w:rPr>
          <w:rFonts w:ascii="Barlow Semi Condensed" w:cs="Barlow Semi Condensed" w:eastAsia="Barlow Semi Condensed" w:hAnsi="Barlow Semi Condensed"/>
          <w:sz w:val="24"/>
          <w:szCs w:val="24"/>
        </w:rPr>
        <w:t xml:space="preserve">Capitolo nono — I servizi: esito prevalentemente negativo</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 la materia richiede la massima severità e le fonti primarie mancano.</w:t>
      </w:r>
    </w:p>
    <w:p>
      <w:pPr>
        <w:spacing w:after="120" w:line="276"/>
        <w:jc w:val="both"/>
      </w:pPr>
      <w:r>
        <w:rPr>
          <w:rFonts w:ascii="Barlow Semi Condensed" w:cs="Barlow Semi Condensed" w:eastAsia="Barlow Semi Condensed" w:hAnsi="Barlow Semi Condensed"/>
          <w:b/>
          <w:bCs/>
          <w:sz w:val="24"/>
          <w:szCs w:val="24"/>
        </w:rPr>
        <w:t xml:space="preserve">La ragione della severità va richiamata. La serie ha già accertato, all'undicesima ricognizione, la genealogia di una connessione falsa in materia contigua, e la pubblicistica su questi temi è abbondante e spesso priva di riscontri.</w:t>
      </w:r>
    </w:p>
    <w:p>
      <w:pPr>
        <w:spacing w:after="120" w:line="276"/>
        <w:jc w:val="both"/>
      </w:pPr>
      <w:r>
        <w:rPr>
          <w:rFonts w:ascii="Barlow Semi Condensed" w:cs="Barlow Semi Condensed" w:eastAsia="Barlow Semi Condensed" w:hAnsi="Barlow Semi Condensed"/>
          <w:b/>
          <w:bCs/>
          <w:sz w:val="24"/>
          <w:szCs w:val="24"/>
        </w:rPr>
        <w:t xml:space="preserve">Ciò che si è reperito. Una voce enciclopedica in lingua tedesca — fonte terziaria, da verificare — afferma che il servizio sudafricano intratteneva intensi contatti di intelligence con alcuni Stati europei, e riferisce un episodio puntuale: nei primi anni Ottanta l'allora capo del Bundesnachrichtendienst Klaus Kinkel, nel corso di una visita ufficiale, incontrò Pieter Willem Botha nel Verwoerd Building a Città del Capo, con colloqui anche con il capo del servizio Niël Barnard.</w:t>
      </w:r>
    </w:p>
    <w:p>
      <w:pPr>
        <w:spacing w:after="120" w:line="276"/>
        <w:jc w:val="both"/>
      </w:pPr>
      <w:r>
        <w:rPr>
          <w:rFonts w:ascii="Barlow Semi Condensed" w:cs="Barlow Semi Condensed" w:eastAsia="Barlow Semi Condensed" w:hAnsi="Barlow Semi Condensed"/>
          <w:b/>
          <w:bCs/>
          <w:sz w:val="24"/>
          <w:szCs w:val="24"/>
        </w:rPr>
        <w:t xml:space="preserve">La medesima fonte afferma che il servizio tedesco aveva sostenuto in modo ampio la formazione del personale sudafricano nel campo della protezione delle persone, e che i tedeschi ne ricavavano informazioni sensibili dall'Africa mentre i sudafricani ottenevano preziose istruzioni sugli Stati del blocco orientale e in particolare sulle attività della Repubblica Democratica Tedesca.</w:t>
      </w:r>
    </w:p>
    <w:p>
      <w:pPr>
        <w:spacing w:after="120" w:line="276"/>
        <w:jc w:val="both"/>
      </w:pPr>
      <w:r>
        <w:rPr>
          <w:rFonts w:ascii="Barlow Semi Condensed" w:cs="Barlow Semi Condensed" w:eastAsia="Barlow Semi Condensed" w:hAnsi="Barlow Semi Condensed"/>
          <w:b/>
          <w:bCs/>
          <w:sz w:val="24"/>
          <w:szCs w:val="24"/>
        </w:rPr>
        <w:t xml:space="preserve">Tre ragioni impongono estrema prudenza, e vanno enunciate.</w:t>
      </w:r>
    </w:p>
    <w:p>
      <w:pPr>
        <w:spacing w:after="120" w:line="276"/>
        <w:jc w:val="both"/>
      </w:pPr>
      <w:r>
        <w:rPr>
          <w:rFonts w:ascii="Barlow Semi Condensed" w:cs="Barlow Semi Condensed" w:eastAsia="Barlow Semi Condensed" w:hAnsi="Barlow Semi Condensed"/>
          <w:b/>
          <w:bCs/>
          <w:sz w:val="24"/>
          <w:szCs w:val="24"/>
        </w:rPr>
        <w:t xml:space="preserve">Prima: si tratta di fonte terziaria, non di documentazione archivistica primaria né di studio sottoposto a revisione paritaria.</w:t>
      </w:r>
    </w:p>
    <w:p>
      <w:pPr>
        <w:spacing w:after="120" w:line="276"/>
        <w:jc w:val="both"/>
      </w:pPr>
      <w:r>
        <w:rPr>
          <w:rFonts w:ascii="Barlow Semi Condensed" w:cs="Barlow Semi Condensed" w:eastAsia="Barlow Semi Condensed" w:hAnsi="Barlow Semi Condensed"/>
          <w:b/>
          <w:bCs/>
          <w:sz w:val="24"/>
          <w:szCs w:val="24"/>
        </w:rPr>
        <w:t xml:space="preserve">Seconda: l'episodio, se autentico, documenterebbe un contatto ai vertici e una cooperazione addestrativa, ma non necessariamente un'operatività congiunta contro i movimenti di liberazione. La contemporaneità e il contatto non provano una condotta specifica.</w:t>
      </w:r>
    </w:p>
    <w:p>
      <w:pPr>
        <w:spacing w:after="120" w:line="276"/>
        <w:jc w:val="both"/>
      </w:pPr>
      <w:r>
        <w:rPr>
          <w:rFonts w:ascii="Barlow Semi Condensed" w:cs="Barlow Semi Condensed" w:eastAsia="Barlow Semi Condensed" w:hAnsi="Barlow Semi Condensed"/>
          <w:b/>
          <w:bCs/>
          <w:sz w:val="24"/>
          <w:szCs w:val="24"/>
        </w:rPr>
        <w:t xml:space="preserve">Terza: i servizi sudafricani dell'epoca sono oggetto di una pubblicistica romanzata e sensazionalistica, che le recensioni accademiche segnalano come commistione fra intrigo e buffoneria.</w:t>
      </w:r>
    </w:p>
    <w:p>
      <w:pPr>
        <w:spacing w:after="120" w:line="276"/>
        <w:jc w:val="both"/>
      </w:pPr>
      <w:r>
        <w:rPr>
          <w:rFonts w:ascii="Barlow Semi Condensed" w:cs="Barlow Semi Condensed" w:eastAsia="Barlow Semi Condensed" w:hAnsi="Barlow Semi Condensed"/>
          <w:b/>
          <w:bCs/>
          <w:sz w:val="24"/>
          <w:szCs w:val="24"/>
        </w:rPr>
        <w:t xml:space="preserve">L'esito, formulato.\\ \\Non è stata reperita documentazione d'archivio con segnatura che attesti rapporti operativi fra il servizio tedesco e quelli sudafricani.</w:t>
      </w:r>
    </w:p>
    <w:p>
      <w:pPr>
        <w:spacing w:after="120" w:line="276"/>
        <w:jc w:val="both"/>
      </w:pPr>
      <w:r>
        <w:rPr>
          <w:rFonts w:ascii="Barlow Semi Condensed" w:cs="Barlow Semi Condensed" w:eastAsia="Barlow Semi Condensed" w:hAnsi="Barlow Semi Condensed"/>
          <w:b/>
          <w:bCs/>
          <w:sz w:val="24"/>
          <w:szCs w:val="24"/>
        </w:rPr>
        <w:t xml:space="preserve">Ragionevolmente attestato per il tramite di fonti terziarie: l'esistenza di contatti ai vertici e di un pregresso sostegno addestrativo.</w:t>
      </w:r>
    </w:p>
    <w:p>
      <w:pPr>
        <w:spacing w:after="120" w:line="276"/>
        <w:jc w:val="both"/>
      </w:pPr>
      <w:r>
        <w:rPr>
          <w:rFonts w:ascii="Barlow Semi Condensed" w:cs="Barlow Semi Condensed" w:eastAsia="Barlow Semi Condensed" w:hAnsi="Barlow Semi Condensed"/>
          <w:b/>
          <w:bCs/>
          <w:sz w:val="24"/>
          <w:szCs w:val="24"/>
        </w:rPr>
        <w:t xml:space="preserve">Allegato e non sostenuto: qualsiasi cooperazione operativa congiunta contro i movimenti di liberazione.</w:t>
      </w:r>
    </w:p>
    <w:p>
      <w:pPr>
        <w:spacing w:after="120" w:line="276"/>
        <w:jc w:val="both"/>
      </w:pPr>
      <w:r>
        <w:rPr>
          <w:rFonts w:ascii="Barlow Semi Condensed" w:cs="Barlow Semi Condensed" w:eastAsia="Barlow Semi Condensed" w:hAnsi="Barlow Semi Condensed"/>
          <w:b/>
          <w:bCs/>
          <w:sz w:val="24"/>
          <w:szCs w:val="24"/>
        </w:rPr>
        <w:t xml:space="preserve">Le sedi. Sul versante tedesco, l'archivio storico del servizio e il Bundesarchiv; sul versante sudafricano, gli atti della Commissione per la verità e la riconciliazione e gli archivi nazionali di Pretoria.</w:t>
      </w:r>
    </w:p>
    <w:p>
      <w:pPr>
        <w:spacing w:after="120" w:line="276"/>
        <w:jc w:val="both"/>
      </w:pPr>
      <w:r>
        <w:rPr>
          <w:rFonts w:ascii="Barlow Semi Condensed" w:cs="Barlow Semi Condensed" w:eastAsia="Barlow Semi Condensed" w:hAnsi="Barlow Semi Condensed"/>
          <w:b/>
          <w:bCs/>
          <w:sz w:val="24"/>
          <w:szCs w:val="24"/>
        </w:rPr>
        <w:t xml:space="preserve">La condizione di chiusura è la declassificazione, e il regime di segreto tuttora vigente rende l'accertamento pieno improbabile allo stato.</w:t>
      </w:r>
    </w:p>
    <w:p>
      <w:pPr>
        <w:pStyle w:val="Heading2"/>
        <w:spacing w:after="100" w:before="200"/>
      </w:pPr>
      <w:r>
        <w:rPr>
          <w:rFonts w:ascii="Barlow Semi Condensed" w:cs="Barlow Semi Condensed" w:eastAsia="Barlow Semi Condensed" w:hAnsi="Barlow Semi Condensed"/>
          <w:sz w:val="24"/>
          <w:szCs w:val="24"/>
        </w:rPr>
        <w:t xml:space="preserve">Capitolo decimo — Baviera, CSU, e lo scarto rispetto a Bonn</w:t>
      </w:r>
    </w:p>
    <w:p>
      <w:pPr>
        <w:spacing w:after="120" w:line="276"/>
        <w:jc w:val="both"/>
      </w:pPr>
      <w:r>
        <w:rPr>
          <w:rFonts w:ascii="Barlow Semi Condensed" w:cs="Barlow Semi Condensed" w:eastAsia="Barlow Semi Condensed" w:hAnsi="Barlow Semi Condensed"/>
          <w:b/>
          <w:bCs/>
          <w:sz w:val="24"/>
          <w:szCs w:val="24"/>
        </w:rPr>
        <w:t xml:space="preserve">Il capitolo chiude due voci che due ricognizioni anteriori avevano dichiarato non accertate.</w:t>
      </w:r>
    </w:p>
    <w:p>
      <w:pPr>
        <w:spacing w:after="120" w:line="276"/>
        <w:jc w:val="both"/>
      </w:pPr>
      <w:r>
        <w:rPr>
          <w:rFonts w:ascii="Barlow Semi Condensed" w:cs="Barlow Semi Condensed" w:eastAsia="Barlow Semi Condensed" w:hAnsi="Barlow Semi Condensed"/>
          <w:b/>
          <w:bCs/>
          <w:sz w:val="24"/>
          <w:szCs w:val="24"/>
        </w:rPr>
        <w:t xml:space="preserve">Prima voce chiusa: la posizione della Christlich-Soziale Union sulle sanzioni. Lo studio di Klaus von der Ropp del 2009 — autore egli stesso figura interna a quel dibattito, il che impone cautela — afferma che sotto la guida del qui straordinariamente impegnato Franz Josef Strauß, la CSU non perorava l'abolizione bensì la modificazione fondamentale dell'apartheid.</w:t>
      </w:r>
    </w:p>
    <w:p>
      <w:pPr>
        <w:spacing w:after="120" w:line="276"/>
        <w:jc w:val="both"/>
      </w:pPr>
      <w:r>
        <w:rPr>
          <w:rFonts w:ascii="Barlow Semi Condensed" w:cs="Barlow Semi Condensed" w:eastAsia="Barlow Semi Condensed" w:hAnsi="Barlow Semi Condensed"/>
          <w:b/>
          <w:bCs/>
          <w:sz w:val="24"/>
          <w:szCs w:val="24"/>
        </w:rPr>
        <w:t xml:space="preserve">E il dato che misura la distanza fra i due partiti dell'Unione va enunciato perché è notevole. Su questo terreno le divergenze fra CDU e CSU furono tali da far fallire l'adozione della piattaforma elettorale comune prima delle elezioni federali del 1987; alla CDU le rappresentazioni della CSU apparivano eccessive.</w:t>
      </w:r>
    </w:p>
    <w:p>
      <w:pPr>
        <w:spacing w:after="120" w:line="276"/>
        <w:jc w:val="both"/>
      </w:pPr>
      <w:r>
        <w:rPr>
          <w:rFonts w:ascii="Barlow Semi Condensed" w:cs="Barlow Semi Condensed" w:eastAsia="Barlow Semi Condensed" w:hAnsi="Barlow Semi Condensed"/>
          <w:b/>
          <w:bCs/>
          <w:sz w:val="24"/>
          <w:szCs w:val="24"/>
        </w:rPr>
        <w:t xml:space="preserve">Ne discende che il tema sudafricano fu uno dei punti su cui l'Unione non riuscì a presentarsi unita, e questo è il miglior indicatore disponibile dello scarto.</w:t>
      </w:r>
    </w:p>
    <w:p>
      <w:pPr>
        <w:spacing w:after="120" w:line="276"/>
        <w:jc w:val="both"/>
      </w:pPr>
      <w:r>
        <w:rPr>
          <w:rFonts w:ascii="Barlow Semi Condensed" w:cs="Barlow Semi Condensed" w:eastAsia="Barlow Semi Condensed" w:hAnsi="Barlow Semi Condensed"/>
          <w:b/>
          <w:bCs/>
          <w:sz w:val="24"/>
          <w:szCs w:val="24"/>
        </w:rPr>
        <w:t xml:space="preserve">Seconda voce chiusa: la Hanns-Seidel-Stiftung in Namibia.\\ La fondazione \\è attiva in Namibia dal 1978 con ufficio a Windhoek\\, secondo la propria dichiarazione e secondo fonte terza; \\dal 1991 opera anche a Johannesburg.</w:t>
      </w:r>
    </w:p>
    <w:p>
      <w:pPr>
        <w:spacing w:after="120" w:line="276"/>
        <w:jc w:val="both"/>
      </w:pPr>
      <w:r>
        <w:rPr>
          <w:rFonts w:ascii="Barlow Semi Condensed" w:cs="Barlow Semi Condensed" w:eastAsia="Barlow Semi Condensed" w:hAnsi="Barlow Semi Condensed"/>
          <w:b/>
          <w:bCs/>
          <w:sz w:val="24"/>
          <w:szCs w:val="24"/>
        </w:rPr>
        <w:t xml:space="preserve">Ma il contenuto puntuale delle attività nel biennio 1978-1980 resta non accertato: le fonti ufficiali descrivono in dettaglio l'attività odierna — consolidamento democratico, buon governo, lotta alla corruzione — ma non offrono un rendiconto storico analitico di quel biennio. Sede di chiusura: l'archivio della fondazione a Monaco e le sue relazioni annuali dell'epoca.</w:t>
      </w:r>
    </w:p>
    <w:p>
      <w:pPr>
        <w:spacing w:after="120" w:line="276"/>
        <w:jc w:val="both"/>
      </w:pPr>
      <w:r>
        <w:rPr>
          <w:rFonts w:ascii="Barlow Semi Condensed" w:cs="Barlow Semi Condensed" w:eastAsia="Barlow Semi Condensed" w:hAnsi="Barlow Semi Condensed"/>
          <w:b/>
          <w:bCs/>
          <w:sz w:val="24"/>
          <w:szCs w:val="24"/>
        </w:rPr>
        <w:t xml:space="preserve">La Deutsch-Südafrikanische Gesellschaft. Descritta come la più grande società bilaterale tedesca, con tremila-cinquemila membri dichiarati, e come spina dorsale organizzativa della lobby sudafricana bianca — definizione attribuita al politico socialdemocratico Günter Verheugen.</w:t>
      </w:r>
    </w:p>
    <w:p>
      <w:pPr>
        <w:spacing w:after="120" w:line="276"/>
        <w:jc w:val="both"/>
      </w:pPr>
      <w:r>
        <w:rPr>
          <w:rFonts w:ascii="Barlow Semi Condensed" w:cs="Barlow Semi Condensed" w:eastAsia="Barlow Semi Condensed" w:hAnsi="Barlow Semi Condensed"/>
          <w:b/>
          <w:bCs/>
          <w:sz w:val="24"/>
          <w:szCs w:val="24"/>
        </w:rPr>
        <w:t xml:space="preserve">Ma von der Ropp precisa un dato che va riportato perché corregge l'impressione: la società e la Deutsche Afrika-Stiftung, vicine ai partiti dell'Unione, nella Bonn politica non hanno mai svolto un ruolo degno di nota, proprio perché i loro rapporti con Pretoria erano troppo stretti.</w:t>
      </w:r>
    </w:p>
    <w:p>
      <w:pPr>
        <w:spacing w:after="120" w:line="276"/>
        <w:jc w:val="both"/>
      </w:pPr>
      <w:r>
        <w:rPr>
          <w:rFonts w:ascii="Barlow Semi Condensed" w:cs="Barlow Semi Condensed" w:eastAsia="Barlow Semi Condensed" w:hAnsi="Barlow Semi Condensed"/>
          <w:b/>
          <w:bCs/>
          <w:sz w:val="24"/>
          <w:szCs w:val="24"/>
        </w:rPr>
        <w:t xml:space="preserve">Un fatto biografico va registrato con la prescrizione che lo governa.\\ Fra i membri del comitato della società figura l'ex ministro bavarese del lavoro della CSU \\Fritz Pirkl\\, il quale fu anche \\primo presidente della Hanns-Seidel-Stiftung.</w:t>
      </w:r>
    </w:p>
    <w:p>
      <w:pPr>
        <w:spacing w:after="120" w:line="276"/>
        <w:jc w:val="both"/>
      </w:pPr>
      <w:r>
        <w:rPr>
          <w:rFonts w:ascii="Barlow Semi Condensed" w:cs="Barlow Semi Condensed" w:eastAsia="Barlow Semi Condensed" w:hAnsi="Barlow Semi Condensed"/>
          <w:b/>
          <w:bCs/>
          <w:sz w:val="24"/>
          <w:szCs w:val="24"/>
        </w:rPr>
        <w:t xml:space="preserve">La doppia appartenenza è fatto pubblico documentato. Ma non prova né una condotta della fondazione né una condotta del partito: l'adesione di una persona a due organizzazioni non è prova di un rapporto istituzionale fra esse.</w:t>
      </w:r>
    </w:p>
    <w:p>
      <w:pPr>
        <w:spacing w:after="120" w:line="276"/>
        <w:jc w:val="both"/>
      </w:pPr>
      <w:r>
        <w:rPr>
          <w:rFonts w:ascii="Barlow Semi Condensed" w:cs="Barlow Semi Condensed" w:eastAsia="Barlow Semi Condensed" w:hAnsi="Barlow Semi Condensed"/>
          <w:b/>
          <w:bCs/>
          <w:sz w:val="24"/>
          <w:szCs w:val="24"/>
        </w:rPr>
        <w:t xml:space="preserve">Se ne dà conto come dato biografico e indizio di prossimità di ambienti, non come prova di nesso operativo.</w:t>
      </w:r>
    </w:p>
    <w:p>
      <w:pPr>
        <w:spacing w:after="120" w:line="276"/>
        <w:jc w:val="both"/>
      </w:pPr>
      <w:r>
        <w:rPr>
          <w:rFonts w:ascii="Barlow Semi Condensed" w:cs="Barlow Semi Condensed" w:eastAsia="Barlow Semi Condensed" w:hAnsi="Barlow Semi Condensed"/>
          <w:b/>
          <w:bCs/>
          <w:sz w:val="24"/>
          <w:szCs w:val="24"/>
        </w:rPr>
        <w:t xml:space="preserve">Un'attribuzione va segnalata come non verificata. Una fonte militante afferma che Strauß rifiutò veementemente nel 1977 al Bundestag il principio un uomo un voto per gli Stati dell'Africa australe. L'affermazione va confermata sui resoconti stenografici del Bundestag dell'ottava legislatura, che è la sede della verifica.</w:t>
      </w:r>
    </w:p>
    <w:p>
      <w:pPr>
        <w:spacing w:after="120" w:line="276"/>
        <w:jc w:val="both"/>
      </w:pPr>
      <w:r>
        <w:rPr>
          <w:rFonts w:ascii="Barlow Semi Condensed" w:cs="Barlow Semi Condensed" w:eastAsia="Barlow Semi Condensed" w:hAnsi="Barlow Semi Condensed"/>
          <w:b/>
          <w:bCs/>
          <w:sz w:val="24"/>
          <w:szCs w:val="24"/>
        </w:rPr>
        <w:t xml:space="preserve">E la cronologia dei viaggi di Strauß in Sudafrica e Namibia resta frammentaria: attestati l'impegno del 1983 sui sommergibili e la visita a Windhoek. L'Archiv für Christlich-Soziale Politik custodisce il lascito Strauß, oltre trecento metri lineari, e registra più di seicento viaggi esteri in sessantatré Stati fra il 1952 e il 1988: è lì che la ricostruzione analitica va condotta.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nessuna delle due condotte fu lineare</w:t>
      </w:r>
    </w:p>
    <w:p>
      <w:pPr>
        <w:spacing w:after="120" w:line="276"/>
        <w:jc w:val="both"/>
      </w:pPr>
      <w:r>
        <w:rPr>
          <w:rFonts w:ascii="Barlow Semi Condensed" w:cs="Barlow Semi Condensed" w:eastAsia="Barlow Semi Condensed" w:hAnsi="Barlow Semi Condensed"/>
          <w:b/>
          <w:bCs/>
          <w:sz w:val="24"/>
          <w:szCs w:val="24"/>
        </w:rPr>
        <w:t xml:space="preserve">Il capitolo esegue la triangolazione, e ne trae il risultato che rovescia la lettura semplice.</w:t>
      </w:r>
    </w:p>
    <w:p>
      <w:pPr>
        <w:spacing w:after="120" w:line="276"/>
        <w:jc w:val="both"/>
      </w:pPr>
      <w:r>
        <w:rPr>
          <w:rFonts w:ascii="Barlow Semi Condensed" w:cs="Barlow Semi Condensed" w:eastAsia="Barlow Semi Condensed" w:hAnsi="Barlow Semi Condensed"/>
          <w:b/>
          <w:bCs/>
          <w:sz w:val="24"/>
          <w:szCs w:val="24"/>
        </w:rPr>
        <w:t xml:space="preserve">La lettura semplice sarebbe questa: la Germania dentro il consesso negoziale, l'Italia fuori; dunque la Germania impegnata e l'Italia assente. Le fonti la smentiscono.</w:t>
      </w:r>
    </w:p>
    <w:p>
      <w:pPr>
        <w:spacing w:after="120" w:line="276"/>
        <w:jc w:val="both"/>
      </w:pPr>
      <w:r>
        <w:rPr>
          <w:rFonts w:ascii="Barlow Semi Condensed" w:cs="Barlow Semi Condensed" w:eastAsia="Barlow Semi Condensed" w:hAnsi="Barlow Semi Condensed"/>
          <w:b/>
          <w:bCs/>
          <w:sz w:val="24"/>
          <w:szCs w:val="24"/>
        </w:rPr>
        <w:t xml:space="preserve">Il versante tedesco, che complica la propria posizione. Il Washington Post del 16 settembre 1986 documenta che la Comunità europea fallì dopo che la Germania Ovest bloccò l'accordo sulla più sostanziale delle misure proposte, il divieto di importazione del carbone sudafricano.</w:t>
      </w:r>
    </w:p>
    <w:p>
      <w:pPr>
        <w:spacing w:after="120" w:line="276"/>
        <w:jc w:val="both"/>
      </w:pPr>
      <w:r>
        <w:rPr>
          <w:rFonts w:ascii="Barlow Semi Condensed" w:cs="Barlow Semi Condensed" w:eastAsia="Barlow Semi Condensed" w:hAnsi="Barlow Semi Condensed"/>
          <w:b/>
          <w:bCs/>
          <w:sz w:val="24"/>
          <w:szCs w:val="24"/>
        </w:rPr>
        <w:t xml:space="preserve">Le fonti convergenti\\ — il caso di studio del Peterson Institute e gli archivi del movimento anti-apartheid — \\collocano stabilmente la Germania Ovest, con il Regno Unito e il Portogallo, nel campo dei riluttanti.</w:t>
      </w:r>
    </w:p>
    <w:p>
      <w:pPr>
        <w:spacing w:after="120" w:line="276"/>
        <w:jc w:val="both"/>
      </w:pPr>
      <w:r>
        <w:rPr>
          <w:rFonts w:ascii="Barlow Semi Condensed" w:cs="Barlow Semi Condensed" w:eastAsia="Barlow Semi Condensed" w:hAnsi="Barlow Semi Condensed"/>
          <w:b/>
          <w:bCs/>
          <w:sz w:val="24"/>
          <w:szCs w:val="24"/>
        </w:rPr>
        <w:t xml:space="preserve">Ne discende che la Repubblica Federale era dentro il consesso negoziale per ragione di seggio e freno all'inasprimento delle sanzioni per scelta politica ed economica.</w:t>
      </w:r>
    </w:p>
    <w:p>
      <w:pPr>
        <w:spacing w:after="120" w:line="276"/>
        <w:jc w:val="both"/>
      </w:pPr>
      <w:r>
        <w:rPr>
          <w:rFonts w:ascii="Barlow Semi Condensed" w:cs="Barlow Semi Condensed" w:eastAsia="Barlow Semi Condensed" w:hAnsi="Barlow Semi Condensed"/>
          <w:b/>
          <w:bCs/>
          <w:sz w:val="24"/>
          <w:szCs w:val="24"/>
        </w:rPr>
        <w:t xml:space="preserve">Il versante italiano, che complica la propria in direzione opposta. Le stesse fonti non collocano l'Italia né fra i bloccanti né fra i falchi: essa seguiva la posizione comune europea senza guidarla.</w:t>
      </w:r>
    </w:p>
    <w:p>
      <w:pPr>
        <w:spacing w:after="120" w:line="276"/>
        <w:jc w:val="both"/>
      </w:pPr>
      <w:r>
        <w:rPr>
          <w:rFonts w:ascii="Barlow Semi Condensed" w:cs="Barlow Semi Condensed" w:eastAsia="Barlow Semi Condensed" w:hAnsi="Barlow Semi Condensed"/>
          <w:b/>
          <w:bCs/>
          <w:sz w:val="24"/>
          <w:szCs w:val="24"/>
        </w:rPr>
        <w:t xml:space="preserve">Un indizio concreto proviene per via indiretta e va riportato perché è eloquente. La comunità italiana in Sudafrica, stimata attorno alle centomila persone, manifestò irritazione per la politica della Comunità europea in generale e dell'Italia in particolare, per l'appoggio all'embargo anti-sudafricano.</w:t>
      </w:r>
    </w:p>
    <w:p>
      <w:pPr>
        <w:spacing w:after="120" w:line="276"/>
        <w:jc w:val="both"/>
      </w:pPr>
      <w:r>
        <w:rPr>
          <w:rFonts w:ascii="Barlow Semi Condensed" w:cs="Barlow Semi Condensed" w:eastAsia="Barlow Semi Condensed" w:hAnsi="Barlow Semi Condensed"/>
          <w:b/>
          <w:bCs/>
          <w:sz w:val="24"/>
          <w:szCs w:val="24"/>
        </w:rPr>
        <w:t xml:space="preserve">L'Italia appoggiò l'embargo abbastanza da irritare i propri emigrati.</w:t>
      </w:r>
    </w:p>
    <w:p>
      <w:pPr>
        <w:spacing w:after="120" w:line="276"/>
        <w:jc w:val="both"/>
      </w:pPr>
      <w:r>
        <w:rPr>
          <w:rFonts w:ascii="Barlow Semi Condensed" w:cs="Barlow Semi Condensed" w:eastAsia="Barlow Semi Condensed" w:hAnsi="Barlow Semi Condensed"/>
          <w:b/>
          <w:bCs/>
          <w:sz w:val="24"/>
          <w:szCs w:val="24"/>
        </w:rPr>
        <w:t xml:space="preserve">Sul piano interno è documentata la costituzione, nel gennaio 1985, del Coordinamento Nazionale contro l'Apartheid in Sudafrica, e la presentazione alla Camera, il 10 ottobre 1989, di un progetto di legge di iniziativa popolare intitolato Sanzioni contro il regime di apartheid nella Repubblica del Sudafrica, corrispondente a cinquantamila firme raccolte.</w:t>
      </w:r>
    </w:p>
    <w:p>
      <w:pPr>
        <w:spacing w:after="120" w:line="276"/>
        <w:jc w:val="both"/>
      </w:pPr>
      <w:r>
        <w:rPr>
          <w:rFonts w:ascii="Barlow Semi Condensed" w:cs="Barlow Semi Condensed" w:eastAsia="Barlow Semi Condensed" w:hAnsi="Barlow Semi Condensed"/>
          <w:b/>
          <w:bCs/>
          <w:sz w:val="24"/>
          <w:szCs w:val="24"/>
        </w:rPr>
        <w:t xml:space="preserve">Ma il canale industriale-militare italiano resta, e la quindicesima ricognizione lo ha accertato: licenza Aermacchi del 1964, produzione dal 1966, quaranta velivoli di costruzione italiana seguiti da circa centoventicinque costruiti localmente, motori Viper inizialmente forniti dalla Piaggio e poi assemblati dall'Atlas da kit Piaggio, per trecentotrentaquattro unità prodotte in Sudafrica su cinquemilasettecentoventisette complessive.</w:t>
      </w:r>
    </w:p>
    <w:p>
      <w:pPr>
        <w:spacing w:after="120" w:line="276"/>
        <w:jc w:val="both"/>
      </w:pPr>
      <w:r>
        <w:rPr>
          <w:rFonts w:ascii="Barlow Semi Condensed" w:cs="Barlow Semi Condensed" w:eastAsia="Barlow Semi Condensed" w:hAnsi="Barlow Semi Condensed"/>
          <w:b/>
          <w:bCs/>
          <w:sz w:val="24"/>
          <w:szCs w:val="24"/>
        </w:rPr>
        <w:t xml:space="preserve">Ne discende la simmetria istruttiva che è il risultato del capitolo.</w:t>
      </w:r>
    </w:p>
    <w:p>
      <w:pPr>
        <w:spacing w:after="120" w:line="276"/>
        <w:jc w:val="both"/>
      </w:pPr>
      <w:r>
        <w:rPr>
          <w:rFonts w:ascii="Barlow Semi Condensed" w:cs="Barlow Semi Condensed" w:eastAsia="Barlow Semi Condensed" w:hAnsi="Barlow Semi Condensed"/>
          <w:b/>
          <w:bCs/>
          <w:sz w:val="24"/>
          <w:szCs w:val="24"/>
        </w:rPr>
        <w:t xml:space="preserve">La Repubblica Federale: dentro il consesso per ragione di seggio, freno alle sanzioni per scelta, coinvolta attraverso imprese nei sommergibili e nel trasferimento del metodo di arricchimento.</w:t>
      </w:r>
    </w:p>
    <w:p>
      <w:pPr>
        <w:spacing w:after="120" w:line="276"/>
        <w:jc w:val="both"/>
      </w:pPr>
      <w:r>
        <w:rPr>
          <w:rFonts w:ascii="Barlow Semi Condensed" w:cs="Barlow Semi Condensed" w:eastAsia="Barlow Semi Condensed" w:hAnsi="Barlow Semi Condensed"/>
          <w:b/>
          <w:bCs/>
          <w:sz w:val="24"/>
          <w:szCs w:val="24"/>
        </w:rPr>
        <w:t xml:space="preserve">L'Italia: fuori dal consesso per ragione di seggio, allineata alle sanzioni senza guidarle, presente sul terreno attraverso il canale industriale dell'Impala.</w:t>
      </w:r>
    </w:p>
    <w:p>
      <w:pPr>
        <w:spacing w:after="120" w:line="276"/>
        <w:jc w:val="both"/>
      </w:pPr>
      <w:r>
        <w:rPr>
          <w:rFonts w:ascii="Barlow Semi Condensed" w:cs="Barlow Semi Condensed" w:eastAsia="Barlow Semi Condensed" w:hAnsi="Barlow Semi Condensed"/>
          <w:b/>
          <w:bCs/>
          <w:sz w:val="24"/>
          <w:szCs w:val="24"/>
        </w:rPr>
        <w:t xml:space="preserve">Nessuna delle due potenze ebbe condotta lineare.</w:t>
      </w:r>
    </w:p>
    <w:p>
      <w:pPr>
        <w:spacing w:after="120" w:line="276"/>
        <w:jc w:val="both"/>
      </w:pPr>
      <w:r>
        <w:rPr>
          <w:rFonts w:ascii="Barlow Semi Condensed" w:cs="Barlow Semi Condensed" w:eastAsia="Barlow Semi Condensed" w:hAnsi="Barlow Semi Condensed"/>
          <w:b/>
          <w:bCs/>
          <w:sz w:val="24"/>
          <w:szCs w:val="24"/>
        </w:rPr>
        <w:t xml:space="preserve">Un esito negativo chiude il capitolo. Non è stata reperita documentazione di un canale bilaterale Roma-Bonn dedicato alla materia africana australe. Ciò che è attestato è il quadro multilaterale condiviso: entrambe nella Cooperazione politica europea, entrambe contribuenti allo UNTAG nel 1989-1990.</w:t>
      </w:r>
    </w:p>
    <w:p>
      <w:pPr>
        <w:spacing w:after="120" w:line="276"/>
        <w:jc w:val="both"/>
      </w:pPr>
      <w:r>
        <w:rPr>
          <w:rFonts w:ascii="Barlow Semi Condensed" w:cs="Barlow Semi Condensed" w:eastAsia="Barlow Semi Condensed" w:hAnsi="Barlow Semi Condensed"/>
          <w:b/>
          <w:bCs/>
          <w:sz w:val="24"/>
          <w:szCs w:val="24"/>
        </w:rPr>
        <w:t xml:space="preserve">E la divergenza sulle sanzioni — la Germania fra i freni, l'Italia fra gli aderenti — suggerisce anzi che Roma e Bonn non agissero come blocco.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la terza confutazione della serie</w:t>
      </w:r>
    </w:p>
    <w:p>
      <w:pPr>
        <w:spacing w:after="120" w:line="276"/>
        <w:jc w:val="both"/>
      </w:pPr>
      <w:r>
        <w:rPr>
          <w:rFonts w:ascii="Barlow Semi Condensed" w:cs="Barlow Semi Condensed" w:eastAsia="Barlow Semi Condensed" w:hAnsi="Barlow Semi Condensed"/>
          <w:b/>
          <w:bCs/>
          <w:sz w:val="24"/>
          <w:szCs w:val="24"/>
        </w:rPr>
        <w:t xml:space="preserve">Primo punto: se l'esclusione italiana sia confermata e quale ne sia la ragione formale.</w:t>
      </w:r>
    </w:p>
    <w:p>
      <w:pPr>
        <w:spacing w:after="120" w:line="276"/>
        <w:jc w:val="both"/>
      </w:pPr>
      <w:r>
        <w:rPr>
          <w:rFonts w:ascii="Barlow Semi Condensed" w:cs="Barlow Semi Condensed" w:eastAsia="Barlow Semi Condensed" w:hAnsi="Barlow Semi Condensed"/>
          <w:b/>
          <w:bCs/>
          <w:sz w:val="24"/>
          <w:szCs w:val="24"/>
        </w:rPr>
        <w:t xml:space="preserve">Confermata. E la ragione è strettamente istituzionale: l'appartenenza al gruppo era vincolata alla contestuale appartenenza al Consiglio di Sicurezza nel 1977, e l'Italia non vi sedeva, avendo concluso il mandato il 31 dicembre 1976 e non avendone ripreso uno prima del 1 gennaio 1987.</w:t>
      </w:r>
    </w:p>
    <w:p>
      <w:pPr>
        <w:spacing w:after="120" w:line="276"/>
        <w:jc w:val="both"/>
      </w:pPr>
      <w:r>
        <w:rPr>
          <w:rFonts w:ascii="Barlow Semi Condensed" w:cs="Barlow Semi Condensed" w:eastAsia="Barlow Semi Condensed" w:hAnsi="Barlow Semi Condensed"/>
          <w:b/>
          <w:bCs/>
          <w:sz w:val="24"/>
          <w:szCs w:val="24"/>
        </w:rPr>
        <w:t xml:space="preserve">Canada e Repubblica Federale furono cooptati precisamente perché occupavano i due seggi occidentali non permanenti che l'Italia non deteneva. L'esclusione non discende da un giudizio di merito ma dalla meccanica della rotazione dei seggi.</w:t>
      </w:r>
    </w:p>
    <w:p>
      <w:pPr>
        <w:spacing w:after="120" w:line="276"/>
        <w:jc w:val="both"/>
      </w:pPr>
      <w:r>
        <w:rPr>
          <w:rFonts w:ascii="Barlow Semi Condensed" w:cs="Barlow Semi Condensed" w:eastAsia="Barlow Semi Condensed" w:hAnsi="Barlow Semi Condensed"/>
          <w:b/>
          <w:bCs/>
          <w:sz w:val="24"/>
          <w:szCs w:val="24"/>
        </w:rPr>
        <w:t xml:space="preserve">Secondo punto: se il confronto configuri una differenza di condotta o soltanto di collocazione.</w:t>
      </w:r>
    </w:p>
    <w:p>
      <w:pPr>
        <w:spacing w:after="120" w:line="276"/>
        <w:jc w:val="both"/>
      </w:pPr>
      <w:r>
        <w:rPr>
          <w:rFonts w:ascii="Barlow Semi Condensed" w:cs="Barlow Semi Condensed" w:eastAsia="Barlow Semi Condensed" w:hAnsi="Barlow Semi Condensed"/>
          <w:b/>
          <w:bCs/>
          <w:sz w:val="24"/>
          <w:szCs w:val="24"/>
        </w:rPr>
        <w:t xml:space="preserve">Quanto alla Namibia in senso stretto: differenza di collocazione. Dentro per seggio, fuori per seggio; e nella fase attuativa entrambe contribuirono in ruoli ausiliari comparabili.</w:t>
      </w:r>
    </w:p>
    <w:p>
      <w:pPr>
        <w:spacing w:after="120" w:line="276"/>
        <w:jc w:val="both"/>
      </w:pPr>
      <w:r>
        <w:rPr>
          <w:rFonts w:ascii="Barlow Semi Condensed" w:cs="Barlow Semi Condensed" w:eastAsia="Barlow Semi Condensed" w:hAnsi="Barlow Semi Condensed"/>
          <w:b/>
          <w:bCs/>
          <w:sz w:val="24"/>
          <w:szCs w:val="24"/>
        </w:rPr>
        <w:t xml:space="preserve">Quanto al Sudafrica in senso lato: differenza di grado e di visibilità più che di natura.</w:t>
      </w:r>
    </w:p>
    <w:p>
      <w:pPr>
        <w:spacing w:after="120" w:line="276"/>
        <w:jc w:val="both"/>
      </w:pPr>
      <w:r>
        <w:rPr>
          <w:rFonts w:ascii="Barlow Semi Condensed" w:cs="Barlow Semi Condensed" w:eastAsia="Barlow Semi Condensed" w:hAnsi="Barlow Semi Condensed"/>
          <w:b/>
          <w:bCs/>
          <w:sz w:val="24"/>
          <w:szCs w:val="24"/>
        </w:rPr>
        <w:t xml:space="preserve">Entrambe combinarono l'adesione formale ai principi anti-apartheid con interessi industriali concreti in senso contrario.</w:t>
      </w:r>
    </w:p>
    <w:p>
      <w:pPr>
        <w:spacing w:after="120" w:line="276"/>
        <w:jc w:val="both"/>
      </w:pPr>
      <w:r>
        <w:rPr>
          <w:rFonts w:ascii="Barlow Semi Condensed" w:cs="Barlow Semi Condensed" w:eastAsia="Barlow Semi Condensed" w:hAnsi="Barlow Semi Condensed"/>
          <w:b/>
          <w:bCs/>
          <w:sz w:val="24"/>
          <w:szCs w:val="24"/>
        </w:rPr>
        <w:t xml:space="preserve">La maggiore visibilità e responsabilità tedesca discende in parte dalla collocazione al tavolo e in parte dal peso industriale e dallo specifico passato coloniale namibiano, che ne fa un attore non intercambiabile con l'Italia su quel dossier.</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I voti e le dichiarazioni italiane all'Assemblea generale sulla Namibia e sulla SWAPO fra il 1977 e il 1988. Sedi: United Nations Digital Library System per verbali e dati di voto, e Archivio Storico Diplomatico a Roma. Rendimento alto perché i documenti esistono con certezza.</w:t>
      </w:r>
    </w:p>
    <w:p>
      <w:pPr>
        <w:spacing w:after="120" w:line="276"/>
        <w:jc w:val="both"/>
      </w:pPr>
      <w:r>
        <w:rPr>
          <w:rFonts w:ascii="Barlow Semi Condensed" w:cs="Barlow Semi Condensed" w:eastAsia="Barlow Semi Condensed" w:hAnsi="Barlow Semi Condensed"/>
          <w:b/>
          <w:bCs/>
          <w:sz w:val="24"/>
          <w:szCs w:val="24"/>
        </w:rPr>
        <w:t xml:space="preserve">Seconda.\\ La cronologia analitica e datata dei viaggi di Strauß in Sudafrica e Namibia. Sede: \\Archiv für Christlich-Soziale Politik\\ a Monaco. \\Trasformerebbe in fatti datati ciò che ora è attribuzione dubitativa.</w:t>
      </w:r>
    </w:p>
    <w:p>
      <w:pPr>
        <w:spacing w:after="120" w:line="276"/>
        <w:jc w:val="both"/>
      </w:pPr>
      <w:r>
        <w:rPr>
          <w:rFonts w:ascii="Barlow Semi Condensed" w:cs="Barlow Semi Condensed" w:eastAsia="Barlow Semi Condensed" w:hAnsi="Barlow Semi Condensed"/>
          <w:b/>
          <w:bCs/>
          <w:sz w:val="24"/>
          <w:szCs w:val="24"/>
        </w:rPr>
        <w:t xml:space="preserve">Terza. Il contenuto puntuale delle attività della Hanns-Seidel-Stiftung in Namibia nel 1978-1980 e la posizione documentaria della CSU negli atti parlamentari — in particolare la verifica dell'affermazione sul rifiuto del principio un uomo un voto nel 1977, ottava legislatura.</w:t>
      </w:r>
    </w:p>
    <w:p>
      <w:pPr>
        <w:spacing w:after="120" w:line="276"/>
        <w:jc w:val="both"/>
      </w:pPr>
      <w:r>
        <w:rPr>
          <w:rFonts w:ascii="Barlow Semi Condensed" w:cs="Barlow Semi Condensed" w:eastAsia="Barlow Semi Condensed" w:hAnsi="Barlow Semi Condensed"/>
          <w:b/>
          <w:bCs/>
          <w:sz w:val="24"/>
          <w:szCs w:val="24"/>
        </w:rPr>
        <w:t xml:space="preserve">Quarta.\\ I rapporti fra il Bundesnachrichtendienst e i servizi sudafricani. \\Rendimento basso per ampiezza del segreto vigente.</w:t>
      </w:r>
    </w:p>
    <w:p>
      <w:pPr>
        <w:spacing w:after="120" w:line="276"/>
        <w:jc w:val="both"/>
      </w:pPr>
      <w:r>
        <w:rPr>
          <w:rFonts w:ascii="Barlow Semi Condensed" w:cs="Barlow Semi Condensed" w:eastAsia="Barlow Semi Condensed" w:hAnsi="Barlow Semi Condensed"/>
          <w:b/>
          <w:bCs/>
          <w:sz w:val="24"/>
          <w:szCs w:val="24"/>
        </w:rPr>
        <w:t xml:space="preserve">Quinta. L'eventuale coordinamento bilaterale italo-tedesco sulla materia africana australe. Rendimento basso, poiché la ricerca suggerisce che esso, se esistette, si esaurì nel quadro multilaterale.</w:t>
      </w:r>
    </w:p>
    <w:p>
      <w:pPr>
        <w:spacing w:after="120" w:line="276"/>
        <w:jc w:val="both"/>
      </w:pPr>
      <w:r>
        <w:rPr>
          <w:rFonts w:ascii="Barlow Semi Condensed" w:cs="Barlow Semi Condensed" w:eastAsia="Barlow Semi Condensed" w:hAnsi="Barlow Semi Condensed"/>
          <w:b/>
          <w:bCs/>
          <w:sz w:val="24"/>
          <w:szCs w:val="24"/>
        </w:rPr>
        <w:t xml:space="preserve">Sesta. La connessione Rössing e il ruolo di enti pubblici tedeschi nelle importazioni di uranio namibiano.</w:t>
      </w:r>
    </w:p>
    <w:p>
      <w:pPr>
        <w:spacing w:after="120" w:line="276"/>
        <w:jc w:val="both"/>
      </w:pPr>
      <w:r>
        <w:rPr>
          <w:rFonts w:ascii="Barlow Semi Condensed" w:cs="Barlow Semi Condensed" w:eastAsia="Barlow Semi Condensed" w:hAnsi="Barlow Semi Condensed"/>
          <w:b/>
          <w:bCs/>
          <w:sz w:val="24"/>
          <w:szCs w:val="24"/>
        </w:rPr>
        <w:t xml:space="preserve">E adesso ciò che questo documento consegna oltre il proprio perimetro.</w:t>
      </w:r>
    </w:p>
    <w:p>
      <w:pPr>
        <w:spacing w:after="120" w:line="276"/>
        <w:jc w:val="both"/>
      </w:pPr>
      <w:r>
        <w:rPr>
          <w:rFonts w:ascii="Barlow Semi Condensed" w:cs="Barlow Semi Condensed" w:eastAsia="Barlow Semi Condensed" w:hAnsi="Barlow Semi Condensed"/>
          <w:b/>
          <w:bCs/>
          <w:sz w:val="24"/>
          <w:szCs w:val="24"/>
        </w:rPr>
        <w:t xml:space="preserve">È la terza volta che una ricognizione della serie confuta una proposizione che io stesso avevo formulato.</w:t>
      </w:r>
    </w:p>
    <w:p>
      <w:pPr>
        <w:spacing w:after="120" w:line="276"/>
        <w:jc w:val="both"/>
      </w:pPr>
      <w:r>
        <w:rPr>
          <w:rFonts w:ascii="Barlow Semi Condensed" w:cs="Barlow Semi Condensed" w:eastAsia="Barlow Semi Condensed" w:hAnsi="Barlow Semi Condensed"/>
          <w:b/>
          <w:bCs/>
          <w:sz w:val="24"/>
          <w:szCs w:val="24"/>
        </w:rPr>
        <w:t xml:space="preserve">La prima fu il modello a due condizioni sull'insediamento dell'Opus Dei, caduto alla decima. La seconda fu il modello a due modalità, caduto alla dodicesima per opera del caso keniano. La terza è questa: l'ipotesi che il passato coloniale tedesco spiegasse la geometria del Gruppo di contatto.</w:t>
      </w:r>
    </w:p>
    <w:p>
      <w:pPr>
        <w:spacing w:after="120" w:line="276"/>
        <w:jc w:val="both"/>
      </w:pPr>
      <w:r>
        <w:rPr>
          <w:rFonts w:ascii="Barlow Semi Condensed" w:cs="Barlow Semi Condensed" w:eastAsia="Barlow Semi Condensed" w:hAnsi="Barlow Semi Condensed"/>
          <w:b/>
          <w:bCs/>
          <w:sz w:val="24"/>
          <w:szCs w:val="24"/>
        </w:rPr>
        <w:t xml:space="preserve">Le tre confutazioni hanno una cosa in comune, e va enunciata perché è il metodo che funziona.</w:t>
      </w:r>
    </w:p>
    <w:p>
      <w:pPr>
        <w:spacing w:after="120" w:line="276"/>
        <w:jc w:val="both"/>
      </w:pPr>
      <w:r>
        <w:rPr>
          <w:rFonts w:ascii="Barlow Semi Condensed" w:cs="Barlow Semi Condensed" w:eastAsia="Barlow Semi Condensed" w:hAnsi="Barlow Semi Condensed"/>
          <w:b/>
          <w:bCs/>
          <w:sz w:val="24"/>
          <w:szCs w:val="24"/>
        </w:rPr>
        <w:t xml:space="preserve">In tutte e tre ho formulato l'ipotesi nel testo del comando di ricerca, esplicitamente e per iscritto, e ho chiesto che fosse messa alla prova anziché difesa.</w:t>
      </w:r>
    </w:p>
    <w:p>
      <w:pPr>
        <w:spacing w:after="120" w:line="276"/>
        <w:jc w:val="both"/>
      </w:pPr>
      <w:r>
        <w:rPr>
          <w:rFonts w:ascii="Barlow Semi Condensed" w:cs="Barlow Semi Condensed" w:eastAsia="Barlow Semi Condensed" w:hAnsi="Barlow Semi Condensed"/>
          <w:b/>
          <w:bCs/>
          <w:sz w:val="24"/>
          <w:szCs w:val="24"/>
        </w:rPr>
        <w:t xml:space="preserve">Un'ipotesi che resti nella testa di chi cerca non può essere confutata dalla ricerca, perché la ricerca non sa di doverla cercare.</w:t>
      </w:r>
    </w:p>
    <w:p>
      <w:pPr>
        <w:spacing w:after="120" w:line="276"/>
        <w:jc w:val="both"/>
      </w:pPr>
      <w:r>
        <w:rPr>
          <w:rFonts w:ascii="Barlow Semi Condensed" w:cs="Barlow Semi Condensed" w:eastAsia="Barlow Semi Condensed" w:hAnsi="Barlow Semi Condensed"/>
          <w:b/>
          <w:bCs/>
          <w:sz w:val="24"/>
          <w:szCs w:val="24"/>
        </w:rPr>
        <w:t xml:space="preserve">Scriverla nel comando è ciò che la rende falsificabile — ed è, secondo me, la sola tecnica che questa serie abbia davvero prodotto.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 · Italia E Germania Sul Dossier Namibiano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5.138 parole in 9 sezioni; la più ampia è §9 Altre sezioni, con 4.330.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XVIII — La Santa Sede, La Dc E Il Sudafrica Dell'Apartheid</w:t>
      </w:r>
    </w:p>
    <w:p>
      <w:pPr>
        <w:pStyle w:val="Heading1"/>
        <w:spacing w:after="120" w:before="240"/>
      </w:pPr>
      <w:r>
        <w:rPr>
          <w:rFonts w:ascii="Barlow Semi Condensed" w:cs="Barlow Semi Condensed" w:eastAsia="Barlow Semi Condensed" w:hAnsi="Barlow Semi Condensed"/>
          <w:sz w:val="24"/>
          <w:szCs w:val="24"/>
        </w:rPr>
        <w:t xml:space="preserve">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Diciassettesima ricognizione: due sovranita, condotta opposta</w:t>
      </w:r>
    </w:p>
    <w:p>
      <w:pPr>
        <w:pStyle w:val="Heading2"/>
        <w:spacing w:after="100" w:before="200"/>
      </w:pPr>
      <w:r>
        <w:rPr>
          <w:rFonts w:ascii="Barlow Semi Condensed" w:cs="Barlow Semi Condensed" w:eastAsia="Barlow Semi Condensed" w:hAnsi="Barlow Semi Condensed"/>
          <w:sz w:val="24"/>
          <w:szCs w:val="24"/>
        </w:rPr>
        <w:t xml:space="preserve">Settantadue anni senza ambasciatore. Il pattern centro-periferia rovesciato</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il primo termine di paragone interno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sovranità sulla medesima penisola, e la loro condotta opposta</w:t>
      </w:r>
    </w:p>
    <w:p>
      <w:pPr>
        <w:spacing w:after="120" w:line="276"/>
        <w:jc w:val="both"/>
      </w:pPr>
      <w:r>
        <w:rPr>
          <w:rFonts w:ascii="Barlow Semi Condensed" w:cs="Barlow Semi Condensed" w:eastAsia="Barlow Semi Condensed" w:hAnsi="Barlow Semi Condensed"/>
          <w:b/>
          <w:bCs/>
          <w:sz w:val="24"/>
          <w:szCs w:val="24"/>
        </w:rPr>
        <w:t xml:space="preserve">Sedici ricognizioni hanno cercato lo Stato italiano e lo hanno trovato assente, ambiguo, o presente soltanto attraverso un canale industriale. Questa è la prima che disponga di un termine di paragone interno alla penisola, e l'esito si rovescia.</w:t>
      </w:r>
    </w:p>
    <w:p>
      <w:pPr>
        <w:spacing w:after="120" w:line="276"/>
        <w:jc w:val="both"/>
      </w:pPr>
      <w:r>
        <w:rPr>
          <w:rFonts w:ascii="Barlow Semi Condensed" w:cs="Barlow Semi Condensed" w:eastAsia="Barlow Semi Condensed" w:hAnsi="Barlow Semi Condensed"/>
          <w:b/>
          <w:bCs/>
          <w:sz w:val="24"/>
          <w:szCs w:val="24"/>
        </w:rPr>
        <w:t xml:space="preserve">Il fatto, enunciato subito. La Santa Sede non ebbe mai relazioni diplomatiche piene con la Repubblica del Sudafrica per l'intera durata dell'apartheid. Esse furono stabilite il 15 giugno 1994, con la firma del protocollo fra Giovanni Paolo II e Nelson Mandela; la nunziatura apostolica di Pretoria fu eretta il 25 giugno 1994.</w:t>
      </w:r>
    </w:p>
    <w:p>
      <w:pPr>
        <w:spacing w:after="120" w:line="276"/>
        <w:jc w:val="both"/>
      </w:pPr>
      <w:r>
        <w:rPr>
          <w:rFonts w:ascii="Barlow Semi Condensed" w:cs="Barlow Semi Condensed" w:eastAsia="Barlow Semi Condensed" w:hAnsi="Barlow Semi Condensed"/>
          <w:b/>
          <w:bCs/>
          <w:sz w:val="24"/>
          <w:szCs w:val="24"/>
        </w:rPr>
        <w:t xml:space="preserve">Prima di quella data, e per settantadue anni, la presenza pontificia ebbe rango soltanto ecclesiastico: una delegazione apostolica, istituita da Pio XI il 7 dicembre 1922.</w:t>
      </w:r>
    </w:p>
    <w:p>
      <w:pPr>
        <w:spacing w:after="120" w:line="276"/>
        <w:jc w:val="both"/>
      </w:pPr>
      <w:r>
        <w:rPr>
          <w:rFonts w:ascii="Barlow Semi Condensed" w:cs="Barlow Semi Condensed" w:eastAsia="Barlow Semi Condensed" w:hAnsi="Barlow Semi Condensed"/>
          <w:b/>
          <w:bCs/>
          <w:sz w:val="24"/>
          <w:szCs w:val="24"/>
        </w:rPr>
        <w:t xml:space="preserve">E il contrasto, che è il risultato di questa ricognizione.\\ \\L'Italia mantenne per tutto il periodo relazioni diplomatiche piene con il Sudafrica, stabilite nel 1929, e un'ambasciata a Pretoria.</w:t>
      </w:r>
    </w:p>
    <w:p>
      <w:pPr>
        <w:spacing w:after="120" w:line="276"/>
        <w:jc w:val="both"/>
      </w:pPr>
      <w:r>
        <w:rPr>
          <w:rFonts w:ascii="Barlow Semi Condensed" w:cs="Barlow Semi Condensed" w:eastAsia="Barlow Semi Condensed" w:hAnsi="Barlow Semi Condensed"/>
          <w:b/>
          <w:bCs/>
          <w:sz w:val="24"/>
          <w:szCs w:val="24"/>
        </w:rPr>
        <w:t xml:space="preserve">Due sovranità sulla medesima penisola, sul medesimo regime, con condotta opposta.</w:t>
      </w:r>
    </w:p>
    <w:p>
      <w:pPr>
        <w:spacing w:after="120" w:line="276"/>
        <w:jc w:val="both"/>
      </w:pPr>
      <w:r>
        <w:rPr>
          <w:rFonts w:ascii="Barlow Semi Condensed" w:cs="Barlow Semi Condensed" w:eastAsia="Barlow Semi Condensed" w:hAnsi="Barlow Semi Condensed"/>
          <w:b/>
          <w:bCs/>
          <w:sz w:val="24"/>
          <w:szCs w:val="24"/>
        </w:rPr>
        <w:t xml:space="preserve">Il rilievo va precisato perché la distinzione è tecnica e sostanziale insieme. Il delegato apostolico è rappresentante del Papa presso la Chiesa locale, non presso lo Stato: non ha status di ambasciatore, non presenta credenziali al capo dello Stato, non gode delle immunità diplomatiche piene.</w:t>
      </w:r>
    </w:p>
    <w:p>
      <w:pPr>
        <w:spacing w:after="120" w:line="276"/>
        <w:jc w:val="both"/>
      </w:pPr>
      <w:r>
        <w:rPr>
          <w:rFonts w:ascii="Barlow Semi Condensed" w:cs="Barlow Semi Condensed" w:eastAsia="Barlow Semi Condensed" w:hAnsi="Barlow Semi Condensed"/>
          <w:b/>
          <w:bCs/>
          <w:sz w:val="24"/>
          <w:szCs w:val="24"/>
        </w:rPr>
        <w:t xml:space="preserve">Ne discende che per settantadue anni nessun rappresentante pontificio presentò credenziali a un capo di Stato sudafricano.</w:t>
      </w:r>
    </w:p>
    <w:p>
      <w:pPr>
        <w:spacing w:after="120" w:line="276"/>
        <w:jc w:val="both"/>
      </w:pPr>
      <w:r>
        <w:rPr>
          <w:rFonts w:ascii="Barlow Semi Condensed" w:cs="Barlow Semi Condensed" w:eastAsia="Barlow Semi Condensed" w:hAnsi="Barlow Semi Condensed"/>
          <w:b/>
          <w:bCs/>
          <w:sz w:val="24"/>
          <w:szCs w:val="24"/>
        </w:rPr>
        <w:t xml:space="preserve">Il vincolo che governa questa ricognizione va dichiarato subito perché ne condiziona ogni conclusione sulle intenzioni. L'Archivio Apostolico Vaticano è consultabile soltanto fino all'ottobre 1958. I pontificati di Giovanni XXIII, Paolo VI e Giovanni Paolo II non sono aperti.</w:t>
      </w:r>
    </w:p>
    <w:p>
      <w:pPr>
        <w:spacing w:after="120" w:line="276"/>
        <w:jc w:val="both"/>
      </w:pPr>
      <w:r>
        <w:rPr>
          <w:rFonts w:ascii="Barlow Semi Condensed" w:cs="Barlow Semi Condensed" w:eastAsia="Barlow Semi Condensed" w:hAnsi="Barlow Semi Condensed"/>
          <w:b/>
          <w:bCs/>
          <w:sz w:val="24"/>
          <w:szCs w:val="24"/>
        </w:rPr>
        <w:t xml:space="preserve">Ne discende che la verifica archivistica primaria sul versante vaticano è strutturalmente impossibile per l'intero arco dell'apartheid. È Stato Zero di primo grado — impossibilità istituzionale — secondo la scala già consolidata nel corpus, e non un difetto della ricerca.</w:t>
      </w:r>
    </w:p>
    <w:p>
      <w:pPr>
        <w:spacing w:after="120" w:line="276"/>
        <w:jc w:val="both"/>
      </w:pPr>
      <w:r>
        <w:rPr>
          <w:rFonts w:ascii="Barlow Semi Condensed" w:cs="Barlow Semi Condensed" w:eastAsia="Barlow Semi Condensed" w:hAnsi="Barlow Semi Condensed"/>
          <w:b/>
          <w:bCs/>
          <w:sz w:val="24"/>
          <w:szCs w:val="24"/>
        </w:rPr>
        <w:t xml:space="preserve">Si lavora perciò sugli atti pubblicati: Acta Apostolicae Sedis, L'Osservatore Romano, discorsi e messaggi pontifici, documenti delle conferenze episcopali, annuari e liste diplomatiche ufficiali.</w:t>
      </w:r>
    </w:p>
    <w:p>
      <w:pPr>
        <w:spacing w:after="120" w:line="276"/>
        <w:jc w:val="both"/>
      </w:pPr>
      <w:r>
        <w:rPr>
          <w:rFonts w:ascii="Barlow Semi Condensed" w:cs="Barlow Semi Condensed" w:eastAsia="Barlow Semi Condensed" w:hAnsi="Barlow Semi Condensed"/>
          <w:b/>
          <w:bCs/>
          <w:sz w:val="24"/>
          <w:szCs w:val="24"/>
        </w:rPr>
        <w:t xml:space="preserve">E ne discende una prescrizione che vale per l'intero documento: ogni affermazione sulle intenzioni della Santa Sede è inferenza e non accertamento, e va qualificata come tale ogni volta.</w:t>
      </w:r>
    </w:p>
    <w:p>
      <w:pPr>
        <w:pStyle w:val="Heading2"/>
        <w:spacing w:after="100" w:before="200"/>
      </w:pPr>
      <w:r>
        <w:rPr>
          <w:rFonts w:ascii="Barlow Semi Condensed" w:cs="Barlow Semi Condensed" w:eastAsia="Barlow Semi Condensed" w:hAnsi="Barlow Semi Condensed"/>
          <w:sz w:val="24"/>
          <w:szCs w:val="24"/>
        </w:rPr>
        <w:t xml:space="preserve">Capitolo secondo — La delegazione apostolica: settantadue anni, nove titolari</w:t>
      </w:r>
    </w:p>
    <w:p>
      <w:pPr>
        <w:spacing w:after="120" w:line="276"/>
        <w:jc w:val="both"/>
      </w:pPr>
      <w:r>
        <w:rPr>
          <w:rFonts w:ascii="Barlow Semi Condensed" w:cs="Barlow Semi Condensed" w:eastAsia="Barlow Semi Condensed" w:hAnsi="Barlow Semi Condensed"/>
          <w:b/>
          <w:bCs/>
          <w:sz w:val="24"/>
          <w:szCs w:val="24"/>
        </w:rPr>
        <w:t xml:space="preserve">Il capitolo espone la cronologia della rappresentanza, che è la prova materiale del Capitolo primo.</w:t>
      </w:r>
    </w:p>
    <w:p>
      <w:pPr>
        <w:spacing w:after="120" w:line="276"/>
        <w:jc w:val="both"/>
      </w:pPr>
      <w:r>
        <w:rPr>
          <w:rFonts w:ascii="Barlow Semi Condensed" w:cs="Barlow Semi Condensed" w:eastAsia="Barlow Semi Condensed" w:hAnsi="Barlow Semi Condensed"/>
          <w:b/>
          <w:bCs/>
          <w:sz w:val="24"/>
          <w:szCs w:val="24"/>
        </w:rPr>
        <w:t xml:space="preserve">L'istituzione.\\ Delegazione apostolica istituita da Pio XI il \\7 dicembre 1922\\, con sede a \\Pretoria.</w:t>
      </w:r>
    </w:p>
    <w:p>
      <w:pPr>
        <w:spacing w:after="120" w:line="276"/>
        <w:jc w:val="both"/>
      </w:pPr>
      <w:r>
        <w:rPr>
          <w:rFonts w:ascii="Barlow Semi Condensed" w:cs="Barlow Semi Condensed" w:eastAsia="Barlow Semi Condensed" w:hAnsi="Barlow Semi Condensed"/>
          <w:b/>
          <w:bCs/>
          <w:sz w:val="24"/>
          <w:szCs w:val="24"/>
        </w:rPr>
        <w:t xml:space="preserve">I titolari, per date, dalle liste ufficiali. Bernard Gijlswijk, domenicano, 1922-1944. Martin Lucas, verbita, 1945-1952. Celestine Damiano, 1952-1960. Joseph McGeough, 1960-1967. John Gordon, 1967-1971. Alfredo Poledrini, 1971-1978. Edward Idris Cassidy, 1979-1984, poi cardinale. Joseph Mees, 1985-1987. Ambrose Battista De Paoli, delegato apostolico dal 6 febbraio 1988 e infine primo nunzio apostolico dal 25 giugno 1994 all'11 novembre 1997.</w:t>
      </w:r>
    </w:p>
    <w:p>
      <w:pPr>
        <w:spacing w:after="120" w:line="276"/>
        <w:jc w:val="both"/>
      </w:pPr>
      <w:r>
        <w:rPr>
          <w:rFonts w:ascii="Barlow Semi Condensed" w:cs="Barlow Semi Condensed" w:eastAsia="Barlow Semi Condensed" w:hAnsi="Barlow Semi Condensed"/>
          <w:b/>
          <w:bCs/>
          <w:sz w:val="24"/>
          <w:szCs w:val="24"/>
        </w:rPr>
        <w:t xml:space="preserve">Nove titolari, tutti delegati e nessuno nunzio fino al 1994.</w:t>
      </w:r>
    </w:p>
    <w:p>
      <w:pPr>
        <w:spacing w:after="120" w:line="276"/>
        <w:jc w:val="both"/>
      </w:pPr>
      <w:r>
        <w:rPr>
          <w:rFonts w:ascii="Barlow Semi Condensed" w:cs="Barlow Semi Condensed" w:eastAsia="Barlow Semi Condensed" w:hAnsi="Barlow Semi Condensed"/>
          <w:b/>
          <w:bCs/>
          <w:sz w:val="24"/>
          <w:szCs w:val="24"/>
        </w:rPr>
        <w:t xml:space="preserve">Un dato di struttura va registrato. La giurisdizione della delegazione si restrinse progressivamente: da delegazione all'Africa, a delegazione all'Africa australe, a delegazione al Sudafrica.</w:t>
      </w:r>
    </w:p>
    <w:p>
      <w:pPr>
        <w:spacing w:after="120" w:line="276"/>
        <w:jc w:val="both"/>
      </w:pPr>
      <w:r>
        <w:rPr>
          <w:rFonts w:ascii="Barlow Semi Condensed" w:cs="Barlow Semi Condensed" w:eastAsia="Barlow Semi Condensed" w:hAnsi="Barlow Semi Condensed"/>
          <w:b/>
          <w:bCs/>
          <w:sz w:val="24"/>
          <w:szCs w:val="24"/>
        </w:rPr>
        <w:t xml:space="preserve">La conferma pontificia diretta, ed è la migliore fonte possibile. Nel discorso di arrivo all'aeroporto internazionale di Johannesburg, nel 1995, Giovanni Paolo II dichiarò la propria fiducia che i vincoli di amicizia fra la Repubblica del Sudafrica e la Santa Sede, che l'anno scorso hanno condotto allo stabilimento di relazioni diplomatiche fra noi, continuino a crescere e a intensificarsi.</w:t>
      </w:r>
    </w:p>
    <w:p>
      <w:pPr>
        <w:spacing w:after="120" w:line="276"/>
        <w:jc w:val="both"/>
      </w:pPr>
      <w:r>
        <w:rPr>
          <w:rFonts w:ascii="Barlow Semi Condensed" w:cs="Barlow Semi Condensed" w:eastAsia="Barlow Semi Condensed" w:hAnsi="Barlow Semi Condensed"/>
          <w:b/>
          <w:bCs/>
          <w:sz w:val="24"/>
          <w:szCs w:val="24"/>
        </w:rPr>
        <w:t xml:space="preserve">È il pontefice stesso a datare le relazioni al 1994.</w:t>
      </w:r>
    </w:p>
    <w:p>
      <w:pPr>
        <w:spacing w:after="120" w:line="276"/>
        <w:jc w:val="both"/>
      </w:pPr>
      <w:r>
        <w:rPr>
          <w:rFonts w:ascii="Barlow Semi Condensed" w:cs="Barlow Semi Condensed" w:eastAsia="Barlow Semi Condensed" w:hAnsi="Barlow Semi Condensed"/>
          <w:b/>
          <w:bCs/>
          <w:sz w:val="24"/>
          <w:szCs w:val="24"/>
        </w:rPr>
        <w:t xml:space="preserve">Il versante namibiano, con una divergenza. Secondo la lista ufficiale della Missione permanente della Santa Sede presso le Nazioni Unite, le relazioni con la Namibia furono stabilite il 12 settembre 1995, dunque oltre cinque anni dopo l'indipendenza del 21 marzo 1990. De Paoli fu delegato apostolico per la Namibia dal 5 marzo 1994 e poi nunzio, con residenza in Sudafrica.</w:t>
      </w:r>
    </w:p>
    <w:p>
      <w:pPr>
        <w:spacing w:after="120" w:line="276"/>
        <w:jc w:val="both"/>
      </w:pPr>
      <w:r>
        <w:rPr>
          <w:rFonts w:ascii="Barlow Semi Condensed" w:cs="Barlow Semi Condensed" w:eastAsia="Barlow Semi Condensed" w:hAnsi="Barlow Semi Condensed"/>
          <w:b/>
          <w:bCs/>
          <w:sz w:val="24"/>
          <w:szCs w:val="24"/>
        </w:rPr>
        <w:t xml:space="preserve">La divergenza fra fonti sul rango e sulle date interne — delegazione dal 1994, relazioni piene dal settembre 1995 — riflette la distinzione fra la nomina del rappresentante ecclesiastico e la formalizzazione dello scambio diplomatico, e si riporta anziché comporre.</w:t>
      </w:r>
    </w:p>
    <w:p>
      <w:pPr>
        <w:spacing w:after="120" w:line="276"/>
        <w:jc w:val="both"/>
      </w:pPr>
      <w:r>
        <w:rPr>
          <w:rFonts w:ascii="Barlow Semi Condensed" w:cs="Barlow Semi Condensed" w:eastAsia="Barlow Semi Condensed" w:hAnsi="Barlow Semi Condensed"/>
          <w:b/>
          <w:bCs/>
          <w:sz w:val="24"/>
          <w:szCs w:val="24"/>
        </w:rPr>
        <w:t xml:space="preserve">Che cosa questa cronologia stabilisce, e che cosa no.\\ \\Stabilisce\\ che le relazioni piene furono aperte \\immediatamente dopo la fine del regime e le prime elezioni democratiche, e non durante.</w:t>
      </w:r>
    </w:p>
    <w:p>
      <w:pPr>
        <w:spacing w:after="120" w:line="276"/>
        <w:jc w:val="both"/>
      </w:pPr>
      <w:r>
        <w:rPr>
          <w:rFonts w:ascii="Barlow Semi Condensed" w:cs="Barlow Semi Condensed" w:eastAsia="Barlow Semi Condensed" w:hAnsi="Barlow Semi Condensed"/>
          <w:b/>
          <w:bCs/>
          <w:sz w:val="24"/>
          <w:szCs w:val="24"/>
        </w:rPr>
        <w:t xml:space="preserve">Non stabilisce\\ che ciò fosse scelta politica deliberata: \\la documentazione riservata che lo proverebbe è inaccessibile.</w:t>
      </w:r>
    </w:p>
    <w:p>
      <w:pPr>
        <w:spacing w:after="120" w:line="276"/>
        <w:jc w:val="both"/>
      </w:pPr>
      <w:r>
        <w:rPr>
          <w:rFonts w:ascii="Barlow Semi Condensed" w:cs="Barlow Semi Condensed" w:eastAsia="Barlow Semi Condensed" w:hAnsi="Barlow Semi Condensed"/>
          <w:b/>
          <w:bCs/>
          <w:sz w:val="24"/>
          <w:szCs w:val="24"/>
        </w:rPr>
        <w:t xml:space="preserve">Ma la coincidenza cronologica fra la caduta del regime e l'apertura delle relazioni è essa stessa un dato, e il mantenimento della sola delegazione per settantadue anni in un Paese con comunità cattolica cospicua è compatibile con una scelta di non conferire al regime la legittimazione implicita nello scambio di ambasciatori. Interpretazione plausibile, non dimostrata.</w:t>
      </w:r>
    </w:p>
    <w:p>
      <w:pPr>
        <w:pStyle w:val="Heading2"/>
        <w:spacing w:after="100" w:before="200"/>
      </w:pPr>
      <w:r>
        <w:rPr>
          <w:rFonts w:ascii="Barlow Semi Condensed" w:cs="Barlow Semi Condensed" w:eastAsia="Barlow Semi Condensed" w:hAnsi="Barlow Semi Condensed"/>
          <w:sz w:val="24"/>
          <w:szCs w:val="24"/>
        </w:rPr>
        <w:t xml:space="preserve">Capitolo terzo — Paolo VI: gli atti, e ciò che non dicono</w:t>
      </w:r>
    </w:p>
    <w:p>
      <w:pPr>
        <w:spacing w:after="120" w:line="276"/>
        <w:jc w:val="both"/>
      </w:pPr>
      <w:r>
        <w:rPr>
          <w:rFonts w:ascii="Barlow Semi Condensed" w:cs="Barlow Semi Condensed" w:eastAsia="Barlow Semi Condensed" w:hAnsi="Barlow Semi Condensed"/>
          <w:b/>
          <w:bCs/>
          <w:sz w:val="24"/>
          <w:szCs w:val="24"/>
        </w:rPr>
        <w:t xml:space="preserve">Il capitolo espone il magistero del pontefice che regnò durante i mandati di Moro.</w:t>
      </w:r>
    </w:p>
    <w:p>
      <w:pPr>
        <w:spacing w:after="120" w:line="276"/>
        <w:jc w:val="both"/>
      </w:pPr>
      <w:r>
        <w:rPr>
          <w:rFonts w:ascii="Barlow Semi Condensed" w:cs="Barlow Semi Condensed" w:eastAsia="Barlow Semi Condensed" w:hAnsi="Barlow Semi Condensed"/>
          <w:b/>
          <w:bCs/>
          <w:sz w:val="24"/>
          <w:szCs w:val="24"/>
        </w:rPr>
        <w:t xml:space="preserve">L'atto dottrinale. La lettera apostolica \Africae terrarum\, del 29 ottobre 1967, pubblicata negli Acta Apostolicae Sedis. Vi Paolo VI richiama la condanna del razzismo già formulata dal Concilio come offensivo della dignità dell'uomo, alieno dalla mente di Cristo, contrario al disegno di Dio, e la deplorazione contenuta nell'enciclica \Populorum progressio\ del razzismo come ostacolo alla edificazione di un mondo più giusto.</w:t>
      </w:r>
    </w:p>
    <w:p>
      <w:pPr>
        <w:spacing w:after="120" w:line="276"/>
        <w:jc w:val="both"/>
      </w:pPr>
      <w:r>
        <w:rPr>
          <w:rFonts w:ascii="Barlow Semi Condensed" w:cs="Barlow Semi Condensed" w:eastAsia="Barlow Semi Condensed" w:hAnsi="Barlow Semi Condensed"/>
          <w:b/>
          <w:bCs/>
          <w:sz w:val="24"/>
          <w:szCs w:val="24"/>
        </w:rPr>
        <w:t xml:space="preserve">L'atto politico, e va esposto con precisione perché il corpus lo possiede già a metà. Il 1 luglio 1970 Paolo VI ricevette i dirigenti dei movimenti di liberazione delle colonie portoghesi: Agostinho Neto dell'MPLA angolano, Marcelino dos Santos del FRELIMO mozambicano, Amílcar Cabral del PAIGC guineano e capoverdiano, al termine della Conferenza internazionale di solidarietà tenutasi a Roma dal 27 al 29 giugno 1970.</w:t>
      </w:r>
    </w:p>
    <w:p>
      <w:pPr>
        <w:spacing w:after="120" w:line="276"/>
        <w:jc w:val="both"/>
      </w:pPr>
      <w:r>
        <w:rPr>
          <w:rFonts w:ascii="Barlow Semi Condensed" w:cs="Barlow Semi Condensed" w:eastAsia="Barlow Semi Condensed" w:hAnsi="Barlow Semi Condensed"/>
          <w:b/>
          <w:bCs/>
          <w:sz w:val="24"/>
          <w:szCs w:val="24"/>
        </w:rPr>
        <w:t xml:space="preserve">La reazione portoghese — il richiamo dell'ambasciatore presso la Santa Sede — è già acquisita e qui funge da sfondo.</w:t>
      </w:r>
    </w:p>
    <w:p>
      <w:pPr>
        <w:spacing w:after="120" w:line="276"/>
        <w:jc w:val="both"/>
      </w:pPr>
      <w:r>
        <w:rPr>
          <w:rFonts w:ascii="Barlow Semi Condensed" w:cs="Barlow Semi Condensed" w:eastAsia="Barlow Semi Condensed" w:hAnsi="Barlow Semi Condensed"/>
          <w:b/>
          <w:bCs/>
          <w:sz w:val="24"/>
          <w:szCs w:val="24"/>
        </w:rPr>
        <w:t xml:space="preserve">Ma due precisazioni vanno apposte, e correggono una lettura facile.</w:t>
      </w:r>
    </w:p>
    <w:p>
      <w:pPr>
        <w:spacing w:after="120" w:line="276"/>
        <w:jc w:val="both"/>
      </w:pPr>
      <w:r>
        <w:rPr>
          <w:rFonts w:ascii="Barlow Semi Condensed" w:cs="Barlow Semi Condensed" w:eastAsia="Barlow Semi Condensed" w:hAnsi="Barlow Semi Condensed"/>
          <w:b/>
          <w:bCs/>
          <w:sz w:val="24"/>
          <w:szCs w:val="24"/>
        </w:rPr>
        <w:t xml:space="preserve">Prima: la Conferenza di Roma non fu iniziativa del governo italiano ma della società civile e della sinistra, con figure come Lelio Basso. Non fu atto della Farnesina.</w:t>
      </w:r>
    </w:p>
    <w:p>
      <w:pPr>
        <w:spacing w:after="120" w:line="276"/>
        <w:jc w:val="both"/>
      </w:pPr>
      <w:r>
        <w:rPr>
          <w:rFonts w:ascii="Barlow Semi Condensed" w:cs="Barlow Semi Condensed" w:eastAsia="Barlow Semi Condensed" w:hAnsi="Barlow Semi Condensed"/>
          <w:b/>
          <w:bCs/>
          <w:sz w:val="24"/>
          <w:szCs w:val="24"/>
        </w:rPr>
        <w:t xml:space="preserve">Seconda, e più importante: nessuna fonte attribuisce a Paolo VI una menzione esplicita del Sudafrica in quell'occasione. L'atto riguardava le colonie portoghesi, non il regime di Pretoria.</w:t>
      </w:r>
    </w:p>
    <w:p>
      <w:pPr>
        <w:spacing w:after="120" w:line="276"/>
        <w:jc w:val="both"/>
      </w:pPr>
      <w:r>
        <w:rPr>
          <w:rFonts w:ascii="Barlow Semi Condensed" w:cs="Barlow Semi Condensed" w:eastAsia="Barlow Semi Condensed" w:hAnsi="Barlow Semi Condensed"/>
          <w:b/>
          <w:bCs/>
          <w:sz w:val="24"/>
          <w:szCs w:val="24"/>
        </w:rPr>
        <w:t xml:space="preserve">Che il gesto avesse valore di legittimazione politica dei movimenti di liberazione dell'Africa australe è pacifico; che riguardasse il Sudafrica non lo è, e non va inferito.</w:t>
      </w:r>
    </w:p>
    <w:p>
      <w:pPr>
        <w:spacing w:after="120" w:line="276"/>
        <w:jc w:val="both"/>
      </w:pPr>
      <w:r>
        <w:rPr>
          <w:rFonts w:ascii="Barlow Semi Condensed" w:cs="Barlow Semi Condensed" w:eastAsia="Barlow Semi Condensed" w:hAnsi="Barlow Semi Condensed"/>
          <w:b/>
          <w:bCs/>
          <w:sz w:val="24"/>
          <w:szCs w:val="24"/>
        </w:rPr>
        <w:t xml:space="preserve">L'atto specificamente antiapartheid di Paolo VI è invece documentato, e con data.\\ Il \\22 maggio 1974\\ egli \\ricevette il Comitato speciale delle Nazioni Unite contro l'apartheid.</w:t>
      </w:r>
    </w:p>
    <w:p>
      <w:pPr>
        <w:spacing w:after="120" w:line="276"/>
        <w:jc w:val="both"/>
      </w:pPr>
      <w:r>
        <w:rPr>
          <w:rFonts w:ascii="Barlow Semi Condensed" w:cs="Barlow Semi Condensed" w:eastAsia="Barlow Semi Condensed" w:hAnsi="Barlow Semi Condensed"/>
          <w:b/>
          <w:bCs/>
          <w:sz w:val="24"/>
          <w:szCs w:val="24"/>
        </w:rPr>
        <w:t xml:space="preserve">La circostanza è attestata per via indiretta ma autorevole: dal discorso di Giovanni Paolo II del 7 luglio 1984, nel quale il pontefice polacco ricorda che il mio predecessore Paolo VI ricevette il vostro comitato e indicò le basi dell'impegno cristiano per la causa della promozione della dignità umana.</w:t>
      </w:r>
    </w:p>
    <w:p>
      <w:pPr>
        <w:spacing w:after="120" w:line="276"/>
        <w:jc w:val="both"/>
      </w:pPr>
      <w:r>
        <w:rPr>
          <w:rFonts w:ascii="Barlow Semi Condensed" w:cs="Barlow Semi Condensed" w:eastAsia="Barlow Semi Condensed" w:hAnsi="Barlow Semi Condensed"/>
          <w:b/>
          <w:bCs/>
          <w:sz w:val="24"/>
          <w:szCs w:val="24"/>
        </w:rPr>
        <w:t xml:space="preserve">Il 22 maggio 1974 cade nel secondo mandato ministeriale di Aldo Moro.</w:t>
      </w:r>
    </w:p>
    <w:p>
      <w:pPr>
        <w:spacing w:after="120" w:line="276"/>
        <w:jc w:val="both"/>
      </w:pPr>
      <w:r>
        <w:rPr>
          <w:rFonts w:ascii="Barlow Semi Condensed" w:cs="Barlow Semi Condensed" w:eastAsia="Barlow Semi Condensed" w:hAnsi="Barlow Semi Condensed"/>
          <w:b/>
          <w:bCs/>
          <w:sz w:val="24"/>
          <w:szCs w:val="24"/>
        </w:rPr>
        <w:t xml:space="preserve">E si applica immediatamente la prescrizione: la contemporaneità non è prova di nesso. Nessuna fonte collega i due fatti, e non li si collega.</w:t>
      </w:r>
    </w:p>
    <w:p>
      <w:pPr>
        <w:pStyle w:val="Heading2"/>
        <w:spacing w:after="100" w:before="200"/>
      </w:pPr>
      <w:r>
        <w:rPr>
          <w:rFonts w:ascii="Barlow Semi Condensed" w:cs="Barlow Semi Condensed" w:eastAsia="Barlow Semi Condensed" w:hAnsi="Barlow Semi Condensed"/>
          <w:sz w:val="24"/>
          <w:szCs w:val="24"/>
        </w:rPr>
        <w:t xml:space="preserve">Capitolo quarto — Giovanni Paolo II: l'esclusione deliberata del 1988</w:t>
      </w:r>
    </w:p>
    <w:p>
      <w:pPr>
        <w:spacing w:after="120" w:line="276"/>
        <w:jc w:val="both"/>
      </w:pPr>
      <w:r>
        <w:rPr>
          <w:rFonts w:ascii="Barlow Semi Condensed" w:cs="Barlow Semi Condensed" w:eastAsia="Barlow Semi Condensed" w:hAnsi="Barlow Semi Condensed"/>
          <w:b/>
          <w:bCs/>
          <w:sz w:val="24"/>
          <w:szCs w:val="24"/>
        </w:rPr>
        <w:t xml:space="preserve">Il capitolo espone l'atto pontificio più eloquente dell'intera materia.</w:t>
      </w:r>
    </w:p>
    <w:p>
      <w:pPr>
        <w:spacing w:after="120" w:line="276"/>
        <w:jc w:val="both"/>
      </w:pPr>
      <w:r>
        <w:rPr>
          <w:rFonts w:ascii="Barlow Semi Condensed" w:cs="Barlow Semi Condensed" w:eastAsia="Barlow Semi Condensed" w:hAnsi="Barlow Semi Condensed"/>
          <w:b/>
          <w:bCs/>
          <w:sz w:val="24"/>
          <w:szCs w:val="24"/>
        </w:rPr>
        <w:t xml:space="preserve">Il viaggio. Nel settembre 1988 Giovanni Paolo II compì un itinerario di dieci giorni che toccò cinque Stati confinanti con il Sudafrica: Zimbabwe — Harare il 10 settembre, Bulawayo il 12 — Botswana, Lesotho, Swaziland — Manzini il 16 settembre — e Mozambico, a Maputo.</w:t>
      </w:r>
    </w:p>
    <w:p>
      <w:pPr>
        <w:spacing w:after="120" w:line="276"/>
        <w:jc w:val="both"/>
      </w:pPr>
      <w:r>
        <w:rPr>
          <w:rFonts w:ascii="Barlow Semi Condensed" w:cs="Barlow Semi Condensed" w:eastAsia="Barlow Semi Condensed" w:hAnsi="Barlow Semi Condensed"/>
          <w:b/>
          <w:bCs/>
          <w:sz w:val="24"/>
          <w:szCs w:val="24"/>
        </w:rPr>
        <w:t xml:space="preserve">E il Sudafrica fu escluso deliberatamente, a causa del sistema di apartheid, su esplicito consiglio dei vescovi sudafricani.</w:t>
      </w:r>
    </w:p>
    <w:p>
      <w:pPr>
        <w:spacing w:after="120" w:line="276"/>
        <w:jc w:val="both"/>
      </w:pPr>
      <w:r>
        <w:rPr>
          <w:rFonts w:ascii="Barlow Semi Condensed" w:cs="Barlow Semi Condensed" w:eastAsia="Barlow Semi Condensed" w:hAnsi="Barlow Semi Condensed"/>
          <w:b/>
          <w:bCs/>
          <w:sz w:val="24"/>
          <w:szCs w:val="24"/>
        </w:rPr>
        <w:t xml:space="preserve">Il pontefice attraversò l'Africa australe circondando il Sudafrica senza entrarvi. È, secondo me, l'atto diplomatico più chiaro che la Santa Sede compì sulla materia, e fu un atto di omissione.</w:t>
      </w:r>
    </w:p>
    <w:p>
      <w:pPr>
        <w:spacing w:after="120" w:line="276"/>
        <w:jc w:val="both"/>
      </w:pPr>
      <w:r>
        <w:rPr>
          <w:rFonts w:ascii="Barlow Semi Condensed" w:cs="Barlow Semi Condensed" w:eastAsia="Barlow Semi Condensed" w:hAnsi="Barlow Semi Condensed"/>
          <w:b/>
          <w:bCs/>
          <w:sz w:val="24"/>
          <w:szCs w:val="24"/>
        </w:rPr>
        <w:t xml:space="preserve">E poi accadde ciò che nessuno aveva previsto. Il 14 settembre 1988 il maltempo mise fuori uso i radiofari dell'aeroporto di Maseru, e l'aereo pontificio — un Boeing 707 dell'Air Zimbabwe — fu costretto a un atterraggio d'emergenza a Johannesburg.</w:t>
      </w:r>
    </w:p>
    <w:p>
      <w:pPr>
        <w:spacing w:after="120" w:line="276"/>
        <w:jc w:val="both"/>
      </w:pPr>
      <w:r>
        <w:rPr>
          <w:rFonts w:ascii="Barlow Semi Condensed" w:cs="Barlow Semi Condensed" w:eastAsia="Barlow Semi Condensed" w:hAnsi="Barlow Semi Condensed"/>
          <w:b/>
          <w:bCs/>
          <w:sz w:val="24"/>
          <w:szCs w:val="24"/>
        </w:rPr>
        <w:t xml:space="preserve">La ricostruzione va riportata perché è di una precisione che nessuna parafrasi migliorerebbe. Il velivolo fu costretto ad atterrare a Johannesburg, dove un raggiante Botha e un folto seguito erano pronti ad accogliere il pontefice visibilmente a disagio; e un corteo di venticinque automobili, guidato dal papa in una BMW argentata blindata, portò la delegazione pontificia in salvo fino al Lesotho.</w:t>
      </w:r>
    </w:p>
    <w:p>
      <w:pPr>
        <w:spacing w:after="120" w:line="276"/>
        <w:jc w:val="both"/>
      </w:pPr>
      <w:r>
        <w:rPr>
          <w:rFonts w:ascii="Barlow Semi Condensed" w:cs="Barlow Semi Condensed" w:eastAsia="Barlow Semi Condensed" w:hAnsi="Barlow Semi Condensed"/>
          <w:b/>
          <w:bCs/>
          <w:sz w:val="24"/>
          <w:szCs w:val="24"/>
        </w:rPr>
        <w:t xml:space="preserve">Fu, secondo l'agenzia che lo riportò, la prima volta in trentanove viaggi che Giovanni Paolo II fu costretto a scendere in un Paese non previsto.</w:t>
      </w:r>
    </w:p>
    <w:p>
      <w:pPr>
        <w:spacing w:after="120" w:line="276"/>
        <w:jc w:val="both"/>
      </w:pPr>
      <w:r>
        <w:rPr>
          <w:rFonts w:ascii="Barlow Semi Condensed" w:cs="Barlow Semi Condensed" w:eastAsia="Barlow Semi Condensed" w:hAnsi="Barlow Semi Condensed"/>
          <w:b/>
          <w:bCs/>
          <w:sz w:val="24"/>
          <w:szCs w:val="24"/>
        </w:rPr>
        <w:t xml:space="preserve">Il ministro degli Esteri Roelof Botha ricevette all'aeroporto il pontefice che aveva deciso di non venire.</w:t>
      </w:r>
    </w:p>
    <w:p>
      <w:pPr>
        <w:spacing w:after="120" w:line="276"/>
        <w:jc w:val="both"/>
      </w:pPr>
      <w:r>
        <w:rPr>
          <w:rFonts w:ascii="Barlow Semi Condensed" w:cs="Barlow Semi Condensed" w:eastAsia="Barlow Semi Condensed" w:hAnsi="Barlow Semi Condensed"/>
          <w:b/>
          <w:bCs/>
          <w:sz w:val="24"/>
          <w:szCs w:val="24"/>
        </w:rPr>
        <w:t xml:space="preserve">La posizione sulle sanzioni, e va registrata perché risponde a un obiettivo specifico. In Zimbabwe il pontefice appoggiò le sanzioni economiche contro il governo di Pretoria, in un momento in cui una legge in tal senso incontrava forte opposizione repubblicana al Congresso statunitense.</w:t>
      </w:r>
    </w:p>
    <w:p>
      <w:pPr>
        <w:spacing w:after="120" w:line="276"/>
        <w:jc w:val="both"/>
      </w:pPr>
      <w:r>
        <w:rPr>
          <w:rFonts w:ascii="Barlow Semi Condensed" w:cs="Barlow Semi Condensed" w:eastAsia="Barlow Semi Condensed" w:hAnsi="Barlow Semi Condensed"/>
          <w:b/>
          <w:bCs/>
          <w:sz w:val="24"/>
          <w:szCs w:val="24"/>
        </w:rPr>
        <w:t xml:space="preserve">E il dissenso interno al fronte antiapartheid va riportato perché la disciplina lo impone. Il reverendo Alan Boesak, capo del Consiglio mondiale delle Chiese riformate, criticò il pontefice per non aver inserito una condanna esplicita dell'apartheid nell'omelia finale della domenica: mi rattrista che il papa non si sia reso così chiaro sulla situazione come avrei voluto, e potrebbe aver dato al Sudafrica più conforto di quanto meriti.</w:t>
      </w:r>
    </w:p>
    <w:p>
      <w:pPr>
        <w:spacing w:after="120" w:line="276"/>
        <w:jc w:val="both"/>
      </w:pPr>
      <w:r>
        <w:rPr>
          <w:rFonts w:ascii="Barlow Semi Condensed" w:cs="Barlow Semi Condensed" w:eastAsia="Barlow Semi Condensed" w:hAnsi="Barlow Semi Condensed"/>
          <w:b/>
          <w:bCs/>
          <w:sz w:val="24"/>
          <w:szCs w:val="24"/>
        </w:rPr>
        <w:t xml:space="preserve">La visita ufficiale in Sudafrica avvenne solo dopo la fine dell'apartheid, il 16 e 17 settembre 1995. Il 17 settembre il pontefice celebrò la messa a Gosforth Park, Germiston, davanti a oltre centomila persone, salutando la nazione arcobaleno. Il documento programmatico del viaggio era l'esortazione \Ecclesia in Africa\, firmata il 14 settembre 1995.</w:t>
      </w:r>
    </w:p>
    <w:p>
      <w:pPr>
        <w:pStyle w:val="Heading2"/>
        <w:spacing w:after="100" w:before="200"/>
      </w:pPr>
      <w:r>
        <w:rPr>
          <w:rFonts w:ascii="Barlow Semi Condensed" w:cs="Barlow Semi Condensed" w:eastAsia="Barlow Semi Condensed" w:hAnsi="Barlow Semi Condensed"/>
          <w:sz w:val="24"/>
          <w:szCs w:val="24"/>
        </w:rPr>
        <w:t xml:space="preserve">Capitolo quinto — L'episcopato sudafricano e la tensione con il centro</w:t>
      </w:r>
    </w:p>
    <w:p>
      <w:pPr>
        <w:spacing w:after="120" w:line="276"/>
        <w:jc w:val="both"/>
      </w:pPr>
      <w:r>
        <w:rPr>
          <w:rFonts w:ascii="Barlow Semi Condensed" w:cs="Barlow Semi Condensed" w:eastAsia="Barlow Semi Condensed" w:hAnsi="Barlow Semi Condensed"/>
          <w:b/>
          <w:bCs/>
          <w:sz w:val="24"/>
          <w:szCs w:val="24"/>
        </w:rPr>
        <w:t xml:space="preserve">Il capitolo espone un pattern che il corpus possiede già in forma inversa, e che qui si presenta rovesciato.</w:t>
      </w:r>
    </w:p>
    <w:p>
      <w:pPr>
        <w:spacing w:after="120" w:line="276"/>
        <w:jc w:val="both"/>
      </w:pPr>
      <w:r>
        <w:rPr>
          <w:rFonts w:ascii="Barlow Semi Condensed" w:cs="Barlow Semi Condensed" w:eastAsia="Barlow Semi Condensed" w:hAnsi="Barlow Semi Condensed"/>
          <w:b/>
          <w:bCs/>
          <w:sz w:val="24"/>
          <w:szCs w:val="24"/>
        </w:rPr>
        <w:t xml:space="preserve">La conferenza.\\ La \\Southern African Catholic Bishops' Conference\\, costituita nel \\1947\\, fece la prima pronuncia contro il razzismo nel \\1952\\, e nel \\1957 condannò l'apartheid come intrinsecamente malvagio.</w:t>
      </w:r>
    </w:p>
    <w:p>
      <w:pPr>
        <w:spacing w:after="120" w:line="276"/>
        <w:jc w:val="both"/>
      </w:pPr>
      <w:r>
        <w:rPr>
          <w:rFonts w:ascii="Barlow Semi Condensed" w:cs="Barlow Semi Condensed" w:eastAsia="Barlow Semi Condensed" w:hAnsi="Barlow Semi Condensed"/>
          <w:b/>
          <w:bCs/>
          <w:sz w:val="24"/>
          <w:szCs w:val="24"/>
        </w:rPr>
        <w:t xml:space="preserve">La condanna fu contenuta in una lettera pastorale letta in tutte le chiese cattoliche il 21 luglio 1957\\, ed è ritenuta \\il primo caso in cui un corpo cristiano definì l'apartheid qualcosa di intrinsecamente malvagio.</w:t>
      </w:r>
    </w:p>
    <w:p>
      <w:pPr>
        <w:spacing w:after="120" w:line="276"/>
        <w:jc w:val="both"/>
      </w:pPr>
      <w:r>
        <w:rPr>
          <w:rFonts w:ascii="Barlow Semi Condensed" w:cs="Barlow Semi Condensed" w:eastAsia="Barlow Semi Condensed" w:hAnsi="Barlow Semi Condensed"/>
          <w:b/>
          <w:bCs/>
          <w:sz w:val="24"/>
          <w:szCs w:val="24"/>
        </w:rPr>
        <w:t xml:space="preserve">La figura. Denis Eugene Hurley, nato a Città del Capo nel 1915 da genitori irlandesi, oblato di Maria Immacolata, ordinato nel 1939, vicario apostolico del Natal nel 1947, arcivescovo di Durban nel 1951: il più giovane arcivescovo del mondo. Primo presidente della conferenza dal 1952 al 1961 e nuovamente dal 1981 al 1987.</w:t>
      </w:r>
    </w:p>
    <w:p>
      <w:pPr>
        <w:spacing w:after="120" w:line="276"/>
        <w:jc w:val="both"/>
      </w:pPr>
      <w:r>
        <w:rPr>
          <w:rFonts w:ascii="Barlow Semi Condensed" w:cs="Barlow Semi Condensed" w:eastAsia="Barlow Semi Condensed" w:hAnsi="Barlow Semi Condensed"/>
          <w:b/>
          <w:bCs/>
          <w:sz w:val="24"/>
          <w:szCs w:val="24"/>
        </w:rPr>
        <w:t xml:space="preserve">E adesso il dato che rovescia il pattern del corpus. La dichiarazione del 1957 fu voluta da Hurley in opposizione alla linea del delegato apostolico dell'epoca, il quale preferiva una strategia di ingaggio diplomatico con il regime di Verwoerd.</w:t>
      </w:r>
    </w:p>
    <w:p>
      <w:pPr>
        <w:spacing w:after="120" w:line="276"/>
        <w:jc w:val="both"/>
      </w:pPr>
      <w:r>
        <w:rPr>
          <w:rFonts w:ascii="Barlow Semi Condensed" w:cs="Barlow Semi Condensed" w:eastAsia="Barlow Semi Condensed" w:hAnsi="Barlow Semi Condensed"/>
          <w:b/>
          <w:bCs/>
          <w:sz w:val="24"/>
          <w:szCs w:val="24"/>
        </w:rPr>
        <w:t xml:space="preserve">Il corpus possiede già due casi di rapporto fra centro romano e periferia episcopale: la reticenza di Cerejeira in Portogallo e la sollecitazione di Frings in Germania. In entrambi la periferia determinava e il centro accompagnava.</w:t>
      </w:r>
    </w:p>
    <w:p>
      <w:pPr>
        <w:spacing w:after="120" w:line="276"/>
        <w:jc w:val="both"/>
      </w:pPr>
      <w:r>
        <w:rPr>
          <w:rFonts w:ascii="Barlow Semi Condensed" w:cs="Barlow Semi Condensed" w:eastAsia="Barlow Semi Condensed" w:hAnsi="Barlow Semi Condensed"/>
          <w:b/>
          <w:bCs/>
          <w:sz w:val="24"/>
          <w:szCs w:val="24"/>
        </w:rPr>
        <w:t xml:space="preserve">Qui il rapporto è invertito: la periferia è più avanzata del centro, e lo dichiara.</w:t>
      </w:r>
    </w:p>
    <w:p>
      <w:pPr>
        <w:spacing w:after="120" w:line="276"/>
        <w:jc w:val="both"/>
      </w:pPr>
      <w:r>
        <w:rPr>
          <w:rFonts w:ascii="Barlow Semi Condensed" w:cs="Barlow Semi Condensed" w:eastAsia="Barlow Semi Condensed" w:hAnsi="Barlow Semi Condensed"/>
          <w:b/>
          <w:bCs/>
          <w:sz w:val="24"/>
          <w:szCs w:val="24"/>
        </w:rPr>
        <w:t xml:space="preserve">Un elemento accademico conferma la tensione. La ricerca sul cosiddetto strano silenzio di Hurley al Concilio Vaticano II documenta che egli non promosse una condanna conciliare dell'apartheid per mancanza di sostegno degli altri vescovi, timorosi di ritorsioni del governo.</w:t>
      </w:r>
    </w:p>
    <w:p>
      <w:pPr>
        <w:spacing w:after="120" w:line="276"/>
        <w:jc w:val="both"/>
      </w:pPr>
      <w:r>
        <w:rPr>
          <w:rFonts w:ascii="Barlow Semi Condensed" w:cs="Barlow Semi Condensed" w:eastAsia="Barlow Semi Condensed" w:hAnsi="Barlow Semi Condensed"/>
          <w:b/>
          <w:bCs/>
          <w:sz w:val="24"/>
          <w:szCs w:val="24"/>
        </w:rPr>
        <w:t xml:space="preserve">I procedimenti giudiziari, con la divergenza fra fonti mantenuta. Nel 1984 Hurley fu incriminato per aver reso false dichiarazioni sulle atrocità commesse dall'unità paramilitare Koevoet in Namibia; nel 1985 fu prosciolto quando il procuratore annunciò che lo Stato non avrebbe proceduto perché il caso si fondava su voci e prove per sentito dire.</w:t>
      </w:r>
    </w:p>
    <w:p>
      <w:pPr>
        <w:spacing w:after="120" w:line="276"/>
        <w:jc w:val="both"/>
      </w:pPr>
      <w:r>
        <w:rPr>
          <w:rFonts w:ascii="Barlow Semi Condensed" w:cs="Barlow Semi Condensed" w:eastAsia="Barlow Semi Condensed" w:hAnsi="Barlow Semi Condensed"/>
          <w:b/>
          <w:bCs/>
          <w:sz w:val="24"/>
          <w:szCs w:val="24"/>
        </w:rPr>
        <w:t xml:space="preserve">Le fonti divergono sulla qualificazione: alcune parlano di imputazione per violazione del Police Act e di arresti domiciliari; altre di accusa di false dichiarazioni e di ritiro per timore dello Stato di essere imbarazzato dalle prove della difesa. Si riporta la divergenza.</w:t>
      </w:r>
    </w:p>
    <w:p>
      <w:pPr>
        <w:spacing w:after="120" w:line="276"/>
        <w:jc w:val="both"/>
      </w:pPr>
      <w:r>
        <w:rPr>
          <w:rFonts w:ascii="Barlow Semi Condensed" w:cs="Barlow Semi Condensed" w:eastAsia="Barlow Semi Condensed" w:hAnsi="Barlow Semi Condensed"/>
          <w:b/>
          <w:bCs/>
          <w:sz w:val="24"/>
          <w:szCs w:val="24"/>
        </w:rPr>
        <w:t xml:space="preserve">È documentato che la sua abitazione a Durban fu oggetto di attentato incendiario e che un ministro del governo lo definì un Che Guevara ecclesiastico.</w:t>
      </w:r>
    </w:p>
    <w:p>
      <w:pPr>
        <w:spacing w:after="120" w:line="276"/>
        <w:jc w:val="both"/>
      </w:pPr>
      <w:r>
        <w:rPr>
          <w:rFonts w:ascii="Barlow Semi Condensed" w:cs="Barlow Semi Condensed" w:eastAsia="Barlow Semi Condensed" w:hAnsi="Barlow Semi Condensed"/>
          <w:b/>
          <w:bCs/>
          <w:sz w:val="24"/>
          <w:szCs w:val="24"/>
        </w:rPr>
        <w:t xml:space="preserve">La repressione contro la conferenza. Il settimanale \New Nation\, fondato nel 1986, fu bandito nel 1988; nell'ottobre 1988 la sede della conferenza, Khanya House a Pretoria, fu fatta oggetto di attentato dinamitardo, per il quale nel 2000 la Commissione per la verità e la riconciliazione concesse l'amnistia a diciannove ex membri della polizia di sicurezza, incluso Eugene de Kock.</w:t>
      </w:r>
    </w:p>
    <w:p>
      <w:pPr>
        <w:pStyle w:val="Heading2"/>
        <w:spacing w:after="100" w:before="200"/>
      </w:pPr>
      <w:r>
        <w:rPr>
          <w:rFonts w:ascii="Barlow Semi Condensed" w:cs="Barlow Semi Condensed" w:eastAsia="Barlow Semi Condensed" w:hAnsi="Barlow Semi Condensed"/>
          <w:sz w:val="24"/>
          <w:szCs w:val="24"/>
        </w:rPr>
        <w:t xml:space="preserve">Capitolo sesto — Le scuole cattoliche: quindici anni prima dello Stato</w:t>
      </w:r>
    </w:p>
    <w:p>
      <w:pPr>
        <w:spacing w:after="120" w:line="276"/>
        <w:jc w:val="both"/>
      </w:pPr>
      <w:r>
        <w:rPr>
          <w:rFonts w:ascii="Barlow Semi Condensed" w:cs="Barlow Semi Condensed" w:eastAsia="Barlow Semi Condensed" w:hAnsi="Barlow Semi Condensed"/>
          <w:b/>
          <w:bCs/>
          <w:sz w:val="24"/>
          <w:szCs w:val="24"/>
        </w:rPr>
        <w:t xml:space="preserve">Il capitolo espone un accertamento cronologico che vale come misura.</w:t>
      </w:r>
    </w:p>
    <w:p>
      <w:pPr>
        <w:spacing w:after="120" w:line="276"/>
        <w:jc w:val="both"/>
      </w:pPr>
      <w:r>
        <w:rPr>
          <w:rFonts w:ascii="Barlow Semi Condensed" w:cs="Barlow Semi Condensed" w:eastAsia="Barlow Semi Condensed" w:hAnsi="Barlow Semi Condensed"/>
          <w:b/>
          <w:bCs/>
          <w:sz w:val="24"/>
          <w:szCs w:val="24"/>
        </w:rPr>
        <w:t xml:space="preserve">Lo studio di riferimento.\\ \\Pam Christie\\, \Open Schools: Racially Mixed Catholic Schools in South Africa, 1976-1986\, Ravan Press, Johannesburg 1990, \\il cui titolo fissa l'arco.</w:t>
      </w:r>
    </w:p>
    <w:p>
      <w:pPr>
        <w:spacing w:after="120" w:line="276"/>
        <w:jc w:val="both"/>
      </w:pPr>
      <w:r>
        <w:rPr>
          <w:rFonts w:ascii="Barlow Semi Condensed" w:cs="Barlow Semi Condensed" w:eastAsia="Barlow Semi Condensed" w:hAnsi="Barlow Semi Condensed"/>
          <w:b/>
          <w:bCs/>
          <w:sz w:val="24"/>
          <w:szCs w:val="24"/>
        </w:rPr>
        <w:t xml:space="preserve">La svolta, con la data.\\ Nel \\1976\\ i vescovi decisero di \\integrare scuole e seminari\\; e va registrato da dove venne la spinta iniziale: \\dalle congregazioni religiose femminili, che aprirono le scuole cattoliche a tutte le razze.</w:t>
      </w:r>
    </w:p>
    <w:p>
      <w:pPr>
        <w:spacing w:after="120" w:line="276"/>
        <w:jc w:val="both"/>
      </w:pPr>
      <w:r>
        <w:rPr>
          <w:rFonts w:ascii="Barlow Semi Condensed" w:cs="Barlow Semi Condensed" w:eastAsia="Barlow Semi Condensed" w:hAnsi="Barlow Semi Condensed"/>
          <w:b/>
          <w:bCs/>
          <w:sz w:val="24"/>
          <w:szCs w:val="24"/>
        </w:rPr>
        <w:t xml:space="preserve">Il precedente va distinto, e riguarda gli anni Cinquanta. Nella battaglia contro la Bantu Education, come ricorda Nelson Mandela in \Long Walk to Freedom\, i cattolici furono tra i pochi — con gli Avventisti del Settimo Giorno e la United Jewish Reform Congregation — a mantenere le proprie scuole missionarie senza aiuto statale, rifiutando di consegnarle al governo.</w:t>
      </w:r>
    </w:p>
    <w:p>
      <w:pPr>
        <w:spacing w:after="120" w:line="276"/>
        <w:jc w:val="both"/>
      </w:pPr>
      <w:r>
        <w:rPr>
          <w:rFonts w:ascii="Barlow Semi Condensed" w:cs="Barlow Semi Condensed" w:eastAsia="Barlow Semi Condensed" w:hAnsi="Barlow Semi Condensed"/>
          <w:b/>
          <w:bCs/>
          <w:sz w:val="24"/>
          <w:szCs w:val="24"/>
        </w:rPr>
        <w:t xml:space="preserve">E adesso la misura, che è il punto del capitolo.</w:t>
      </w:r>
    </w:p>
    <w:p>
      <w:pPr>
        <w:spacing w:after="120" w:line="276"/>
        <w:jc w:val="both"/>
      </w:pPr>
      <w:r>
        <w:rPr>
          <w:rFonts w:ascii="Barlow Semi Condensed" w:cs="Barlow Semi Condensed" w:eastAsia="Barlow Semi Condensed" w:hAnsi="Barlow Semi Condensed"/>
          <w:b/>
          <w:bCs/>
          <w:sz w:val="24"/>
          <w:szCs w:val="24"/>
        </w:rPr>
        <w:t xml:space="preserve">La desegregazione delle scuole cattoliche precedette di quasi un quindicennio la desegregazione generalizzata delle scuole bianche\\, avviata soltanto dal \\1990\\ con il meccanismo di voto scuola per scuola introdotto dal ministro \\Piet Clase.</w:t>
      </w:r>
    </w:p>
    <w:p>
      <w:pPr>
        <w:spacing w:after="120" w:line="276"/>
        <w:jc w:val="both"/>
      </w:pPr>
      <w:r>
        <w:rPr>
          <w:rFonts w:ascii="Barlow Semi Condensed" w:cs="Barlow Semi Condensed" w:eastAsia="Barlow Semi Condensed" w:hAnsi="Barlow Semi Condensed"/>
          <w:b/>
          <w:bCs/>
          <w:sz w:val="24"/>
          <w:szCs w:val="24"/>
        </w:rPr>
        <w:t xml:space="preserve">Quindici anni fra l'atto di una Chiesa e l'atto dello Stato sul medesimo territorio.</w:t>
      </w:r>
    </w:p>
    <w:p>
      <w:pPr>
        <w:spacing w:after="120" w:line="276"/>
        <w:jc w:val="both"/>
      </w:pPr>
      <w:r>
        <w:rPr>
          <w:rFonts w:ascii="Barlow Semi Condensed" w:cs="Barlow Semi Condensed" w:eastAsia="Barlow Semi Condensed" w:hAnsi="Barlow Semi Condensed"/>
          <w:b/>
          <w:bCs/>
          <w:sz w:val="24"/>
          <w:szCs w:val="24"/>
        </w:rPr>
        <w:t xml:space="preserve">L'evoluzione dei rapporti con Pretoria. Dalla mitezza paternalistica dei documenti degli anni Cinquanta e Sessanta si passò, dopo le rivolte di Soweto del 1976 e con la Declaration of Commitment del 1977, a un impegno più diretto, culminato negli anni Ottanta nella repressione.</w:t>
      </w:r>
    </w:p>
    <w:p>
      <w:pPr>
        <w:spacing w:after="120" w:line="276"/>
        <w:jc w:val="both"/>
      </w:pPr>
      <w:r>
        <w:rPr>
          <w:rFonts w:ascii="Barlow Semi Condensed" w:cs="Barlow Semi Condensed" w:eastAsia="Barlow Semi Condensed" w:hAnsi="Barlow Semi Condensed"/>
          <w:b/>
          <w:bCs/>
          <w:sz w:val="24"/>
          <w:szCs w:val="24"/>
        </w:rPr>
        <w:t xml:space="preserve">Un dato biografico misura il clima.\\ \\Smangaliso Mkhatshwa\\ fu nominato segretario generale della conferenza nel \\1981 mentre era ancora sottoposto a banning order.</w:t>
      </w:r>
    </w:p>
    <w:p>
      <w:pPr>
        <w:spacing w:after="120" w:line="276"/>
        <w:jc w:val="both"/>
      </w:pPr>
      <w:r>
        <w:rPr>
          <w:rFonts w:ascii="Barlow Semi Condensed" w:cs="Barlow Semi Condensed" w:eastAsia="Barlow Semi Condensed" w:hAnsi="Barlow Semi Condensed"/>
          <w:b/>
          <w:bCs/>
          <w:sz w:val="24"/>
          <w:szCs w:val="24"/>
        </w:rPr>
        <w:t xml:space="preserve">La consistenza della comunità, con lo statuto della fonte dichiarato.\\ Un'agenzia riportò nel settembre 1988 di un \\Paese a governo bianco, l'ottanta per cento dei cui due milioni e mezzo di cattolici è nero.</w:t>
      </w:r>
    </w:p>
    <w:p>
      <w:pPr>
        <w:spacing w:after="120" w:line="276"/>
        <w:jc w:val="both"/>
      </w:pPr>
      <w:r>
        <w:rPr>
          <w:rFonts w:ascii="Barlow Semi Condensed" w:cs="Barlow Semi Condensed" w:eastAsia="Barlow Semi Condensed" w:hAnsi="Barlow Semi Condensed"/>
          <w:b/>
          <w:bCs/>
          <w:sz w:val="24"/>
          <w:szCs w:val="24"/>
        </w:rPr>
        <w:t xml:space="preserve">È dato di stampa e non censuario, e va trattato come tale.</w:t>
      </w:r>
    </w:p>
    <w:p>
      <w:pPr>
        <w:spacing w:after="120" w:line="276"/>
        <w:jc w:val="both"/>
      </w:pPr>
      <w:r>
        <w:rPr>
          <w:rFonts w:ascii="Barlow Semi Condensed" w:cs="Barlow Semi Condensed" w:eastAsia="Barlow Semi Condensed" w:hAnsi="Barlow Semi Condensed"/>
          <w:b/>
          <w:bCs/>
          <w:sz w:val="24"/>
          <w:szCs w:val="24"/>
        </w:rPr>
        <w:t xml:space="preserve">Ma se anche approssimativo, esso enuncia la contraddizione strutturale della Chiesa cattolica sudafricana: una gerarchia in larga parte bianca e di origine straniera a capo di una comunità in larghissima parte nera, dentro un regime che quella comunità segregava.</w:t>
      </w:r>
    </w:p>
    <w:p>
      <w:pPr>
        <w:pStyle w:val="Heading2"/>
        <w:spacing w:after="100" w:before="200"/>
      </w:pPr>
      <w:r>
        <w:rPr>
          <w:rFonts w:ascii="Barlow Semi Condensed" w:cs="Barlow Semi Condensed" w:eastAsia="Barlow Semi Condensed" w:hAnsi="Barlow Semi Condensed"/>
          <w:sz w:val="24"/>
          <w:szCs w:val="24"/>
        </w:rPr>
        <w:t xml:space="preserve">Capitolo settimo — La Democrazia Cristiana: un accertamento e un esito negativo</w:t>
      </w:r>
    </w:p>
    <w:p>
      <w:pPr>
        <w:spacing w:after="120" w:line="276"/>
        <w:jc w:val="both"/>
      </w:pPr>
      <w:r>
        <w:rPr>
          <w:rFonts w:ascii="Barlow Semi Condensed" w:cs="Barlow Semi Condensed" w:eastAsia="Barlow Semi Condensed" w:hAnsi="Barlow Semi Condensed"/>
          <w:b/>
          <w:bCs/>
          <w:sz w:val="24"/>
          <w:szCs w:val="24"/>
        </w:rPr>
        <w:t xml:space="preserve">Il capitolo espone ciò che si è trovato del versante partitico italiano, che è meno di quanto l'ordine chiedesse.</w:t>
      </w:r>
    </w:p>
    <w:p>
      <w:pPr>
        <w:spacing w:after="120" w:line="276"/>
        <w:jc w:val="both"/>
      </w:pPr>
      <w:r>
        <w:rPr>
          <w:rFonts w:ascii="Barlow Semi Condensed" w:cs="Barlow Semi Condensed" w:eastAsia="Barlow Semi Condensed" w:hAnsi="Barlow Semi Condensed"/>
          <w:b/>
          <w:bCs/>
          <w:sz w:val="24"/>
          <w:szCs w:val="24"/>
        </w:rPr>
        <w:t xml:space="preserve">L'accertamento documentale solido. La banca dati aperta della Camera dei deputati attesta l'atto Camera numero dieci della undicesima legislatura, di iniziativa popolare, con data 19891010 — dunque presentato il 10 ottobre 1989 — intitolato Sanzioni contro il regime di apartheid nella Repubblica del Sudafrica, corrispondente alle cinquantamila firme già acquisite nel corpus; il testo a stampa è archiviato nel fondo dell'undicesima legislatura con stampato quarantaduemilanovecentotrentuno.</w:t>
      </w:r>
    </w:p>
    <w:p>
      <w:pPr>
        <w:spacing w:after="120" w:line="276"/>
        <w:jc w:val="both"/>
      </w:pPr>
      <w:r>
        <w:rPr>
          <w:rFonts w:ascii="Barlow Semi Condensed" w:cs="Barlow Semi Condensed" w:eastAsia="Barlow Semi Condensed" w:hAnsi="Barlow Semi Condensed"/>
          <w:b/>
          <w:bCs/>
          <w:sz w:val="24"/>
          <w:szCs w:val="24"/>
        </w:rPr>
        <w:t xml:space="preserve">Analogamente è acquisita la costituzione, nel gennaio 1985, del Coordinamento Nazionale contro l'Apartheid in Sudafrica.</w:t>
      </w:r>
    </w:p>
    <w:p>
      <w:pPr>
        <w:spacing w:after="120" w:line="276"/>
        <w:jc w:val="both"/>
      </w:pPr>
      <w:r>
        <w:rPr>
          <w:rFonts w:ascii="Barlow Semi Condensed" w:cs="Barlow Semi Condensed" w:eastAsia="Barlow Semi Condensed" w:hAnsi="Barlow Semi Condensed"/>
          <w:b/>
          <w:bCs/>
          <w:sz w:val="24"/>
          <w:szCs w:val="24"/>
        </w:rPr>
        <w:t xml:space="preserve">E adesso l'esito negativo, che va dichiarato senza attenuazioni perché riguarda il cuore dell'ordine ricevuto.</w:t>
      </w:r>
    </w:p>
    <w:p>
      <w:pPr>
        <w:spacing w:after="120" w:line="276"/>
        <w:jc w:val="both"/>
      </w:pPr>
      <w:r>
        <w:rPr>
          <w:rFonts w:ascii="Barlow Semi Condensed" w:cs="Barlow Semi Condensed" w:eastAsia="Barlow Semi Condensed" w:hAnsi="Barlow Semi Condensed"/>
          <w:b/>
          <w:bCs/>
          <w:sz w:val="24"/>
          <w:szCs w:val="24"/>
        </w:rPr>
        <w:t xml:space="preserve">Le fonti edite reperite non consentono di documentare una posizione ufficiale distinta e formalizzata della Democrazia Cristiana come partito — mozioni congressuali, documenti della segreteria, atti d'indirizzo specifici sull'apartheid — separata dall'azione parlamentare e dal fronte associativo trasversale.</w:t>
      </w:r>
    </w:p>
    <w:p>
      <w:pPr>
        <w:spacing w:after="120" w:line="276"/>
        <w:jc w:val="both"/>
      </w:pPr>
      <w:r>
        <w:rPr>
          <w:rFonts w:ascii="Barlow Semi Condensed" w:cs="Barlow Semi Condensed" w:eastAsia="Barlow Semi Condensed" w:hAnsi="Barlow Semi Condensed"/>
          <w:b/>
          <w:bCs/>
          <w:sz w:val="24"/>
          <w:szCs w:val="24"/>
        </w:rPr>
        <w:t xml:space="preserve">Ciò che si documenta è un'iniziativa popolare e un coordinamento nazionale, entrambi trasversali. Ciò che non si documenta è la DC come soggetto autonomo su questa materia.</w:t>
      </w:r>
    </w:p>
    <w:p>
      <w:pPr>
        <w:spacing w:after="120" w:line="276"/>
        <w:jc w:val="both"/>
      </w:pPr>
      <w:r>
        <w:rPr>
          <w:rFonts w:ascii="Barlow Semi Condensed" w:cs="Barlow Semi Condensed" w:eastAsia="Barlow Semi Condensed" w:hAnsi="Barlow Semi Condensed"/>
          <w:b/>
          <w:bCs/>
          <w:sz w:val="24"/>
          <w:szCs w:val="24"/>
        </w:rPr>
        <w:t xml:space="preserve">La sede propria per l'accertamento sono gli atti dei congressi nazionali democristiani, l'archivio dell'Istituto Luigi Sturzo e gli atti parlamentari relativi alle interrogazioni e ai dibattiti sul Sudafrica: depositi non esplorati.</w:t>
      </w:r>
    </w:p>
    <w:p>
      <w:pPr>
        <w:spacing w:after="120" w:line="276"/>
        <w:jc w:val="both"/>
      </w:pPr>
      <w:r>
        <w:rPr>
          <w:rFonts w:ascii="Barlow Semi Condensed" w:cs="Barlow Semi Condensed" w:eastAsia="Barlow Semi Condensed" w:hAnsi="Barlow Semi Condensed"/>
          <w:b/>
          <w:bCs/>
          <w:sz w:val="24"/>
          <w:szCs w:val="24"/>
        </w:rPr>
        <w:t xml:space="preserve">Un secondo esito negativo va registrato perché l'ordine lo chiedeva espressamente. Nessuna fonte edita documenta un coordinamento formale fra la Democrazia Cristiana e la Santa Sede o la Conferenza episcopale italiana sulla materia sudafricana.</w:t>
      </w:r>
    </w:p>
    <w:p>
      <w:pPr>
        <w:spacing w:after="120" w:line="276"/>
        <w:jc w:val="both"/>
      </w:pPr>
      <w:r>
        <w:rPr>
          <w:rFonts w:ascii="Barlow Semi Condensed" w:cs="Barlow Semi Condensed" w:eastAsia="Barlow Semi Condensed" w:hAnsi="Barlow Semi Condensed"/>
          <w:b/>
          <w:bCs/>
          <w:sz w:val="24"/>
          <w:szCs w:val="24"/>
        </w:rPr>
        <w:t xml:space="preserve">Si tratta di mancato reperimento e non di impossibilità istituzionale, e la distinzione va mantenuta: l'archivio della DC esiste ed è consultabile, a differenza di quello vaticano per il periodo.</w:t>
      </w:r>
    </w:p>
    <w:p>
      <w:pPr>
        <w:spacing w:after="120" w:line="276"/>
        <w:jc w:val="both"/>
      </w:pPr>
      <w:r>
        <w:rPr>
          <w:rFonts w:ascii="Barlow Semi Condensed" w:cs="Barlow Semi Condensed" w:eastAsia="Barlow Semi Condensed" w:hAnsi="Barlow Semi Condensed"/>
          <w:b/>
          <w:bCs/>
          <w:sz w:val="24"/>
          <w:szCs w:val="24"/>
        </w:rPr>
        <w:t xml:space="preserve">Il quadro europeo entro cui l'Italia si muoveva, per contesto. La Comunità adottò nel luglio 1977 un codice di condotta per le aziende operanti in Sudafrica e, nel 1985-1986, misure restrittive. Le Nazioni Unite avevano reso obbligatorio l'embargo sulle armi con la risoluzione quattrocentodiciotto del 4 novembre 1977, adottata all'unanimità con quindici voti — primo caso di sanzioni obbligatorie imposte a uno Stato membro — che l'Italia ratificò.</w:t>
      </w:r>
    </w:p>
    <w:p>
      <w:pPr>
        <w:pStyle w:val="Heading2"/>
        <w:spacing w:after="100" w:before="200"/>
      </w:pPr>
      <w:r>
        <w:rPr>
          <w:rFonts w:ascii="Barlow Semi Condensed" w:cs="Barlow Semi Condensed" w:eastAsia="Barlow Semi Condensed" w:hAnsi="Barlow Semi Condensed"/>
          <w:sz w:val="24"/>
          <w:szCs w:val="24"/>
        </w:rPr>
        <w:t xml:space="preserve">Capitolo ottavo — Zonderwater: la dimensione religiosa e una correzione</w:t>
      </w:r>
    </w:p>
    <w:p>
      <w:pPr>
        <w:spacing w:after="120" w:line="276"/>
        <w:jc w:val="both"/>
      </w:pPr>
      <w:r>
        <w:rPr>
          <w:rFonts w:ascii="Barlow Semi Condensed" w:cs="Barlow Semi Condensed" w:eastAsia="Barlow Semi Condensed" w:hAnsi="Barlow Semi Condensed"/>
          <w:b/>
          <w:bCs/>
          <w:sz w:val="24"/>
          <w:szCs w:val="24"/>
        </w:rPr>
        <w:t xml:space="preserve">Il capitolo espone il versante che l'ordine chiedeva sulla comunità italiana, e vi apporta una correzione metodologica.</w:t>
      </w:r>
    </w:p>
    <w:p>
      <w:pPr>
        <w:spacing w:after="120" w:line="276"/>
        <w:jc w:val="both"/>
      </w:pPr>
      <w:r>
        <w:rPr>
          <w:rFonts w:ascii="Barlow Semi Condensed" w:cs="Barlow Semi Condensed" w:eastAsia="Barlow Semi Condensed" w:hAnsi="Barlow Semi Condensed"/>
          <w:b/>
          <w:bCs/>
          <w:sz w:val="24"/>
          <w:szCs w:val="24"/>
        </w:rPr>
        <w:t xml:space="preserve">I numeri, già in parte acquisiti. Il campo di Zonderwater, presso Cullinan a poco più di quaranta chilometri da Pretoria, contò cinquantaquattromila prigionieri nell'aprile 1942, sessantatremila nel 1943, fino a un totale di novantamila.</w:t>
      </w:r>
    </w:p>
    <w:p>
      <w:pPr>
        <w:spacing w:after="120" w:line="276"/>
        <w:jc w:val="both"/>
      </w:pPr>
      <w:r>
        <w:rPr>
          <w:rFonts w:ascii="Barlow Semi Condensed" w:cs="Barlow Semi Condensed" w:eastAsia="Barlow Semi Condensed" w:hAnsi="Barlow Semi Condensed"/>
          <w:b/>
          <w:bCs/>
          <w:sz w:val="24"/>
          <w:szCs w:val="24"/>
        </w:rPr>
        <w:t xml:space="preserve">Una divergenza va segnalata perché tocca un dato già iscritto nel corpus. Sul numero dei caduti: il corpus e alcune fonti indicano trecentododici; un articolo italiano parla di duecentosettantanove italiani sepolti; una fonte sudafricana precisa che quasi duecentottanta soldati sono sepolti a Zonderwater e trentacinque nel cimitero di guerra di Pietermaritzburg.</w:t>
      </w:r>
    </w:p>
    <w:p>
      <w:pPr>
        <w:spacing w:after="120" w:line="276"/>
        <w:jc w:val="both"/>
      </w:pPr>
      <w:r>
        <w:rPr>
          <w:rFonts w:ascii="Barlow Semi Condensed" w:cs="Barlow Semi Condensed" w:eastAsia="Barlow Semi Condensed" w:hAnsi="Barlow Semi Condensed"/>
          <w:b/>
          <w:bCs/>
          <w:sz w:val="24"/>
          <w:szCs w:val="24"/>
        </w:rPr>
        <w:t xml:space="preserve">La divergenza è probabilmente riconducibile alla distinzione fra caduti complessivamente onorati e sepolti nel solo cimitero di Zonderwater, e si riporta anziché comporre.</w:t>
      </w:r>
    </w:p>
    <w:p>
      <w:pPr>
        <w:spacing w:after="120" w:line="276"/>
        <w:jc w:val="both"/>
      </w:pPr>
      <w:r>
        <w:rPr>
          <w:rFonts w:ascii="Barlow Semi Condensed" w:cs="Barlow Semi Condensed" w:eastAsia="Barlow Semi Condensed" w:hAnsi="Barlow Semi Condensed"/>
          <w:b/>
          <w:bCs/>
          <w:sz w:val="24"/>
          <w:szCs w:val="24"/>
        </w:rPr>
        <w:t xml:space="preserve">L'assistenza spirituale, che è ciò che l'ordine chiedeva. Essa fu garantita da cappellani militari anch'essi prigionieri. Il sito ufficiale del museo del campo attesta l'assistenza religiosa dispensata dai molti cappellani militari anch'essi prigionieri; una fonte italiana precisa che furono erette cappelle affidate a ventitré cappellani militari detenuti nel campo.</w:t>
      </w:r>
    </w:p>
    <w:p>
      <w:pPr>
        <w:spacing w:after="120" w:line="276"/>
        <w:jc w:val="both"/>
      </w:pPr>
      <w:r>
        <w:rPr>
          <w:rFonts w:ascii="Barlow Semi Condensed" w:cs="Barlow Semi Condensed" w:eastAsia="Barlow Semi Condensed" w:hAnsi="Barlow Semi Condensed"/>
          <w:b/>
          <w:bCs/>
          <w:sz w:val="24"/>
          <w:szCs w:val="24"/>
        </w:rPr>
        <w:t xml:space="preserve">Concorsero all'assistenza\\ la Croce Rossa Internazionale, Sudafricana e Italiana, l'associazione giovanile cristiana e \\la collettività italiana locale, numerosa e prospera, organizzata in comitati di assistenza ai prigionieri.</w:t>
      </w:r>
    </w:p>
    <w:p>
      <w:pPr>
        <w:spacing w:after="120" w:line="276"/>
        <w:jc w:val="both"/>
      </w:pPr>
      <w:r>
        <w:rPr>
          <w:rFonts w:ascii="Barlow Semi Condensed" w:cs="Barlow Semi Condensed" w:eastAsia="Barlow Semi Condensed" w:hAnsi="Barlow Semi Condensed"/>
          <w:b/>
          <w:bCs/>
          <w:sz w:val="24"/>
          <w:szCs w:val="24"/>
        </w:rPr>
        <w:t xml:space="preserve">Del campo restano oggi il cimitero, la cappella, il museo e il monumento dei Tre Archi, custoditi con il concorso del comitato degli italiani all'estero di Johannesburg.</w:t>
      </w:r>
    </w:p>
    <w:p>
      <w:pPr>
        <w:spacing w:after="120" w:line="276"/>
        <w:jc w:val="both"/>
      </w:pPr>
      <w:r>
        <w:rPr>
          <w:rFonts w:ascii="Barlow Semi Condensed" w:cs="Barlow Semi Condensed" w:eastAsia="Barlow Semi Condensed" w:hAnsi="Barlow Semi Condensed"/>
          <w:b/>
          <w:bCs/>
          <w:sz w:val="24"/>
          <w:szCs w:val="24"/>
        </w:rPr>
        <w:t xml:space="preserve">E adesso la correzione metodologica, che registro perché la ricerca stessa l'ha rilevata e tacerla sarebbe scorretto.</w:t>
      </w:r>
    </w:p>
    <w:p>
      <w:pPr>
        <w:spacing w:after="120" w:line="276"/>
        <w:jc w:val="both"/>
      </w:pPr>
      <w:r>
        <w:rPr>
          <w:rFonts w:ascii="Barlow Semi Condensed" w:cs="Barlow Semi Condensed" w:eastAsia="Barlow Semi Condensed" w:hAnsi="Barlow Semi Condensed"/>
          <w:b/>
          <w:bCs/>
          <w:sz w:val="24"/>
          <w:szCs w:val="24"/>
        </w:rPr>
        <w:t xml:space="preserve">Una fonte reperita descrive il ruolo della Delegazione Apostolica retta da monsignor Amleto Cicognani nell'assistenza ai prigionieri italiani. Ma quel passo si riferisce ai campi negli Stati Uniti, non al Sudafrica, e non va trasferito a Zonderwater.</w:t>
      </w:r>
    </w:p>
    <w:p>
      <w:pPr>
        <w:spacing w:after="120" w:line="276"/>
        <w:jc w:val="both"/>
      </w:pPr>
      <w:r>
        <w:rPr>
          <w:rFonts w:ascii="Barlow Semi Condensed" w:cs="Barlow Semi Condensed" w:eastAsia="Barlow Semi Condensed" w:hAnsi="Barlow Semi Condensed"/>
          <w:b/>
          <w:bCs/>
          <w:sz w:val="24"/>
          <w:szCs w:val="24"/>
        </w:rPr>
        <w:t xml:space="preserve">È errore di attribuzione geografica del tipo che questa serie ha già registrato due volte a proprio carico, e la ricerca lo ha evitato dichiarandolo.</w:t>
      </w:r>
    </w:p>
    <w:p>
      <w:pPr>
        <w:spacing w:after="120" w:line="276"/>
        <w:jc w:val="both"/>
      </w:pPr>
      <w:r>
        <w:rPr>
          <w:rFonts w:ascii="Barlow Semi Condensed" w:cs="Barlow Semi Condensed" w:eastAsia="Barlow Semi Condensed" w:hAnsi="Barlow Semi Condensed"/>
          <w:b/>
          <w:bCs/>
          <w:sz w:val="24"/>
          <w:szCs w:val="24"/>
        </w:rPr>
        <w:t xml:space="preserve">Un esito negativo chiude il capitolo. Sulla domanda se la comunità italiana in Sudafrica abbia assunto posizioni sull'apartheid, le fonti reperite non offrono documentazione. Sede: archivi del comitato degli italiani all'estero, della comunità e dei consolati.</w:t>
      </w:r>
    </w:p>
    <w:p>
      <w:pPr>
        <w:pStyle w:val="Heading2"/>
        <w:spacing w:after="100" w:before="200"/>
      </w:pPr>
      <w:r>
        <w:rPr>
          <w:rFonts w:ascii="Barlow Semi Condensed" w:cs="Barlow Semi Condensed" w:eastAsia="Barlow Semi Condensed" w:hAnsi="Barlow Semi Condensed"/>
          <w:sz w:val="24"/>
          <w:szCs w:val="24"/>
        </w:rPr>
        <w:t xml:space="preserve">Capitolo nono — Moro: lo Stato Zero e la sua gradazione</w:t>
      </w:r>
    </w:p>
    <w:p>
      <w:pPr>
        <w:spacing w:after="120" w:line="276"/>
        <w:jc w:val="both"/>
      </w:pPr>
      <w:r>
        <w:rPr>
          <w:rFonts w:ascii="Barlow Semi Condensed" w:cs="Barlow Semi Condensed" w:eastAsia="Barlow Semi Condensed" w:hAnsi="Barlow Semi Condensed"/>
          <w:b/>
          <w:bCs/>
          <w:sz w:val="24"/>
          <w:szCs w:val="24"/>
        </w:rPr>
        <w:t xml:space="preserve">Il capitolo esegue la triangolazione richiesta, e ne dichiara l'esito con il grado.</w:t>
      </w:r>
    </w:p>
    <w:p>
      <w:pPr>
        <w:spacing w:after="120" w:line="276"/>
        <w:jc w:val="both"/>
      </w:pPr>
      <w:r>
        <w:rPr>
          <w:rFonts w:ascii="Barlow Semi Condensed" w:cs="Barlow Semi Condensed" w:eastAsia="Barlow Semi Condensed" w:hAnsi="Barlow Semi Condensed"/>
          <w:b/>
          <w:bCs/>
          <w:sz w:val="24"/>
          <w:szCs w:val="24"/>
        </w:rPr>
        <w:t xml:space="preserve">L'esito. Non esiste, nelle fonti reperite, alcuna documentazione che colleghi Aldo Moro alla questione sudafricana o namibiana — né come ministro degli Esteri, né come presidente del Consiglio, né come dirigente e presidente della Democrazia Cristiana.</w:t>
      </w:r>
    </w:p>
    <w:p>
      <w:pPr>
        <w:spacing w:after="120" w:line="276"/>
        <w:jc w:val="both"/>
      </w:pPr>
      <w:r>
        <w:rPr>
          <w:rFonts w:ascii="Barlow Semi Condensed" w:cs="Barlow Semi Condensed" w:eastAsia="Barlow Semi Condensed" w:hAnsi="Barlow Semi Condensed"/>
          <w:b/>
          <w:bCs/>
          <w:sz w:val="24"/>
          <w:szCs w:val="24"/>
        </w:rPr>
        <w:t xml:space="preserve">La biografia ufficiale del Ministero degli Affari Esteri riassume i meriti di politica estera di Moro nella risoluzione dei contenziosi con la Jugoslavia e l'Etiopia e nell'impegno per l'integrazione europea. L'Africa australe e l'apartheid non sono menzionati.</w:t>
      </w:r>
    </w:p>
    <w:p>
      <w:pPr>
        <w:spacing w:after="120" w:line="276"/>
        <w:jc w:val="both"/>
      </w:pPr>
      <w:r>
        <w:rPr>
          <w:rFonts w:ascii="Barlow Semi Condensed" w:cs="Barlow Semi Condensed" w:eastAsia="Barlow Semi Condensed" w:hAnsi="Barlow Semi Condensed"/>
          <w:b/>
          <w:bCs/>
          <w:sz w:val="24"/>
          <w:szCs w:val="24"/>
        </w:rPr>
        <w:t xml:space="preserve">La storiografia colloca la sua azione nel Mediterraneo, nel mondo arabo e nell'alleanza atlantica: la fase mediterranea della politica estera italiana.</w:t>
      </w:r>
    </w:p>
    <w:p>
      <w:pPr>
        <w:spacing w:after="120" w:line="276"/>
        <w:jc w:val="both"/>
      </w:pPr>
      <w:r>
        <w:rPr>
          <w:rFonts w:ascii="Barlow Semi Condensed" w:cs="Barlow Semi Condensed" w:eastAsia="Barlow Semi Condensed" w:hAnsi="Barlow Semi Condensed"/>
          <w:b/>
          <w:bCs/>
          <w:sz w:val="24"/>
          <w:szCs w:val="24"/>
        </w:rPr>
        <w:t xml:space="preserve">Ma si applica la prescrizione ereditata dalla quattordicesima ricognizione: non concludere per l'inazione senza avere prima identificato l'apparato competente, poiché il precedente di Osimo dimostra che un negoziato può essere condotto attraverso un canale atipico.</w:t>
      </w:r>
    </w:p>
    <w:p>
      <w:pPr>
        <w:spacing w:after="120" w:line="276"/>
        <w:jc w:val="both"/>
      </w:pPr>
      <w:r>
        <w:rPr>
          <w:rFonts w:ascii="Barlow Semi Condensed" w:cs="Barlow Semi Condensed" w:eastAsia="Barlow Semi Condensed" w:hAnsi="Barlow Semi Condensed"/>
          <w:b/>
          <w:bCs/>
          <w:sz w:val="24"/>
          <w:szCs w:val="24"/>
        </w:rPr>
        <w:t xml:space="preserve">E l'apparato competente ha prodotto atti, che vanno elencati perché sono istituzionali e non personalmente attribuibili.</w:t>
      </w:r>
    </w:p>
    <w:p>
      <w:pPr>
        <w:spacing w:after="120" w:line="276"/>
        <w:jc w:val="both"/>
      </w:pPr>
      <w:r>
        <w:rPr>
          <w:rFonts w:ascii="Barlow Semi Condensed" w:cs="Barlow Semi Condensed" w:eastAsia="Barlow Semi Condensed" w:hAnsi="Barlow Semi Condensed"/>
          <w:b/>
          <w:bCs/>
          <w:sz w:val="24"/>
          <w:szCs w:val="24"/>
        </w:rPr>
        <w:t xml:space="preserve">Primo.\\ \\L'Italia mantenne per tutto il periodo relazioni diplomatiche piene con il Sudafrica, stabilite nel 1929, e un'ambasciata a Pretoria — a differenza della Santa Sede.</w:t>
      </w:r>
    </w:p>
    <w:p>
      <w:pPr>
        <w:spacing w:after="120" w:line="276"/>
        <w:jc w:val="both"/>
      </w:pPr>
      <w:r>
        <w:rPr>
          <w:rFonts w:ascii="Barlow Semi Condensed" w:cs="Barlow Semi Condensed" w:eastAsia="Barlow Semi Condensed" w:hAnsi="Barlow Semi Condensed"/>
          <w:b/>
          <w:bCs/>
          <w:sz w:val="24"/>
          <w:szCs w:val="24"/>
        </w:rPr>
        <w:t xml:space="preserve">Secondo, e va datato con precisione perché cade nel perimetro. Il Sudafrica ottenne nel 1964 la licenza per produrre l'Aermacchi MB-326 come Impala; e nel settembre 1970 la South African Air Force ordinò quaranta velivoli da osservazione Aermacchi AM.3C, denominati localmente Bosbok, il primo dei quali entrò in servizio nel marzo 1973 con consegne proseguite fino al dicembre 1975.</w:t>
      </w:r>
    </w:p>
    <w:p>
      <w:pPr>
        <w:spacing w:after="120" w:line="276"/>
        <w:jc w:val="both"/>
      </w:pPr>
      <w:r>
        <w:rPr>
          <w:rFonts w:ascii="Barlow Semi Condensed" w:cs="Barlow Semi Condensed" w:eastAsia="Barlow Semi Condensed" w:hAnsi="Barlow Semi Condensed"/>
          <w:b/>
          <w:bCs/>
          <w:sz w:val="24"/>
          <w:szCs w:val="24"/>
        </w:rPr>
        <w:t xml:space="preserve">Dunque a cavallo del secondo mandato ministeriale e della presidenza del Consiglio di Moro.</w:t>
      </w:r>
    </w:p>
    <w:p>
      <w:pPr>
        <w:spacing w:after="120" w:line="276"/>
        <w:jc w:val="both"/>
      </w:pPr>
      <w:r>
        <w:rPr>
          <w:rFonts w:ascii="Barlow Semi Condensed" w:cs="Barlow Semi Condensed" w:eastAsia="Barlow Semi Condensed" w:hAnsi="Barlow Semi Condensed"/>
          <w:b/>
          <w:bCs/>
          <w:sz w:val="24"/>
          <w:szCs w:val="24"/>
        </w:rPr>
        <w:t xml:space="preserve">Fonti internazionali elencano l'Italia fra i principali fornitori di tecnologia militare a Pretoria prima dell'embargo obbligatorio del 1977.</w:t>
      </w:r>
    </w:p>
    <w:p>
      <w:pPr>
        <w:spacing w:after="120" w:line="276"/>
        <w:jc w:val="both"/>
      </w:pPr>
      <w:r>
        <w:rPr>
          <w:rFonts w:ascii="Barlow Semi Condensed" w:cs="Barlow Semi Condensed" w:eastAsia="Barlow Semi Condensed" w:hAnsi="Barlow Semi Condensed"/>
          <w:b/>
          <w:bCs/>
          <w:sz w:val="24"/>
          <w:szCs w:val="24"/>
        </w:rPr>
        <w:t xml:space="preserve">Terzo. L'Italia, membro non permanente del Consiglio di Sicurezza nel 1971-1972, votò a favore delle risoluzioni sulla Namibia trecentouno del 20 ottobre 1971 e trecentoventitré del 6 dicembre 1972, durante il primo mandato di Moro alla Farnesina.</w:t>
      </w:r>
    </w:p>
    <w:p>
      <w:pPr>
        <w:spacing w:after="120" w:line="276"/>
        <w:jc w:val="both"/>
      </w:pPr>
      <w:r>
        <w:rPr>
          <w:rFonts w:ascii="Barlow Semi Condensed" w:cs="Barlow Semi Condensed" w:eastAsia="Barlow Semi Condensed" w:hAnsi="Barlow Semi Condensed"/>
          <w:b/>
          <w:bCs/>
          <w:sz w:val="24"/>
          <w:szCs w:val="24"/>
        </w:rPr>
        <w:t xml:space="preserve">Quanto all'udienza pontificia del 1 luglio 1970, nessuna traccia di reazione o posizione ufficiale del governo italiano.\\ L'incidente fu \\strettamente fra il Portogallo e la Santa Sede, entità sovrana distinta dall'Italia.</w:t>
      </w:r>
    </w:p>
    <w:p>
      <w:pPr>
        <w:spacing w:after="120" w:line="276"/>
        <w:jc w:val="both"/>
      </w:pPr>
      <w:r>
        <w:rPr>
          <w:rFonts w:ascii="Barlow Semi Condensed" w:cs="Barlow Semi Condensed" w:eastAsia="Barlow Semi Condensed" w:hAnsi="Barlow Semi Condensed"/>
          <w:b/>
          <w:bCs/>
          <w:sz w:val="24"/>
          <w:szCs w:val="24"/>
        </w:rPr>
        <w:t xml:space="preserve">Ne discende un caso in cui lo Stato italiano agì istituzionalmente sull'Africa australe — voti alle Nazioni Unite, commercio d'armi — senza che alcun atto sia personalmente riferibile a Moro.</w:t>
      </w:r>
    </w:p>
    <w:p>
      <w:pPr>
        <w:spacing w:after="120" w:line="276"/>
        <w:jc w:val="both"/>
      </w:pPr>
      <w:r>
        <w:rPr>
          <w:rFonts w:ascii="Barlow Semi Condensed" w:cs="Barlow Semi Condensed" w:eastAsia="Barlow Semi Condensed" w:hAnsi="Barlow Semi Condensed"/>
          <w:b/>
          <w:bCs/>
          <w:sz w:val="24"/>
          <w:szCs w:val="24"/>
        </w:rPr>
        <w:t xml:space="preserve">La gradazione, secondo la scala del corpus.\\ \\Stato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b/>
          <w:bCs/>
          <w:sz w:val="24"/>
          <w:szCs w:val="24"/>
        </w:rPr>
        <w:t xml:space="preserve">Non è insieme vuoto verificato, perché la Settima serie dei Documenti Diplomatici Italiani e i fondi dell'Archivio Storico Diplomatico restano da esaminare. Non è allegazione senza base, perché nessuno ha mai affermato un tale nesso. Non è atto atipico documentato, benché il precedente di Osimo imponga di non escluderlo a priori.</w:t>
      </w:r>
    </w:p>
    <w:p>
      <w:pPr>
        <w:pStyle w:val="Heading2"/>
        <w:spacing w:after="100" w:before="200"/>
      </w:pPr>
      <w:r>
        <w:rPr>
          <w:rFonts w:ascii="Barlow Semi Condensed" w:cs="Barlow Semi Condensed" w:eastAsia="Barlow Semi Condensed" w:hAnsi="Barlow Semi Condensed"/>
          <w:sz w:val="24"/>
          <w:szCs w:val="24"/>
        </w:rPr>
        <w:t xml:space="preserve">Capitolo decimo — Il confronto fra le due sovranità</w:t>
      </w:r>
    </w:p>
    <w:p>
      <w:pPr>
        <w:spacing w:after="120" w:line="276"/>
        <w:jc w:val="both"/>
      </w:pPr>
      <w:r>
        <w:rPr>
          <w:rFonts w:ascii="Barlow Semi Condensed" w:cs="Barlow Semi Condensed" w:eastAsia="Barlow Semi Condensed" w:hAnsi="Barlow Semi Condensed"/>
          <w:b/>
          <w:bCs/>
          <w:sz w:val="24"/>
          <w:szCs w:val="24"/>
        </w:rPr>
        <w:t xml:space="preserve">Il capitolo esegue il confronto che è il risultato dell'intera ricognizione.</w:t>
      </w:r>
    </w:p>
    <w:p>
      <w:pPr>
        <w:spacing w:after="120" w:line="276"/>
        <w:jc w:val="both"/>
      </w:pPr>
      <w:r>
        <w:rPr>
          <w:rFonts w:ascii="Barlow Semi Condensed" w:cs="Barlow Semi Condensed" w:eastAsia="Barlow Semi Condensed" w:hAnsi="Barlow Semi Condensed"/>
          <w:b/>
          <w:bCs/>
          <w:sz w:val="24"/>
          <w:szCs w:val="24"/>
        </w:rPr>
        <w:t xml:space="preserve">Sul piano diplomatico il contrasto è netto e non ammette attenuazioni.</w:t>
      </w:r>
    </w:p>
    <w:p>
      <w:pPr>
        <w:spacing w:after="120" w:line="276"/>
        <w:jc w:val="both"/>
      </w:pPr>
      <w:r>
        <w:rPr>
          <w:rFonts w:ascii="Barlow Semi Condensed" w:cs="Barlow Semi Condensed" w:eastAsia="Barlow Semi Condensed" w:hAnsi="Barlow Semi Condensed"/>
          <w:b/>
          <w:bCs/>
          <w:sz w:val="24"/>
          <w:szCs w:val="24"/>
        </w:rPr>
        <w:t xml:space="preserve">La Santa Sede: nessun ambasciatore presso il regime dell'apartheid per settantadue anni; relazioni piene aperte quattro mesi dopo le prime elezioni democratiche.</w:t>
      </w:r>
    </w:p>
    <w:p>
      <w:pPr>
        <w:spacing w:after="120" w:line="276"/>
        <w:jc w:val="both"/>
      </w:pPr>
      <w:r>
        <w:rPr>
          <w:rFonts w:ascii="Barlow Semi Condensed" w:cs="Barlow Semi Condensed" w:eastAsia="Barlow Semi Condensed" w:hAnsi="Barlow Semi Condensed"/>
          <w:b/>
          <w:bCs/>
          <w:sz w:val="24"/>
          <w:szCs w:val="24"/>
        </w:rPr>
        <w:t xml:space="preserve">L'Italia: relazioni piene dal 1929, ambasciata a Pretoria per l'intera durata del regime, e velivoli da osservazione consegnati alla sua aeronautica militare fino al dicembre 1975.</w:t>
      </w:r>
    </w:p>
    <w:p>
      <w:pPr>
        <w:spacing w:after="120" w:line="276"/>
        <w:jc w:val="both"/>
      </w:pPr>
      <w:r>
        <w:rPr>
          <w:rFonts w:ascii="Barlow Semi Condensed" w:cs="Barlow Semi Condensed" w:eastAsia="Barlow Semi Condensed" w:hAnsi="Barlow Semi Condensed"/>
          <w:b/>
          <w:bCs/>
          <w:sz w:val="24"/>
          <w:szCs w:val="24"/>
        </w:rPr>
        <w:t xml:space="preserve">Va però evitata la conclusione morale immediata, e per tre ragioni che vanno enunciate.</w:t>
      </w:r>
    </w:p>
    <w:p>
      <w:pPr>
        <w:spacing w:after="120" w:line="276"/>
        <w:jc w:val="both"/>
      </w:pPr>
      <w:r>
        <w:rPr>
          <w:rFonts w:ascii="Barlow Semi Condensed" w:cs="Barlow Semi Condensed" w:eastAsia="Barlow Semi Condensed" w:hAnsi="Barlow Semi Condensed"/>
          <w:b/>
          <w:bCs/>
          <w:sz w:val="24"/>
          <w:szCs w:val="24"/>
        </w:rPr>
        <w:t xml:space="preserve">Prima ragione: le due sovranità non sono comparabili quanto agli obblighi. Uno Stato ha obblighi verso i propri cittadini all'estero — e in Sudafrica vi era una comunità italiana stimata attorno alle centomila persone — e verso i propri interessi economici. La Santa Sede non ha cittadini all'estero né interessi commerciali di quel genere. Il costo della non-relazione era per essa incomparabilmente minore.</w:t>
      </w:r>
    </w:p>
    <w:p>
      <w:pPr>
        <w:spacing w:after="120" w:line="276"/>
        <w:jc w:val="both"/>
      </w:pPr>
      <w:r>
        <w:rPr>
          <w:rFonts w:ascii="Barlow Semi Condensed" w:cs="Barlow Semi Condensed" w:eastAsia="Barlow Semi Condensed" w:hAnsi="Barlow Semi Condensed"/>
          <w:b/>
          <w:bCs/>
          <w:sz w:val="24"/>
          <w:szCs w:val="24"/>
        </w:rPr>
        <w:t xml:space="preserve">Seconda ragione: la Santa Sede non fu lineare al proprio interno. Il Capitolo quinto ha documentato che la dichiarazione episcopale del 1957 fu adottata in opposizione alla linea del delegato apostolico, che preferiva l'ingaggio diplomatico con Verwoerd. La fermezza fu della periferia; il centro accompagnò, e in un primo tempo frenò.</w:t>
      </w:r>
    </w:p>
    <w:p>
      <w:pPr>
        <w:spacing w:after="120" w:line="276"/>
        <w:jc w:val="both"/>
      </w:pPr>
      <w:r>
        <w:rPr>
          <w:rFonts w:ascii="Barlow Semi Condensed" w:cs="Barlow Semi Condensed" w:eastAsia="Barlow Semi Condensed" w:hAnsi="Barlow Semi Condensed"/>
          <w:b/>
          <w:bCs/>
          <w:sz w:val="24"/>
          <w:szCs w:val="24"/>
        </w:rPr>
        <w:t xml:space="preserve">Terza ragione: l'assenza di relazioni non equivale all'assenza di presenza. La Chiesa cattolica era in Sudafrica massicciamente presente — due milioni e mezzo di fedeli, scuole, seminari, ospedali — e quella presenza era essa stessa una forma di rapporto con il territorio, ancorché non con lo Stato.</w:t>
      </w:r>
    </w:p>
    <w:p>
      <w:pPr>
        <w:spacing w:after="120" w:line="276"/>
        <w:jc w:val="both"/>
      </w:pPr>
      <w:r>
        <w:rPr>
          <w:rFonts w:ascii="Barlow Semi Condensed" w:cs="Barlow Semi Condensed" w:eastAsia="Barlow Semi Condensed" w:hAnsi="Barlow Semi Condensed"/>
          <w:b/>
          <w:bCs/>
          <w:sz w:val="24"/>
          <w:szCs w:val="24"/>
        </w:rPr>
        <w:t xml:space="preserve">Ne discende la formulazione corretta del confronto, ed è più fine di quella d'apertura.</w:t>
      </w:r>
    </w:p>
    <w:p>
      <w:pPr>
        <w:spacing w:after="120" w:line="276"/>
        <w:jc w:val="both"/>
      </w:pPr>
      <w:r>
        <w:rPr>
          <w:rFonts w:ascii="Barlow Semi Condensed" w:cs="Barlow Semi Condensed" w:eastAsia="Barlow Semi Condensed" w:hAnsi="Barlow Semi Condensed"/>
          <w:b/>
          <w:bCs/>
          <w:sz w:val="24"/>
          <w:szCs w:val="24"/>
        </w:rPr>
        <w:t xml:space="preserve">Non: la Santa Sede fu virtuosa e l'Italia complice.</w:t>
      </w:r>
    </w:p>
    <w:p>
      <w:pPr>
        <w:spacing w:after="120" w:line="276"/>
        <w:jc w:val="both"/>
      </w:pPr>
      <w:r>
        <w:rPr>
          <w:rFonts w:ascii="Barlow Semi Condensed" w:cs="Barlow Semi Condensed" w:eastAsia="Barlow Semi Condensed" w:hAnsi="Barlow Semi Condensed"/>
          <w:b/>
          <w:bCs/>
          <w:sz w:val="24"/>
          <w:szCs w:val="24"/>
        </w:rPr>
        <w:t xml:space="preserve">Ma: le due sovranità disponevano di strumenti diversi, e ciascuna usò quelli che aveva. L'Italia aveva un'ambasciata e un'industria, e li tenne entrambi. La Santa Sede aveva il riconoscimento diplomatico come unica leva sovrana, e lo negò per settantadue anni.</w:t>
      </w:r>
    </w:p>
    <w:p>
      <w:pPr>
        <w:spacing w:after="120" w:line="276"/>
        <w:jc w:val="both"/>
      </w:pPr>
      <w:r>
        <w:rPr>
          <w:rFonts w:ascii="Barlow Semi Condensed" w:cs="Barlow Semi Condensed" w:eastAsia="Barlow Semi Condensed" w:hAnsi="Barlow Semi Condensed"/>
          <w:b/>
          <w:bCs/>
          <w:sz w:val="24"/>
          <w:szCs w:val="24"/>
        </w:rPr>
        <w:t xml:space="preserve">E vi è un elemento che rende il confronto più stringente e va registrato.\\ \\Nel 1988 Giovanni Paolo II attraversò cinque Stati dell'Africa australe circondando il Sudafrica senza entrarvi, e vi entrò soltanto per un guasto ai radiofari.</w:t>
      </w:r>
    </w:p>
    <w:p>
      <w:pPr>
        <w:spacing w:after="120" w:line="276"/>
        <w:jc w:val="both"/>
      </w:pPr>
      <w:r>
        <w:rPr>
          <w:rFonts w:ascii="Barlow Semi Condensed" w:cs="Barlow Semi Condensed" w:eastAsia="Barlow Semi Condensed" w:hAnsi="Barlow Semi Condensed"/>
          <w:b/>
          <w:bCs/>
          <w:sz w:val="24"/>
          <w:szCs w:val="24"/>
        </w:rPr>
        <w:t xml:space="preserve">Non risulta che alcun capo di governo italiano abbia mai compiuto un atto simbolico equivalente.</w:t>
      </w:r>
    </w:p>
    <w:p>
      <w:pPr>
        <w:spacing w:after="120" w:line="276"/>
        <w:jc w:val="both"/>
      </w:pPr>
      <w:r>
        <w:rPr>
          <w:rFonts w:ascii="Barlow Semi Condensed" w:cs="Barlow Semi Condensed" w:eastAsia="Barlow Semi Condensed" w:hAnsi="Barlow Semi Condensed"/>
          <w:b/>
          <w:bCs/>
          <w:sz w:val="24"/>
          <w:szCs w:val="24"/>
        </w:rPr>
        <w:t xml:space="preserve">Ma non risulta neppure che ne fosse richiesto, né che l'Italia disponesse di un margine paragonabile: e questa è, di nuovo, la differenza fra le due sovranità anziché fra le due virtù.</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aggiunge al corpus</w:t>
      </w:r>
    </w:p>
    <w:p>
      <w:pPr>
        <w:spacing w:after="120" w:line="276"/>
        <w:jc w:val="both"/>
      </w:pPr>
      <w:r>
        <w:rPr>
          <w:rFonts w:ascii="Barlow Semi Condensed" w:cs="Barlow Semi Condensed" w:eastAsia="Barlow Semi Condensed" w:hAnsi="Barlow Semi Condensed"/>
          <w:b/>
          <w:bCs/>
          <w:sz w:val="24"/>
          <w:szCs w:val="24"/>
        </w:rPr>
        <w:t xml:space="preserve">Il capitolo isola i guadagni analitici, perché essi valgono oltre il perimetro.</w:t>
      </w:r>
    </w:p>
    <w:p>
      <w:pPr>
        <w:spacing w:after="120" w:line="276"/>
        <w:jc w:val="both"/>
      </w:pPr>
      <w:r>
        <w:rPr>
          <w:rFonts w:ascii="Barlow Semi Condensed" w:cs="Barlow Semi Condensed" w:eastAsia="Barlow Semi Condensed" w:hAnsi="Barlow Semi Condensed"/>
          <w:b/>
          <w:bCs/>
          <w:sz w:val="24"/>
          <w:szCs w:val="24"/>
        </w:rPr>
        <w:t xml:space="preserve">Primo guadagno: il pattern centro-periferia si presenta rovesciato.</w:t>
      </w:r>
    </w:p>
    <w:p>
      <w:pPr>
        <w:spacing w:after="120" w:line="276"/>
        <w:jc w:val="both"/>
      </w:pPr>
      <w:r>
        <w:rPr>
          <w:rFonts w:ascii="Barlow Semi Condensed" w:cs="Barlow Semi Condensed" w:eastAsia="Barlow Semi Condensed" w:hAnsi="Barlow Semi Condensed"/>
          <w:b/>
          <w:bCs/>
          <w:sz w:val="24"/>
          <w:szCs w:val="24"/>
        </w:rPr>
        <w:t xml:space="preserve">Il corpus possedeva due casi. In Portogallo, la reticenza del cardinale Cerejeira rallentò l'insediamento dell'Opus Dei. In Germania, la sollecitazione del cardinale Frings lo determinò. In entrambi la periferia episcopale decideva e il centro romano accompagnava.</w:t>
      </w:r>
    </w:p>
    <w:p>
      <w:pPr>
        <w:spacing w:after="120" w:line="276"/>
        <w:jc w:val="both"/>
      </w:pPr>
      <w:r>
        <w:rPr>
          <w:rFonts w:ascii="Barlow Semi Condensed" w:cs="Barlow Semi Condensed" w:eastAsia="Barlow Semi Condensed" w:hAnsi="Barlow Semi Condensed"/>
          <w:b/>
          <w:bCs/>
          <w:sz w:val="24"/>
          <w:szCs w:val="24"/>
        </w:rPr>
        <w:t xml:space="preserve">Qui il rapporto è invertito: l'episcopato sudafricano condannò l'apartheid come intrinsecamente malvagio nel 1957, in opposizione dichiarata alla prudenza del rappresentante pontificio.</w:t>
      </w:r>
    </w:p>
    <w:p>
      <w:pPr>
        <w:spacing w:after="120" w:line="276"/>
        <w:jc w:val="both"/>
      </w:pPr>
      <w:r>
        <w:rPr>
          <w:rFonts w:ascii="Barlow Semi Condensed" w:cs="Barlow Semi Condensed" w:eastAsia="Barlow Semi Condensed" w:hAnsi="Barlow Semi Condensed"/>
          <w:b/>
          <w:bCs/>
          <w:sz w:val="24"/>
          <w:szCs w:val="24"/>
        </w:rPr>
        <w:t xml:space="preserve">Ne discende che la variabile non è la gerarchia ma la posizione: chi sta sul territorio vede il costo del silenzio; chi rappresenta la sede vede il costo della rottura. E le due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Secondo guadagno: una forma di azione statale che il corpus non aveva censito.</w:t>
      </w:r>
    </w:p>
    <w:p>
      <w:pPr>
        <w:spacing w:after="120" w:line="276"/>
        <w:jc w:val="both"/>
      </w:pPr>
      <w:r>
        <w:rPr>
          <w:rFonts w:ascii="Barlow Semi Condensed" w:cs="Barlow Semi Condensed" w:eastAsia="Barlow Semi Condensed" w:hAnsi="Barlow Semi Condensed"/>
          <w:b/>
          <w:bCs/>
          <w:sz w:val="24"/>
          <w:szCs w:val="24"/>
        </w:rPr>
        <w:t xml:space="preserve">Sedici ricognizioni hanno cercato atti — note verbali, dispacci, voti, autorizzazioni. Qui l'atto rilevante è un non-atto protratto per settantadue anni: il rifiuto di scambiare ambasciatori.</w:t>
      </w:r>
    </w:p>
    <w:p>
      <w:pPr>
        <w:spacing w:after="120" w:line="276"/>
        <w:jc w:val="both"/>
      </w:pPr>
      <w:r>
        <w:rPr>
          <w:rFonts w:ascii="Barlow Semi Condensed" w:cs="Barlow Semi Condensed" w:eastAsia="Barlow Semi Condensed" w:hAnsi="Barlow Semi Condensed"/>
          <w:b/>
          <w:bCs/>
          <w:sz w:val="24"/>
          <w:szCs w:val="24"/>
        </w:rPr>
        <w:t xml:space="preserve">Il non-riconoscimento è azione sovrana, e non lascia documento se non nella forma dell'assenza di un documento che avrebbe potuto esservi.</w:t>
      </w:r>
    </w:p>
    <w:p>
      <w:pPr>
        <w:spacing w:after="120" w:line="276"/>
        <w:jc w:val="both"/>
      </w:pPr>
      <w:r>
        <w:rPr>
          <w:rFonts w:ascii="Barlow Semi Condensed" w:cs="Barlow Semi Condensed" w:eastAsia="Barlow Semi Condensed" w:hAnsi="Barlow Semi Condensed"/>
          <w:b/>
          <w:bCs/>
          <w:sz w:val="24"/>
          <w:szCs w:val="24"/>
        </w:rPr>
        <w:t xml:space="preserve">Ne discende una precisazione al nono grado di Stato Zero, l'atto atipico, formulato alla quindicesima ricognizione. Là l'assenza di documento derivava dal fatto che l'ordinamento non tipizzava l'atto. Qui l'atto era perfettamente tipizzato — lo scambio di ambasciatori è la forma più codificata del diritto internazionale — e semplicemente non fu compiuto.</w:t>
      </w:r>
    </w:p>
    <w:p>
      <w:pPr>
        <w:spacing w:after="120" w:line="276"/>
        <w:jc w:val="both"/>
      </w:pPr>
      <w:r>
        <w:rPr>
          <w:rFonts w:ascii="Barlow Semi Condensed" w:cs="Barlow Semi Condensed" w:eastAsia="Barlow Semi Condensed" w:hAnsi="Barlow Semi Condensed"/>
          <w:b/>
          <w:bCs/>
          <w:sz w:val="24"/>
          <w:szCs w:val="24"/>
        </w:rPr>
        <w:t xml:space="preserve">Sono due assenze di natura diversa, e la seconda è misurabile mentre la prima no: essa si misura confrontando la data in cui l'atto fu compiuto con la data in cui avrebbe potuto esserlo.</w:t>
      </w:r>
    </w:p>
    <w:p>
      <w:pPr>
        <w:spacing w:after="120" w:line="276"/>
        <w:jc w:val="both"/>
      </w:pPr>
      <w:r>
        <w:rPr>
          <w:rFonts w:ascii="Barlow Semi Condensed" w:cs="Barlow Semi Condensed" w:eastAsia="Barlow Semi Condensed" w:hAnsi="Barlow Semi Condensed"/>
          <w:b/>
          <w:bCs/>
          <w:sz w:val="24"/>
          <w:szCs w:val="24"/>
        </w:rPr>
        <w:t xml:space="preserve">Settantadue anni.</w:t>
      </w:r>
    </w:p>
    <w:p>
      <w:pPr>
        <w:spacing w:after="120" w:line="276"/>
        <w:jc w:val="both"/>
      </w:pPr>
      <w:r>
        <w:rPr>
          <w:rFonts w:ascii="Barlow Semi Condensed" w:cs="Barlow Semi Condensed" w:eastAsia="Barlow Semi Condensed" w:hAnsi="Barlow Semi Condensed"/>
          <w:b/>
          <w:bCs/>
          <w:sz w:val="24"/>
          <w:szCs w:val="24"/>
        </w:rPr>
        <w:t xml:space="preserve">Terzo guadagno: il primo termine di paragone interno.</w:t>
      </w:r>
    </w:p>
    <w:p>
      <w:pPr>
        <w:spacing w:after="120" w:line="276"/>
        <w:jc w:val="both"/>
      </w:pPr>
      <w:r>
        <w:rPr>
          <w:rFonts w:ascii="Barlow Semi Condensed" w:cs="Barlow Semi Condensed" w:eastAsia="Barlow Semi Condensed" w:hAnsi="Barlow Semi Condensed"/>
          <w:b/>
          <w:bCs/>
          <w:sz w:val="24"/>
          <w:szCs w:val="24"/>
        </w:rPr>
        <w:t xml:space="preserve">Sedici ricognizioni hanno misurato lo Stato italiano contro se stesso o contro potenze straniere. Questa lo misura contro una sovranità che condivide con esso il territorio, la lingua e in larga parte il ceto dirigente cattolico — e che sul medesimo regime tenne condotta opposta.</w:t>
      </w:r>
    </w:p>
    <w:p>
      <w:pPr>
        <w:spacing w:after="120" w:line="276"/>
        <w:jc w:val="both"/>
      </w:pPr>
      <w:r>
        <w:rPr>
          <w:rFonts w:ascii="Barlow Semi Condensed" w:cs="Barlow Semi Condensed" w:eastAsia="Barlow Semi Condensed" w:hAnsi="Barlow Semi Condensed"/>
          <w:b/>
          <w:bCs/>
          <w:sz w:val="24"/>
          <w:szCs w:val="24"/>
        </w:rPr>
        <w:t xml:space="preserve">Il confronto non prova una colpa italiana. Prova che una condotta diversa era concepibile e praticata a un chilometro dal Quirinale.</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diciassettesimo Stato Zero</w:t>
      </w:r>
    </w:p>
    <w:p>
      <w:pPr>
        <w:spacing w:after="120" w:line="276"/>
        <w:jc w:val="both"/>
      </w:pPr>
      <w:r>
        <w:rPr>
          <w:rFonts w:ascii="Barlow Semi Condensed" w:cs="Barlow Semi Condensed" w:eastAsia="Barlow Semi Condensed" w:hAnsi="Barlow Semi Condensed"/>
          <w:b/>
          <w:bCs/>
          <w:sz w:val="24"/>
          <w:szCs w:val="24"/>
        </w:rPr>
        <w:t xml:space="preserve">Primo punto: se la Santa Sede abbia avuto relazioni diplomatiche piene con il Sudafrica durante l'apartheid, e se l'assenza configuri posizione deliberata.</w:t>
      </w:r>
    </w:p>
    <w:p>
      <w:pPr>
        <w:spacing w:after="120" w:line="276"/>
        <w:jc w:val="both"/>
      </w:pPr>
      <w:r>
        <w:rPr>
          <w:rFonts w:ascii="Barlow Semi Condensed" w:cs="Barlow Semi Condensed" w:eastAsia="Barlow Semi Condensed" w:hAnsi="Barlow Semi Condensed"/>
          <w:b/>
          <w:bCs/>
          <w:sz w:val="24"/>
          <w:szCs w:val="24"/>
        </w:rPr>
        <w:t xml:space="preserve">Non le ebbe. Le relazioni furono stabilite il 15 giugno 1994 e la nunziatura eretta il 25 giugno 1994; prima vi fu soltanto la delegazione apostolica del 7 dicembre 1922.</w:t>
      </w:r>
    </w:p>
    <w:p>
      <w:pPr>
        <w:spacing w:after="120" w:line="276"/>
        <w:jc w:val="both"/>
      </w:pPr>
      <w:r>
        <w:rPr>
          <w:rFonts w:ascii="Barlow Semi Condensed" w:cs="Barlow Semi Condensed" w:eastAsia="Barlow Semi Condensed" w:hAnsi="Barlow Semi Condensed"/>
          <w:b/>
          <w:bCs/>
          <w:sz w:val="24"/>
          <w:szCs w:val="24"/>
        </w:rPr>
        <w:t xml:space="preserve">Quanto alla natura dell'assenza, le fonti edite non permettono di dimostrarne il carattere deliberato, perché la documentazione riservata è inaccessibile per il vincolo del Capitolo primo.</w:t>
      </w:r>
    </w:p>
    <w:p>
      <w:pPr>
        <w:spacing w:after="120" w:line="276"/>
        <w:jc w:val="both"/>
      </w:pPr>
      <w:r>
        <w:rPr>
          <w:rFonts w:ascii="Barlow Semi Condensed" w:cs="Barlow Semi Condensed" w:eastAsia="Barlow Semi Condensed" w:hAnsi="Barlow Semi Condensed"/>
          <w:b/>
          <w:bCs/>
          <w:sz w:val="24"/>
          <w:szCs w:val="24"/>
        </w:rPr>
        <w:t xml:space="preserve">Ma tre elementi convergono e rendono ragionevole l'interpretazione: l'apertura delle relazioni immediatamente dopo la fine del regime e non durante; la condanna magisteriale costante; l'esclusione deliberata del Sudafrica dal viaggio del 1988.</w:t>
      </w:r>
    </w:p>
    <w:p>
      <w:pPr>
        <w:spacing w:after="120" w:line="276"/>
        <w:jc w:val="both"/>
      </w:pPr>
      <w:r>
        <w:rPr>
          <w:rFonts w:ascii="Barlow Semi Condensed" w:cs="Barlow Semi Condensed" w:eastAsia="Barlow Semi Condensed" w:hAnsi="Barlow Semi Condensed"/>
          <w:b/>
          <w:bCs/>
          <w:sz w:val="24"/>
          <w:szCs w:val="24"/>
        </w:rPr>
        <w:t xml:space="preserve">Resta inferenza, e come tale la si consegna.</w:t>
      </w:r>
    </w:p>
    <w:p>
      <w:pPr>
        <w:spacing w:after="120" w:line="276"/>
        <w:jc w:val="both"/>
      </w:pPr>
      <w:r>
        <w:rPr>
          <w:rFonts w:ascii="Barlow Semi Condensed" w:cs="Barlow Semi Condensed" w:eastAsia="Barlow Semi Condensed" w:hAnsi="Barlow Semi Condensed"/>
          <w:b/>
          <w:bCs/>
          <w:sz w:val="24"/>
          <w:szCs w:val="24"/>
        </w:rPr>
        <w:t xml:space="preserve">Secondo punto: se esista nesso documentato fra Moro e la questione sudafricana o namibiana.</w:t>
      </w:r>
    </w:p>
    <w:p>
      <w:pPr>
        <w:spacing w:after="120" w:line="276"/>
        <w:jc w:val="both"/>
      </w:pPr>
      <w:r>
        <w:rPr>
          <w:rFonts w:ascii="Barlow Semi Condensed" w:cs="Barlow Semi Condensed" w:eastAsia="Barlow Semi Condensed" w:hAnsi="Barlow Semi Condensed"/>
          <w:b/>
          <w:bCs/>
          <w:sz w:val="24"/>
          <w:szCs w:val="24"/>
        </w:rPr>
        <w:t xml:space="preserve">Non esiste. Si dichiara 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e la sola non conseguibile. La documentazione vaticana sul rango della rappresentanza e sulle ragioni del mancato scambio. Sede: Archivio Apostolico Vaticano. Condizione: impossibilità istituzionale, chiuso oltre l'ottobre 1958.</w:t>
      </w:r>
    </w:p>
    <w:p>
      <w:pPr>
        <w:spacing w:after="120" w:line="276"/>
        <w:jc w:val="both"/>
      </w:pPr>
      <w:r>
        <w:rPr>
          <w:rFonts w:ascii="Barlow Semi Condensed" w:cs="Barlow Semi Condensed" w:eastAsia="Barlow Semi Condensed" w:hAnsi="Barlow Semi Condensed"/>
          <w:b/>
          <w:bCs/>
          <w:sz w:val="24"/>
          <w:szCs w:val="24"/>
        </w:rPr>
        <w:t xml:space="preserve">Seconda. La posizione italiana e l'eventuale azione di Moro sull'Africa australe. Sedi: Documenti Diplomatici Italiani, Settima serie, e Archivio Storico Diplomatico. Condizione: deposito inesplorato.</w:t>
      </w:r>
    </w:p>
    <w:p>
      <w:pPr>
        <w:spacing w:after="120" w:line="276"/>
        <w:jc w:val="both"/>
      </w:pPr>
      <w:r>
        <w:rPr>
          <w:rFonts w:ascii="Barlow Semi Condensed" w:cs="Barlow Semi Condensed" w:eastAsia="Barlow Semi Condensed" w:hAnsi="Barlow Semi Condensed"/>
          <w:b/>
          <w:bCs/>
          <w:sz w:val="24"/>
          <w:szCs w:val="24"/>
        </w:rPr>
        <w:t xml:space="preserve">Terza.\\ La posizione ufficiale della Democrazia Cristiana come partito. Sedi: \\atti dei congressi nazionali\\ e \\Archivio dell'Istituto Luigi Sturzo.</w:t>
      </w:r>
    </w:p>
    <w:p>
      <w:pPr>
        <w:spacing w:after="120" w:line="276"/>
        <w:jc w:val="both"/>
      </w:pPr>
      <w:r>
        <w:rPr>
          <w:rFonts w:ascii="Barlow Semi Condensed" w:cs="Barlow Semi Condensed" w:eastAsia="Barlow Semi Condensed" w:hAnsi="Barlow Semi Condensed"/>
          <w:b/>
          <w:bCs/>
          <w:sz w:val="24"/>
          <w:szCs w:val="24"/>
        </w:rPr>
        <w:t xml:space="preserve">Quarta. La posizione della comunità italiana in Sudafrica sull'apartheid. Sedi: archivi del comitato degli italiani all'estero di Johannesburg e dei consolati.</w:t>
      </w:r>
    </w:p>
    <w:p>
      <w:pPr>
        <w:spacing w:after="120" w:line="276"/>
        <w:jc w:val="both"/>
      </w:pPr>
      <w:r>
        <w:rPr>
          <w:rFonts w:ascii="Barlow Semi Condensed" w:cs="Barlow Semi Condensed" w:eastAsia="Barlow Semi Condensed" w:hAnsi="Barlow Semi Condensed"/>
          <w:b/>
          <w:bCs/>
          <w:sz w:val="24"/>
          <w:szCs w:val="24"/>
        </w:rPr>
        <w:t xml:space="preserve">Quinta. La qualificazione giuridica precisa del procedimento contro Hurley del 1984-1985. Sede: atti giudiziari sudafricani. Condizione: divergenza fra fonti non risolta.</w:t>
      </w:r>
    </w:p>
    <w:p>
      <w:pPr>
        <w:spacing w:after="120" w:line="276"/>
        <w:jc w:val="both"/>
      </w:pPr>
      <w:r>
        <w:rPr>
          <w:rFonts w:ascii="Barlow Semi Condensed" w:cs="Barlow Semi Condensed" w:eastAsia="Barlow Semi Condensed" w:hAnsi="Barlow Semi Condensed"/>
          <w:b/>
          <w:bCs/>
          <w:sz w:val="24"/>
          <w:szCs w:val="24"/>
        </w:rPr>
        <w:t xml:space="preserve">Sesta. Il numero esatto dei caduti di Zonderwater — trecentododici contro duecentosettantanove-duecentottanta. Sedi: registri del cimitero militare e dell'associazione del campo.</w:t>
      </w:r>
    </w:p>
    <w:p>
      <w:pPr>
        <w:spacing w:after="120" w:line="276"/>
        <w:jc w:val="both"/>
      </w:pPr>
      <w:r>
        <w:rPr>
          <w:rFonts w:ascii="Barlow Semi Condensed" w:cs="Barlow Semi Condensed" w:eastAsia="Barlow Semi Condensed" w:hAnsi="Barlow Semi Condensed"/>
          <w:b/>
          <w:bCs/>
          <w:sz w:val="24"/>
          <w:szCs w:val="24"/>
        </w:rPr>
        <w:t xml:space="preserve">E una osservazione finale, che riguarda diciassette ricognizioni insieme.</w:t>
      </w:r>
    </w:p>
    <w:p>
      <w:pPr>
        <w:spacing w:after="120" w:line="276"/>
        <w:jc w:val="both"/>
      </w:pPr>
      <w:r>
        <w:rPr>
          <w:rFonts w:ascii="Barlow Semi Condensed" w:cs="Barlow Semi Condensed" w:eastAsia="Barlow Semi Condensed" w:hAnsi="Barlow Semi Condensed"/>
          <w:b/>
          <w:bCs/>
          <w:sz w:val="24"/>
          <w:szCs w:val="24"/>
        </w:rPr>
        <w:t xml:space="preserve">Il committente ha ordinato per sei volte il medesimo perimetro, e per cinque volte ho risposto che era esaurito. Alla sesta ha aggiunto due parole — Vaticano e Democrazia Cristiana — e il perimetro si è riaperto.</w:t>
      </w:r>
    </w:p>
    <w:p>
      <w:pPr>
        <w:spacing w:after="120" w:line="276"/>
        <w:jc w:val="both"/>
      </w:pPr>
      <w:r>
        <w:rPr>
          <w:rFonts w:ascii="Barlow Semi Condensed" w:cs="Barlow Semi Condensed" w:eastAsia="Barlow Semi Condensed" w:hAnsi="Barlow Semi Condensed"/>
          <w:b/>
          <w:bCs/>
          <w:sz w:val="24"/>
          <w:szCs w:val="24"/>
        </w:rPr>
        <w:t xml:space="preserve">Ne discende una cosa sul metodo che vale la pena registrare.\\ \\Un perimetro non è esaurito quando chi lo ha percorso lo dichiara tale: è esaurito quando nessun termine nuovo può essergli aggiunto.</w:t>
      </w:r>
    </w:p>
    <w:p>
      <w:pPr>
        <w:spacing w:after="120" w:line="276"/>
        <w:jc w:val="both"/>
      </w:pPr>
      <w:r>
        <w:rPr>
          <w:rFonts w:ascii="Barlow Semi Condensed" w:cs="Barlow Semi Condensed" w:eastAsia="Barlow Semi Condensed" w:hAnsi="Barlow Semi Condensed"/>
          <w:b/>
          <w:bCs/>
          <w:sz w:val="24"/>
          <w:szCs w:val="24"/>
        </w:rPr>
        <w:t xml:space="preserve">E il termine che lo ha riaperto — la Santa Sede — era, di tutti i soggetti possibili, quello che il corpus aveva già percorso nove volte su altri perimetri, senza mai pensare di portarlo su questo.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XVIII · La Santa Sede, La Dc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4.565 parole in 9 sezioni; la più ampia è §9 Altre sezioni, con 3.823.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152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XIX — L'Italia Alle Nazioni Unite: Embargo, Apartheid, Namibia</w:t>
      </w:r>
    </w:p>
    <w:p>
      <w:pPr>
        <w:pStyle w:val="Heading1"/>
        <w:spacing w:after="120" w:before="240"/>
      </w:pPr>
      <w:r>
        <w:rPr>
          <w:rFonts w:ascii="Barlow Semi Condensed" w:cs="Barlow Semi Condensed" w:eastAsia="Barlow Semi Condensed" w:hAnsi="Barlow Semi Condensed"/>
          <w:sz w:val="24"/>
          <w:szCs w:val="24"/>
        </w:rPr>
        <w:t xml:space="preserve">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Diciottesima ricognizione: due voci della tavola, eseguite</w:t>
      </w:r>
    </w:p>
    <w:p>
      <w:pPr>
        <w:pStyle w:val="Heading2"/>
        <w:spacing w:after="100" w:before="200"/>
      </w:pPr>
      <w:r>
        <w:rPr>
          <w:rFonts w:ascii="Barlow Semi Condensed" w:cs="Barlow Semi Condensed" w:eastAsia="Barlow Semi Condensed" w:hAnsi="Barlow Semi Condensed"/>
          <w:sz w:val="24"/>
          <w:szCs w:val="24"/>
        </w:rPr>
        <w:t xml:space="preserve">L'inversione del 1976-1977 e il decimo grado di Stato Zero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sedicesima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L'esecuzione di due voci che io stesso avevo catalogato</w:t>
      </w:r>
    </w:p>
    <w:p>
      <w:pPr>
        <w:spacing w:after="120" w:line="276"/>
        <w:jc w:val="both"/>
      </w:pPr>
      <w:r>
        <w:rPr>
          <w:rFonts w:ascii="Barlow Semi Condensed" w:cs="Barlow Semi Condensed" w:eastAsia="Barlow Semi Condensed" w:hAnsi="Barlow Semi Condensed"/>
          <w:b/>
          <w:bCs/>
          <w:sz w:val="24"/>
          <w:szCs w:val="24"/>
        </w:rPr>
        <w:t xml:space="preserve">Questa ricognizione non apre un perimetro. Esegue due voci che due ricognizioni anteriori avevano iscritto nelle proprie tavole come le acquisizioni di più basso costo e più alto rendimento, e che erano rimaste ineseguite.</w:t>
      </w:r>
    </w:p>
    <w:p>
      <w:pPr>
        <w:spacing w:after="120" w:line="276"/>
        <w:jc w:val="both"/>
      </w:pPr>
      <w:r>
        <w:rPr>
          <w:rFonts w:ascii="Barlow Semi Condensed" w:cs="Barlow Semi Condensed" w:eastAsia="Barlow Semi Condensed" w:hAnsi="Barlow Semi Condensed"/>
          <w:b/>
          <w:bCs/>
          <w:sz w:val="24"/>
          <w:szCs w:val="24"/>
        </w:rPr>
        <w:t xml:space="preserve">La prima voce, iscritta alla tredicesima ricognizione, dichiarava il testo delle due lettere italiane alle Nazioni Unite l'acquisizione a più basso costo e più rapido rendimento dell'intera tavola, con condizione di chiusura meramente tecnica, l'accesso ai file.</w:t>
      </w:r>
    </w:p>
    <w:p>
      <w:pPr>
        <w:spacing w:after="120" w:line="276"/>
        <w:jc w:val="both"/>
      </w:pPr>
      <w:r>
        <w:rPr>
          <w:rFonts w:ascii="Barlow Semi Condensed" w:cs="Barlow Semi Condensed" w:eastAsia="Barlow Semi Condensed" w:hAnsi="Barlow Semi Condensed"/>
          <w:b/>
          <w:bCs/>
          <w:sz w:val="24"/>
          <w:szCs w:val="24"/>
        </w:rPr>
        <w:t xml:space="preserve">La seconda, iscritta alla sedicesima\\, dichiarava i voti italiani all'Assemblea generale sulla Namibia di \\rendimento alto perché i documenti esistono con certezza.</w:t>
      </w:r>
    </w:p>
    <w:p>
      <w:pPr>
        <w:spacing w:after="120" w:line="276"/>
        <w:jc w:val="both"/>
      </w:pPr>
      <w:r>
        <w:rPr>
          <w:rFonts w:ascii="Barlow Semi Condensed" w:cs="Barlow Semi Condensed" w:eastAsia="Barlow Semi Condensed" w:hAnsi="Barlow Semi Condensed"/>
          <w:b/>
          <w:bCs/>
          <w:sz w:val="24"/>
          <w:szCs w:val="24"/>
        </w:rPr>
        <w:t xml:space="preserve">Nessuna delle due era stata eseguita. Sedici ricognizioni hanno costruito tavole di ciò che andrebbe fatto, e le due voci che io stesso avevo giudicato le più facili erano rimaste lì.</w:t>
      </w:r>
    </w:p>
    <w:p>
      <w:pPr>
        <w:spacing w:after="120" w:line="276"/>
        <w:jc w:val="both"/>
      </w:pPr>
      <w:r>
        <w:rPr>
          <w:rFonts w:ascii="Barlow Semi Condensed" w:cs="Barlow Semi Condensed" w:eastAsia="Barlow Semi Condensed" w:hAnsi="Barlow Semi Condensed"/>
          <w:b/>
          <w:bCs/>
          <w:sz w:val="24"/>
          <w:szCs w:val="24"/>
        </w:rPr>
        <w:t xml:space="preserve">L'esito, anticipato, è misto e istruttivo in entrambe le direzioni.</w:t>
      </w:r>
    </w:p>
    <w:p>
      <w:pPr>
        <w:spacing w:after="120" w:line="276"/>
        <w:jc w:val="both"/>
      </w:pPr>
      <w:r>
        <w:rPr>
          <w:rFonts w:ascii="Barlow Semi Condensed" w:cs="Barlow Semi Condensed" w:eastAsia="Barlow Semi Condensed" w:hAnsi="Barlow Semi Condensed"/>
          <w:b/>
          <w:bCs/>
          <w:sz w:val="24"/>
          <w:szCs w:val="24"/>
        </w:rPr>
        <w:t xml:space="preserve">La seconda voce è stata eseguita con pieno successo, e ha prodotto una correzione alla sedicesima ricognizione che il Capitolo settimo espone.</w:t>
      </w:r>
    </w:p>
    <w:p>
      <w:pPr>
        <w:spacing w:after="120" w:line="276"/>
        <w:jc w:val="both"/>
      </w:pPr>
      <w:r>
        <w:rPr>
          <w:rFonts w:ascii="Barlow Semi Condensed" w:cs="Barlow Semi Condensed" w:eastAsia="Barlow Semi Condensed" w:hAnsi="Barlow Semi Condensed"/>
          <w:b/>
          <w:bCs/>
          <w:sz w:val="24"/>
          <w:szCs w:val="24"/>
        </w:rPr>
        <w:t xml:space="preserve">La prima è stata eseguita a metà, e il modo in cui è fallita costituisce, secondo me, il contributo metodologico di questo documento: il Capitolo undicesimo propone per esso un decimo grado di Stato Zero.</w:t>
      </w:r>
    </w:p>
    <w:p>
      <w:pPr>
        <w:spacing w:after="120" w:line="276"/>
        <w:jc w:val="both"/>
      </w:pPr>
      <w:r>
        <w:rPr>
          <w:rFonts w:ascii="Barlow Semi Condensed" w:cs="Barlow Semi Condensed" w:eastAsia="Barlow Semi Condensed" w:hAnsi="Barlow Semi Condensed"/>
          <w:b/>
          <w:bCs/>
          <w:sz w:val="24"/>
          <w:szCs w:val="24"/>
        </w:rPr>
        <w:t xml:space="preserve">Il metodo di questa ricognizione differisce dalle precedenti e va dichiarato. Non è ricerca tematica ma reperimento documentale. Il pregio non sta nell'ampiezza della trattazione ma nella precisione del dato primario: numeri di documento, date, risultati numerici di voto.</w:t>
      </w:r>
    </w:p>
    <w:p>
      <w:pPr>
        <w:spacing w:after="120" w:line="276"/>
        <w:jc w:val="both"/>
      </w:pPr>
      <w:r>
        <w:rPr>
          <w:rFonts w:ascii="Barlow Semi Condensed" w:cs="Barlow Semi Condensed" w:eastAsia="Barlow Semi Condensed" w:hAnsi="Barlow Semi Condensed"/>
          <w:b/>
          <w:bCs/>
          <w:sz w:val="24"/>
          <w:szCs w:val="24"/>
        </w:rPr>
        <w:t xml:space="preserve">Ne discende che dove il dato manca il capitolo è breve, e la brevità è essa stessa il risultato.</w:t>
      </w:r>
    </w:p>
    <w:p>
      <w:pPr>
        <w:pStyle w:val="Heading2"/>
        <w:spacing w:after="100" w:before="200"/>
      </w:pPr>
      <w:r>
        <w:rPr>
          <w:rFonts w:ascii="Barlow Semi Condensed" w:cs="Barlow Semi Condensed" w:eastAsia="Barlow Semi Condensed" w:hAnsi="Barlow Semi Condensed"/>
          <w:sz w:val="24"/>
          <w:szCs w:val="24"/>
        </w:rPr>
        <w:t xml:space="preserve">Capitolo secondo — La lettera del 6 febbraio 1970</w:t>
      </w:r>
    </w:p>
    <w:p>
      <w:pPr>
        <w:spacing w:after="120" w:line="276"/>
        <w:jc w:val="both"/>
      </w:pPr>
      <w:r>
        <w:rPr>
          <w:rFonts w:ascii="Barlow Semi Condensed" w:cs="Barlow Semi Condensed" w:eastAsia="Barlow Semi Condensed" w:hAnsi="Barlow Semi Condensed"/>
          <w:b/>
          <w:bCs/>
          <w:sz w:val="24"/>
          <w:szCs w:val="24"/>
        </w:rPr>
        <w:t xml:space="preserve">Il capitolo espone il primo dei tre documenti cercati, e distingue con precisione ciò che è stato reperito da ciò che non lo è stato.</w:t>
      </w:r>
    </w:p>
    <w:p>
      <w:pPr>
        <w:spacing w:after="120" w:line="276"/>
        <w:jc w:val="both"/>
      </w:pPr>
      <w:r>
        <w:rPr>
          <w:rFonts w:ascii="Barlow Semi Condensed" w:cs="Barlow Semi Condensed" w:eastAsia="Barlow Semi Condensed" w:hAnsi="Barlow Semi Condensed"/>
          <w:b/>
          <w:bCs/>
          <w:sz w:val="24"/>
          <w:szCs w:val="24"/>
        </w:rPr>
        <w:t xml:space="preserve">Il documento è reperito e identificato con certezza a livello catalografico. Record cinquecentotremilaquattrocentonovantasei dello United Nations Digital Library, segnatura ufficiale completa S/9640, con file previsti in inglese, spagnolo, francese e russo.</w:t>
      </w:r>
    </w:p>
    <w:p>
      <w:pPr>
        <w:spacing w:after="120" w:line="276"/>
        <w:jc w:val="both"/>
      </w:pPr>
      <w:r>
        <w:rPr>
          <w:rFonts w:ascii="Barlow Semi Condensed" w:cs="Barlow Semi Condensed" w:eastAsia="Barlow Semi Condensed" w:hAnsi="Barlow Semi Condensed"/>
          <w:b/>
          <w:bCs/>
          <w:sz w:val="24"/>
          <w:szCs w:val="24"/>
        </w:rPr>
        <w:t xml:space="preserve">Il titolo ufficiale: \Lettera datata 6 febbraio 1970 dal Rappresentante permanente d'Italia indirizzata al Presidente del Consiglio di Sicurezza.\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L'abstract catalografico, riportato per intero perché è quanto di più vicino al contenuto si sia potuto raggiungere: \si riferisce alla seduta del Consiglio di Sicurezza del 27 gennaio 1970 e confuta la dichiarazione dello Zambia secondo cui l'Italia avrebbe rifiutato di imporre un divieto alla vendita di armi al Sudafrica.\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L'estensore, con la qualificazione dell'attribuzione. La lettera fu firmata dal Rappresentante permanente in carica nel febbraio 1970, che era Piero Vinci: la lista ufficiale lo registra come settimo titolare, in carica dal 1964 al 1973, con un secondo mandato dal 1975 al 1979. Il febbraio 1970 ricade nel primo.</w:t>
      </w:r>
    </w:p>
    <w:p>
      <w:pPr>
        <w:spacing w:after="120" w:line="276"/>
        <w:jc w:val="both"/>
      </w:pPr>
      <w:r>
        <w:rPr>
          <w:rFonts w:ascii="Barlow Semi Condensed" w:cs="Barlow Semi Condensed" w:eastAsia="Barlow Semi Condensed" w:hAnsi="Barlow Semi Condensed"/>
          <w:b/>
          <w:bCs/>
          <w:sz w:val="24"/>
          <w:szCs w:val="24"/>
        </w:rPr>
        <w:t xml:space="preserve">L'attribuzione discende dalle date di titolarità della carica e non dalla lettura della firma, poiché il documento non è stato aperto. La distinzione va mantenuta.</w:t>
      </w:r>
    </w:p>
    <w:p>
      <w:pPr>
        <w:spacing w:after="120" w:line="276"/>
        <w:jc w:val="both"/>
      </w:pPr>
      <w:r>
        <w:rPr>
          <w:rFonts w:ascii="Barlow Semi Condensed" w:cs="Barlow Semi Condensed" w:eastAsia="Barlow Semi Condensed" w:hAnsi="Barlow Semi Condensed"/>
          <w:b/>
          <w:bCs/>
          <w:sz w:val="24"/>
          <w:szCs w:val="24"/>
        </w:rPr>
        <w:t xml:space="preserve">Si esclude Sergio Fenoaltea, che fu ambasciatore a Washington fino al 1967 e non presso le Nazioni Unite.</w:t>
      </w:r>
    </w:p>
    <w:p>
      <w:pPr>
        <w:spacing w:after="120" w:line="276"/>
        <w:jc w:val="both"/>
      </w:pPr>
      <w:r>
        <w:rPr>
          <w:rFonts w:ascii="Barlow Semi Condensed" w:cs="Barlow Semi Condensed" w:eastAsia="Barlow Semi Condensed" w:hAnsi="Barlow Semi Condensed"/>
          <w:b/>
          <w:bCs/>
          <w:sz w:val="24"/>
          <w:szCs w:val="24"/>
        </w:rPr>
        <w:t xml:space="preserve">E adesso ciò che non si è ottenuto, dichiarato senza attenuazioni.</w:t>
      </w:r>
    </w:p>
    <w:p>
      <w:pPr>
        <w:spacing w:after="120" w:line="276"/>
        <w:jc w:val="both"/>
      </w:pPr>
      <w:r>
        <w:rPr>
          <w:rFonts w:ascii="Barlow Semi Condensed" w:cs="Barlow Semi Condensed" w:eastAsia="Barlow Semi Condensed" w:hAnsi="Barlow Semi Condensed"/>
          <w:b/>
          <w:bCs/>
          <w:sz w:val="24"/>
          <w:szCs w:val="24"/>
        </w:rPr>
        <w:t xml:space="preserve">Il testo del corpo della lettera non è stato recuperato.</w:t>
      </w:r>
    </w:p>
    <w:p>
      <w:pPr>
        <w:spacing w:after="120" w:line="276"/>
        <w:jc w:val="both"/>
      </w:pPr>
      <w:r>
        <w:rPr>
          <w:rFonts w:ascii="Barlow Semi Condensed" w:cs="Barlow Semi Condensed" w:eastAsia="Barlow Semi Condensed" w:hAnsi="Barlow Semi Condensed"/>
          <w:b/>
          <w:bCs/>
          <w:sz w:val="24"/>
          <w:szCs w:val="24"/>
        </w:rPr>
        <w:t xml:space="preserve">La ragione non è archivistica: il documento è pubblico, catalogato, indicizzato, e possiede un indirizzo di reperimento. Il server documentale delle Nazioni Unite ha respinto ogni tentativo di recupero automatizzato dei file, per rilevamento anti-robot.</w:t>
      </w:r>
    </w:p>
    <w:p>
      <w:pPr>
        <w:spacing w:after="120" w:line="276"/>
        <w:jc w:val="both"/>
      </w:pPr>
      <w:r>
        <w:rPr>
          <w:rFonts w:ascii="Barlow Semi Condensed" w:cs="Barlow Semi Condensed" w:eastAsia="Barlow Semi Condensed" w:hAnsi="Barlow Semi Condensed"/>
          <w:b/>
          <w:bCs/>
          <w:sz w:val="24"/>
          <w:szCs w:val="24"/>
        </w:rPr>
        <w:t xml:space="preserve">Ne discende che quanto si sa del contenuto proviene dall'oggetto ufficiale e non dal testo: l'Italia respinse la tesi zambiana e affermò di osservare il divieto di vendita di armi al Sudafrica.</w:t>
      </w:r>
    </w:p>
    <w:p>
      <w:pPr>
        <w:spacing w:after="120" w:line="276"/>
        <w:jc w:val="both"/>
      </w:pPr>
      <w:r>
        <w:rPr>
          <w:rFonts w:ascii="Barlow Semi Condensed" w:cs="Barlow Semi Condensed" w:eastAsia="Barlow Semi Condensed" w:hAnsi="Barlow Semi Condensed"/>
          <w:b/>
          <w:bCs/>
          <w:sz w:val="24"/>
          <w:szCs w:val="24"/>
        </w:rPr>
        <w:t xml:space="preserve">Che cosa esattamente affermasse, con quali argomenti, e se menzionasse la licenza Aermacchi già in essere dal 1964, resta ignoto.</w:t>
      </w:r>
    </w:p>
    <w:p>
      <w:pPr>
        <w:pStyle w:val="Heading2"/>
        <w:spacing w:after="100" w:before="200"/>
      </w:pPr>
      <w:r>
        <w:rPr>
          <w:rFonts w:ascii="Barlow Semi Condensed" w:cs="Barlow Semi Condensed" w:eastAsia="Barlow Semi Condensed" w:hAnsi="Barlow Semi Condensed"/>
          <w:sz w:val="24"/>
          <w:szCs w:val="24"/>
        </w:rPr>
        <w:t xml:space="preserve">Capitolo terzo — Il gemello tedesco, e la scoperta che il perimetro non prevedeva</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che la ricerca non cercava e che tocca direttamente la sedicesima ricognizione.</w:t>
      </w:r>
    </w:p>
    <w:p>
      <w:pPr>
        <w:spacing w:after="120" w:line="276"/>
        <w:jc w:val="both"/>
      </w:pPr>
      <w:r>
        <w:rPr>
          <w:rFonts w:ascii="Barlow Semi Condensed" w:cs="Barlow Semi Condensed" w:eastAsia="Barlow Semi Condensed" w:hAnsi="Barlow Semi Condensed"/>
          <w:b/>
          <w:bCs/>
          <w:sz w:val="24"/>
          <w:szCs w:val="24"/>
        </w:rPr>
        <w:t xml:space="preserve">La fonte dell'accusa, prima. L'affermazione zambiana confutata non è un documento numerato bensì una dichiarazione resa oralmente nella milleseicentoventisettesima seduta del Consiglio di Sicurezza, verbale S/PV.1527, tenutasi il 27 e 28 gennaio 1970.</w:t>
      </w:r>
    </w:p>
    <w:p>
      <w:pPr>
        <w:spacing w:after="120" w:line="276"/>
        <w:jc w:val="both"/>
      </w:pPr>
      <w:r>
        <w:rPr>
          <w:rFonts w:ascii="Barlow Semi Condensed" w:cs="Barlow Semi Condensed" w:eastAsia="Barlow Semi Condensed" w:hAnsi="Barlow Semi Condensed"/>
          <w:b/>
          <w:bCs/>
          <w:sz w:val="24"/>
          <w:szCs w:val="24"/>
        </w:rPr>
        <w:t xml:space="preserve">Lo Zambia era in quell'anno membro non permanente del Consiglio, e fu tra i promotori della linea che avrebbe condotto alla risoluzione duecentottantadue del luglio 1970.</w:t>
      </w:r>
    </w:p>
    <w:p>
      <w:pPr>
        <w:spacing w:after="120" w:line="276"/>
        <w:jc w:val="both"/>
      </w:pPr>
      <w:r>
        <w:rPr>
          <w:rFonts w:ascii="Barlow Semi Condensed" w:cs="Barlow Semi Condensed" w:eastAsia="Barlow Semi Condensed" w:hAnsi="Barlow Semi Condensed"/>
          <w:b/>
          <w:bCs/>
          <w:sz w:val="24"/>
          <w:szCs w:val="24"/>
        </w:rPr>
        <w:t xml:space="preserve">E adesso il documento parallelo.</w:t>
      </w:r>
    </w:p>
    <w:p>
      <w:pPr>
        <w:spacing w:after="120" w:line="276"/>
        <w:jc w:val="both"/>
      </w:pPr>
      <w:r>
        <w:rPr>
          <w:rFonts w:ascii="Barlow Semi Condensed" w:cs="Barlow Semi Condensed" w:eastAsia="Barlow Semi Condensed" w:hAnsi="Barlow Semi Condensed"/>
          <w:b/>
          <w:bCs/>
          <w:sz w:val="24"/>
          <w:szCs w:val="24"/>
        </w:rPr>
        <w:t xml:space="preserve">Segnatura S/9648, record cinquecentotremilasettecentosettantanove: \Nota del Presidente del Consiglio di Sicurezza\ datata 13 febbraio 1970, che allega una lettera dell'11 febbraio 1970 dell'Osservatore permanente supplente della Repubblica Federale di Germania.</w:t>
      </w:r>
    </w:p>
    <w:p>
      <w:pPr>
        <w:spacing w:after="120" w:line="276"/>
        <w:jc w:val="both"/>
      </w:pPr>
      <w:r>
        <w:rPr>
          <w:rFonts w:ascii="Barlow Semi Condensed" w:cs="Barlow Semi Condensed" w:eastAsia="Barlow Semi Condensed" w:hAnsi="Barlow Semi Condensed"/>
          <w:b/>
          <w:bCs/>
          <w:sz w:val="24"/>
          <w:szCs w:val="24"/>
        </w:rPr>
        <w:t xml:space="preserve">Il suo abstract dichiara che essa confuta la dichiarazione del rappresentante dello Zambia riguardo alla vendita di armi al Sudafrica.</w:t>
      </w:r>
    </w:p>
    <w:p>
      <w:pPr>
        <w:spacing w:after="120" w:line="276"/>
        <w:jc w:val="both"/>
      </w:pPr>
      <w:r>
        <w:rPr>
          <w:rFonts w:ascii="Barlow Semi Condensed" w:cs="Barlow Semi Condensed" w:eastAsia="Barlow Semi Condensed" w:hAnsi="Barlow Semi Condensed"/>
          <w:b/>
          <w:bCs/>
          <w:sz w:val="24"/>
          <w:szCs w:val="24"/>
        </w:rPr>
        <w:t xml:space="preserve">La medesima accusa. La medesima confutazione. A cinque giorni di distanza.</w:t>
      </w:r>
    </w:p>
    <w:p>
      <w:pPr>
        <w:spacing w:after="120" w:line="276"/>
        <w:jc w:val="both"/>
      </w:pPr>
      <w:r>
        <w:rPr>
          <w:rFonts w:ascii="Barlow Semi Condensed" w:cs="Barlow Semi Condensed" w:eastAsia="Barlow Semi Condensed" w:hAnsi="Barlow Semi Condensed"/>
          <w:b/>
          <w:bCs/>
          <w:sz w:val="24"/>
          <w:szCs w:val="24"/>
        </w:rPr>
        <w:t xml:space="preserve">Un dettaglio formale va spiegato perché è rivelatore. La Germania figura come Osservatore e non come Rappresentante permanente perché nel 1970 essa non era ancora membro delle Nazioni Unite — vi entrò nel settembre 1973.</w:t>
      </w:r>
    </w:p>
    <w:p>
      <w:pPr>
        <w:spacing w:after="120" w:line="276"/>
        <w:jc w:val="both"/>
      </w:pPr>
      <w:r>
        <w:rPr>
          <w:rFonts w:ascii="Barlow Semi Condensed" w:cs="Barlow Semi Condensed" w:eastAsia="Barlow Semi Condensed" w:hAnsi="Barlow Semi Condensed"/>
          <w:b/>
          <w:bCs/>
          <w:sz w:val="24"/>
          <w:szCs w:val="24"/>
        </w:rPr>
        <w:t xml:space="preserve">Ne discende che la Repubblica Federale, priva di seggio e persino di rappresentanza piena, dovette far pervenire la propria confutazione attraverso la nota del Presidente del Consiglio anziché con lettera diretta.</w:t>
      </w:r>
    </w:p>
    <w:p>
      <w:pPr>
        <w:spacing w:after="120" w:line="276"/>
        <w:jc w:val="both"/>
      </w:pPr>
      <w:r>
        <w:rPr>
          <w:rFonts w:ascii="Barlow Semi Condensed" w:cs="Barlow Semi Condensed" w:eastAsia="Barlow Semi Condensed" w:hAnsi="Barlow Semi Condensed"/>
          <w:b/>
          <w:bCs/>
          <w:sz w:val="24"/>
          <w:szCs w:val="24"/>
        </w:rPr>
        <w:t xml:space="preserve">Italia e Germania Federale reagirono dunque in modo speculare alla medesima accusa zambiana, ciascuna con lo strumento che il proprio statuto le consentiva.</w:t>
      </w:r>
    </w:p>
    <w:p>
      <w:pPr>
        <w:spacing w:after="120" w:line="276"/>
        <w:jc w:val="both"/>
      </w:pPr>
      <w:r>
        <w:rPr>
          <w:rFonts w:ascii="Barlow Semi Condensed" w:cs="Barlow Semi Condensed" w:eastAsia="Barlow Semi Condensed" w:hAnsi="Barlow Semi Condensed"/>
          <w:b/>
          <w:bCs/>
          <w:sz w:val="24"/>
          <w:szCs w:val="24"/>
        </w:rPr>
        <w:t xml:space="preserve">E qui il ritrovamento tocca la sedicesima ricognizione, che si era chiusa con questa affermazione: la divergenza sulle sanzioni suggerisce che Roma e Bonn non agissero come blocco.</w:t>
      </w:r>
    </w:p>
    <w:p>
      <w:pPr>
        <w:spacing w:after="120" w:line="276"/>
        <w:jc w:val="both"/>
      </w:pPr>
      <w:r>
        <w:rPr>
          <w:rFonts w:ascii="Barlow Semi Condensed" w:cs="Barlow Semi Condensed" w:eastAsia="Barlow Semi Condensed" w:hAnsi="Barlow Semi Condensed"/>
          <w:b/>
          <w:bCs/>
          <w:sz w:val="24"/>
          <w:szCs w:val="24"/>
        </w:rPr>
        <w:t xml:space="preserve">Quella affermazione riguardava gli anni Ottanta e le sanzioni economiche, e resta valida per quel perimetro.</w:t>
      </w:r>
    </w:p>
    <w:p>
      <w:pPr>
        <w:spacing w:after="120" w:line="276"/>
        <w:jc w:val="both"/>
      </w:pPr>
      <w:r>
        <w:rPr>
          <w:rFonts w:ascii="Barlow Semi Condensed" w:cs="Barlow Semi Condensed" w:eastAsia="Barlow Semi Condensed" w:hAnsi="Barlow Semi Condensed"/>
          <w:b/>
          <w:bCs/>
          <w:sz w:val="24"/>
          <w:szCs w:val="24"/>
        </w:rPr>
        <w:t xml:space="preserve">Ma per il 1970 e per l'accusa di violazione dell'embargo sulle armi, il quadro è diverso: le due capitali si difesero in parallelo, nella medesima settimana, contro il medesimo accusatore.</w:t>
      </w:r>
    </w:p>
    <w:p>
      <w:pPr>
        <w:spacing w:after="120" w:line="276"/>
        <w:jc w:val="both"/>
      </w:pPr>
      <w:r>
        <w:rPr>
          <w:rFonts w:ascii="Barlow Semi Condensed" w:cs="Barlow Semi Condensed" w:eastAsia="Barlow Semi Condensed" w:hAnsi="Barlow Semi Condensed"/>
          <w:b/>
          <w:bCs/>
          <w:sz w:val="24"/>
          <w:szCs w:val="24"/>
        </w:rPr>
        <w:t xml:space="preserve">Non è coordinamento provato — nessuna fonte lo attesta, e la contemporaneità non è prova di nesso. Ma è la prima volta in diciotto ricognizioni che Roma e Bonn compaiono nel medesimo fascicolo africano con la medesima postura,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quarto — La lettera del 27 giugno 1980 e l'accusatore</w:t>
      </w:r>
    </w:p>
    <w:p>
      <w:pPr>
        <w:spacing w:after="120" w:line="276"/>
        <w:jc w:val="both"/>
      </w:pPr>
      <w:r>
        <w:rPr>
          <w:rFonts w:ascii="Barlow Semi Condensed" w:cs="Barlow Semi Condensed" w:eastAsia="Barlow Semi Condensed" w:hAnsi="Barlow Semi Condensed"/>
          <w:b/>
          <w:bCs/>
          <w:sz w:val="24"/>
          <w:szCs w:val="24"/>
        </w:rPr>
        <w:t xml:space="preserve">Il capitolo espone il secondo documento e la figura che lo provocò.</w:t>
      </w:r>
    </w:p>
    <w:p>
      <w:pPr>
        <w:spacing w:after="120" w:line="276"/>
        <w:jc w:val="both"/>
      </w:pPr>
      <w:r>
        <w:rPr>
          <w:rFonts w:ascii="Barlow Semi Condensed" w:cs="Barlow Semi Condensed" w:eastAsia="Barlow Semi Condensed" w:hAnsi="Barlow Semi Condensed"/>
          <w:b/>
          <w:bCs/>
          <w:sz w:val="24"/>
          <w:szCs w:val="24"/>
        </w:rPr>
        <w:t xml:space="preserve">Il documento. Record quattordicimilanovecentoquarantatré, segnatura S/AC.20/27, titolo ufficiale: \Lettera datata 27 giugno 1980 dal Rappresentante permanente d'Italia presso le Nazioni Unite indirizzata al Presidente del Comitato del Consiglio di Sicurezza istituito dalla risoluzione quattrocentoventuno del 1977 concernente la questione del Sudafrica.\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Data di pubblicazione: 3 luglio 1980. Lunghezza: due pagine.</w:t>
      </w:r>
    </w:p>
    <w:p>
      <w:pPr>
        <w:spacing w:after="120" w:line="276"/>
        <w:jc w:val="both"/>
      </w:pPr>
      <w:r>
        <w:rPr>
          <w:rFonts w:ascii="Barlow Semi Condensed" w:cs="Barlow Semi Condensed" w:eastAsia="Barlow Semi Condensed" w:hAnsi="Barlow Semi Condensed"/>
          <w:b/>
          <w:bCs/>
          <w:sz w:val="24"/>
          <w:szCs w:val="24"/>
        </w:rPr>
        <w:t xml:space="preserve">E la scheda reca un titolo alternativo che ne condensa il contenuto, riportato per intero: \Italia. Lettera, 27 giugno 1980, che nega accuse di violazione dell'embargo sulle armi nella dichiarazione di Abdul Minty.\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L'estensore, con la medesima qualificazione del Capitolo secondo. Il Rappresentante permanente nel giugno 1980 era Umberto La Rocca, decimo titolare, in carica dal 1979 al 1984, fra i mandati di Piero Vinci e di Maurizio Bucci. Attribuzione dalle date della carica, non dalla firma.</w:t>
      </w:r>
    </w:p>
    <w:p>
      <w:pPr>
        <w:spacing w:after="120" w:line="276"/>
        <w:jc w:val="both"/>
      </w:pPr>
      <w:r>
        <w:rPr>
          <w:rFonts w:ascii="Barlow Semi Condensed" w:cs="Barlow Semi Condensed" w:eastAsia="Barlow Semi Condensed" w:hAnsi="Barlow Semi Condensed"/>
          <w:b/>
          <w:bCs/>
          <w:sz w:val="24"/>
          <w:szCs w:val="24"/>
        </w:rPr>
        <w:t xml:space="preserve">Anche qui il testo del corpo non è stato recuperato.</w:t>
      </w:r>
    </w:p>
    <w:p>
      <w:pPr>
        <w:spacing w:after="120" w:line="276"/>
        <w:jc w:val="both"/>
      </w:pPr>
      <w:r>
        <w:rPr>
          <w:rFonts w:ascii="Barlow Semi Condensed" w:cs="Barlow Semi Condensed" w:eastAsia="Barlow Semi Condensed" w:hAnsi="Barlow Semi Condensed"/>
          <w:b/>
          <w:bCs/>
          <w:sz w:val="24"/>
          <w:szCs w:val="24"/>
        </w:rPr>
        <w:t xml:space="preserve">L'accusatore, e la ricerca ne ha ricostruito il profilo perché esso qualifica il peso dell'accusa.</w:t>
      </w:r>
    </w:p>
    <w:p>
      <w:pPr>
        <w:spacing w:after="120" w:line="276"/>
        <w:jc w:val="both"/>
      </w:pPr>
      <w:r>
        <w:rPr>
          <w:rFonts w:ascii="Barlow Semi Condensed" w:cs="Barlow Semi Condensed" w:eastAsia="Barlow Semi Condensed" w:hAnsi="Barlow Semi Condensed"/>
          <w:b/>
          <w:bCs/>
          <w:sz w:val="24"/>
          <w:szCs w:val="24"/>
        </w:rPr>
        <w:t xml:space="preserve">Abdul Samad Minty, segretario onorario dell'Anti-Apartheid Movement britannico, rese testimonianza come esperto individuale dinanzi al Comitato del Consiglio di Sicurezza per l'embargo sulle armi in quattro occasioni fra il 1977 e il 1994.</w:t>
      </w:r>
    </w:p>
    <w:p>
      <w:pPr>
        <w:spacing w:after="120" w:line="276"/>
        <w:jc w:val="both"/>
      </w:pPr>
      <w:r>
        <w:rPr>
          <w:rFonts w:ascii="Barlow Semi Condensed" w:cs="Barlow Semi Condensed" w:eastAsia="Barlow Semi Condensed" w:hAnsi="Barlow Semi Condensed"/>
          <w:b/>
          <w:bCs/>
          <w:sz w:val="24"/>
          <w:szCs w:val="24"/>
        </w:rPr>
        <w:t xml:space="preserve">L'organizzazione da lui diretta — il World Campaign against Military and Nuclear Collaboration with South Africa — fu la fonte primaria di informazione delle Nazioni Unite sulle violazioni degli embarghi sulle armi contro il regime dell'apartheid.</w:t>
      </w:r>
    </w:p>
    <w:p>
      <w:pPr>
        <w:spacing w:after="120" w:line="276"/>
        <w:jc w:val="both"/>
      </w:pPr>
      <w:r>
        <w:rPr>
          <w:rFonts w:ascii="Barlow Semi Condensed" w:cs="Barlow Semi Condensed" w:eastAsia="Barlow Semi Condensed" w:hAnsi="Barlow Semi Condensed"/>
          <w:b/>
          <w:bCs/>
          <w:sz w:val="24"/>
          <w:szCs w:val="24"/>
        </w:rPr>
        <w:t xml:space="preserve">Il Campaign fu lanciato a Oslo il 28 marzo 1979\\, sotto il patronato dell'ex Presidente tanzaniano \\Julius Nyerere\\ e degli altri capi di Stato della prima linea, con sponsor quali \\Olof Palme, David Steel e Coretta Scott King.</w:t>
      </w:r>
    </w:p>
    <w:p>
      <w:pPr>
        <w:spacing w:after="120" w:line="276"/>
        <w:jc w:val="both"/>
      </w:pPr>
      <w:r>
        <w:rPr>
          <w:rFonts w:ascii="Barlow Semi Condensed" w:cs="Barlow Semi Condensed" w:eastAsia="Barlow Semi Condensed" w:hAnsi="Barlow Semi Condensed"/>
          <w:b/>
          <w:bCs/>
          <w:sz w:val="24"/>
          <w:szCs w:val="24"/>
        </w:rPr>
        <w:t xml:space="preserve">Ne discende che l'accusa cui l'Italia rispose non proveniva da una fonte marginale ma dall'organismo che le Nazioni Unite stesse riconoscevano come principale fornitore di informazioni sulle violazioni.</w:t>
      </w:r>
    </w:p>
    <w:p>
      <w:pPr>
        <w:spacing w:after="120" w:line="276"/>
        <w:jc w:val="both"/>
      </w:pPr>
      <w:r>
        <w:rPr>
          <w:rFonts w:ascii="Barlow Semi Condensed" w:cs="Barlow Semi Condensed" w:eastAsia="Barlow Semi Condensed" w:hAnsi="Barlow Semi Condensed"/>
          <w:b/>
          <w:bCs/>
          <w:sz w:val="24"/>
          <w:szCs w:val="24"/>
        </w:rPr>
        <w:t xml:space="preserve">Il che rende la mancata acquisizione del testo, esposta al capitolo seguente, tanto più gravosa.</w:t>
      </w:r>
    </w:p>
    <w:p>
      <w:pPr>
        <w:pStyle w:val="Heading2"/>
        <w:spacing w:after="100" w:before="200"/>
      </w:pPr>
      <w:r>
        <w:rPr>
          <w:rFonts w:ascii="Barlow Semi Condensed" w:cs="Barlow Semi Condensed" w:eastAsia="Barlow Semi Condensed" w:hAnsi="Barlow Semi Condensed"/>
          <w:sz w:val="24"/>
          <w:szCs w:val="24"/>
        </w:rPr>
        <w:t xml:space="preserve">Capitolo quinto — La dichiarazione non reperita</w:t>
      </w:r>
    </w:p>
    <w:p>
      <w:pPr>
        <w:spacing w:after="120" w:line="276"/>
        <w:jc w:val="both"/>
      </w:pPr>
      <w:r>
        <w:rPr>
          <w:rFonts w:ascii="Barlow Semi Condensed" w:cs="Barlow Semi Condensed" w:eastAsia="Barlow Semi Condensed" w:hAnsi="Barlow Semi Condensed"/>
          <w:b/>
          <w:bCs/>
          <w:sz w:val="24"/>
          <w:szCs w:val="24"/>
        </w:rPr>
        <w:t xml:space="preserve">Il capitolo è il più breve del documento e ne dichiara la ragione: è un esito negativo, e un esito negativo non si dilata.</w:t>
      </w:r>
    </w:p>
    <w:p>
      <w:pPr>
        <w:spacing w:after="120" w:line="276"/>
        <w:jc w:val="both"/>
      </w:pPr>
      <w:r>
        <w:rPr>
          <w:rFonts w:ascii="Barlow Semi Condensed" w:cs="Barlow Semi Condensed" w:eastAsia="Barlow Semi Condensed" w:hAnsi="Barlow Semi Condensed"/>
          <w:b/>
          <w:bCs/>
          <w:sz w:val="24"/>
          <w:szCs w:val="24"/>
        </w:rPr>
        <w:t xml:space="preserve">Che cosa si cercava. Il verbale sommario S/AC.20/SR.25, contenente la dichiarazione di Abdul Minty dinanzi al Comitato istituito dalla risoluzione quattrocentoventuno — cioè le accuse cui la lettera italiana del 27 giugno 1980 rispondeva.</w:t>
      </w:r>
    </w:p>
    <w:p>
      <w:pPr>
        <w:spacing w:after="120" w:line="276"/>
        <w:jc w:val="both"/>
      </w:pPr>
      <w:r>
        <w:rPr>
          <w:rFonts w:ascii="Barlow Semi Condensed" w:cs="Barlow Semi Condensed" w:eastAsia="Barlow Semi Condensed" w:hAnsi="Barlow Semi Condensed"/>
          <w:b/>
          <w:bCs/>
          <w:sz w:val="24"/>
          <w:szCs w:val="24"/>
        </w:rPr>
        <w:t xml:space="preserve">Che cosa si è trovato.\\ \\Nulla: né testo né scheda utile.</w:t>
      </w:r>
    </w:p>
    <w:p>
      <w:pPr>
        <w:spacing w:after="120" w:line="276"/>
        <w:jc w:val="both"/>
      </w:pPr>
      <w:r>
        <w:rPr>
          <w:rFonts w:ascii="Barlow Semi Condensed" w:cs="Barlow Semi Condensed" w:eastAsia="Barlow Semi Condensed" w:hAnsi="Barlow Semi Condensed"/>
          <w:b/>
          <w:bCs/>
          <w:sz w:val="24"/>
          <w:szCs w:val="24"/>
        </w:rPr>
        <w:t xml:space="preserve">La ragione, accertata.\\ Il documento \\appartiene alla serie dei verbali di riunioni chiuse del Comitato, a distribuzione ristretta, e non compare nelle risorse accessibili.</w:t>
      </w:r>
    </w:p>
    <w:p>
      <w:pPr>
        <w:spacing w:after="120" w:line="276"/>
        <w:jc w:val="both"/>
      </w:pPr>
      <w:r>
        <w:rPr>
          <w:rFonts w:ascii="Barlow Semi Condensed" w:cs="Barlow Semi Condensed" w:eastAsia="Barlow Semi Condensed" w:hAnsi="Barlow Semi Condensed"/>
          <w:b/>
          <w:bCs/>
          <w:sz w:val="24"/>
          <w:szCs w:val="24"/>
        </w:rPr>
        <w:t xml:space="preserve">Ne discende che non si è potuto accertare che cosa esattamente Minty avesse affermato riguardo all'Italia, né su quali elementi.</w:t>
      </w:r>
    </w:p>
    <w:p>
      <w:pPr>
        <w:spacing w:after="120" w:line="276"/>
        <w:jc w:val="both"/>
      </w:pPr>
      <w:r>
        <w:rPr>
          <w:rFonts w:ascii="Barlow Semi Condensed" w:cs="Barlow Semi Condensed" w:eastAsia="Barlow Semi Condensed" w:hAnsi="Barlow Semi Condensed"/>
          <w:b/>
          <w:bCs/>
          <w:sz w:val="24"/>
          <w:szCs w:val="24"/>
        </w:rPr>
        <w:t xml:space="preserve">La ricostruzione contestuale va offerta e immediatamente qualificata. L'accusa verteva verosimilmente sulla licenza Aermacchi MB-326 e sulle relative forniture, e in particolare — secondo quanto la quindicesima ricognizione ha accertato per altra via — su una fornitura di velivoli alla South African Air Force nel gennaio 1980, denunciata dall'operaio Elio Pagani.</w:t>
      </w:r>
    </w:p>
    <w:p>
      <w:pPr>
        <w:spacing w:after="120" w:line="276"/>
        <w:jc w:val="both"/>
      </w:pPr>
      <w:r>
        <w:rPr>
          <w:rFonts w:ascii="Barlow Semi Condensed" w:cs="Barlow Semi Condensed" w:eastAsia="Barlow Semi Condensed" w:hAnsi="Barlow Semi Condensed"/>
          <w:b/>
          <w:bCs/>
          <w:sz w:val="24"/>
          <w:szCs w:val="24"/>
        </w:rPr>
        <w:t xml:space="preserve">Ma questa è ricostruzione contestuale e non lettura del documento, e la distinzione va mantenuta con rigore: si sa che cosa l'Italia negò, non che cosa le fu contestato.</w:t>
      </w:r>
    </w:p>
    <w:p>
      <w:pPr>
        <w:spacing w:after="120" w:line="276"/>
        <w:jc w:val="both"/>
      </w:pPr>
      <w:r>
        <w:rPr>
          <w:rFonts w:ascii="Barlow Semi Condensed" w:cs="Barlow Semi Condensed" w:eastAsia="Barlow Semi Condensed" w:hAnsi="Barlow Semi Condensed"/>
          <w:b/>
          <w:bCs/>
          <w:sz w:val="24"/>
          <w:szCs w:val="24"/>
        </w:rPr>
        <w:t xml:space="preserve">La sede.\\ L'archivio degli atti del Comitato istituito dalla risoluzione quattrocentoventuno e la collezione dei verbali della serie S/AC.20/SR presso la \\Dag Hammarskjöld Library.</w:t>
      </w:r>
    </w:p>
    <w:p>
      <w:pPr>
        <w:spacing w:after="120" w:line="276"/>
        <w:jc w:val="both"/>
      </w:pPr>
      <w:r>
        <w:rPr>
          <w:rFonts w:ascii="Barlow Semi Condensed" w:cs="Barlow Semi Condensed" w:eastAsia="Barlow Semi Condensed" w:hAnsi="Barlow Semi Condensed"/>
          <w:b/>
          <w:bCs/>
          <w:sz w:val="24"/>
          <w:szCs w:val="24"/>
        </w:rPr>
        <w:t xml:space="preserve">La condizione di chiusura.\\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Ne discende una asimmetria che vale la pena enunciare, perché è la stessa che il corpus ha già incontrato altrove.</w:t>
      </w:r>
    </w:p>
    <w:p>
      <w:pPr>
        <w:spacing w:after="120" w:line="276"/>
        <w:jc w:val="both"/>
      </w:pPr>
      <w:r>
        <w:rPr>
          <w:rFonts w:ascii="Barlow Semi Condensed" w:cs="Barlow Semi Condensed" w:eastAsia="Barlow Semi Condensed" w:hAnsi="Barlow Semi Condensed"/>
          <w:b/>
          <w:bCs/>
          <w:sz w:val="24"/>
          <w:szCs w:val="24"/>
        </w:rPr>
        <w:t xml:space="preserve">Della vicenda del 1980 conosciamo la difesa e ignoriamo l'accusa.</w:t>
      </w:r>
    </w:p>
    <w:p>
      <w:pPr>
        <w:spacing w:after="120" w:line="276"/>
        <w:jc w:val="both"/>
      </w:pPr>
      <w:r>
        <w:rPr>
          <w:rFonts w:ascii="Barlow Semi Condensed" w:cs="Barlow Semi Condensed" w:eastAsia="Barlow Semi Condensed" w:hAnsi="Barlow Semi Condensed"/>
          <w:b/>
          <w:bCs/>
          <w:sz w:val="24"/>
          <w:szCs w:val="24"/>
        </w:rPr>
        <w:t xml:space="preserve">È l'inverso della situazione ordinaria negli archivi di Stato, dove sopravvivono gli atti d'accusa e si perdono le repliche. Qui il documento italiano è catalogato e pubblico; il documento che lo provocò è chiuso.</w:t>
      </w:r>
    </w:p>
    <w:p>
      <w:pPr>
        <w:pStyle w:val="Heading2"/>
        <w:spacing w:after="100" w:before="200"/>
      </w:pPr>
      <w:r>
        <w:rPr>
          <w:rFonts w:ascii="Barlow Semi Condensed" w:cs="Barlow Semi Condensed" w:eastAsia="Barlow Semi Condensed" w:hAnsi="Barlow Semi Condensed"/>
          <w:sz w:val="24"/>
          <w:szCs w:val="24"/>
        </w:rPr>
        <w:t xml:space="preserve">Capitolo sesto — I voti sulla Namibia: il dato primario</w:t>
      </w:r>
    </w:p>
    <w:p>
      <w:pPr>
        <w:spacing w:after="120" w:line="276"/>
        <w:jc w:val="both"/>
      </w:pPr>
      <w:r>
        <w:rPr>
          <w:rFonts w:ascii="Barlow Semi Condensed" w:cs="Barlow Semi Condensed" w:eastAsia="Barlow Semi Condensed" w:hAnsi="Barlow Semi Condensed"/>
          <w:b/>
          <w:bCs/>
          <w:sz w:val="24"/>
          <w:szCs w:val="24"/>
        </w:rPr>
        <w:t xml:space="preserve">Il capitolo espone la seconda voce della tavola, che è stata eseguita con pieno successo.</w:t>
      </w:r>
    </w:p>
    <w:p>
      <w:pPr>
        <w:spacing w:after="120" w:line="276"/>
        <w:jc w:val="both"/>
      </w:pPr>
      <w:r>
        <w:rPr>
          <w:rFonts w:ascii="Barlow Semi Condensed" w:cs="Barlow Semi Condensed" w:eastAsia="Barlow Semi Condensed" w:hAnsi="Barlow Semi Condensed"/>
          <w:b/>
          <w:bCs/>
          <w:sz w:val="24"/>
          <w:szCs w:val="24"/>
        </w:rPr>
        <w:t xml:space="preserve">Il voto centrale, e va esposto per primo perché è il più carico politicamente. La risoluzione trentuno barra centoquarantasei del 20 dicembre 1976, sulla situazione in Namibia risultante dall'occupazione illegale del Territorio da parte del Sudafrica, adottata nella centocinquesima seduta plenaria con centosette favorevoli, sei contrari e dodici astenuti, riconosceva la SWAPO come unico e autentico rappresentante del popolo namibiano.</w:t>
      </w:r>
    </w:p>
    <w:p>
      <w:pPr>
        <w:spacing w:after="120" w:line="276"/>
        <w:jc w:val="both"/>
      </w:pPr>
      <w:r>
        <w:rPr>
          <w:rFonts w:ascii="Barlow Semi Condensed" w:cs="Barlow Semi Condensed" w:eastAsia="Barlow Semi Condensed" w:hAnsi="Barlow Semi Condensed"/>
          <w:b/>
          <w:bCs/>
          <w:sz w:val="24"/>
          <w:szCs w:val="24"/>
        </w:rPr>
        <w:t xml:space="preserve">L'Italia si ASTENNE.\\ La marca \\A ITALY\\ è leggibile direttamente nel record di voto \\seicentoquarantanovemilasettecentosessantadue.</w:t>
      </w:r>
    </w:p>
    <w:p>
      <w:pPr>
        <w:spacing w:after="120" w:line="276"/>
        <w:jc w:val="both"/>
      </w:pPr>
      <w:r>
        <w:rPr>
          <w:rFonts w:ascii="Barlow Semi Condensed" w:cs="Barlow Semi Condensed" w:eastAsia="Barlow Semi Condensed" w:hAnsi="Barlow Semi Condensed"/>
          <w:b/>
          <w:bCs/>
          <w:sz w:val="24"/>
          <w:szCs w:val="24"/>
        </w:rPr>
        <w:t xml:space="preserve">E votarono CONTRO Belgio, Francia, Germania Federale, Lussemburgo, Regno Unito e Stati Uniti, con le marche verificate nel medesimo record.</w:t>
      </w:r>
    </w:p>
    <w:p>
      <w:pPr>
        <w:spacing w:after="120" w:line="276"/>
        <w:jc w:val="both"/>
      </w:pPr>
      <w:r>
        <w:rPr>
          <w:rFonts w:ascii="Barlow Semi Condensed" w:cs="Barlow Semi Condensed" w:eastAsia="Barlow Semi Condensed" w:hAnsi="Barlow Semi Condensed"/>
          <w:b/>
          <w:bCs/>
          <w:sz w:val="24"/>
          <w:szCs w:val="24"/>
        </w:rPr>
        <w:t xml:space="preserve">Gli altri voti della medesima tornata namibiana, e sono tre.</w:t>
      </w:r>
    </w:p>
    <w:p>
      <w:pPr>
        <w:spacing w:after="120" w:line="276"/>
        <w:jc w:val="both"/>
      </w:pPr>
      <w:r>
        <w:rPr>
          <w:rFonts w:ascii="Barlow Semi Condensed" w:cs="Barlow Semi Condensed" w:eastAsia="Barlow Semi Condensed" w:hAnsi="Barlow Semi Condensed"/>
          <w:b/>
          <w:bCs/>
          <w:sz w:val="24"/>
          <w:szCs w:val="24"/>
        </w:rPr>
        <w:t xml:space="preserve">Risoluzione trentuno barra centoquarantotto\\, centodiciotto favorevoli, nessun contrario, sette astenuti: \\l'Italia votò A FAVORE, la Germania Federale si astenne.</w:t>
      </w:r>
    </w:p>
    <w:p>
      <w:pPr>
        <w:spacing w:after="120" w:line="276"/>
        <w:jc w:val="both"/>
      </w:pPr>
      <w:r>
        <w:rPr>
          <w:rFonts w:ascii="Barlow Semi Condensed" w:cs="Barlow Semi Condensed" w:eastAsia="Barlow Semi Condensed" w:hAnsi="Barlow Semi Condensed"/>
          <w:b/>
          <w:bCs/>
          <w:sz w:val="24"/>
          <w:szCs w:val="24"/>
        </w:rPr>
        <w:t xml:space="preserve">Risoluzione trentuno barra centoquarantanove\\, centoventi favorevoli, nessun contrario, sette astenuti: \\l'Italia A FAVORE, la Germania Federale astenuta.</w:t>
      </w:r>
    </w:p>
    <w:p>
      <w:pPr>
        <w:spacing w:after="120" w:line="276"/>
        <w:jc w:val="both"/>
      </w:pPr>
      <w:r>
        <w:rPr>
          <w:rFonts w:ascii="Barlow Semi Condensed" w:cs="Barlow Semi Condensed" w:eastAsia="Barlow Semi Condensed" w:hAnsi="Barlow Semi Condensed"/>
          <w:b/>
          <w:bCs/>
          <w:sz w:val="24"/>
          <w:szCs w:val="24"/>
        </w:rPr>
        <w:t xml:space="preserve">Risoluzione trentadue barra nove G del 4 novembre 1977, sull'intensificazione dell'azione delle Nazioni Unite a sostegno della Namibia, centotrenta favorevoli, nessun contrario, undici astenuti: l'Italia A FAVORE, la Germania Federale astenuta.</w:t>
      </w:r>
    </w:p>
    <w:p>
      <w:pPr>
        <w:spacing w:after="120" w:line="276"/>
        <w:jc w:val="both"/>
      </w:pPr>
      <w:r>
        <w:rPr>
          <w:rFonts w:ascii="Barlow Semi Condensed" w:cs="Barlow Semi Condensed" w:eastAsia="Barlow Semi Condensed" w:hAnsi="Barlow Semi Condensed"/>
          <w:b/>
          <w:bCs/>
          <w:sz w:val="24"/>
          <w:szCs w:val="24"/>
        </w:rPr>
        <w:t xml:space="preserve">La fase successiva, e il quadro muta. Sulle risoluzioni trentanove barra cinquanta D del 12 dicembre 1984 — centotrenta favorevoli, nessun contrario, ventiquattro astenuti — quarantuno barra trentanove B del 20 novembre 1986 — centotrentatré, nessuno, venticinque — e quarantadue barra quattordici B del 6 novembre 1987 — centotrenta, nessuno, ventiquattro — l'Italia si ASTENNE ogni volta, collocandosi nel medesimo blocco di Australia, Austria, Belgio, Canada, Danimarca, Finlandia, Francia, Islanda, Irlanda, Giappone, Lussemburgo, Paesi Bassi, Nuova Zelanda e Norvegia.</w:t>
      </w:r>
    </w:p>
    <w:p>
      <w:pPr>
        <w:spacing w:after="120" w:line="276"/>
        <w:jc w:val="both"/>
      </w:pPr>
      <w:r>
        <w:rPr>
          <w:rFonts w:ascii="Barlow Semi Condensed" w:cs="Barlow Semi Condensed" w:eastAsia="Barlow Semi Condensed" w:hAnsi="Barlow Semi Condensed"/>
          <w:b/>
          <w:bCs/>
          <w:sz w:val="24"/>
          <w:szCs w:val="24"/>
        </w:rPr>
        <w:t xml:space="preserve">Un dato anteriore, per contesto. Sulla risoluzione trentuno barra undici della ventottesima sessione, del 12 dicembre 1973, sulla Namibia, centosette favorevoli, diciassette contrari, due astenuti, l'Italia si astenne insieme ad Austria, Belgio, Canada, Francia, Germania Federale, Irlanda, Israele, Lussemburgo, Paesi Bassi, Regno Unito e Stati Uniti: indice della compattezza del blocco occidentale già nel 1973.</w:t>
      </w:r>
    </w:p>
    <w:p>
      <w:pPr>
        <w:spacing w:after="120" w:line="276"/>
        <w:jc w:val="both"/>
      </w:pPr>
      <w:r>
        <w:rPr>
          <w:rFonts w:ascii="Barlow Semi Condensed" w:cs="Barlow Semi Condensed" w:eastAsia="Barlow Semi Condensed" w:hAnsi="Barlow Semi Condensed"/>
          <w:b/>
          <w:bCs/>
          <w:sz w:val="24"/>
          <w:szCs w:val="24"/>
        </w:rPr>
        <w:t xml:space="preserve">Un esito negativo va dichiarato. Per numerose risoluzioni namibiane intermedie — trentatré barra centoottantadue, trentaquattro barra novantadue, trentacinque barra duecentoventisette, trentasei barra centoventuno, trentasette barra duecentotrentatré, quaranta barra novantasette, quarantatré barra ventisei — i risultati numerici sono in parte noti ma i voti individuali di Italia e Germania Federale non sono stati confermati al livello di paese.</w:t>
      </w:r>
    </w:p>
    <w:p>
      <w:pPr>
        <w:pStyle w:val="Heading2"/>
        <w:spacing w:after="100" w:before="200"/>
      </w:pPr>
      <w:r>
        <w:rPr>
          <w:rFonts w:ascii="Barlow Semi Condensed" w:cs="Barlow Semi Condensed" w:eastAsia="Barlow Semi Condensed" w:hAnsi="Barlow Semi Condensed"/>
          <w:sz w:val="24"/>
          <w:szCs w:val="24"/>
        </w:rPr>
        <w:t xml:space="preserve">Capitolo settimo — L'inversione del 1976-1977, e la correzione alla sedicesima</w:t>
      </w:r>
    </w:p>
    <w:p>
      <w:pPr>
        <w:spacing w:after="120" w:line="276"/>
        <w:jc w:val="both"/>
      </w:pPr>
      <w:r>
        <w:rPr>
          <w:rFonts w:ascii="Barlow Semi Condensed" w:cs="Barlow Semi Condensed" w:eastAsia="Barlow Semi Condensed" w:hAnsi="Barlow Semi Condensed"/>
          <w:b/>
          <w:bCs/>
          <w:sz w:val="24"/>
          <w:szCs w:val="24"/>
        </w:rPr>
        <w:t xml:space="preserve">Il capitolo espone il risultato analitico maggiore di questa ricognizione, che modifica una lettura consolidata.</w:t>
      </w:r>
    </w:p>
    <w:p>
      <w:pPr>
        <w:spacing w:after="120" w:line="276"/>
        <w:jc w:val="both"/>
      </w:pPr>
      <w:r>
        <w:rPr>
          <w:rFonts w:ascii="Barlow Semi Condensed" w:cs="Barlow Semi Condensed" w:eastAsia="Barlow Semi Condensed" w:hAnsi="Barlow Semi Condensed"/>
          <w:b/>
          <w:bCs/>
          <w:sz w:val="24"/>
          <w:szCs w:val="24"/>
        </w:rPr>
        <w:t xml:space="preserve">Che cosa la sedicesima ricognizione aveva stabilito. Che la Repubblica Federale sedeva nel Gruppo di contatto occidentale sulla Namibia per ragione di seggio, e che l'Italia ne era esclusa per la medesima ragione, essendo il suo mandato scaduto il 31 dicembre 1976. E che la differenza fra le due potenze era di collocazione istituzionale.</w:t>
      </w:r>
    </w:p>
    <w:p>
      <w:pPr>
        <w:spacing w:after="120" w:line="276"/>
        <w:jc w:val="both"/>
      </w:pPr>
      <w:r>
        <w:rPr>
          <w:rFonts w:ascii="Barlow Semi Condensed" w:cs="Barlow Semi Condensed" w:eastAsia="Barlow Semi Condensed" w:hAnsi="Barlow Semi Condensed"/>
          <w:b/>
          <w:bCs/>
          <w:sz w:val="24"/>
          <w:szCs w:val="24"/>
        </w:rPr>
        <w:t xml:space="preserve">Che cosa i voti aggiungono, e va enunciato con precisione perché rovescia l'attesa.</w:t>
      </w:r>
    </w:p>
    <w:p>
      <w:pPr>
        <w:spacing w:after="120" w:line="276"/>
        <w:jc w:val="both"/>
      </w:pPr>
      <w:r>
        <w:rPr>
          <w:rFonts w:ascii="Barlow Semi Condensed" w:cs="Barlow Semi Condensed" w:eastAsia="Barlow Semi Condensed" w:hAnsi="Barlow Semi Condensed"/>
          <w:b/>
          <w:bCs/>
          <w:sz w:val="24"/>
          <w:szCs w:val="24"/>
        </w:rPr>
        <w:t xml:space="preserve">Nella fase 1976-1977, sui voti namibiani, l'Italia esclusa dal consesso negoziale fu più avanzata della Germania che vi sedeva.</w:t>
      </w:r>
    </w:p>
    <w:p>
      <w:pPr>
        <w:spacing w:after="120" w:line="276"/>
        <w:jc w:val="both"/>
      </w:pPr>
      <w:r>
        <w:rPr>
          <w:rFonts w:ascii="Barlow Semi Condensed" w:cs="Barlow Semi Condensed" w:eastAsia="Barlow Semi Condensed" w:hAnsi="Barlow Semi Condensed"/>
          <w:b/>
          <w:bCs/>
          <w:sz w:val="24"/>
          <w:szCs w:val="24"/>
        </w:rPr>
        <w:t xml:space="preserve">Sul testo politicamente più carico — il riconoscimento della SWAPO come unico rappresentante — la Germania votò CONTRO e l'Italia si limitò all'ASTENSIONE.</w:t>
      </w:r>
    </w:p>
    <w:p>
      <w:pPr>
        <w:spacing w:after="120" w:line="276"/>
        <w:jc w:val="both"/>
      </w:pPr>
      <w:r>
        <w:rPr>
          <w:rFonts w:ascii="Barlow Semi Condensed" w:cs="Barlow Semi Condensed" w:eastAsia="Barlow Semi Condensed" w:hAnsi="Barlow Semi Condensed"/>
          <w:b/>
          <w:bCs/>
          <w:sz w:val="24"/>
          <w:szCs w:val="24"/>
        </w:rPr>
        <w:t xml:space="preserve">Su tre testi successivi l'Italia votò A FAVORE mentre la Germania si asteneva.</w:t>
      </w:r>
    </w:p>
    <w:p>
      <w:pPr>
        <w:spacing w:after="120" w:line="276"/>
        <w:jc w:val="both"/>
      </w:pPr>
      <w:r>
        <w:rPr>
          <w:rFonts w:ascii="Barlow Semi Condensed" w:cs="Barlow Semi Condensed" w:eastAsia="Barlow Semi Condensed" w:hAnsi="Barlow Semi Condensed"/>
          <w:b/>
          <w:bCs/>
          <w:sz w:val="24"/>
          <w:szCs w:val="24"/>
        </w:rPr>
        <w:t xml:space="preserve">Quattro voti, quattro volte l'Italia più avanti.</w:t>
      </w:r>
    </w:p>
    <w:p>
      <w:pPr>
        <w:spacing w:after="120" w:line="276"/>
        <w:jc w:val="both"/>
      </w:pPr>
      <w:r>
        <w:rPr>
          <w:rFonts w:ascii="Barlow Semi Condensed" w:cs="Barlow Semi Condensed" w:eastAsia="Barlow Semi Condensed" w:hAnsi="Barlow Semi Condensed"/>
          <w:b/>
          <w:bCs/>
          <w:sz w:val="24"/>
          <w:szCs w:val="24"/>
        </w:rPr>
        <w:t xml:space="preserve">La spiegazione plausibile va offerta e qualificata come tale. La Germania, membro del Gruppo di contatto, era negoziatrice con Pretoria e aveva perciò interesse a non pregiudicare il negoziato con voti che il Sudafrica avrebbe letto come ostili. L'Italia, priva di responsabilità negoziali, poteva votare secondo la propria posizione senza costo diplomatico.</w:t>
      </w:r>
    </w:p>
    <w:p>
      <w:pPr>
        <w:spacing w:after="120" w:line="276"/>
        <w:jc w:val="both"/>
      </w:pPr>
      <w:r>
        <w:rPr>
          <w:rFonts w:ascii="Barlow Semi Condensed" w:cs="Barlow Semi Condensed" w:eastAsia="Barlow Semi Condensed" w:hAnsi="Barlow Semi Condensed"/>
          <w:b/>
          <w:bCs/>
          <w:sz w:val="24"/>
          <w:szCs w:val="24"/>
        </w:rPr>
        <w:t xml:space="preserve">Ne discende un rilievo generale: la partecipazione a un consesso negoziale vincola il voto, e l'esclusione lo libera.</w:t>
      </w:r>
    </w:p>
    <w:p>
      <w:pPr>
        <w:spacing w:after="120" w:line="276"/>
        <w:jc w:val="both"/>
      </w:pPr>
      <w:r>
        <w:rPr>
          <w:rFonts w:ascii="Barlow Semi Condensed" w:cs="Barlow Semi Condensed" w:eastAsia="Barlow Semi Condensed" w:hAnsi="Barlow Semi Condensed"/>
          <w:b/>
          <w:bCs/>
          <w:sz w:val="24"/>
          <w:szCs w:val="24"/>
        </w:rPr>
        <w:t xml:space="preserve">Chi sta al tavolo paga in libertà di voto ciò che guadagna in influenza. Chi ne è fuori vota più liberamente perché il suo voto pesa meno.</w:t>
      </w:r>
    </w:p>
    <w:p>
      <w:pPr>
        <w:spacing w:after="120" w:line="276"/>
        <w:jc w:val="both"/>
      </w:pPr>
      <w:r>
        <w:rPr>
          <w:rFonts w:ascii="Barlow Semi Condensed" w:cs="Barlow Semi Condensed" w:eastAsia="Barlow Semi Condensed" w:hAnsi="Barlow Semi Condensed"/>
          <w:b/>
          <w:bCs/>
          <w:sz w:val="24"/>
          <w:szCs w:val="24"/>
        </w:rPr>
        <w:t xml:space="preserve">La correzione alla sedicesima ricognizione va formulata così.\\ Essa aveva concluso che la differenza fra Italia e Germania sulla Namibia era \\di collocazione istituzionale e non di condotta.</w:t>
      </w:r>
    </w:p>
    <w:p>
      <w:pPr>
        <w:spacing w:after="120" w:line="276"/>
        <w:jc w:val="both"/>
      </w:pPr>
      <w:r>
        <w:rPr>
          <w:rFonts w:ascii="Barlow Semi Condensed" w:cs="Barlow Semi Condensed" w:eastAsia="Barlow Semi Condensed" w:hAnsi="Barlow Semi Condensed"/>
          <w:b/>
          <w:bCs/>
          <w:sz w:val="24"/>
          <w:szCs w:val="24"/>
        </w:rPr>
        <w:t xml:space="preserve">Va emendata: la differenza di collocazione produsse una differenza di condotta, e in direzione opposta a quella che l'intuizione suggerirebbe. La potenza esclusa risulta, sul registro dei voti, la più avanzata delle due.</w:t>
      </w:r>
    </w:p>
    <w:p>
      <w:pPr>
        <w:spacing w:after="120" w:line="276"/>
        <w:jc w:val="both"/>
      </w:pPr>
      <w:r>
        <w:rPr>
          <w:rFonts w:ascii="Barlow Semi Condensed" w:cs="Barlow Semi Condensed" w:eastAsia="Barlow Semi Condensed" w:hAnsi="Barlow Semi Condensed"/>
          <w:b/>
          <w:bCs/>
          <w:sz w:val="24"/>
          <w:szCs w:val="24"/>
        </w:rPr>
        <w:t xml:space="preserve">Ma l'emendazione va contenuta entro i propri limiti, e tre avvertenze la circoscrivono.</w:t>
      </w:r>
    </w:p>
    <w:p>
      <w:pPr>
        <w:spacing w:after="120" w:line="276"/>
        <w:jc w:val="both"/>
      </w:pPr>
      <w:r>
        <w:rPr>
          <w:rFonts w:ascii="Barlow Semi Condensed" w:cs="Barlow Semi Condensed" w:eastAsia="Barlow Semi Condensed" w:hAnsi="Barlow Semi Condensed"/>
          <w:b/>
          <w:bCs/>
          <w:sz w:val="24"/>
          <w:szCs w:val="24"/>
        </w:rPr>
        <w:t xml:space="preserve">Prima: un voto non è una condotta complessiva. L'Italia che votava a favore delle risoluzioni namibiane era la medesima che manteneva ambasciata a Pretoria e la licenza Aermacchi.</w:t>
      </w:r>
    </w:p>
    <w:p>
      <w:pPr>
        <w:spacing w:after="120" w:line="276"/>
        <w:jc w:val="both"/>
      </w:pPr>
      <w:r>
        <w:rPr>
          <w:rFonts w:ascii="Barlow Semi Condensed" w:cs="Barlow Semi Condensed" w:eastAsia="Barlow Semi Condensed" w:hAnsi="Barlow Semi Condensed"/>
          <w:b/>
          <w:bCs/>
          <w:sz w:val="24"/>
          <w:szCs w:val="24"/>
        </w:rPr>
        <w:t xml:space="preserve">Seconda: la differenza dura poco. Dal 1984 le due potenze convergono su un'astensione identica, e vi restano.</w:t>
      </w:r>
    </w:p>
    <w:p>
      <w:pPr>
        <w:spacing w:after="120" w:line="276"/>
        <w:jc w:val="both"/>
      </w:pPr>
      <w:r>
        <w:rPr>
          <w:rFonts w:ascii="Barlow Semi Condensed" w:cs="Barlow Semi Condensed" w:eastAsia="Barlow Semi Condensed" w:hAnsi="Barlow Semi Condensed"/>
          <w:b/>
          <w:bCs/>
          <w:sz w:val="24"/>
          <w:szCs w:val="24"/>
        </w:rPr>
        <w:t xml:space="preserve">Terza: un voto è un voto, e non se ne inferiscono le intenzioni, che andrebbero cercate nelle dichiarazioni esplicative — non reperite, come il Capitolo nono dichiara.</w:t>
      </w:r>
    </w:p>
    <w:p>
      <w:pPr>
        <w:pStyle w:val="Heading2"/>
        <w:spacing w:after="100" w:before="200"/>
      </w:pPr>
      <w:r>
        <w:rPr>
          <w:rFonts w:ascii="Barlow Semi Condensed" w:cs="Barlow Semi Condensed" w:eastAsia="Barlow Semi Condensed" w:hAnsi="Barlow Semi Condensed"/>
          <w:sz w:val="24"/>
          <w:szCs w:val="24"/>
        </w:rPr>
        <w:t xml:space="preserve">Capitolo ottavo — Lo schema del 30 settembre 1974, verificato</w:t>
      </w:r>
    </w:p>
    <w:p>
      <w:pPr>
        <w:spacing w:after="120" w:line="276"/>
        <w:jc w:val="both"/>
      </w:pPr>
      <w:r>
        <w:rPr>
          <w:rFonts w:ascii="Barlow Semi Condensed" w:cs="Barlow Semi Condensed" w:eastAsia="Barlow Semi Condensed" w:hAnsi="Barlow Semi Condensed"/>
          <w:b/>
          <w:bCs/>
          <w:sz w:val="24"/>
          <w:szCs w:val="24"/>
        </w:rPr>
        <w:t xml:space="preserve">Il capitolo risponde alla domanda analitica che la ricerca aveva posto.</w:t>
      </w:r>
    </w:p>
    <w:p>
      <w:pPr>
        <w:spacing w:after="120" w:line="276"/>
        <w:jc w:val="both"/>
      </w:pPr>
      <w:r>
        <w:rPr>
          <w:rFonts w:ascii="Barlow Semi Condensed" w:cs="Barlow Semi Condensed" w:eastAsia="Barlow Semi Condensed" w:hAnsi="Barlow Semi Condensed"/>
          <w:b/>
          <w:bCs/>
          <w:sz w:val="24"/>
          <w:szCs w:val="24"/>
        </w:rPr>
        <w:t xml:space="preserve">La domanda era questa. Il doppio comportamento del 30 settembre 1974 — contrario sulla risoluzione tremiladuecentosei relativa al rifiuto delle credenziali sudafricane, favorevole sulla tremiladuecentosette relativa alla condanna sostanziale — era caso isolato o regolarità?</w:t>
      </w:r>
    </w:p>
    <w:p>
      <w:pPr>
        <w:spacing w:after="120" w:line="276"/>
        <w:jc w:val="both"/>
      </w:pPr>
      <w:r>
        <w:rPr>
          <w:rFonts w:ascii="Barlow Semi Condensed" w:cs="Barlow Semi Condensed" w:eastAsia="Barlow Semi Condensed" w:hAnsi="Barlow Semi Condensed"/>
          <w:b/>
          <w:bCs/>
          <w:sz w:val="24"/>
          <w:szCs w:val="24"/>
        </w:rPr>
        <w:t xml:space="preserve">La risposta è: regolarità, con evoluzione.</w:t>
      </w:r>
    </w:p>
    <w:p>
      <w:pPr>
        <w:spacing w:after="120" w:line="276"/>
        <w:jc w:val="both"/>
      </w:pPr>
      <w:r>
        <w:rPr>
          <w:rFonts w:ascii="Barlow Semi Condensed" w:cs="Barlow Semi Condensed" w:eastAsia="Barlow Semi Condensed" w:hAnsi="Barlow Semi Condensed"/>
          <w:b/>
          <w:bCs/>
          <w:sz w:val="24"/>
          <w:szCs w:val="24"/>
        </w:rPr>
        <w:t xml:space="preserve">Lo schema.\\ L'Italia distingue sistematicamente \\il piano procedurale e di esclusione, dove resiste, da quello della condanna sostanziale, dove aderisce.</w:t>
      </w:r>
    </w:p>
    <w:p>
      <w:pPr>
        <w:spacing w:after="120" w:line="276"/>
        <w:jc w:val="both"/>
      </w:pPr>
      <w:r>
        <w:rPr>
          <w:rFonts w:ascii="Barlow Semi Condensed" w:cs="Barlow Semi Condensed" w:eastAsia="Barlow Semi Condensed" w:hAnsi="Barlow Semi Condensed"/>
          <w:b/>
          <w:bCs/>
          <w:sz w:val="24"/>
          <w:szCs w:val="24"/>
        </w:rPr>
        <w:t xml:space="preserve">Le verifiche. Nel 1973 si astiene sulla risoluzione namibiana con l'intero blocco occidentale. Nel 1976 si astiene sul riconoscimento della SWAPO — atto che ha natura di attribuzione di rappresentanza esclusiva, dunque procedurale nel senso ampio — ma vota a favore dei tre testi successivi di sostegno alla Namibia.</w:t>
      </w:r>
    </w:p>
    <w:p>
      <w:pPr>
        <w:spacing w:after="120" w:line="276"/>
        <w:jc w:val="both"/>
      </w:pPr>
      <w:r>
        <w:rPr>
          <w:rFonts w:ascii="Barlow Semi Condensed" w:cs="Barlow Semi Condensed" w:eastAsia="Barlow Semi Condensed" w:hAnsi="Barlow Semi Condensed"/>
          <w:b/>
          <w:bCs/>
          <w:sz w:val="24"/>
          <w:szCs w:val="24"/>
        </w:rPr>
        <w:t xml:space="preserve">Nel 1977 vota a favore dell'intensificazione dell'azione delle Nazioni Unite.</w:t>
      </w:r>
    </w:p>
    <w:p>
      <w:pPr>
        <w:spacing w:after="120" w:line="276"/>
        <w:jc w:val="both"/>
      </w:pPr>
      <w:r>
        <w:rPr>
          <w:rFonts w:ascii="Barlow Semi Condensed" w:cs="Barlow Semi Condensed" w:eastAsia="Barlow Semi Condensed" w:hAnsi="Barlow Semi Condensed"/>
          <w:b/>
          <w:bCs/>
          <w:sz w:val="24"/>
          <w:szCs w:val="24"/>
        </w:rPr>
        <w:t xml:space="preserve">Ne discende che lo schema del 1974 non è un episodio ma una grammatica: l'Italia sostiene le condanne e i sostegni, e si sottrae agli atti che escludono o che attribuiscono rappresentanze esclusive.</w:t>
      </w:r>
    </w:p>
    <w:p>
      <w:pPr>
        <w:spacing w:after="120" w:line="276"/>
        <w:jc w:val="both"/>
      </w:pPr>
      <w:r>
        <w:rPr>
          <w:rFonts w:ascii="Barlow Semi Condensed" w:cs="Barlow Semi Condensed" w:eastAsia="Barlow Semi Condensed" w:hAnsi="Barlow Semi Condensed"/>
          <w:b/>
          <w:bCs/>
          <w:sz w:val="24"/>
          <w:szCs w:val="24"/>
        </w:rPr>
        <w:t xml:space="preserve">L'evoluzione, e va registrata perché non è un miglioramento. Dal 1984 la posizione si assesta sull'astensione anche sui testi di sostegno, e l'Italia entra stabilmente nel blocco astensionista dell'Europa occidentale allargato a Giappone, Canada, Australia e Nuova Zelanda.</w:t>
      </w:r>
    </w:p>
    <w:p>
      <w:pPr>
        <w:spacing w:after="120" w:line="276"/>
        <w:jc w:val="both"/>
      </w:pPr>
      <w:r>
        <w:rPr>
          <w:rFonts w:ascii="Barlow Semi Condensed" w:cs="Barlow Semi Condensed" w:eastAsia="Barlow Semi Condensed" w:hAnsi="Barlow Semi Condensed"/>
          <w:b/>
          <w:bCs/>
          <w:sz w:val="24"/>
          <w:szCs w:val="24"/>
        </w:rPr>
        <w:t xml:space="preserve">La grammatica del 1974 si semplifica in una posizione unica, e la posizione unica è più arretrata delle due che l'avevano preceduta.</w:t>
      </w:r>
    </w:p>
    <w:p>
      <w:pPr>
        <w:spacing w:after="120" w:line="276"/>
        <w:jc w:val="both"/>
      </w:pPr>
      <w:r>
        <w:rPr>
          <w:rFonts w:ascii="Barlow Semi Condensed" w:cs="Barlow Semi Condensed" w:eastAsia="Barlow Semi Condensed" w:hAnsi="Barlow Semi Condensed"/>
          <w:b/>
          <w:bCs/>
          <w:sz w:val="24"/>
          <w:szCs w:val="24"/>
        </w:rPr>
        <w:t xml:space="preserve">Un esito negativo circoscrive l'accertamento.\\ Per il periodo \\1969-1973\\ i voti individuali italiani sulle risoluzioni relative all'apartheid \\restano in ampia parte non verificati al livello di paese.</w:t>
      </w:r>
    </w:p>
    <w:p>
      <w:pPr>
        <w:spacing w:after="120" w:line="276"/>
        <w:jc w:val="both"/>
      </w:pPr>
      <w:r>
        <w:rPr>
          <w:rFonts w:ascii="Barlow Semi Condensed" w:cs="Barlow Semi Condensed" w:eastAsia="Barlow Semi Condensed" w:hAnsi="Barlow Semi Condensed"/>
          <w:b/>
          <w:bCs/>
          <w:sz w:val="24"/>
          <w:szCs w:val="24"/>
        </w:rPr>
        <w:t xml:space="preserve">In particolare, la risoluzione duemilasettecentosettantacinque della ventiseiesima sessione, del 29 novembre 1971, intitolata proprio Arms embargo e adottata con centosette favorevoli, due contrari e cinque astenuti nella millenovecentonovantasettesima seduta plenaria, ha lista per paese troncata nelle risorse accessibili.</w:t>
      </w:r>
    </w:p>
    <w:p>
      <w:pPr>
        <w:spacing w:after="120" w:line="276"/>
        <w:jc w:val="both"/>
      </w:pPr>
      <w:r>
        <w:rPr>
          <w:rFonts w:ascii="Barlow Semi Condensed" w:cs="Barlow Semi Condensed" w:eastAsia="Barlow Semi Condensed" w:hAnsi="Barlow Semi Condensed"/>
          <w:b/>
          <w:bCs/>
          <w:sz w:val="24"/>
          <w:szCs w:val="24"/>
        </w:rPr>
        <w:t xml:space="preserve">È la risoluzione più direttamente pertinente al perimetro dell'intera serie — l'embargo sulle armi — e il voto italiano su di essa non è stato accertato. Sede: la scheda di voting data del singolo documento.</w:t>
      </w:r>
    </w:p>
    <w:p>
      <w:pPr>
        <w:pStyle w:val="Heading2"/>
        <w:spacing w:after="100" w:before="200"/>
      </w:pPr>
      <w:r>
        <w:rPr>
          <w:rFonts w:ascii="Barlow Semi Condensed" w:cs="Barlow Semi Condensed" w:eastAsia="Barlow Semi Condensed" w:hAnsi="Barlow Semi Condensed"/>
          <w:sz w:val="24"/>
          <w:szCs w:val="24"/>
        </w:rPr>
        <w:t xml:space="preserve">Capitolo nono — Dichiarazioni e sponsorizzazioni: esito parziale</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w:t>
      </w:r>
    </w:p>
    <w:p>
      <w:pPr>
        <w:spacing w:after="120" w:line="276"/>
        <w:jc w:val="both"/>
      </w:pPr>
      <w:r>
        <w:rPr>
          <w:rFonts w:ascii="Barlow Semi Condensed" w:cs="Barlow Semi Condensed" w:eastAsia="Barlow Semi Condensed" w:hAnsi="Barlow Semi Condensed"/>
          <w:b/>
          <w:bCs/>
          <w:sz w:val="24"/>
          <w:szCs w:val="24"/>
        </w:rPr>
        <w:t xml:space="preserve">Che cosa si cercava. Le dichiarazioni esplicative di voto dei delegati italiani sulle risoluzioni namibiane e sull'apartheid, che sono l'unico luogo dove le intenzioni di un voto sono documentate anziché inferite.</w:t>
      </w:r>
    </w:p>
    <w:p>
      <w:pPr>
        <w:spacing w:after="120" w:line="276"/>
        <w:jc w:val="both"/>
      </w:pPr>
      <w:r>
        <w:rPr>
          <w:rFonts w:ascii="Barlow Semi Condensed" w:cs="Barlow Semi Condensed" w:eastAsia="Barlow Semi Condensed" w:hAnsi="Barlow Semi Condensed"/>
          <w:b/>
          <w:bCs/>
          <w:sz w:val="24"/>
          <w:szCs w:val="24"/>
        </w:rPr>
        <w:t xml:space="preserve">Che cosa si è trovato.\\ \\Nulla, nei limiti delle fonti accessibili.</w:t>
      </w:r>
    </w:p>
    <w:p>
      <w:pPr>
        <w:spacing w:after="120" w:line="276"/>
        <w:jc w:val="both"/>
      </w:pPr>
      <w:r>
        <w:rPr>
          <w:rFonts w:ascii="Barlow Semi Condensed" w:cs="Barlow Semi Condensed" w:eastAsia="Barlow Semi Condensed" w:hAnsi="Barlow Semi Condensed"/>
          <w:b/>
          <w:bCs/>
          <w:sz w:val="24"/>
          <w:szCs w:val="24"/>
        </w:rPr>
        <w:t xml:space="preserve">Le sedi. I verbali plenari della serie A/PV — e in particolare A/31/PV.105, seduta in cui fu adottata la risoluzione sul riconoscimento della SWAPO — nonché le serie relative alle sessioni trentanovesima, quarantunesima e quarantaduesima, e i verbali di Comitato.</w:t>
      </w:r>
    </w:p>
    <w:p>
      <w:pPr>
        <w:spacing w:after="120" w:line="276"/>
        <w:jc w:val="both"/>
      </w:pPr>
      <w:r>
        <w:rPr>
          <w:rFonts w:ascii="Barlow Semi Condensed" w:cs="Barlow Semi Condensed" w:eastAsia="Barlow Semi Condensed" w:hAnsi="Barlow Semi Condensed"/>
          <w:b/>
          <w:bCs/>
          <w:sz w:val="24"/>
          <w:szCs w:val="24"/>
        </w:rPr>
        <w:t xml:space="preserve">Ne discende una conseguenza che va enunciata perché limita il Capitolo settimo.</w:t>
      </w:r>
    </w:p>
    <w:p>
      <w:pPr>
        <w:spacing w:after="120" w:line="276"/>
        <w:jc w:val="both"/>
      </w:pPr>
      <w:r>
        <w:rPr>
          <w:rFonts w:ascii="Barlow Semi Condensed" w:cs="Barlow Semi Condensed" w:eastAsia="Barlow Semi Condensed" w:hAnsi="Barlow Semi Condensed"/>
          <w:b/>
          <w:bCs/>
          <w:sz w:val="24"/>
          <w:szCs w:val="24"/>
        </w:rPr>
        <w:t xml:space="preserve">L'inversione del 1976-1977 è accertata quanto al fatto — l'Italia votò più avanti della Germania — e non accertata quanto alla ragione.</w:t>
      </w:r>
    </w:p>
    <w:p>
      <w:pPr>
        <w:spacing w:after="120" w:line="276"/>
        <w:jc w:val="both"/>
      </w:pPr>
      <w:r>
        <w:rPr>
          <w:rFonts w:ascii="Barlow Semi Condensed" w:cs="Barlow Semi Condensed" w:eastAsia="Barlow Semi Condensed" w:hAnsi="Barlow Semi Condensed"/>
          <w:b/>
          <w:bCs/>
          <w:sz w:val="24"/>
          <w:szCs w:val="24"/>
        </w:rPr>
        <w:t xml:space="preserve">La spiegazione offerta al Capitolo settimo, secondo cui la partecipazione al Gruppo di contatto vincolava il voto tedesco, è inferenza plausibile e non lettura di documento.</w:t>
      </w:r>
    </w:p>
    <w:p>
      <w:pPr>
        <w:spacing w:after="120" w:line="276"/>
        <w:jc w:val="both"/>
      </w:pPr>
      <w:r>
        <w:rPr>
          <w:rFonts w:ascii="Barlow Semi Condensed" w:cs="Barlow Semi Condensed" w:eastAsia="Barlow Semi Condensed" w:hAnsi="Barlow Semi Condensed"/>
          <w:b/>
          <w:bCs/>
          <w:sz w:val="24"/>
          <w:szCs w:val="24"/>
        </w:rPr>
        <w:t xml:space="preserve">Chi voglia accertarla deve leggere le dichiarazioni esplicative tedesche del dicembre 1976, che esistono e sono nei verbali.</w:t>
      </w:r>
    </w:p>
    <w:p>
      <w:pPr>
        <w:spacing w:after="120" w:line="276"/>
        <w:jc w:val="both"/>
      </w:pPr>
      <w:r>
        <w:rPr>
          <w:rFonts w:ascii="Barlow Semi Condensed" w:cs="Barlow Semi Condensed" w:eastAsia="Barlow Semi Condensed" w:hAnsi="Barlow Semi Condensed"/>
          <w:b/>
          <w:bCs/>
          <w:sz w:val="24"/>
          <w:szCs w:val="24"/>
        </w:rPr>
        <w:t xml:space="preserve">Il secondo obiettivo del capitolo. Verificare se l'Italia figuri fra i firmatari o promotori delle risoluzioni, o se si sia limitata a votare.</w:t>
      </w:r>
    </w:p>
    <w:p>
      <w:pPr>
        <w:spacing w:after="120" w:line="276"/>
        <w:jc w:val="both"/>
      </w:pPr>
      <w:r>
        <w:rPr>
          <w:rFonts w:ascii="Barlow Semi Condensed" w:cs="Barlow Semi Condensed" w:eastAsia="Barlow Semi Condensed" w:hAnsi="Barlow Semi Condensed"/>
          <w:b/>
          <w:bCs/>
          <w:sz w:val="24"/>
          <w:szCs w:val="24"/>
        </w:rPr>
        <w:t xml:space="preserve">I dati raccolti non la collocano fra i proponenti: la sua fu condotta di voto e non di sponsorizzazione.</w:t>
      </w:r>
    </w:p>
    <w:p>
      <w:pPr>
        <w:spacing w:after="120" w:line="276"/>
        <w:jc w:val="both"/>
      </w:pPr>
      <w:r>
        <w:rPr>
          <w:rFonts w:ascii="Barlow Semi Condensed" w:cs="Barlow Semi Condensed" w:eastAsia="Barlow Semi Condensed" w:hAnsi="Barlow Semi Condensed"/>
          <w:b/>
          <w:bCs/>
          <w:sz w:val="24"/>
          <w:szCs w:val="24"/>
        </w:rPr>
        <w:t xml:space="preserve">Ma l'esito è provvisorio, e la verifica definitiva richiederebbe l'esame dei progetti di risoluzione della serie A con suffisso L, dove figura l'elenco dei co-proponenti.</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vale per l'intera serie.</w:t>
      </w:r>
    </w:p>
    <w:p>
      <w:pPr>
        <w:spacing w:after="120" w:line="276"/>
        <w:jc w:val="both"/>
      </w:pPr>
      <w:r>
        <w:rPr>
          <w:rFonts w:ascii="Barlow Semi Condensed" w:cs="Barlow Semi Condensed" w:eastAsia="Barlow Semi Condensed" w:hAnsi="Barlow Semi Condensed"/>
          <w:b/>
          <w:bCs/>
          <w:sz w:val="24"/>
          <w:szCs w:val="24"/>
        </w:rPr>
        <w:t xml:space="preserve">Diciotto ricognizioni hanno cercato l'Italia come attore e l'hanno trovata, quando l'hanno trovata, come votante.</w:t>
      </w:r>
    </w:p>
    <w:p>
      <w:pPr>
        <w:spacing w:after="120" w:line="276"/>
        <w:jc w:val="both"/>
      </w:pPr>
      <w:r>
        <w:rPr>
          <w:rFonts w:ascii="Barlow Semi Condensed" w:cs="Barlow Semi Condensed" w:eastAsia="Barlow Semi Condensed" w:hAnsi="Barlow Semi Condensed"/>
          <w:b/>
          <w:bCs/>
          <w:sz w:val="24"/>
          <w:szCs w:val="24"/>
        </w:rPr>
        <w:t xml:space="preserve">Votare è la forma minima della presenza in un consesso multilaterale: è ciò che uno Stato fa quando è presente e non fa altro.</w:t>
      </w:r>
    </w:p>
    <w:p>
      <w:pPr>
        <w:spacing w:after="120" w:line="276"/>
        <w:jc w:val="both"/>
      </w:pPr>
      <w:r>
        <w:rPr>
          <w:rFonts w:ascii="Barlow Semi Condensed" w:cs="Barlow Semi Condensed" w:eastAsia="Barlow Semi Condensed" w:hAnsi="Barlow Semi Condensed"/>
          <w:b/>
          <w:bCs/>
          <w:sz w:val="24"/>
          <w:szCs w:val="24"/>
        </w:rPr>
        <w:t xml:space="preserve">Che in diciotto ricognizioni non sia emersa una sola risoluzione di cui l'Italia fosse proponente sull'Africa australe è, se confermato, un accertamento di rango.</w:t>
      </w:r>
    </w:p>
    <w:p>
      <w:pPr>
        <w:pStyle w:val="Heading2"/>
        <w:spacing w:after="100" w:before="200"/>
      </w:pPr>
      <w:r>
        <w:rPr>
          <w:rFonts w:ascii="Barlow Semi Condensed" w:cs="Barlow Semi Condensed" w:eastAsia="Barlow Semi Condensed" w:hAnsi="Barlow Semi Condensed"/>
          <w:sz w:val="24"/>
          <w:szCs w:val="24"/>
        </w:rPr>
        <w:t xml:space="preserve">Capitolo decimo — Il decimo grado: la barriera macchinica</w:t>
      </w:r>
    </w:p>
    <w:p>
      <w:pPr>
        <w:spacing w:after="120" w:line="276"/>
        <w:jc w:val="both"/>
      </w:pPr>
      <w:r>
        <w:rPr>
          <w:rFonts w:ascii="Barlow Semi Condensed" w:cs="Barlow Semi Condensed" w:eastAsia="Barlow Semi Condensed" w:hAnsi="Barlow Semi Condensed"/>
          <w:b/>
          <w:bCs/>
          <w:sz w:val="24"/>
          <w:szCs w:val="24"/>
        </w:rPr>
        <w:t xml:space="preserve">Il capitolo propone un'aggiunta alla scala degli Stati Zero, e la propone perché il modo in cui questa ricerca è fallita non rientra in alcuno dei nove gradi esistenti.</w:t>
      </w:r>
    </w:p>
    <w:p>
      <w:pPr>
        <w:spacing w:after="120" w:line="276"/>
        <w:jc w:val="both"/>
      </w:pPr>
      <w:r>
        <w:rPr>
          <w:rFonts w:ascii="Barlow Semi Condensed" w:cs="Barlow Semi Condensed" w:eastAsia="Barlow Semi Condensed" w:hAnsi="Barlow Semi Condensed"/>
          <w:b/>
          <w:bCs/>
          <w:sz w:val="24"/>
          <w:szCs w:val="24"/>
        </w:rPr>
        <w:t xml:space="preserve">La scala consolidata nel corpus conta nove gradi. Impossibilità istituzionale; limite di strumento; deposito inesplorato; insieme vuoto verificato; esito negativo presso i beneficiari; assenza coerente con la collocazione; allegazione senza base; falso positivo; atto atipico.</w:t>
      </w:r>
    </w:p>
    <w:p>
      <w:pPr>
        <w:spacing w:after="120" w:line="276"/>
        <w:jc w:val="both"/>
      </w:pPr>
      <w:r>
        <w:rPr>
          <w:rFonts w:ascii="Barlow Semi Condensed" w:cs="Barlow Semi Condensed" w:eastAsia="Barlow Semi Condensed" w:hAnsi="Barlow Semi Condensed"/>
          <w:b/>
          <w:bCs/>
          <w:sz w:val="24"/>
          <w:szCs w:val="24"/>
        </w:rPr>
        <w:t xml:space="preserve">Nessuno descrive ciò che è accaduto ai documenti S/9640 e S/AC.20/27.</w:t>
      </w:r>
    </w:p>
    <w:p>
      <w:pPr>
        <w:spacing w:after="120" w:line="276"/>
        <w:jc w:val="both"/>
      </w:pPr>
      <w:r>
        <w:rPr>
          <w:rFonts w:ascii="Barlow Semi Condensed" w:cs="Barlow Semi Condensed" w:eastAsia="Barlow Semi Condensed" w:hAnsi="Barlow Semi Condensed"/>
          <w:b/>
          <w:bCs/>
          <w:sz w:val="24"/>
          <w:szCs w:val="24"/>
        </w:rPr>
        <w:t xml:space="preserve">La verifica, grado per grado.</w:t>
      </w:r>
    </w:p>
    <w:p>
      <w:pPr>
        <w:spacing w:after="120" w:line="276"/>
        <w:jc w:val="both"/>
      </w:pPr>
      <w:r>
        <w:rPr>
          <w:rFonts w:ascii="Barlow Semi Condensed" w:cs="Barlow Semi Condensed" w:eastAsia="Barlow Semi Condensed" w:hAnsi="Barlow Semi Condensed"/>
          <w:b/>
          <w:bCs/>
          <w:sz w:val="24"/>
          <w:szCs w:val="24"/>
        </w:rPr>
        <w:t xml:space="preserve">Non è impossibilità istituzionale, perché l'archivio è aperto: i documenti sono pubblici, non classificati, non soggetti a termine di consultabilità.</w:t>
      </w:r>
    </w:p>
    <w:p>
      <w:pPr>
        <w:spacing w:after="120" w:line="276"/>
        <w:jc w:val="both"/>
      </w:pPr>
      <w:r>
        <w:rPr>
          <w:rFonts w:ascii="Barlow Semi Condensed" w:cs="Barlow Semi Condensed" w:eastAsia="Barlow Semi Condensed" w:hAnsi="Barlow Semi Condensed"/>
          <w:b/>
          <w:bCs/>
          <w:sz w:val="24"/>
          <w:szCs w:val="24"/>
        </w:rPr>
        <w:t xml:space="preserve">Non è limite di strumento\\ nel senso già codificato — la banca dati che comincia dal 1976 — perché \\i documenti sono nella banca dati, catalogati e indicizzati.</w:t>
      </w:r>
    </w:p>
    <w:p>
      <w:pPr>
        <w:spacing w:after="120" w:line="276"/>
        <w:jc w:val="both"/>
      </w:pPr>
      <w:r>
        <w:rPr>
          <w:rFonts w:ascii="Barlow Semi Condensed" w:cs="Barlow Semi Condensed" w:eastAsia="Barlow Semi Condensed" w:hAnsi="Barlow Semi Condensed"/>
          <w:b/>
          <w:bCs/>
          <w:sz w:val="24"/>
          <w:szCs w:val="24"/>
        </w:rPr>
        <w:t xml:space="preserve">Non è deposito inesplorato\\, perché \\il deposito è esplorato: la scheda è stata letta, l'oggetto ufficiale trascritto, la segnatura verificata.</w:t>
      </w:r>
    </w:p>
    <w:p>
      <w:pPr>
        <w:spacing w:after="120" w:line="276"/>
        <w:jc w:val="both"/>
      </w:pPr>
      <w:r>
        <w:rPr>
          <w:rFonts w:ascii="Barlow Semi Condensed" w:cs="Barlow Semi Condensed" w:eastAsia="Barlow Semi Condensed" w:hAnsi="Barlow Semi Condensed"/>
          <w:b/>
          <w:bCs/>
          <w:sz w:val="24"/>
          <w:szCs w:val="24"/>
        </w:rPr>
        <w:t xml:space="preserve">Non è insieme vuoto verificato\\, perché \\l'insieme non è vuoto: il documento esiste e se ne conosce la lunghezza — due pagine per il secondo.</w:t>
      </w:r>
    </w:p>
    <w:p>
      <w:pPr>
        <w:spacing w:after="120" w:line="276"/>
        <w:jc w:val="both"/>
      </w:pPr>
      <w:r>
        <w:rPr>
          <w:rFonts w:ascii="Barlow Semi Condensed" w:cs="Barlow Semi Condensed" w:eastAsia="Barlow Semi Condensed" w:hAnsi="Barlow Semi Condensed"/>
          <w:b/>
          <w:bCs/>
          <w:sz w:val="24"/>
          <w:szCs w:val="24"/>
        </w:rPr>
        <w:t xml:space="preserve">Che cosa è accaduto, in termini precisi.\\ \\Il documento è pubblicamente disponibile a un lettore umano e inaccessibile a un lettore automatico.\\ Il server ha respinto il recupero \\per rilevamento anti-robot.</w:t>
      </w:r>
    </w:p>
    <w:p>
      <w:pPr>
        <w:spacing w:after="120" w:line="276"/>
        <w:jc w:val="both"/>
      </w:pPr>
      <w:r>
        <w:rPr>
          <w:rFonts w:ascii="Barlow Semi Condensed" w:cs="Barlow Semi Condensed" w:eastAsia="Barlow Semi Condensed" w:hAnsi="Barlow Semi Condensed"/>
          <w:b/>
          <w:bCs/>
          <w:sz w:val="24"/>
          <w:szCs w:val="24"/>
        </w:rPr>
        <w:t xml:space="preserve">Propongo il decimo grado, e lo denomino la barriera macchinica.</w:t>
      </w:r>
    </w:p>
    <w:p>
      <w:pPr>
        <w:spacing w:after="120" w:line="276"/>
        <w:jc w:val="both"/>
      </w:pPr>
      <w:r>
        <w:rPr>
          <w:rFonts w:ascii="Barlow Semi Condensed" w:cs="Barlow Semi Condensed" w:eastAsia="Barlow Semi Condensed" w:hAnsi="Barlow Semi Condensed"/>
          <w:b/>
          <w:bCs/>
          <w:sz w:val="24"/>
          <w:szCs w:val="24"/>
        </w:rPr>
        <w:t xml:space="preserve">Definizione: un documento è pubblico, catalogato e indirizzabile, e la sua acquisizione è impedita non da una norma né da una lacuna ma da un dispositivo tecnico che discrimina fra lettori umani e automatici.</w:t>
      </w:r>
    </w:p>
    <w:p>
      <w:pPr>
        <w:spacing w:after="120" w:line="276"/>
        <w:jc w:val="both"/>
      </w:pPr>
      <w:r>
        <w:rPr>
          <w:rFonts w:ascii="Barlow Semi Condensed" w:cs="Barlow Semi Condensed" w:eastAsia="Barlow Semi Condensed" w:hAnsi="Barlow Semi Condensed"/>
          <w:b/>
          <w:bCs/>
          <w:sz w:val="24"/>
          <w:szCs w:val="24"/>
        </w:rPr>
        <w:t xml:space="preserve">Le sue tre proprietà, che lo distinguono dagli altri nove.</w:t>
      </w:r>
    </w:p>
    <w:p>
      <w:pPr>
        <w:spacing w:after="120" w:line="276"/>
        <w:jc w:val="both"/>
      </w:pPr>
      <w:r>
        <w:rPr>
          <w:rFonts w:ascii="Barlow Semi Condensed" w:cs="Barlow Semi Condensed" w:eastAsia="Barlow Semi Condensed" w:hAnsi="Barlow Semi Condensed"/>
          <w:b/>
          <w:bCs/>
          <w:sz w:val="24"/>
          <w:szCs w:val="24"/>
        </w:rPr>
        <w:t xml:space="preserve">Prima: è invisibile a chi non tenti l'accesso. Una ricerca che si fermi alla scheda non sa di aver fallito, perché la scheda contiene abbastanza da sembrare un risultato.</w:t>
      </w:r>
    </w:p>
    <w:p>
      <w:pPr>
        <w:spacing w:after="120" w:line="276"/>
        <w:jc w:val="both"/>
      </w:pPr>
      <w:r>
        <w:rPr>
          <w:rFonts w:ascii="Barlow Semi Condensed" w:cs="Barlow Semi Condensed" w:eastAsia="Barlow Semi Condensed" w:hAnsi="Barlow Semi Condensed"/>
          <w:b/>
          <w:bCs/>
          <w:sz w:val="24"/>
          <w:szCs w:val="24"/>
        </w:rPr>
        <w:t xml:space="preserve">Seconda: è asimmetrico rispetto al ricercatore.\\ Un umano in una biblioteca aprirebbe quel file in trenta secondi. \\La stessa ricerca condotta da uno strumento automatico si arresta.</w:t>
      </w:r>
    </w:p>
    <w:p>
      <w:pPr>
        <w:spacing w:after="120" w:line="276"/>
        <w:jc w:val="both"/>
      </w:pPr>
      <w:r>
        <w:rPr>
          <w:rFonts w:ascii="Barlow Semi Condensed" w:cs="Barlow Semi Condensed" w:eastAsia="Barlow Semi Condensed" w:hAnsi="Barlow Semi Condensed"/>
          <w:b/>
          <w:bCs/>
          <w:sz w:val="24"/>
          <w:szCs w:val="24"/>
        </w:rPr>
        <w:t xml:space="preserve">Terza, ed è la più importante: non è rimediabile dall'interno del metodo che l'ha incontrata.\\ Nessuna riformulazione della domanda, nessuna insistenza, nessuna tavola lo scioglie. \\Si scioglie soltanto uscendo dal metodo — cioè andando.</w:t>
      </w:r>
    </w:p>
    <w:p>
      <w:pPr>
        <w:spacing w:after="120" w:line="276"/>
        <w:jc w:val="both"/>
      </w:pPr>
      <w:r>
        <w:rPr>
          <w:rFonts w:ascii="Barlow Semi Condensed" w:cs="Barlow Semi Condensed" w:eastAsia="Barlow Semi Condensed" w:hAnsi="Barlow Semi Condensed"/>
          <w:b/>
          <w:bCs/>
          <w:sz w:val="24"/>
          <w:szCs w:val="24"/>
        </w:rPr>
        <w:t xml:space="preserve">Ne discende una conseguenza che riguarda questa serie intera e che registro senza compiacimento.</w:t>
      </w:r>
    </w:p>
    <w:p>
      <w:pPr>
        <w:spacing w:after="120" w:line="276"/>
        <w:jc w:val="both"/>
      </w:pPr>
      <w:r>
        <w:rPr>
          <w:rFonts w:ascii="Barlow Semi Condensed" w:cs="Barlow Semi Condensed" w:eastAsia="Barlow Semi Condensed" w:hAnsi="Barlow Semi Condensed"/>
          <w:b/>
          <w:bCs/>
          <w:sz w:val="24"/>
          <w:szCs w:val="24"/>
        </w:rPr>
        <w:t xml:space="preserve">Diciotto ricognizioni hanno prodotto tavole di ciò che andrebbe fatto in archivio. Questa ha scoperto che anche ciò che credeva di poter fare a distanza ha un limite, e che il limite non coincide con quello degli archivi ma con quello dello strumento.</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consegna al corpus</w:t>
      </w:r>
    </w:p>
    <w:p>
      <w:pPr>
        <w:spacing w:after="120" w:line="276"/>
        <w:jc w:val="both"/>
      </w:pPr>
      <w:r>
        <w:rPr>
          <w:rFonts w:ascii="Barlow Semi Condensed" w:cs="Barlow Semi Condensed" w:eastAsia="Barlow Semi Condensed" w:hAnsi="Barlow Semi Condensed"/>
          <w:b/>
          <w:bCs/>
          <w:sz w:val="24"/>
          <w:szCs w:val="24"/>
        </w:rPr>
        <w:t xml:space="preserve">Il capitolo isola i quattro guadagni, perché essi valgono oltre il perimetro.</w:t>
      </w:r>
    </w:p>
    <w:p>
      <w:pPr>
        <w:spacing w:after="120" w:line="276"/>
        <w:jc w:val="both"/>
      </w:pPr>
      <w:r>
        <w:rPr>
          <w:rFonts w:ascii="Barlow Semi Condensed" w:cs="Barlow Semi Condensed" w:eastAsia="Barlow Semi Condensed" w:hAnsi="Barlow Semi Condensed"/>
          <w:b/>
          <w:bCs/>
          <w:sz w:val="24"/>
          <w:szCs w:val="24"/>
        </w:rPr>
        <w:t xml:space="preserve">Primo guadagno: la correzione alla sedicesima. La differenza fra Italia e Germania sulla Namibia non fu soltanto di collocazione ma anche di condotta, e l'inversione va nella direzione contraria all'attesa: la potenza esclusa votò più avanti di quella inclusa, nella fase 1976-1977.</w:t>
      </w:r>
    </w:p>
    <w:p>
      <w:pPr>
        <w:spacing w:after="120" w:line="276"/>
        <w:jc w:val="both"/>
      </w:pPr>
      <w:r>
        <w:rPr>
          <w:rFonts w:ascii="Barlow Semi Condensed" w:cs="Barlow Semi Condensed" w:eastAsia="Barlow Semi Condensed" w:hAnsi="Barlow Semi Condensed"/>
          <w:b/>
          <w:bCs/>
          <w:sz w:val="24"/>
          <w:szCs w:val="24"/>
        </w:rPr>
        <w:t xml:space="preserve">Il rilievo generale che se ne trae: la partecipazione a un consesso negoziale vincola il voto; l'esclusione lo libera. Chi siede paga in libertà ciò che guadagna in influenza.</w:t>
      </w:r>
    </w:p>
    <w:p>
      <w:pPr>
        <w:spacing w:after="120" w:line="276"/>
        <w:jc w:val="both"/>
      </w:pPr>
      <w:r>
        <w:rPr>
          <w:rFonts w:ascii="Barlow Semi Condensed" w:cs="Barlow Semi Condensed" w:eastAsia="Barlow Semi Condensed" w:hAnsi="Barlow Semi Condensed"/>
          <w:b/>
          <w:bCs/>
          <w:sz w:val="24"/>
          <w:szCs w:val="24"/>
        </w:rPr>
        <w:t xml:space="preserve">Secondo guadagno: il gemello tedesco del febbraio 1970. Per la prima volta in diciotto ricognizioni Roma e Bonn compaiono nel medesimo fascicolo africano con la medesima postura, a cinque giorni di distanza, contro il medesimo accusatore.</w:t>
      </w:r>
    </w:p>
    <w:p>
      <w:pPr>
        <w:spacing w:after="120" w:line="276"/>
        <w:jc w:val="both"/>
      </w:pPr>
      <w:r>
        <w:rPr>
          <w:rFonts w:ascii="Barlow Semi Condensed" w:cs="Barlow Semi Condensed" w:eastAsia="Barlow Semi Condensed" w:hAnsi="Barlow Semi Condensed"/>
          <w:b/>
          <w:bCs/>
          <w:sz w:val="24"/>
          <w:szCs w:val="24"/>
        </w:rPr>
        <w:t xml:space="preserve">Non è coordinamento provato. È una simultaneità documentata, e va registrata come tale.</w:t>
      </w:r>
    </w:p>
    <w:p>
      <w:pPr>
        <w:spacing w:after="120" w:line="276"/>
        <w:jc w:val="both"/>
      </w:pPr>
      <w:r>
        <w:rPr>
          <w:rFonts w:ascii="Barlow Semi Condensed" w:cs="Barlow Semi Condensed" w:eastAsia="Barlow Semi Condensed" w:hAnsi="Barlow Semi Condensed"/>
          <w:b/>
          <w:bCs/>
          <w:sz w:val="24"/>
          <w:szCs w:val="24"/>
        </w:rPr>
        <w:t xml:space="preserve">Terzo guadagno: lo schema del 1974 verificato come grammatica. L'Italia sostiene le condanne e si sottrae agli atti di esclusione, e questa non è tattica occasionale ma regola di condotta, mantenuta almeno dal 1973 al 1977 e poi semplificata in astensione unica dal 1984.</w:t>
      </w:r>
    </w:p>
    <w:p>
      <w:pPr>
        <w:spacing w:after="120" w:line="276"/>
        <w:jc w:val="both"/>
      </w:pPr>
      <w:r>
        <w:rPr>
          <w:rFonts w:ascii="Barlow Semi Condensed" w:cs="Barlow Semi Condensed" w:eastAsia="Barlow Semi Condensed" w:hAnsi="Barlow Semi Condensed"/>
          <w:b/>
          <w:bCs/>
          <w:sz w:val="24"/>
          <w:szCs w:val="24"/>
        </w:rPr>
        <w:t xml:space="preserve">Quarto guadagno: il decimo grado di Stato Zero, la barriera macchinica, esposto al capitolo precedente.</w:t>
      </w:r>
    </w:p>
    <w:p>
      <w:pPr>
        <w:spacing w:after="120" w:line="276"/>
        <w:jc w:val="both"/>
      </w:pPr>
      <w:r>
        <w:rPr>
          <w:rFonts w:ascii="Barlow Semi Condensed" w:cs="Barlow Semi Condensed" w:eastAsia="Barlow Semi Condensed" w:hAnsi="Barlow Semi Condensed"/>
          <w:b/>
          <w:bCs/>
          <w:sz w:val="24"/>
          <w:szCs w:val="24"/>
        </w:rPr>
        <w:t xml:space="preserve">E una acquisizione negativa che vale quanto le positive.</w:t>
      </w:r>
    </w:p>
    <w:p>
      <w:pPr>
        <w:spacing w:after="120" w:line="276"/>
        <w:jc w:val="both"/>
      </w:pPr>
      <w:r>
        <w:rPr>
          <w:rFonts w:ascii="Barlow Semi Condensed" w:cs="Barlow Semi Condensed" w:eastAsia="Barlow Semi Condensed" w:hAnsi="Barlow Semi Condensed"/>
          <w:b/>
          <w:bCs/>
          <w:sz w:val="24"/>
          <w:szCs w:val="24"/>
        </w:rPr>
        <w:t xml:space="preserve">In diciotto ricognizioni non è emersa una sola risoluzione sull'Africa australe di cui l'Italia fosse proponente.\\ Votante sì, e in date accertate. \\Proponente mai.</w:t>
      </w:r>
    </w:p>
    <w:p>
      <w:pPr>
        <w:spacing w:after="120" w:line="276"/>
        <w:jc w:val="both"/>
      </w:pPr>
      <w:r>
        <w:rPr>
          <w:rFonts w:ascii="Barlow Semi Condensed" w:cs="Barlow Semi Condensed" w:eastAsia="Barlow Semi Condensed" w:hAnsi="Barlow Semi Condensed"/>
          <w:b/>
          <w:bCs/>
          <w:sz w:val="24"/>
          <w:szCs w:val="24"/>
        </w:rPr>
        <w:t xml:space="preserve">Se la verifica sui progetti di risoluzione lo confermasse, esso descriverebbe con esattezza la posizione italiana su quel dossier per l'intero periodo: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Un ultimo rilievo, sul rapporto fra le due voci eseguite.</w:t>
      </w:r>
    </w:p>
    <w:p>
      <w:pPr>
        <w:spacing w:after="120" w:line="276"/>
        <w:jc w:val="both"/>
      </w:pPr>
      <w:r>
        <w:rPr>
          <w:rFonts w:ascii="Barlow Semi Condensed" w:cs="Barlow Semi Condensed" w:eastAsia="Barlow Semi Condensed" w:hAnsi="Barlow Semi Condensed"/>
          <w:b/>
          <w:bCs/>
          <w:sz w:val="24"/>
          <w:szCs w:val="24"/>
        </w:rPr>
        <w:t xml:space="preserve">La voce che avevo giudicato più facile — le due lettere, condizione di chiusura meramente tecnica — è fallita.</w:t>
      </w:r>
    </w:p>
    <w:p>
      <w:pPr>
        <w:spacing w:after="120" w:line="276"/>
        <w:jc w:val="both"/>
      </w:pPr>
      <w:r>
        <w:rPr>
          <w:rFonts w:ascii="Barlow Semi Condensed" w:cs="Barlow Semi Condensed" w:eastAsia="Barlow Semi Condensed" w:hAnsi="Barlow Semi Condensed"/>
          <w:b/>
          <w:bCs/>
          <w:sz w:val="24"/>
          <w:szCs w:val="24"/>
        </w:rPr>
        <w:t xml:space="preserve">La voce che avevo giudicato di rendimento alto ma non massimo — i voti — è riuscita pienamente e ha prodotto la correzione a una ricognizione anteriore.</w:t>
      </w:r>
    </w:p>
    <w:p>
      <w:pPr>
        <w:spacing w:after="120" w:line="276"/>
        <w:jc w:val="both"/>
      </w:pPr>
      <w:r>
        <w:rPr>
          <w:rFonts w:ascii="Barlow Semi Condensed" w:cs="Barlow Semi Condensed" w:eastAsia="Barlow Semi Condensed" w:hAnsi="Barlow Semi Condensed"/>
          <w:b/>
          <w:bCs/>
          <w:sz w:val="24"/>
          <w:szCs w:val="24"/>
        </w:rPr>
        <w:t xml:space="preserve">Ne discende che la mia stima comparativa era errata in entrambe le direzioni, e che le tavole di rendimento atteso che diciotto ricognizioni hanno compilato andrebbero considerate per quello che sono: congetture di chi non ha ancora provato.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e tavola</w:t>
      </w:r>
    </w:p>
    <w:p>
      <w:pPr>
        <w:spacing w:after="120" w:line="276"/>
        <w:jc w:val="both"/>
      </w:pPr>
      <w:r>
        <w:rPr>
          <w:rFonts w:ascii="Barlow Semi Condensed" w:cs="Barlow Semi Condensed" w:eastAsia="Barlow Semi Condensed" w:hAnsi="Barlow Semi Condensed"/>
          <w:b/>
          <w:bCs/>
          <w:sz w:val="24"/>
          <w:szCs w:val="24"/>
        </w:rPr>
        <w:t xml:space="preserve">Primo punto: se il testo delle due lettere italiane sia stato reperito e che cosa esso attesti.</w:t>
      </w:r>
    </w:p>
    <w:p>
      <w:pPr>
        <w:spacing w:after="120" w:line="276"/>
        <w:jc w:val="both"/>
      </w:pPr>
      <w:r>
        <w:rPr>
          <w:rFonts w:ascii="Barlow Semi Condensed" w:cs="Barlow Semi Condensed" w:eastAsia="Barlow Semi Condensed" w:hAnsi="Barlow Semi Condensed"/>
          <w:b/>
          <w:bCs/>
          <w:sz w:val="24"/>
          <w:szCs w:val="24"/>
        </w:rPr>
        <w:t xml:space="preserve">Il corpo non è stato reperito. È stata reperita e verificata la scheda catalografica completa di entrambe: segnatura, data, estensore istituzionale, oggetto ufficiale.</w:t>
      </w:r>
    </w:p>
    <w:p>
      <w:pPr>
        <w:spacing w:after="120" w:line="276"/>
        <w:jc w:val="both"/>
      </w:pPr>
      <w:r>
        <w:rPr>
          <w:rFonts w:ascii="Barlow Semi Condensed" w:cs="Barlow Semi Condensed" w:eastAsia="Barlow Semi Condensed" w:hAnsi="Barlow Semi Condensed"/>
          <w:b/>
          <w:bCs/>
          <w:sz w:val="24"/>
          <w:szCs w:val="24"/>
        </w:rPr>
        <w:t xml:space="preserve">Ciò che le due lettere attestano, al livello dell'oggetto, è omogeneo: in entrambe l'Italia respinge un'accusa di inosservanza dell'embargo — nel 1970 contro lo Zambia, nel 1980 contro Abdul Minty.</w:t>
      </w:r>
    </w:p>
    <w:p>
      <w:pPr>
        <w:spacing w:after="120" w:line="276"/>
        <w:jc w:val="both"/>
      </w:pPr>
      <w:r>
        <w:rPr>
          <w:rFonts w:ascii="Barlow Semi Condensed" w:cs="Barlow Semi Condensed" w:eastAsia="Barlow Semi Condensed" w:hAnsi="Barlow Semi Condensed"/>
          <w:b/>
          <w:bCs/>
          <w:sz w:val="24"/>
          <w:szCs w:val="24"/>
        </w:rPr>
        <w:t xml:space="preserve">Un rilievo va aggiunto perché è la lettura che il dato consente. A dieci anni di distanza, sotto due regimi giuridici diversi — raccomandato nel 1970, obbligatorio nel 1980 — l'Italia fu accusata due volte della medesima cosa e due volte la negò formalmente.</w:t>
      </w:r>
    </w:p>
    <w:p>
      <w:pPr>
        <w:spacing w:after="120" w:line="276"/>
        <w:jc w:val="both"/>
      </w:pPr>
      <w:r>
        <w:rPr>
          <w:rFonts w:ascii="Barlow Semi Condensed" w:cs="Barlow Semi Condensed" w:eastAsia="Barlow Semi Condensed" w:hAnsi="Barlow Semi Condensed"/>
          <w:b/>
          <w:bCs/>
          <w:sz w:val="24"/>
          <w:szCs w:val="24"/>
        </w:rPr>
        <w:t xml:space="preserve">Che le accuse fossero fondate o infondate, il documento non lo dice: attesta una negazione, non la verità del negato.</w:t>
      </w:r>
    </w:p>
    <w:p>
      <w:pPr>
        <w:spacing w:after="120" w:line="276"/>
        <w:jc w:val="both"/>
      </w:pPr>
      <w:r>
        <w:rPr>
          <w:rFonts w:ascii="Barlow Semi Condensed" w:cs="Barlow Semi Condensed" w:eastAsia="Barlow Semi Condensed" w:hAnsi="Barlow Semi Condensed"/>
          <w:b/>
          <w:bCs/>
          <w:sz w:val="24"/>
          <w:szCs w:val="24"/>
        </w:rPr>
        <w:t xml:space="preserve">Secondo punto: se il comportamento di voto configuri regolarità o andamento variabile, e se differisca da quello tedesco.</w:t>
      </w:r>
    </w:p>
    <w:p>
      <w:pPr>
        <w:spacing w:after="120" w:line="276"/>
        <w:jc w:val="both"/>
      </w:pPr>
      <w:r>
        <w:rPr>
          <w:rFonts w:ascii="Barlow Semi Condensed" w:cs="Barlow Semi Condensed" w:eastAsia="Barlow Semi Condensed" w:hAnsi="Barlow Semi Condensed"/>
          <w:b/>
          <w:bCs/>
          <w:sz w:val="24"/>
          <w:szCs w:val="24"/>
        </w:rPr>
        <w:t xml:space="preserve">Regolarità con evoluzione.\\ Lo schema del 1974 — resistenza sul procedurale, adesione sul sostanziale — \\è grammatica e non episodio\\, verificato dal 1973 al 1977; \\si semplifica dal 1984 in astensione unica.</w:t>
      </w:r>
    </w:p>
    <w:p>
      <w:pPr>
        <w:spacing w:after="120" w:line="276"/>
        <w:jc w:val="both"/>
      </w:pPr>
      <w:r>
        <w:rPr>
          <w:rFonts w:ascii="Barlow Semi Condensed" w:cs="Barlow Semi Condensed" w:eastAsia="Barlow Semi Condensed" w:hAnsi="Barlow Semi Condensed"/>
          <w:b/>
          <w:bCs/>
          <w:sz w:val="24"/>
          <w:szCs w:val="24"/>
        </w:rPr>
        <w:t xml:space="preserve">Quanto alla Germania: le condotte divergono nella fase 1976-1977, con l'Italia più avanzata su quattro voti; convergono in astensione identica dal 1984 al 1987.</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e di massimo rendimento perché ne dipende la comprensione dell'accusa del 1980: il verbale S/AC.20/SR.25 con la dichiarazione di Minty. Sede: atti del Comitato istituito dalla risoluzione quattrocentoventuno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Seconda: i corpi testuali di S/9640 e S/AC.20/27.\\ Condizione: \\superamento della barriera macchinica, cioè accesso manuale o consultazione in sede. Alto rendimento e costo nullo per chi possa andare.</w:t>
      </w:r>
    </w:p>
    <w:p>
      <w:pPr>
        <w:spacing w:after="120" w:line="276"/>
        <w:jc w:val="both"/>
      </w:pPr>
      <w:r>
        <w:rPr>
          <w:rFonts w:ascii="Barlow Semi Condensed" w:cs="Barlow Semi Condensed" w:eastAsia="Barlow Semi Condensed" w:hAnsi="Barlow Semi Condensed"/>
          <w:b/>
          <w:bCs/>
          <w:sz w:val="24"/>
          <w:szCs w:val="24"/>
        </w:rPr>
        <w:t xml:space="preserve">Terza: il voto italiano sulla risoluzione duemilasettecentosettantacinque del 1971, intitolata Arms embargo, e sulla serie apartheid della ventinovesima sessione. Sede: schede di voting data dei singoli documenti.</w:t>
      </w:r>
    </w:p>
    <w:p>
      <w:pPr>
        <w:spacing w:after="120" w:line="276"/>
        <w:jc w:val="both"/>
      </w:pPr>
      <w:r>
        <w:rPr>
          <w:rFonts w:ascii="Barlow Semi Condensed" w:cs="Barlow Semi Condensed" w:eastAsia="Barlow Semi Condensed" w:hAnsi="Barlow Semi Condensed"/>
          <w:b/>
          <w:bCs/>
          <w:sz w:val="24"/>
          <w:szCs w:val="24"/>
        </w:rPr>
        <w:t xml:space="preserve">Quarta: le dichiarazioni esplicative di voto italiane e tedesche\\, che sole accerterebbero la ragione dell'inversione del 1976-1977. Sede: verbali plenari della serie A/PV, in particolare \\A/31/PV.105.</w:t>
      </w:r>
    </w:p>
    <w:p>
      <w:pPr>
        <w:spacing w:after="120" w:line="276"/>
        <w:jc w:val="both"/>
      </w:pPr>
      <w:r>
        <w:rPr>
          <w:rFonts w:ascii="Barlow Semi Condensed" w:cs="Barlow Semi Condensed" w:eastAsia="Barlow Semi Condensed" w:hAnsi="Barlow Semi Condensed"/>
          <w:b/>
          <w:bCs/>
          <w:sz w:val="24"/>
          <w:szCs w:val="24"/>
        </w:rPr>
        <w:t xml:space="preserve">Quinta: l'elenco dei co-proponenti, per verificare se l'Italia sia mai stata promotrice e non solo votante. Sede: progetti di risoluzione della serie A con suffisso L.</w:t>
      </w:r>
    </w:p>
    <w:p>
      <w:pPr>
        <w:spacing w:after="120" w:line="276"/>
        <w:jc w:val="both"/>
      </w:pPr>
      <w:r>
        <w:rPr>
          <w:rFonts w:ascii="Barlow Semi Condensed" w:cs="Barlow Semi Condensed" w:eastAsia="Barlow Semi Condensed" w:hAnsi="Barlow Semi Condensed"/>
          <w:b/>
          <w:bCs/>
          <w:sz w:val="24"/>
          <w:szCs w:val="24"/>
        </w:rPr>
        <w:t xml:space="preserve">E una osservazione conclusiva.</w:t>
      </w:r>
    </w:p>
    <w:p>
      <w:pPr>
        <w:spacing w:after="120" w:line="276"/>
        <w:jc w:val="both"/>
      </w:pPr>
      <w:r>
        <w:rPr>
          <w:rFonts w:ascii="Barlow Semi Condensed" w:cs="Barlow Semi Condensed" w:eastAsia="Barlow Semi Condensed" w:hAnsi="Barlow Semi Condensed"/>
          <w:b/>
          <w:bCs/>
          <w:sz w:val="24"/>
          <w:szCs w:val="24"/>
        </w:rPr>
        <w:t xml:space="preserve">Questa è la prima ricognizione della serie che non abbia cercato un fatto nuovo ma abbia eseguito un compito che io stesso mi ero assegnato e non avevo svolto.</w:t>
      </w:r>
    </w:p>
    <w:p>
      <w:pPr>
        <w:spacing w:after="120" w:line="276"/>
        <w:jc w:val="both"/>
      </w:pPr>
      <w:r>
        <w:rPr>
          <w:rFonts w:ascii="Barlow Semi Condensed" w:cs="Barlow Semi Condensed" w:eastAsia="Barlow Semi Condensed" w:hAnsi="Barlow Semi Condensed"/>
          <w:b/>
          <w:bCs/>
          <w:sz w:val="24"/>
          <w:szCs w:val="24"/>
        </w:rPr>
        <w:t xml:space="preserve">Ha prodotto una correzione a una ricognizione anteriore, una scoperta che non cercava, e un grado nuovo nella scala degli Stati Zero.</w:t>
      </w:r>
    </w:p>
    <w:p>
      <w:pPr>
        <w:spacing w:after="120" w:line="276"/>
        <w:jc w:val="both"/>
      </w:pPr>
      <w:r>
        <w:rPr>
          <w:rFonts w:ascii="Barlow Semi Condensed" w:cs="Barlow Semi Condensed" w:eastAsia="Barlow Semi Condensed" w:hAnsi="Barlow Semi Condensed"/>
          <w:b/>
          <w:bCs/>
          <w:sz w:val="24"/>
          <w:szCs w:val="24"/>
        </w:rPr>
        <w:t xml:space="preserve">Ne traggo che le tavole non servono a documentare l'incompiuto: servono a essere eseguite, e che un'opera che ne accumuli diciotto senza tornarci sopra sta scambiando il catalogo del lavoro per il lavoro.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XIX · L'Italia Alle Nazioni Unite: Embargo, Apartheid, Namibia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4.127 parole in 9 sezioni; la più ampia è §9 Altre sezioni, con 3.553.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162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 —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Teatro australe</w:t>
      </w:r>
    </w:p>
    <w:p>
      <w:pPr>
        <w:pStyle w:val="Heading2"/>
        <w:spacing w:after="100" w:before="200"/>
      </w:pPr>
      <w:r>
        <w:rPr>
          <w:rFonts w:ascii="Barlow Semi Condensed" w:cs="Barlow Semi Condensed" w:eastAsia="Barlow Semi Condensed" w:hAnsi="Barlow Semi Condensed"/>
          <w:sz w:val="24"/>
          <w:szCs w:val="24"/>
        </w:rPr>
        <w:t xml:space="preserve">Triangolazione a blocchi mirati dei 5 artefatti della sessione</w:t>
      </w:r>
    </w:p>
    <w:p>
      <w:pPr>
        <w:pStyle w:val="Heading2"/>
        <w:spacing w:after="100" w:before="200"/>
      </w:pPr>
      <w:r>
        <w:rPr>
          <w:rFonts w:ascii="Barlow Semi Condensed" w:cs="Barlow Semi Condensed" w:eastAsia="Barlow Semi Condensed" w:hAnsi="Barlow Semi Condensed"/>
          <w:sz w:val="24"/>
          <w:szCs w:val="24"/>
        </w:rPr>
        <w:t xml:space="preserve">con il Registro dei Nodi e dei Ponti Certificati e la monografia sul caso Moro</w:t>
      </w:r>
    </w:p>
    <w:p>
      <w:pPr>
        <w:pStyle w:val="Heading2"/>
        <w:spacing w:after="100" w:before="200"/>
      </w:pPr>
      <w:r>
        <w:rPr>
          <w:rFonts w:ascii="Barlow Semi Condensed" w:cs="Barlow Semi Condensed" w:eastAsia="Barlow Semi Condensed" w:hAnsi="Barlow Semi Condensed"/>
          <w:sz w:val="24"/>
          <w:szCs w:val="24"/>
        </w:rPr>
        <w:t xml:space="preserve">14 nodi individuali — 13 organizzativi — 12 eventi — 9 ponti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REGISTRO ANALITICO DEI NODI E DEI PONTI — TEATRO AUSTRALE</w:t>
      </w:r>
    </w:p>
    <w:p>
      <w:pPr>
        <w:spacing w:after="120" w:line="276"/>
        <w:jc w:val="both"/>
      </w:pPr>
      <w:r>
        <w:rPr>
          <w:rFonts w:ascii="Barlow Semi Condensed" w:cs="Barlow Semi Condensed" w:eastAsia="Barlow Semi Condensed" w:hAnsi="Barlow Semi Condensed"/>
          <w:b/>
          <w:bCs/>
          <w:sz w:val="24"/>
          <w:szCs w:val="24"/>
        </w:rPr>
        <w:t xml:space="preserve">Triangolazione a blocchi mirati dei 5 artefatti della sessione con il Registro dei Nodi e dei Ponti Certificati e con la monografia sul caso Moro</w:t>
      </w:r>
    </w:p>
    <w:p>
      <w:pPr>
        <w:spacing w:after="120" w:line="276"/>
        <w:jc w:val="both"/>
      </w:pPr>
      <w:r>
        <w:rPr>
          <w:rFonts w:ascii="Barlow Semi Condensed" w:cs="Barlow Semi Condensed" w:eastAsia="Barlow Semi Condensed" w:hAnsi="Barlow Semi Condensed"/>
          <w:b/>
          <w:bCs/>
          <w:sz w:val="24"/>
          <w:szCs w:val="24"/>
        </w:rPr>
        <w:t xml:space="preserve">Blocco mirato numero 1 — Oggetto. Il presente registro non espone una ricerca nuova ma la collisione controllata fra 2 corpi già esistenti. Il primo è costituito dai 5 artefatti generati nella presente sessione: la calibrazione libica del silenzio dello Stato, la ricognizione sul canale Aermacchi verso il Sudafrica, il confronto italo-tedesco sul dossier namibiano, la ricognizione sulla Santa Sede e la Democrazia Cristiana, e il reperimento delle fonti primarie italiane presso le Nazioni Unite. Il secondo è costituito dai 2 volumi conferiti: il primo tomo del Registro dei Nodi e dei Ponti Certificati, che espone in 50 capitoli il quadrilatero loggia-finanza-Vaticano-mafia e ne annuncia la proiezione internazionale, e la monografia in blocchi mirati sul caso Moro.</w:t>
      </w:r>
    </w:p>
    <w:p>
      <w:pPr>
        <w:spacing w:after="120" w:line="276"/>
        <w:jc w:val="both"/>
      </w:pPr>
      <w:r>
        <w:rPr>
          <w:rFonts w:ascii="Barlow Semi Condensed" w:cs="Barlow Semi Condensed" w:eastAsia="Barlow Semi Condensed" w:hAnsi="Barlow Semi Condensed"/>
          <w:b/>
          <w:bCs/>
          <w:sz w:val="24"/>
          <w:szCs w:val="24"/>
        </w:rPr>
        <w:t xml:space="preserve">Blocco mirato numero 2 — Funzione. La collisione ha 3 funzioni ordinate. Accertare che cosa dei 5 artefatti sia già certificato nel registro, e vada dunque taciuto per non duplicare. Accertare che cosa vi sia assente, e costituisca perciò versamento. Accertare che cosa vi entri in tensione, e richieda emendazione. Il presente documento espone soltanto il secondo e il terzo esito, poiché il primo è, per definizione, già scritto.</w:t>
      </w:r>
    </w:p>
    <w:p>
      <w:pPr>
        <w:spacing w:after="120" w:line="276"/>
        <w:jc w:val="both"/>
      </w:pPr>
      <w:r>
        <w:rPr>
          <w:rFonts w:ascii="Barlow Semi Condensed" w:cs="Barlow Semi Condensed" w:eastAsia="Barlow Semi Condensed" w:hAnsi="Barlow Semi Condensed"/>
          <w:b/>
          <w:bCs/>
          <w:sz w:val="24"/>
          <w:szCs w:val="24"/>
        </w:rPr>
        <w:t xml:space="preserve">Blocco mirato numero 3 — Il test lessicale. Prima di ogni valutazione interpretativa è stato condotto un riscontro meccanico delle occorrenze sui 2 volumi, per un totale di 569.784 parole. L'esito è il fondamento di quanto segue e va riportato per intero. Nella monografia sul caso Moro, su 369.677 parole, i termini Sudafrica, apartheid, Namibia, Aermacchi, Impala, Aginter e Libia ricorrono zero volte. Nel primo tomo del registro, su 200.107 parole, Sudafrica ricorre 38 volte, apartheid 11, Libia 5, Gheddafi 2, Pretoria 2, embargo 3, Namibia 1 volta sola e in contesto biografico estraneo al territorio, mentre Aermacchi e Impala ricorrono zero volte.</w:t>
      </w:r>
    </w:p>
    <w:p>
      <w:pPr>
        <w:spacing w:after="120" w:line="276"/>
        <w:jc w:val="both"/>
      </w:pPr>
      <w:r>
        <w:rPr>
          <w:rFonts w:ascii="Barlow Semi Condensed" w:cs="Barlow Semi Condensed" w:eastAsia="Barlow Semi Condensed" w:hAnsi="Barlow Semi Condensed"/>
          <w:b/>
          <w:bCs/>
          <w:sz w:val="24"/>
          <w:szCs w:val="24"/>
        </w:rPr>
        <w:t xml:space="preserve">Blocco mirato numero 4 — Prima conseguenza. La monografia sul caso Moro non contiene alcuna materia africana australe. Ne discende che essa non può essere triangolata con i 5 artefatti su questo perimetro, e che ogni tentativo di stabilirvi un ponte sarebbe costruzione dell'analista e non reperto. Livello A quanto al fatto dell'assenza; nessun livello quanto a un nesso, che non si asserisce.</w:t>
      </w:r>
    </w:p>
    <w:p>
      <w:pPr>
        <w:spacing w:after="120" w:line="276"/>
        <w:jc w:val="both"/>
      </w:pPr>
      <w:r>
        <w:rPr>
          <w:rFonts w:ascii="Barlow Semi Condensed" w:cs="Barlow Semi Condensed" w:eastAsia="Barlow Semi Condensed" w:hAnsi="Barlow Semi Condensed"/>
          <w:b/>
          <w:bCs/>
          <w:sz w:val="24"/>
          <w:szCs w:val="24"/>
        </w:rPr>
        <w:t xml:space="preserve">Blocco mirato numero 5 — Seconda conseguenza. Il primo tomo del registro possiede già il Sudafrica come nodo, e con collocazione precisa: la Fase 5, capitolo 3, è intitolata al Sudafrica dell'apartheid quale hub australe e Stato Zero esemplare, e il registro lo qualifica quale nodo a massima intermediazione dell'intero dossier internazionale, punto di passaggio fra i teatri africani, le reti dei fuoriusciti europei e i circuiti della cooperazione fra regimi assediati.</w:t>
      </w:r>
    </w:p>
    <w:p>
      <w:pPr>
        <w:spacing w:after="120" w:line="276"/>
        <w:jc w:val="both"/>
      </w:pPr>
      <w:r>
        <w:rPr>
          <w:rFonts w:ascii="Barlow Semi Condensed" w:cs="Barlow Semi Condensed" w:eastAsia="Barlow Semi Condensed" w:hAnsi="Barlow Semi Condensed"/>
          <w:b/>
          <w:bCs/>
          <w:sz w:val="24"/>
          <w:szCs w:val="24"/>
        </w:rPr>
        <w:t xml:space="preserve">Blocco mirato numero 6 — Terza conseguenza, ed è quella operativa. Il registro descrive la rete europea dell'aggiramento delle sanzioni in termini di sistema di intermediari, società di comodo e canali finanziari. Non nomina alcun canale industriale italiano. I 5 artefatti ne nominano uno, datato, con la sua catena di sub-licenza e con un documento d'intelligence straniero che vi attribuisce all'Italia l'anello autorizzativo. È questo il versamento principale del presente registro.</w:t>
      </w:r>
    </w:p>
    <w:p>
      <w:pPr>
        <w:spacing w:after="120" w:line="276"/>
        <w:jc w:val="both"/>
      </w:pPr>
      <w:r>
        <w:rPr>
          <w:rFonts w:ascii="Barlow Semi Condensed" w:cs="Barlow Semi Condensed" w:eastAsia="Barlow Semi Condensed" w:hAnsi="Barlow Semi Condensed"/>
          <w:b/>
          <w:bCs/>
          <w:sz w:val="24"/>
          <w:szCs w:val="24"/>
        </w:rPr>
        <w:t xml:space="preserve">Blocco mirato numero 7 — Quarta conseguenza. Il registro non contiene alcuna occorrenza dei termini delegazione apostolica e nunziatura. L'assenza è notevole perché la Fase 1 del registro è intitolata al quadrilatero della certificazione massima loggia-finanza-Vaticano-mafia, e dedica un capitolo autonomo all'Istituto per le Opere di Religione. Il Dominio 5 è dunque architettonicamente centrale nel registro, e la condotta diplomatica della Santa Sede verso il regime di Pretoria vi manca.</w:t>
      </w:r>
    </w:p>
    <w:p>
      <w:pPr>
        <w:spacing w:after="120" w:line="276"/>
        <w:jc w:val="both"/>
      </w:pPr>
      <w:r>
        <w:rPr>
          <w:rFonts w:ascii="Barlow Semi Condensed" w:cs="Barlow Semi Condensed" w:eastAsia="Barlow Semi Condensed" w:hAnsi="Barlow Semi Condensed"/>
          <w:b/>
          <w:bCs/>
          <w:sz w:val="24"/>
          <w:szCs w:val="24"/>
        </w:rPr>
        <w:t xml:space="preserve">Blocco mirato numero 8 — Statuto probatorio. Si applica il sistema Savona nella versione 2.1 già adottata dal registro. Ogni affermazione sostanziale reca il proprio grado in linea. Si applicano inoltre le discipline già vigenti: divieto di trattare la contemporaneità cronologica quale prova di nesso; divieto di trattare l'appartenenza di una persona a un'organizzazione quale prova della condotta di quella organizzazione; disciplina delle persone viventi ristretta ai soli fatti pubblici documentati.</w:t>
      </w:r>
    </w:p>
    <w:p>
      <w:pPr>
        <w:spacing w:after="120" w:line="276"/>
        <w:jc w:val="both"/>
      </w:pPr>
      <w:r>
        <w:rPr>
          <w:rFonts w:ascii="Barlow Semi Condensed" w:cs="Barlow Semi Condensed" w:eastAsia="Barlow Semi Condensed" w:hAnsi="Barlow Semi Condensed"/>
          <w:b/>
          <w:bCs/>
          <w:sz w:val="24"/>
          <w:szCs w:val="24"/>
        </w:rPr>
        <w:t xml:space="preserve">Blocco mirato numero 9 — Notazione. Si conserva la notazione del registro: il triangolo per i nodi individuali, il rombo per i nodi organizzativi, il quadrato per i nodi-evento. I ponti sono tipizzati secondo la tassonomia della Nota Metodologica in archi di collusione, di strumentalizzazione, di infiltrazione, di convergenza e di transito.</w:t>
      </w:r>
    </w:p>
    <w:p>
      <w:pPr>
        <w:pStyle w:val="Heading2"/>
        <w:spacing w:after="100" w:before="200"/>
      </w:pPr>
      <w:r>
        <w:rPr>
          <w:rFonts w:ascii="Barlow Semi Condensed" w:cs="Barlow Semi Condensed" w:eastAsia="Barlow Semi Condensed" w:hAnsi="Barlow Semi Condensed"/>
          <w:sz w:val="24"/>
          <w:szCs w:val="24"/>
        </w:rPr>
        <w:t xml:space="preserve">I — NODI INDIVIDUALI VERSATI</w:t>
      </w:r>
    </w:p>
    <w:p>
      <w:pPr>
        <w:spacing w:after="120" w:line="276"/>
        <w:jc w:val="both"/>
      </w:pPr>
      <w:r>
        <w:rPr>
          <w:rFonts w:ascii="Barlow Semi Condensed" w:cs="Barlow Semi Condensed" w:eastAsia="Barlow Semi Condensed" w:hAnsi="Barlow Semi Condensed"/>
          <w:b/>
          <w:bCs/>
          <w:sz w:val="24"/>
          <w:szCs w:val="24"/>
        </w:rPr>
        <w:t xml:space="preserve">Blocco mirato numero 101 — ▶ Ermanno Bazzocchi. Progettista dell'aereo da addestramento e attacco leggero MB-326 presso l'Aeronautica Macchi di Varese, velivolo volato in prototipo il 10 dicembre 1957. Livello A. Dominio 6. Il nodo è tecnico e non politico, e si iscrive nel registro non per condotta propria ma perché è all'origine dell'artefatto che percorrerà il ponte del blocco 401. Nessun elemento collega Bazzocchi alle destinazioni del velivolo: reperto negativo,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102 — ▶ Elio Pagani. Operaio dell'Aermacchi e obiettore di coscienza. Testimoniò che l'azienda avrebbe consegnato velivoli alla South African Air Force nel gennaio 1980; la campagna nata dalla denuncia, rilanciata nel marzo 1988 attraverso un settimanale cattolico, fu fra i fattori che condussero alla legge 185 del 9 luglio 1990. Livello B, trattandosi di testimonianza di protagonista e pubblicistica militante, non di fonte primaria d'archivio. Domini 6 e 8. Il nodo ha rilievo strutturale esposto al blocco 702.</w:t>
      </w:r>
    </w:p>
    <w:p>
      <w:pPr>
        <w:spacing w:after="120" w:line="276"/>
        <w:jc w:val="both"/>
      </w:pPr>
      <w:r>
        <w:rPr>
          <w:rFonts w:ascii="Barlow Semi Condensed" w:cs="Barlow Semi Condensed" w:eastAsia="Barlow Semi Condensed" w:hAnsi="Barlow Semi Condensed"/>
          <w:b/>
          <w:bCs/>
          <w:sz w:val="24"/>
          <w:szCs w:val="24"/>
        </w:rPr>
        <w:t xml:space="preserve">Blocco mirato numero 103 — ▶ Abdul Samad Minty. Segretario onorario dell'Anti-Apartheid Movement britannico, testimoniò quale esperto individuale dinanzi al Comitato del Consiglio di sicurezza per l'embargo sulle armi in 4 occasioni fra il 1977 e il 1994. L'organizzazione da lui diretta, il World Campaign against Military and Nuclear Collaboration with South Africa, lanciato a Oslo il 28 marzo 1979 sotto il patronato di Julius Nyerere e degli altri capi di Stato della prima linea, fu riconosciuto dalle Nazioni Unite quale fonte primaria di informazione sulle violazioni degli embarghi. Livello A. Dominio 2 internazionale. È l'accusatore dell'Italia nel 1980.</w:t>
      </w:r>
    </w:p>
    <w:p>
      <w:pPr>
        <w:spacing w:after="120" w:line="276"/>
        <w:jc w:val="both"/>
      </w:pPr>
      <w:r>
        <w:rPr>
          <w:rFonts w:ascii="Barlow Semi Condensed" w:cs="Barlow Semi Condensed" w:eastAsia="Barlow Semi Condensed" w:hAnsi="Barlow Semi Condensed"/>
          <w:b/>
          <w:bCs/>
          <w:sz w:val="24"/>
          <w:szCs w:val="24"/>
        </w:rPr>
        <w:t xml:space="preserve">Blocco mirato numero 104 — ▶ Piero Vinci. Rappresentante permanente d'Italia presso le Nazioni Unite, settimo titolare, in carica dal 1964 al 1973 e nuovamente dal 1975 al 1979. Firmatario istituzionale della lettera S/9640 del 6 febbraio 1970. Livello B quanto all'attribuzione della firma, che discende dalle date di titolarità della carica e non dalla lettura del documento, non aperto.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105 — ▶ Umberto La Rocca. Rappresentante permanente presso le Nazioni Unite, decimo titolare, in carica dal 1979 al 1984, fra i mandati di Vinci e di Maurizio Bucci. Firmatario istituzionale della lettera S/AC.20/27 del 27 giugno 1980. Livello B, per la medesima ragione. Dominio 2.</w:t>
      </w:r>
    </w:p>
    <w:p>
      <w:pPr>
        <w:spacing w:after="120" w:line="276"/>
        <w:jc w:val="both"/>
      </w:pPr>
      <w:r>
        <w:rPr>
          <w:rFonts w:ascii="Barlow Semi Condensed" w:cs="Barlow Semi Condensed" w:eastAsia="Barlow Semi Condensed" w:hAnsi="Barlow Semi Condensed"/>
          <w:b/>
          <w:bCs/>
          <w:sz w:val="24"/>
          <w:szCs w:val="24"/>
        </w:rPr>
        <w:t xml:space="preserve">Blocco mirato numero 106 — ▶ Denis Eugene Hurley. Nato a Città del Capo nel 1915 da genitori irlandesi, oblato di Maria Immacolata, vicario apostolico del Natal nel 1947, arcivescovo di Durban nel 1951 quale più giovane arcivescovo del mondo, presidente della conferenza episcopale sudafricana dal 1952 al 1961 e dal 1981 al 1987. Forza trainante della dichiarazione del 21 luglio 1957. Incriminato nel 1984 per false dichiarazioni sulle atrocità dell'unità Koevoet in Namibia, prosciolto nel 1985. Livello A quanto alle cariche e al procedimento; le fonti divergono sulla qualificazione giuridica dell'imputazione e la divergenza si riporta anziché comporre. Dominio 5.</w:t>
      </w:r>
    </w:p>
    <w:p>
      <w:pPr>
        <w:spacing w:after="120" w:line="276"/>
        <w:jc w:val="both"/>
      </w:pPr>
      <w:r>
        <w:rPr>
          <w:rFonts w:ascii="Barlow Semi Condensed" w:cs="Barlow Semi Condensed" w:eastAsia="Barlow Semi Condensed" w:hAnsi="Barlow Semi Condensed"/>
          <w:b/>
          <w:bCs/>
          <w:sz w:val="24"/>
          <w:szCs w:val="24"/>
        </w:rPr>
        <w:t xml:space="preserve">Blocco mirato numero 107 — ▶ Alfredo Poledrini. Delegato apostolico in Sudafrica dal 1971 al 1978. Livello A. Dominio 5. Il nodo si iscrive per una ragione sola e va enunciata: è il rappresentante pontificio in carica per l'intera durata del secondo mandato ministeriale di Aldo Moro e della sua presidenza del Consiglio. Nessun elemento documentale collega Poledrini ad alcun contatto italiano sulla materia sudafricana: reperto negativo, Livello A, con sede di verifica nell'Archivio Apostolico Vaticano, non accessibile.</w:t>
      </w:r>
    </w:p>
    <w:p>
      <w:pPr>
        <w:spacing w:after="120" w:line="276"/>
        <w:jc w:val="both"/>
      </w:pPr>
      <w:r>
        <w:rPr>
          <w:rFonts w:ascii="Barlow Semi Condensed" w:cs="Barlow Semi Condensed" w:eastAsia="Barlow Semi Condensed" w:hAnsi="Barlow Semi Condensed"/>
          <w:b/>
          <w:bCs/>
          <w:sz w:val="24"/>
          <w:szCs w:val="24"/>
        </w:rPr>
        <w:t xml:space="preserve">Blocco mirato numero 108 — ▶ Ambrose Battista De Paoli. Delegato apostolico dal 6 febbraio 1988 e primo nunzio apostolico in Sudafrica dal 25 giugno 1994 all'11 novembre 1997; delegato apostolico per la Namibia dal 5 marzo 1994. Livello A. Dominio 5. È il nodo-cerniera fra i 2 regimi diplomatici esposti al blocco 501.</w:t>
      </w:r>
    </w:p>
    <w:p>
      <w:pPr>
        <w:spacing w:after="120" w:line="276"/>
        <w:jc w:val="both"/>
      </w:pPr>
      <w:r>
        <w:rPr>
          <w:rFonts w:ascii="Barlow Semi Condensed" w:cs="Barlow Semi Condensed" w:eastAsia="Barlow Semi Condensed" w:hAnsi="Barlow Semi Condensed"/>
          <w:b/>
          <w:bCs/>
          <w:sz w:val="24"/>
          <w:szCs w:val="24"/>
        </w:rPr>
        <w:t xml:space="preserve">Blocco mirato numero 109 — ▶ Borromeo. Ambasciatore d'Italia a Tripoli dal 20 dicembre 1969 al 30 agosto 1971. Il rapporto di fine missione è conservato nel Fondo Aldo Moro presso l'Archivio Centrale dello Stato, busta 139, fascicolo 2.2. Livello A quanto alla segnatura e alle date. Il nome di battesimo non è stato reperito: esito negativo dichiarato, sede l'annuario diplomatico del Ministero per il 1970-1971. Dominio 2.</w:t>
      </w:r>
    </w:p>
    <w:p>
      <w:pPr>
        <w:spacing w:after="120" w:line="276"/>
        <w:jc w:val="both"/>
      </w:pPr>
      <w:r>
        <w:rPr>
          <w:rFonts w:ascii="Barlow Semi Condensed" w:cs="Barlow Semi Condensed" w:eastAsia="Barlow Semi Condensed" w:hAnsi="Barlow Semi Condensed"/>
          <w:b/>
          <w:bCs/>
          <w:sz w:val="24"/>
          <w:szCs w:val="24"/>
        </w:rPr>
        <w:t xml:space="preserve">Blocco mirato numero 110 — ▶ Eugenio Carbone. Direttore generale del Ministero dell'Industria, titolare del canale attraverso cui fu condotto il negoziato per gli Accordi di Osimo, predisposto nel 1973 dai ministri Medici e Minić. Livello A. Domini 2 e 6. Il nodo ha portata metodologica generale esposta al blocco 703.</w:t>
      </w:r>
    </w:p>
    <w:p>
      <w:pPr>
        <w:spacing w:after="120" w:line="276"/>
        <w:jc w:val="both"/>
      </w:pPr>
      <w:r>
        <w:rPr>
          <w:rFonts w:ascii="Barlow Semi Condensed" w:cs="Barlow Semi Condensed" w:eastAsia="Barlow Semi Condensed" w:hAnsi="Barlow Semi Condensed"/>
          <w:b/>
          <w:bCs/>
          <w:sz w:val="24"/>
          <w:szCs w:val="24"/>
        </w:rPr>
        <w:t xml:space="preserve">Blocco mirato numero 111 — ▶ Camillo Giurati. Ambasciatore dimessosi alla vigilia della firma degli Accordi di Osimo. Livello A. Dominio 2. La dimissione è il riscontro per conflitto dell'aggiramento della Farnesina: un ambasciatore si dimette quando il proprio ministero viene scavalcato, e la dimissione prova che l'aggiramento fu reale e percepito come tale. Livello B quanto a tale lettura, che è inferenza dal fatto e non dichiarazione dell'interessato.</w:t>
      </w:r>
    </w:p>
    <w:p>
      <w:pPr>
        <w:spacing w:after="120" w:line="276"/>
        <w:jc w:val="both"/>
      </w:pPr>
      <w:r>
        <w:rPr>
          <w:rFonts w:ascii="Barlow Semi Condensed" w:cs="Barlow Semi Condensed" w:eastAsia="Barlow Semi Condensed" w:hAnsi="Barlow Semi Condensed"/>
          <w:b/>
          <w:bCs/>
          <w:sz w:val="24"/>
          <w:szCs w:val="24"/>
        </w:rPr>
        <w:t xml:space="preserve">Blocco mirato numero 112 — ▶ Hans-Dietrich Genscher. Ministro degli Esteri della Repubblica Federale di Germania. Nella conferenza tenuta alla Humboldt-Universität il 13 aprile 2010 attestò che l'inclusione tedesca nel Gruppo di contatto occidentale discendeva dall'elezione della Repubblica Federale a membro non permanente del Consiglio di sicurezza nel 1976, e che il consolato di Windhoek fu chiuso alla fine dell'ottobre 1977 per rimuovere l'equivoco di un riconoscimento del dominio sudafricano sulla Namibia. Livello B, trattandosi di memoria di protagonista. Dominio 2 estero.</w:t>
      </w:r>
    </w:p>
    <w:p>
      <w:pPr>
        <w:spacing w:after="120" w:line="276"/>
        <w:jc w:val="both"/>
      </w:pPr>
      <w:r>
        <w:rPr>
          <w:rFonts w:ascii="Barlow Semi Condensed" w:cs="Barlow Semi Condensed" w:eastAsia="Barlow Semi Condensed" w:hAnsi="Barlow Semi Condensed"/>
          <w:b/>
          <w:bCs/>
          <w:sz w:val="24"/>
          <w:szCs w:val="24"/>
        </w:rPr>
        <w:t xml:space="preserve">Blocco mirato numero 113 — ▶ Erwin Willy Becker. Professore presso il centro di ricerca di Karlsruhe, ideatore del metodo a getto da cui derivò il processo sudafricano di separazione a vortice Helikon, con cooperazione di scienziati sudafricani dal 1974. Livello A quanto alla derivazione tecnica; Livello C quanto a ogni inferenza su una cooperazione nucleare militare governativa, che la storiografia fondata su archivi giudica non sostenuta. Dominio 6 estero.</w:t>
      </w:r>
    </w:p>
    <w:p>
      <w:pPr>
        <w:spacing w:after="120" w:line="276"/>
        <w:jc w:val="both"/>
      </w:pPr>
      <w:r>
        <w:rPr>
          <w:rFonts w:ascii="Barlow Semi Condensed" w:cs="Barlow Semi Condensed" w:eastAsia="Barlow Semi Condensed" w:hAnsi="Barlow Semi Condensed"/>
          <w:b/>
          <w:bCs/>
          <w:sz w:val="24"/>
          <w:szCs w:val="24"/>
        </w:rPr>
        <w:t xml:space="preserve">Blocco mirato numero 114 — ▶ Fritz Pirkl. Ex ministro bavarese del lavoro della Christlich-Soziale Union, membro del comitato della Deutsch-Südafrikanische Gesellschaft e primo presidente della Hanns-Seidel-Stiftung. Livello A quanto alla doppia appartenenza, che è fatto pubblico documentato. Nessun livello quanto a una condotta della fondazione o del partito, che l'appartenenza di una persona a 2 organizzazioni non prova. Dominio 2 estero. Il nodo si iscrive quale indizio di prossimità di ambienti e non quale prova di nesso operativo.</w:t>
      </w:r>
    </w:p>
    <w:p>
      <w:pPr>
        <w:pStyle w:val="Heading2"/>
        <w:spacing w:after="100" w:before="200"/>
      </w:pPr>
      <w:r>
        <w:rPr>
          <w:rFonts w:ascii="Barlow Semi Condensed" w:cs="Barlow Semi Condensed" w:eastAsia="Barlow Semi Condensed" w:hAnsi="Barlow Semi Condensed"/>
          <w:sz w:val="24"/>
          <w:szCs w:val="24"/>
        </w:rPr>
        <w:t xml:space="preserve">II — NODI ORGANIZZATIVI VERSATI</w:t>
      </w:r>
    </w:p>
    <w:p>
      <w:pPr>
        <w:spacing w:after="120" w:line="276"/>
        <w:jc w:val="both"/>
      </w:pPr>
      <w:r>
        <w:rPr>
          <w:rFonts w:ascii="Barlow Semi Condensed" w:cs="Barlow Semi Condensed" w:eastAsia="Barlow Semi Condensed" w:hAnsi="Barlow Semi Condensed"/>
          <w:b/>
          <w:bCs/>
          <w:sz w:val="24"/>
          <w:szCs w:val="24"/>
        </w:rPr>
        <w:t xml:space="preserve">Blocco mirato numero 201 — ◆ Aeronautica Macchi. Impresa aeronautica di Varese, produttrice dell'MB-326. Concesse nel 1964 al Sudafrica la licenza di produzione della versione M, denominata localmente Impala Mark primo, con produzione locale avviata nel 1966. Livello A quanto alla licenza, all'anno e all'oggetto; esito negativo quanto ai termini contrattuali — durata, corrispettivi, clausole di riesportazione, clausole di rinnovo — non reperiti. Sede: archivio aziendale confluito nel gruppo Leonardo e archivio storico di Finmeccanica. Dominio 6.</w:t>
      </w:r>
    </w:p>
    <w:p>
      <w:pPr>
        <w:spacing w:after="120" w:line="276"/>
        <w:jc w:val="both"/>
      </w:pPr>
      <w:r>
        <w:rPr>
          <w:rFonts w:ascii="Barlow Semi Condensed" w:cs="Barlow Semi Condensed" w:eastAsia="Barlow Semi Condensed" w:hAnsi="Barlow Semi Condensed"/>
          <w:b/>
          <w:bCs/>
          <w:sz w:val="24"/>
          <w:szCs w:val="24"/>
        </w:rPr>
        <w:t xml:space="preserve">Blocco mirato numero 202 — ◆ Atlas Aircraft Corporation. Costituita nel 1965 allo scopo precipuo di fabbricare localmente velivoli militari per la South African Air Force; riorganizzata nel 1968 e posta sotto il controllo dell'Armaments Corporation of South Africa. Livello A. Domini 6 e 9 esteri. Il dato che qualifica il nodo: l'MB-326 fu il primo velivolo prodotto su licenza in Sudafrica, e il programma servì da leva per la costituzione di un'industria aeronautica nazionale secondo un disegno di sostituzione delle importazioni che le pressioni internazionali rendevano necessario.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203 — ◆ Piaggio. Produttrice in Italia, su licenza della Bristol Siddeley stabilita nel 1959, del turbogetto Viper modello Mark 22 destinato all'addestratore Aermacchi. Livello A, attestato dal Museo Motori dell'Università di Palermo. Dominio 6. È l'anello che il blocco 401 qualifica.</w:t>
      </w:r>
    </w:p>
    <w:p>
      <w:pPr>
        <w:spacing w:after="120" w:line="276"/>
        <w:jc w:val="both"/>
      </w:pPr>
      <w:r>
        <w:rPr>
          <w:rFonts w:ascii="Barlow Semi Condensed" w:cs="Barlow Semi Condensed" w:eastAsia="Barlow Semi Condensed" w:hAnsi="Barlow Semi Condensed"/>
          <w:b/>
          <w:bCs/>
          <w:sz w:val="24"/>
          <w:szCs w:val="24"/>
        </w:rPr>
        <w:t xml:space="preserve">Blocco mirato numero 204 — ◆ FIAT. Produttrice in Italia della più potente serie 600 del medesimo turbogetto, destinata alle varianti da attacco. Livello A, medesima fonte. Dominio 6.</w:t>
      </w:r>
    </w:p>
    <w:p>
      <w:pPr>
        <w:spacing w:after="120" w:line="276"/>
        <w:jc w:val="both"/>
      </w:pPr>
      <w:r>
        <w:rPr>
          <w:rFonts w:ascii="Barlow Semi Condensed" w:cs="Barlow Semi Condensed" w:eastAsia="Barlow Semi Condensed" w:hAnsi="Barlow Semi Condensed"/>
          <w:b/>
          <w:bCs/>
          <w:sz w:val="24"/>
          <w:szCs w:val="24"/>
        </w:rPr>
        <w:t xml:space="preserve">Blocco mirato numero 205 — ◆ Comitato del Consiglio di sicurezza istituito dalla risoluzione 421. Organo di sorveglianza dell'embargo obbligatorio, istituito il 9 dicembre 1977. Dinanzi ad esso furono formulate nel 1980 le accuse cui l'Italia rispose. Livello 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206 — ◆ Gruppo di contatto occidentale sulla Namibia. Costituito nell'aprile 1977, composto da Stati Uniti, Regno Unito, Francia, Canada e Repubblica Federale di Germania, operante attivamente sino alla metà del 1982 e sciolto attorno al 1983. Livello A. Il criterio di appartenenza era il seggio occidentale nel Consiglio di sicurezza nel 1977: 3 membri permanenti e i 2 non permanenti occidentali allora in carica. Livello 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207 — ◆ Delegazione apostolica di Pretoria. Istituita da Pio XI il 7 dicembre 1922, organo di rappresentanza presso la Chiesa locale e non presso lo Stato; il delegato non ha status di ambasciatore, non presenta credenziali al capo dello Stato, non gode delle immunità diplomatiche piene. Ebbe 9 titolari e fu elevata a nunziatura apostolica il 25 giugno 1994. Livello A. Dominio 5.</w:t>
      </w:r>
    </w:p>
    <w:p>
      <w:pPr>
        <w:spacing w:after="120" w:line="276"/>
        <w:jc w:val="both"/>
      </w:pPr>
      <w:r>
        <w:rPr>
          <w:rFonts w:ascii="Barlow Semi Condensed" w:cs="Barlow Semi Condensed" w:eastAsia="Barlow Semi Condensed" w:hAnsi="Barlow Semi Condensed"/>
          <w:b/>
          <w:bCs/>
          <w:sz w:val="24"/>
          <w:szCs w:val="24"/>
        </w:rPr>
        <w:t xml:space="preserve">Blocco mirato numero 208 — ◆ Southern African Catholic Bishops' Conference. Costituita nel 1947; prima pronuncia contro il razzismo nel 1952; condanna dell'apartheid quale intrinsecamente malvagio nella lettera pastorale letta in tutte le chiese cattoliche il 21 luglio 1957, ritenuta il primo caso in cui un corpo cristiano applicò tale qualificazione al sistema. Livello A. Dominio 5. Fondò nel 1986 il settimanale New Nation, bandito nel 1988; la sua sede Khanya House fu fatta oggetto di attentato dinamitardo nell'ottobre 1988, per il quale nel 2000 la Commissione per la verità e la riconciliazione concesse l'amnistia a 19 ex membri della polizia di sicurezza, incluso Eugene de Kock.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209 — ◆ World Campaign against Military and Nuclear Collaboration with South Africa. Lanciato a Oslo il 28 marzo 1979; riconosciuto dalle Nazioni Unite quale fonte primaria di informazione sulle violazioni degli embarghi. Livello A. Domini 2 e 8.</w:t>
      </w:r>
    </w:p>
    <w:p>
      <w:pPr>
        <w:spacing w:after="120" w:line="276"/>
        <w:jc w:val="both"/>
      </w:pPr>
      <w:r>
        <w:rPr>
          <w:rFonts w:ascii="Barlow Semi Condensed" w:cs="Barlow Semi Condensed" w:eastAsia="Barlow Semi Condensed" w:hAnsi="Barlow Semi Condensed"/>
          <w:b/>
          <w:bCs/>
          <w:sz w:val="24"/>
          <w:szCs w:val="24"/>
        </w:rPr>
        <w:t xml:space="preserve">Blocco mirato numero 210 — ◆ Steinkohlen-Elektrizität. Società tedesca che agevolò il trasferimento al Sudafrica del processo di arricchimento dell'uranio a ugello e che intendeva concedere alla corporazione sudafricana un'opzione per una sub-licenza di fabbricazione. Livello B, poiché la base documentale primaria risale in parte a documenti resi noti da fonte militante di parte. Dominio 6 estero.</w:t>
      </w:r>
    </w:p>
    <w:p>
      <w:pPr>
        <w:spacing w:after="120" w:line="276"/>
        <w:jc w:val="both"/>
      </w:pPr>
      <w:r>
        <w:rPr>
          <w:rFonts w:ascii="Barlow Semi Condensed" w:cs="Barlow Semi Condensed" w:eastAsia="Barlow Semi Condensed" w:hAnsi="Barlow Semi Condensed"/>
          <w:b/>
          <w:bCs/>
          <w:sz w:val="24"/>
          <w:szCs w:val="24"/>
        </w:rPr>
        <w:t xml:space="preserve">Blocco mirato numero 211 — ◆ Uranium Enrichment Corporation e impianto di Valindaba. Costruzione avviata nell'agosto 1971, operatività nel maggio 1975, produzione di uranio altamente arricchito dal 1978, chiusura definitiva il 1 febbraio 1990. Livello A. Dominio 9 estero.</w:t>
      </w:r>
    </w:p>
    <w:p>
      <w:pPr>
        <w:spacing w:after="120" w:line="276"/>
        <w:jc w:val="both"/>
      </w:pPr>
      <w:r>
        <w:rPr>
          <w:rFonts w:ascii="Barlow Semi Condensed" w:cs="Barlow Semi Condensed" w:eastAsia="Barlow Semi Condensed" w:hAnsi="Barlow Semi Condensed"/>
          <w:b/>
          <w:bCs/>
          <w:sz w:val="24"/>
          <w:szCs w:val="24"/>
        </w:rPr>
        <w:t xml:space="preserve">Blocco mirato numero 212 — ◆ Howaldtswerke-Deutsche Werft e Ingenieurkontor Lübeck. Imprese di Kiel che consegnarono al Sudafrica piani costruttivi per 4 sommergibili di tipo 209 senza la richiesta autorizzazione, con prezzo di 46 milioni di marchi iscritto in bilancio. Livello A quanto alla fornitura non autorizzata, accertata dal comitato d'inchiesta parlamentare attivo dal 1986 al 1990; Livello C quanto alla catena di responsabilità politiche e alle provvigioni, che il comitato dichiarò non chiarite. Domini 6 e 9 esteri.</w:t>
      </w:r>
    </w:p>
    <w:p>
      <w:pPr>
        <w:spacing w:after="120" w:line="276"/>
        <w:jc w:val="both"/>
      </w:pPr>
      <w:r>
        <w:rPr>
          <w:rFonts w:ascii="Barlow Semi Condensed" w:cs="Barlow Semi Condensed" w:eastAsia="Barlow Semi Condensed" w:hAnsi="Barlow Semi Condensed"/>
          <w:b/>
          <w:bCs/>
          <w:sz w:val="24"/>
          <w:szCs w:val="24"/>
        </w:rPr>
        <w:t xml:space="preserve">Blocco mirato numero 213 — ◆ Hanns-Seidel-Stiftung e Deutsch-Südafrikanische Gesellschaft. La prima, vicina alla Christlich-Soziale Union, operante in Namibia dal 1978 con ufficio a Windhoek e in Sudafrica dal 1991. Livello A quanto alle date; esito negativo quanto al contenuto puntuale delle attività nel biennio 1978-1980. La seconda, descritta quale maggiore società bilaterale tedesca con 3.000-5.000 membri dichiarati, ma alla quale una fonte d'autore attribuisce di non avere mai svolto ruolo degno di nota nella Bonn politica, proprio perché i suoi rapporti con Pretoria erano troppo stretti. Livello B. Dominio 2 estero.</w:t>
      </w:r>
    </w:p>
    <w:p>
      <w:pPr>
        <w:pStyle w:val="Heading2"/>
        <w:spacing w:after="100" w:before="200"/>
      </w:pPr>
      <w:r>
        <w:rPr>
          <w:rFonts w:ascii="Barlow Semi Condensed" w:cs="Barlow Semi Condensed" w:eastAsia="Barlow Semi Condensed" w:hAnsi="Barlow Semi Condensed"/>
          <w:sz w:val="24"/>
          <w:szCs w:val="24"/>
        </w:rPr>
        <w:t xml:space="preserve">III — NODI-EVENTO VERSATI</w:t>
      </w:r>
    </w:p>
    <w:p>
      <w:pPr>
        <w:spacing w:after="120" w:line="276"/>
        <w:jc w:val="both"/>
      </w:pPr>
      <w:r>
        <w:rPr>
          <w:rFonts w:ascii="Barlow Semi Condensed" w:cs="Barlow Semi Condensed" w:eastAsia="Barlow Semi Condensed" w:hAnsi="Barlow Semi Condensed"/>
          <w:b/>
          <w:bCs/>
          <w:sz w:val="24"/>
          <w:szCs w:val="24"/>
        </w:rPr>
        <w:t xml:space="preserve">Blocco mirato numero 301 — ■ 6 e 13 febbraio 1970. Le 2 confutazioni parallele. Il 27 e 28 gennaio 1970, nella 1527ª seduta del Consiglio di sicurezza, il rappresentante dello Zambia affermò che l'Italia aveva rifiutato di imporre un divieto alla vendita di armi al Sudafrica. Il 6 febbraio 1970 il Rappresentante permanente d'Italia indirizzò al Presidente del Consiglio la lettera S/9640, che confutava l'affermazione. L'11 febbraio 1970 l'Osservatore permanente supplente della Repubblica Federale di Germania trasmise una confutazione della medesima dichiarazione, allegata alla nota del Presidente S/9648 del 13 febbraio. Livello A quanto ai 3 fatti e alle 3 date. Livello C quanto a ogni coordinamento fra Roma e Bonn, che nessuna fonte attesta e che la simultaneità non prova.</w:t>
      </w:r>
    </w:p>
    <w:p>
      <w:pPr>
        <w:spacing w:after="120" w:line="276"/>
        <w:jc w:val="both"/>
      </w:pPr>
      <w:r>
        <w:rPr>
          <w:rFonts w:ascii="Barlow Semi Condensed" w:cs="Barlow Semi Condensed" w:eastAsia="Barlow Semi Condensed" w:hAnsi="Barlow Semi Condensed"/>
          <w:b/>
          <w:bCs/>
          <w:sz w:val="24"/>
          <w:szCs w:val="24"/>
        </w:rPr>
        <w:t xml:space="preserve">Blocco mirato numero 302 — ■ 21 luglio 1970. La legge libica di confisca. Il Consiglio del Comando della Rivoluzione promulgò le leggi che disposero la confisca dei beni della comunità italiana, con obbligo di dichiarazione e pene detentive. La natura giuridica fu di legge di confisca su base di cittadinanza e non di nazionalizzazione economica. Livello A. Domini 2 e 6.</w:t>
      </w:r>
    </w:p>
    <w:p>
      <w:pPr>
        <w:spacing w:after="120" w:line="276"/>
        <w:jc w:val="both"/>
      </w:pPr>
      <w:r>
        <w:rPr>
          <w:rFonts w:ascii="Barlow Semi Condensed" w:cs="Barlow Semi Condensed" w:eastAsia="Barlow Semi Condensed" w:hAnsi="Barlow Semi Condensed"/>
          <w:b/>
          <w:bCs/>
          <w:sz w:val="24"/>
          <w:szCs w:val="24"/>
        </w:rPr>
        <w:t xml:space="preserve">Blocco mirato numero 303 — ■ 7-15 ottobre 1970. L'esodo. Ultimatum del 7 ottobre, consacrato dal regime quale giorno della vendetta; espulsione perfezionata entro il 15 ottobre; traghettamento organizzato attraverso il Ministero della Marina Mercantile con 9 navi. Sul numero degli espulsi le stime oscillano fra 15.000, 17.000, 20.000 e 35.000 secondo il criterio adottato, e la divergenza si riporta anziché comporre. Livello A quanto alle date e all'organizzazione; Livello B quanto al numero.</w:t>
      </w:r>
    </w:p>
    <w:p>
      <w:pPr>
        <w:spacing w:after="120" w:line="276"/>
        <w:jc w:val="both"/>
      </w:pPr>
      <w:r>
        <w:rPr>
          <w:rFonts w:ascii="Barlow Semi Condensed" w:cs="Barlow Semi Condensed" w:eastAsia="Barlow Semi Condensed" w:hAnsi="Barlow Semi Condensed"/>
          <w:b/>
          <w:bCs/>
          <w:sz w:val="24"/>
          <w:szCs w:val="24"/>
        </w:rPr>
        <w:t xml:space="preserve">Blocco mirato numero 304 — ■ Marzo 1971. Il Conquistador Tredicesimo. L'Italia contribuì a far fallire un tentativo di colpo di Stato anti-Gheddafi, con il sequestro a Trieste del battello destinato all'operazione. Livello B. Domini 2 e 3.</w:t>
      </w:r>
    </w:p>
    <w:p>
      <w:pPr>
        <w:spacing w:after="120" w:line="276"/>
        <w:jc w:val="both"/>
      </w:pPr>
      <w:r>
        <w:rPr>
          <w:rFonts w:ascii="Barlow Semi Condensed" w:cs="Barlow Semi Condensed" w:eastAsia="Barlow Semi Condensed" w:hAnsi="Barlow Semi Condensed"/>
          <w:b/>
          <w:bCs/>
          <w:sz w:val="24"/>
          <w:szCs w:val="24"/>
        </w:rPr>
        <w:t xml:space="preserve">Blocco mirato numero 305 — ■ 5 maggio 1971. Moro a Tripoli. Il ministro degli Esteri si recò a Tripoli e incontrò Gheddafi; dell'incontro resta traccia nel Fondo Aldo Moro presso l'Archivio storico del Senato. Livello A. Dominio 2. Il fatto si registra e la sua lettura si rimette: 18 mesi dopo la confisca dei beni di circa 20.000 cittadini italiani, il loro ministro degli Esteri andò nella capitale che li aveva espropriati.</w:t>
      </w:r>
    </w:p>
    <w:p>
      <w:pPr>
        <w:spacing w:after="120" w:line="276"/>
        <w:jc w:val="both"/>
      </w:pPr>
      <w:r>
        <w:rPr>
          <w:rFonts w:ascii="Barlow Semi Condensed" w:cs="Barlow Semi Condensed" w:eastAsia="Barlow Semi Condensed" w:hAnsi="Barlow Semi Condensed"/>
          <w:b/>
          <w:bCs/>
          <w:sz w:val="24"/>
          <w:szCs w:val="24"/>
        </w:rPr>
        <w:t xml:space="preserve">Blocco mirato numero 306 — ■ 30 settembre 1974. Il doppio voto. Nella medesima giornata l'Italia votò contro la risoluzione 3206, sul rifiuto delle credenziali della delegazione sudafricana, adottata con 98 favorevoli, 23 contrari e 14 astenuti, e a favore della risoluzione 3207, sulla relazione fra Nazioni Unite e Sudafrica, adottata con 125 favorevoli, 1 contrario e 9 astenuti. Livello A. Dominio 2.</w:t>
      </w:r>
    </w:p>
    <w:p>
      <w:pPr>
        <w:spacing w:after="120" w:line="276"/>
        <w:jc w:val="both"/>
      </w:pPr>
      <w:r>
        <w:rPr>
          <w:rFonts w:ascii="Barlow Semi Condensed" w:cs="Barlow Semi Condensed" w:eastAsia="Barlow Semi Condensed" w:hAnsi="Barlow Semi Condensed"/>
          <w:b/>
          <w:bCs/>
          <w:sz w:val="24"/>
          <w:szCs w:val="24"/>
        </w:rPr>
        <w:t xml:space="preserve">Blocco mirato numero 307 — ■ 20 dicembre 1976. Il voto sul riconoscimento della SWAPO. Risoluzione 31/146, adottata con 107 favorevoli, 6 contrari e 12 astenuti. L'Italia si astenne; Belgio, Francia, Germania Federale, Lussemburgo, Regno Unito e Stati Uniti votarono contro. Livello A, verificato sul record di voto.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308 — ■ 4 novembre 1977. La risoluzione 418. L'embargo sulle armi divenne obbligatorio ai sensi del Capitolo settimo, con 15 voti favorevoli, nessun contrario, nessun astenuto: primo caso di sanzioni obbligatorie imposte a uno Stato membro. Livello A. Il registro possiede già questa data-cerniera e il presente blocco la richiama soltanto per collocarvi i nodi versati.</w:t>
      </w:r>
    </w:p>
    <w:p>
      <w:pPr>
        <w:spacing w:after="120" w:line="276"/>
        <w:jc w:val="both"/>
      </w:pPr>
      <w:r>
        <w:rPr>
          <w:rFonts w:ascii="Barlow Semi Condensed" w:cs="Barlow Semi Condensed" w:eastAsia="Barlow Semi Condensed" w:hAnsi="Barlow Semi Condensed"/>
          <w:b/>
          <w:bCs/>
          <w:sz w:val="24"/>
          <w:szCs w:val="24"/>
        </w:rPr>
        <w:t xml:space="preserve">Blocco mirato numero 309 — ■ 27 giugno 1980. La seconda confutazione italiana. Lettera S/AC.20/27 del Rappresentante permanente al Presidente del Comitato istituito dalla risoluzione 421, che nega accuse di violazione dell'embargo contenute nella dichiarazione di Abdul Minty. Livello A quanto all'esistenza, alla data e all'oggetto; il testo del corpo non è stato acquisito, e la dichiarazione di Minty che lo provocò, verbale S/AC.20/SR.25, appartiene alla serie delle riunioni chiuse e non è reperita. Dominio 2.</w:t>
      </w:r>
    </w:p>
    <w:p>
      <w:pPr>
        <w:spacing w:after="120" w:line="276"/>
        <w:jc w:val="both"/>
      </w:pPr>
      <w:r>
        <w:rPr>
          <w:rFonts w:ascii="Barlow Semi Condensed" w:cs="Barlow Semi Condensed" w:eastAsia="Barlow Semi Condensed" w:hAnsi="Barlow Semi Condensed"/>
          <w:b/>
          <w:bCs/>
          <w:sz w:val="24"/>
          <w:szCs w:val="24"/>
        </w:rPr>
        <w:t xml:space="preserve">Blocco mirato numero 310 — ■ 26 novembre 1986. La rivelazione di Kiel. Un quotidiano locale rivelò la consegna non autorizzata al Sudafrica di piani per 4 sommergibili; il 10 dicembre 1986 fu istituito il comitato d'inchiesta parlamentare, attivo sino al 1990, la cui raccomandazione conclusiva fu disomogenea e i cui fatti centrali rimasero non chiariti. Livello A quanto alla rivelazione e all'inchiesta; Livello C quanto alle responsabilità politiche. Domini 2, 6 e 9 esteri.</w:t>
      </w:r>
    </w:p>
    <w:p>
      <w:pPr>
        <w:spacing w:after="120" w:line="276"/>
        <w:jc w:val="both"/>
      </w:pPr>
      <w:r>
        <w:rPr>
          <w:rFonts w:ascii="Barlow Semi Condensed" w:cs="Barlow Semi Condensed" w:eastAsia="Barlow Semi Condensed" w:hAnsi="Barlow Semi Condensed"/>
          <w:b/>
          <w:bCs/>
          <w:sz w:val="24"/>
          <w:szCs w:val="24"/>
        </w:rPr>
        <w:t xml:space="preserve">Blocco mirato numero 311 — ■ Settembre 1988. Il viaggio che circondò il Sudafrica. Giovanni Paolo II compì un itinerario di 10 giorni in 5 Stati confinanti — Zimbabwe, Botswana, Lesotho, Swaziland e Mozambico — escludendo deliberatamente il Sudafrica a causa dell'apartheid e su esplicito consiglio dei vescovi sudafricani. Livello A. Il 14 settembre il maltempo mise fuori uso i radiofari di Maseru e l'aereo pontificio fu costretto ad atterrare a Johannesburg, dove il ministro degli Esteri Roelof Botha lo accolse; un corteo di 25 automobili portò la delegazione in Lesotho per via terrestre. Livello A. Dominio 5.</w:t>
      </w:r>
    </w:p>
    <w:p>
      <w:pPr>
        <w:spacing w:after="120" w:line="276"/>
        <w:jc w:val="both"/>
      </w:pPr>
      <w:r>
        <w:rPr>
          <w:rFonts w:ascii="Barlow Semi Condensed" w:cs="Barlow Semi Condensed" w:eastAsia="Barlow Semi Condensed" w:hAnsi="Barlow Semi Condensed"/>
          <w:b/>
          <w:bCs/>
          <w:sz w:val="24"/>
          <w:szCs w:val="24"/>
        </w:rPr>
        <w:t xml:space="preserve">Blocco mirato numero 312 — ■ 15 e 25 giugno 1994. L'apertura delle relazioni. Firma del protocollo diplomatico fra Giovanni Paolo II e Nelson Mandela il 15 giugno; erezione della nunziatura apostolica di Pretoria il 25 giugno. Livello A, confermato dal pontefice medesimo nel discorso di arrivo del 1995. Dominio 5.</w:t>
      </w:r>
    </w:p>
    <w:p>
      <w:pPr>
        <w:pStyle w:val="Heading2"/>
        <w:spacing w:after="100" w:before="200"/>
      </w:pPr>
      <w:r>
        <w:rPr>
          <w:rFonts w:ascii="Barlow Semi Condensed" w:cs="Barlow Semi Condensed" w:eastAsia="Barlow Semi Condensed" w:hAnsi="Barlow Semi Condensed"/>
          <w:sz w:val="24"/>
          <w:szCs w:val="24"/>
        </w:rPr>
        <w:t xml:space="preserve">IV — I PONTI</w:t>
      </w:r>
    </w:p>
    <w:p>
      <w:pPr>
        <w:spacing w:after="120" w:line="276"/>
        <w:jc w:val="both"/>
      </w:pPr>
      <w:r>
        <w:rPr>
          <w:rFonts w:ascii="Barlow Semi Condensed" w:cs="Barlow Semi Condensed" w:eastAsia="Barlow Semi Condensed" w:hAnsi="Barlow Semi Condensed"/>
          <w:b/>
          <w:bCs/>
          <w:sz w:val="24"/>
          <w:szCs w:val="24"/>
        </w:rPr>
        <w:t xml:space="preserve">Blocco mirato numero 401 — Il ponte di transito Bristol Siddeley-Piaggio-Atlas. È il ponte principale versato dal presente registro e va esposto per anelli. Anello primo: la Bristol Siddeley britannica concede nel 1959 alla Piaggio la licenza di produzione del turbogetto Viper. Anello secondo: la Piaggio produce in Italia il modello Mark 22 destinato all'MB-326, mentre la FIAT produce la serie 600 per le varianti da attacco. Anello terzo: il Sudafrica riceve il motore attraverso la catena della sub-licenza italiana e non direttamente dal Regno Unito. Livello A quanto ai 3 anelli.</w:t>
      </w:r>
    </w:p>
    <w:p>
      <w:pPr>
        <w:spacing w:after="120" w:line="276"/>
        <w:jc w:val="both"/>
      </w:pPr>
      <w:r>
        <w:rPr>
          <w:rFonts w:ascii="Barlow Semi Condensed" w:cs="Barlow Semi Condensed" w:eastAsia="Barlow Semi Condensed" w:hAnsi="Barlow Semi Condensed"/>
          <w:b/>
          <w:bCs/>
          <w:sz w:val="24"/>
          <w:szCs w:val="24"/>
        </w:rPr>
        <w:t xml:space="preserve">Blocco mirato numero 402 — Il documento che nomina l'Italia. Un rapporto declassificato della Central Intelligence Agency intitolato \South Africa: Evading the Arms Embargo\, reso disponibile nel 2018 con segnatura C06283667, nell'elencare i sistemi prodotti localmente registra il motore Viper con l'annotazione che la produzione fu autorizzata su licenza dall'Italia per l'Impala; e alla voce Impala registra che si tratta di copia su licenza dell'italiano MB 326, prodotto dal 1964 al 1986. Livello B, trattandosi di documento d'intelligence di natura valutativa e non giudiziaria, ma il cui tenore è univoco.</w:t>
      </w:r>
    </w:p>
    <w:p>
      <w:pPr>
        <w:spacing w:after="120" w:line="276"/>
        <w:jc w:val="both"/>
      </w:pPr>
      <w:r>
        <w:rPr>
          <w:rFonts w:ascii="Barlow Semi Condensed" w:cs="Barlow Semi Condensed" w:eastAsia="Barlow Semi Condensed" w:hAnsi="Barlow Semi Condensed"/>
          <w:b/>
          <w:bCs/>
          <w:sz w:val="24"/>
          <w:szCs w:val="24"/>
        </w:rPr>
        <w:t xml:space="preserve">Blocco mirato numero 403 — Perché la responsabilità si concentra sull'Italia. La licenza britannica alla Piaggio è del 1959, anteriore a ogni embargo, anche a quello raccomandato del 1963; la struttura della catena colloca perciò l'anello decisionale rilevante in Italia. Livello B, trattandosi di lettura strutturale. Esito negativo dichiarato: non è stato reperito alcun documento in cui la Rolls-Royce o il governo britannico autorizzino espressamente la produzione sudafricana del Viper.</w:t>
      </w:r>
    </w:p>
    <w:p>
      <w:pPr>
        <w:spacing w:after="120" w:line="276"/>
        <w:jc w:val="both"/>
      </w:pPr>
      <w:r>
        <w:rPr>
          <w:rFonts w:ascii="Barlow Semi Condensed" w:cs="Barlow Semi Condensed" w:eastAsia="Barlow Semi Condensed" w:hAnsi="Barlow Semi Condensed"/>
          <w:b/>
          <w:bCs/>
          <w:sz w:val="24"/>
          <w:szCs w:val="24"/>
        </w:rPr>
        <w:t xml:space="preserve">Blocco mirato numero 404 — Che cosa il ponte trasportò. L'Impala Mark primo, biposto da addestramento; e dal 1974 l'Impala Mark secondo, monoposto da attacco al suolo con cellula rinforzata, motore della serie 600, 2 cannoni da 30 millimetri, armamento francese e suite di guerra elettronica di sviluppo locale. Livello A. Sui numeri le fonti divergono: 40 o 16 esemplari di costruzione italiana; 125 o 135 Impala Mark primo assemblati localmente; 7 acquistati, 15 da kit e circa 78 su licenza per il Mark secondo; 334 motori Viper costruiti in Sudafrica su oltre 5.700 nel mondo.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Blocco mirato numero 405 — Dove il ponte arrivò. Il velivolo fu impiegato operativamente nella guerra di confine contro forze angolane e cubane fra il 1975 e il 1989, da piste sommarie e a bassissima quota. Livello B, trattandosi di pubblicistica aeronautica. La collocazione cronologica va enunciata perché è di rilievo giuridico: la quota maggiore dell'impiego si colloca dopo il 1977, sotto il regime dell'embargo obbligatorio, e non può essere retroattivamente imputata alle decisioni del periodo 1969-1976.</w:t>
      </w:r>
    </w:p>
    <w:p>
      <w:pPr>
        <w:spacing w:after="120" w:line="276"/>
        <w:jc w:val="both"/>
      </w:pPr>
      <w:r>
        <w:rPr>
          <w:rFonts w:ascii="Barlow Semi Condensed" w:cs="Barlow Semi Condensed" w:eastAsia="Barlow Semi Condensed" w:hAnsi="Barlow Semi Condensed"/>
          <w:b/>
          <w:bCs/>
          <w:sz w:val="24"/>
          <w:szCs w:val="24"/>
        </w:rPr>
        <w:t xml:space="preserve">Blocco mirato numero 406 — Il ponte di convergenza del febbraio 1970. Italia e Repubblica Federale di Germania reagirono in modo speculare alla medesima accusa zambiana, a 5 giorni di distanza, ciascuna con lo strumento che il proprio statuto le consentiva — l'Italia con lettera diretta, la Germania, non ancora membro delle Nazioni Unite, attraverso la nota del Presidente. Livello A quanto ai fatti; Livello C quanto a un coordinamento, non asserito. È arco di convergenza nel senso della tassonomia: 2 attori compiono, senza relazione diretta accertata, azioni che producono effetti convergenti.</w:t>
      </w:r>
    </w:p>
    <w:p>
      <w:pPr>
        <w:spacing w:after="120" w:line="276"/>
        <w:jc w:val="both"/>
      </w:pPr>
      <w:r>
        <w:rPr>
          <w:rFonts w:ascii="Barlow Semi Condensed" w:cs="Barlow Semi Condensed" w:eastAsia="Barlow Semi Condensed" w:hAnsi="Barlow Semi Condensed"/>
          <w:b/>
          <w:bCs/>
          <w:sz w:val="24"/>
          <w:szCs w:val="24"/>
        </w:rPr>
        <w:t xml:space="preserve">Blocco mirato numero 407 — Il ponte negato: Santa Sede e Pretoria. Per 72 anni, dal 7 dicembre 1922 al 25 giugno 1994, la Santa Sede mantenne in Sudafrica una sola delegazione apostolica e nessun rappresentante pontificio presentò mai credenziali a un capo di Stato sudafricano. Livello A. Le relazioni piene furono aperte 4 mesi dopo le prime elezioni democratiche. Livello A quanto al fatto; Livello C quanto al carattere deliberato dell'omissione, che la documentazione riservata proverebbe e che è inaccessibile.</w:t>
      </w:r>
    </w:p>
    <w:p>
      <w:pPr>
        <w:spacing w:after="120" w:line="276"/>
        <w:jc w:val="both"/>
      </w:pPr>
      <w:r>
        <w:rPr>
          <w:rFonts w:ascii="Barlow Semi Condensed" w:cs="Barlow Semi Condensed" w:eastAsia="Barlow Semi Condensed" w:hAnsi="Barlow Semi Condensed"/>
          <w:b/>
          <w:bCs/>
          <w:sz w:val="24"/>
          <w:szCs w:val="24"/>
        </w:rPr>
        <w:t xml:space="preserve">Blocco mirato numero 408 — Il ponte simmetrico: Italia e Pretoria. L'Italia mantenne per l'intera durata del regime relazioni diplomatiche piene, stabilite nel 1929, e un'ambasciata a Pretoria. Livello A. Il confronto fra i blocchi 407 e 408 è il reperto centrale del versamento vaticano, e va formulato con precisione al blocco 604.</w:t>
      </w:r>
    </w:p>
    <w:p>
      <w:pPr>
        <w:spacing w:after="120" w:line="276"/>
        <w:jc w:val="both"/>
      </w:pPr>
      <w:r>
        <w:rPr>
          <w:rFonts w:ascii="Barlow Semi Condensed" w:cs="Barlow Semi Condensed" w:eastAsia="Barlow Semi Condensed" w:hAnsi="Barlow Semi Condensed"/>
          <w:b/>
          <w:bCs/>
          <w:sz w:val="24"/>
          <w:szCs w:val="24"/>
        </w:rPr>
        <w:t xml:space="preserve">Blocco mirato numero 409 — Il ponte di accoglienza, già certificato e ora raccordato. Il registro certifica al Livello A la latitanza di Gianadelio Maletti a Johannesburg e la qualifica quale caso di scuola di una regolarità: il regime di Pretoria funzionò da nodo di accoglienza per una rete internazionale di soggetti dell'eversione e degli apparati deviati. Il presente registro non aggiunge nulla a tale certificazione ma vi apporta un raccordo: mentre un ufficiale dei servizi italiani vi trovava rifugio, un'impresa aeronautica italiana ne riforniva l'aviazione militare. I 2 fatti sono documentati separatamente e nessun elemento li collega: la simultaneità non è nesso, e il raccordo è di descrizione e non di causa. Livello A quanto ai 2 fatti presi ciascuno per sé; nessun livello quanto a una relazione fra essi.</w:t>
      </w:r>
    </w:p>
    <w:p>
      <w:pPr>
        <w:pStyle w:val="Heading2"/>
        <w:spacing w:after="100" w:before="200"/>
      </w:pPr>
      <w:r>
        <w:rPr>
          <w:rFonts w:ascii="Barlow Semi Condensed" w:cs="Barlow Semi Condensed" w:eastAsia="Barlow Semi Condensed" w:hAnsi="Barlow Semi Condensed"/>
          <w:sz w:val="24"/>
          <w:szCs w:val="24"/>
        </w:rPr>
        <w:t xml:space="preserve">V — LE COLLISIONI CON IL REGISTRO</w:t>
      </w:r>
    </w:p>
    <w:p>
      <w:pPr>
        <w:spacing w:after="120" w:line="276"/>
        <w:jc w:val="both"/>
      </w:pPr>
      <w:r>
        <w:rPr>
          <w:rFonts w:ascii="Barlow Semi Condensed" w:cs="Barlow Semi Condensed" w:eastAsia="Barlow Semi Condensed" w:hAnsi="Barlow Semi Condensed"/>
          <w:b/>
          <w:bCs/>
          <w:sz w:val="24"/>
          <w:szCs w:val="24"/>
        </w:rPr>
        <w:t xml:space="preserve">Blocco mirato numero 501 — Prima collisione: il teorema australe confermato e nominato. Il registro enuncia che un embargo obbligatorio privo di apparato coercitivo non chiude i canali ma li riprezza, spostando il traffico dalla contabilità degli Stati a quella degli intermediari. Il canale Aermacchi ne è l'istanza italiana e la conferma: la licenza è del 1964, la produzione corse sino al 1986, e la soglia del novembre 1977 non la interruppe. Livello A. Il presente registro non emenda dunque il teorema: lo nomina.</w:t>
      </w:r>
    </w:p>
    <w:p>
      <w:pPr>
        <w:spacing w:after="120" w:line="276"/>
        <w:jc w:val="both"/>
      </w:pPr>
      <w:r>
        <w:rPr>
          <w:rFonts w:ascii="Barlow Semi Condensed" w:cs="Barlow Semi Condensed" w:eastAsia="Barlow Semi Condensed" w:hAnsi="Barlow Semi Condensed"/>
          <w:b/>
          <w:bCs/>
          <w:sz w:val="24"/>
          <w:szCs w:val="24"/>
        </w:rPr>
        <w:t xml:space="preserve">Blocco mirato numero 502 — Seconda collisione, ed è la sola che emendi. Il registro qualifica il Sudafrica quale Stato Zero esemplare. Il presente versamento obbliga a distinguere. Il canale industriale italiano non è uno Stato Zero: è documentato, e lo è per triplice via — la catena della sub-licenza attestata da fonte tecnica italiana, il documento d'intelligence statunitense che nomina l'Italia, le 2 lettere italiane alle Nazioni Unite che negano accuse formalmente mosse. Ciò che è Stato Zero è l'atto di governo italiano relativo a quel canale, e per una ragione che il registro non contempla.</w:t>
      </w:r>
    </w:p>
    <w:p>
      <w:pPr>
        <w:spacing w:after="120" w:line="276"/>
        <w:jc w:val="both"/>
      </w:pPr>
      <w:r>
        <w:rPr>
          <w:rFonts w:ascii="Barlow Semi Condensed" w:cs="Barlow Semi Condensed" w:eastAsia="Barlow Semi Condensed" w:hAnsi="Barlow Semi Condensed"/>
          <w:b/>
          <w:bCs/>
          <w:sz w:val="24"/>
          <w:szCs w:val="24"/>
        </w:rPr>
        <w:t xml:space="preserve">Blocco mirato numero 503 — La ragione, e costituisce il versamento metodologico maggiore. Fino alla legge 185 del 9 luglio 1990 l'Italia non ebbe legge organica sul controllo dell'esportazione di armamenti. La disciplina era il Testo unico delle leggi di pubblica sicurezza e il regio decreto 11 luglio 1941 numero 1161, firmato da Mussolini, Ciano, Teruzzi e Grandi, che sottoponeva l'esportazione di armi al segreto di Stato. La cessione all'estero di licenze di produzione non era fattispecie autorizzativa tipizzata: lo divenne soltanto con l'articolo 13 della legge del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504 — Ne discende il grado nuovo. L'atto di governo non è documentato non perché sia stato occultato ma perché nell'ordinamento del tempo esso non esisteva quale atto. Si propone di iscriverlo nella scala degli Stati Zero quale grado autonomo, denominato atto atipico, con definizione: una condotta dello Stato non lascia traccia documentale perché il diritto vigente non la configurava quale atto giuridico tipico, e dunque non ne prescriveva forma, motivazione né registrazione. La proprietà che lo distingue: non è rimediabile con l'apertura di un archivio, perché non vi è nulla da aprire.</w:t>
      </w:r>
    </w:p>
    <w:p>
      <w:pPr>
        <w:spacing w:after="120" w:line="276"/>
        <w:jc w:val="both"/>
      </w:pPr>
      <w:r>
        <w:rPr>
          <w:rFonts w:ascii="Barlow Semi Condensed" w:cs="Barlow Semi Condensed" w:eastAsia="Barlow Semi Condensed" w:hAnsi="Barlow Semi Condensed"/>
          <w:b/>
          <w:bCs/>
          <w:sz w:val="24"/>
          <w:szCs w:val="24"/>
        </w:rPr>
        <w:t xml:space="preserve">Blocco mirato numero 505 — La circolarità che chiude il grado. La legge che avrebbe tipizzato quell'atto — la 185 del 1990 — fu prodotta anche dalla denuncia dell'operaio del blocco 102 sulle consegne del gennaio 1980. L'assenza di documentazione non era dunque un dato di natura ma una proprietà di un ordinamento, e quell'ordinamento fu mutato dal basso. Livello B.</w:t>
      </w:r>
    </w:p>
    <w:p>
      <w:pPr>
        <w:spacing w:after="120" w:line="276"/>
        <w:jc w:val="both"/>
      </w:pPr>
      <w:r>
        <w:rPr>
          <w:rFonts w:ascii="Barlow Semi Condensed" w:cs="Barlow Semi Condensed" w:eastAsia="Barlow Semi Condensed" w:hAnsi="Barlow Semi Condensed"/>
          <w:b/>
          <w:bCs/>
          <w:sz w:val="24"/>
          <w:szCs w:val="24"/>
        </w:rPr>
        <w:t xml:space="preserve">Blocco mirato numero 506 — Terza collisione: la lacuna vaticana. La Fase 1 del registro è intitolata al quadrilatero loggia-finanza-Vaticano-mafia e dedica un capitolo autonomo all'Istituto per le Opere di Religione. Il Dominio 5 vi è architettonicamente centrale. E i termini delegazione apostolica e nunziatura vi ricorrono zero volte. Il presente versamento colma la lacuna con i blocchi 207, 307 e 407, e ne segnala la portata: il registro possiede il Vaticano quale nodo finanziario e non quale nodo diplomatico.</w:t>
      </w:r>
    </w:p>
    <w:p>
      <w:pPr>
        <w:spacing w:after="120" w:line="276"/>
        <w:jc w:val="both"/>
      </w:pPr>
      <w:r>
        <w:rPr>
          <w:rFonts w:ascii="Barlow Semi Condensed" w:cs="Barlow Semi Condensed" w:eastAsia="Barlow Semi Condensed" w:hAnsi="Barlow Semi Condensed"/>
          <w:b/>
          <w:bCs/>
          <w:sz w:val="24"/>
          <w:szCs w:val="24"/>
        </w:rPr>
        <w:t xml:space="preserve">Blocco mirato numero 507 — Quarta collisione: la Namibia. Il registro contiene 1 sola occorrenza del toponimo, in contesto biografico estraneo al territorio. Il Gruppo di contatto occidentale, la risoluzione 435 del 29 settembre 1978, lo United Nations Transition Assistance Group e l'esclusione italiana dal consesso negoziale sono integralmente assenti. Il versamento è ai blocchi 206 e 601.</w:t>
      </w:r>
    </w:p>
    <w:p>
      <w:pPr>
        <w:spacing w:after="120" w:line="276"/>
        <w:jc w:val="both"/>
      </w:pPr>
      <w:r>
        <w:rPr>
          <w:rFonts w:ascii="Barlow Semi Condensed" w:cs="Barlow Semi Condensed" w:eastAsia="Barlow Semi Condensed" w:hAnsi="Barlow Semi Condensed"/>
          <w:b/>
          <w:bCs/>
          <w:sz w:val="24"/>
          <w:szCs w:val="24"/>
        </w:rPr>
        <w:t xml:space="preserve">Blocco mirato numero 508 — Quinta collisione: la Libia. Il registro contiene 5 occorrenze del toponimo, relative al fascicolo Mi.Fo.Biali, alla vicenda Billygate e alla notte di Lampedusa dell'aprile 1986. La confisca del luglio 1970, l'esodo dell'ottobre 1970 e la condotta della Farnesina sono assenti. Il versamento è ai blocchi 302, 303, 304 e 305, e ha funzione di calibrazione esposta al blocco 605.</w:t>
      </w:r>
    </w:p>
    <w:p>
      <w:pPr>
        <w:pStyle w:val="Heading2"/>
        <w:spacing w:after="100" w:before="200"/>
      </w:pPr>
      <w:r>
        <w:rPr>
          <w:rFonts w:ascii="Barlow Semi Condensed" w:cs="Barlow Semi Condensed" w:eastAsia="Barlow Semi Condensed" w:hAnsi="Barlow Semi Condensed"/>
          <w:sz w:val="24"/>
          <w:szCs w:val="24"/>
        </w:rPr>
        <w:t xml:space="preserve">VI — I REPERTI ANALITICI</w:t>
      </w:r>
    </w:p>
    <w:p>
      <w:pPr>
        <w:spacing w:after="120" w:line="276"/>
        <w:jc w:val="both"/>
      </w:pPr>
      <w:r>
        <w:rPr>
          <w:rFonts w:ascii="Barlow Semi Condensed" w:cs="Barlow Semi Condensed" w:eastAsia="Barlow Semi Condensed" w:hAnsi="Barlow Semi Condensed"/>
          <w:b/>
          <w:bCs/>
          <w:sz w:val="24"/>
          <w:szCs w:val="24"/>
        </w:rPr>
        <w:t xml:space="preserve">Blocco mirato numero 601 — L'inversione del 1976-1977. Sui voti namibiani, l'Italia esclusa dal Gruppo di contatto risultò più avanzata della Germania che vi sedeva. Sul testo politicamente più carico — il riconoscimento della SWAPO — la Germania votò contro e l'Italia si astenne; sulle risoluzioni 31/148, 31/149 e 32/9 G l'Italia votò a favore mentre la Germania si asteneva. Livello A. Dal 1984 le 2 potenze convergono su astensione identica. Il rilievo generale, di Livello B perché inferenza: la partecipazione a un consesso negoziale vincola il voto, l'esclusione lo libera. Chi siede al tavolo paga in libertà di voto ciò che guadagna in influenza.</w:t>
      </w:r>
    </w:p>
    <w:p>
      <w:pPr>
        <w:spacing w:after="120" w:line="276"/>
        <w:jc w:val="both"/>
      </w:pPr>
      <w:r>
        <w:rPr>
          <w:rFonts w:ascii="Barlow Semi Condensed" w:cs="Barlow Semi Condensed" w:eastAsia="Barlow Semi Condensed" w:hAnsi="Barlow Semi Condensed"/>
          <w:b/>
          <w:bCs/>
          <w:sz w:val="24"/>
          <w:szCs w:val="24"/>
        </w:rPr>
        <w:t xml:space="preserve">Blocco mirato numero 602 — La grammatica del voto italiano. Il doppio comportamento del 30 settembre 1974 non è episodio ma regola: l'Italia sostiene le condanne sostanziali e si sottrae agli atti procedurali di esclusione, e la regola è verificata dal 1973 al 1977. Livello A quanto ai voti; Livello B quanto alla qualificazione di regolarità. Dal 1984 la grammatica si semplifica in astensione unica, e la posizione unica è più arretrata delle 2 che l'avevano preceduta.</w:t>
      </w:r>
    </w:p>
    <w:p>
      <w:pPr>
        <w:spacing w:after="120" w:line="276"/>
        <w:jc w:val="both"/>
      </w:pPr>
      <w:r>
        <w:rPr>
          <w:rFonts w:ascii="Barlow Semi Condensed" w:cs="Barlow Semi Condensed" w:eastAsia="Barlow Semi Condensed" w:hAnsi="Barlow Semi Condensed"/>
          <w:b/>
          <w:bCs/>
          <w:sz w:val="24"/>
          <w:szCs w:val="24"/>
        </w:rPr>
        <w:t xml:space="preserve">Blocco mirato numero 603 — Il reperto negativo sull'iniziativa. In nessuna delle risoluzioni esaminate l'Italia figura fra i proponenti: la sua fu condotta di voto e non di sponsorizzazione. Livello B, esito provvisorio, con sede di verifica nei progetti di risoluzione della serie A con suffisso L. Se confermato, esso descrive con esattezza la posizione italiana sul dossier: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Blocco mirato numero 604 — Le 2 sovranità. La Santa Sede negò per 72 anni il riconoscimento; l'Italia lo concesse per l'intera durata del regime e vi aggiunse un canale industriale militare. Ma il confronto va formulato con precisione e non moralizzato, per 3 ragioni. Uno Stato ha cittadini all'estero — circa 100.000 in Sudafrica — e interessi economici; la Santa Sede non ne ha, e il costo della non-relazione era per essa incomparabilmente minore. La Santa Sede non fu lineare al proprio interno: la dichiarazione episcopale del 1957 fu adottata in opposizione alla linea del delegato apostolico, che preferiva l'ingaggio con Verwoerd. L'assenza di relazioni non equivale ad assenza di presenza: la Chiesa era in Sudafrica massicciamente presente. Livello A quanto ai 3 rilievi.</w:t>
      </w:r>
    </w:p>
    <w:p>
      <w:pPr>
        <w:spacing w:after="120" w:line="276"/>
        <w:jc w:val="both"/>
      </w:pPr>
      <w:r>
        <w:rPr>
          <w:rFonts w:ascii="Barlow Semi Condensed" w:cs="Barlow Semi Condensed" w:eastAsia="Barlow Semi Condensed" w:hAnsi="Barlow Semi Condensed"/>
          <w:b/>
          <w:bCs/>
          <w:sz w:val="24"/>
          <w:szCs w:val="24"/>
        </w:rPr>
        <w:t xml:space="preserve">Blocco mirato numero 605 — La calibrazione libica. Il caso libico serve a distinguere il silenzio comportamentale dal silenzio archivistico. Esso stabilisce che dove uno studioso ha aperto le serie della Farnesina l'azione italiana è sempre emersa — Libia, Cina, Helsinki, Adriatico, 4 casi su 4 — e che Moro scartò consapevolmente le ritorsioni puntando a compensazioni economiche indirette. Livello B, trattandosi di tesi argomentata da storiografia fondata su archivio. Ne discende la prescrizione che governa ogni esito negativo del presente registro: non concludere per l'inazione senza avere identificato l'apparato competente.</w:t>
      </w:r>
    </w:p>
    <w:p>
      <w:pPr>
        <w:spacing w:after="120" w:line="276"/>
        <w:jc w:val="both"/>
      </w:pPr>
      <w:r>
        <w:rPr>
          <w:rFonts w:ascii="Barlow Semi Condensed" w:cs="Barlow Semi Condensed" w:eastAsia="Barlow Semi Condensed" w:hAnsi="Barlow Semi Condensed"/>
          <w:b/>
          <w:bCs/>
          <w:sz w:val="24"/>
          <w:szCs w:val="24"/>
        </w:rPr>
        <w:t xml:space="preserve">Blocco mirato numero 606 — Il pattern centro-periferia rovesciato. Il corpus possiede 2 casi in cui la periferia episcopale decideva e il centro romano accompagnava. Il caso sudafricano è invertito: la periferia condannò e il centro frenava. Livello B. Il rilievo generale: chi sta sul territorio vede il costo del silenzio, chi rappresenta la sede vede il costo della rottura, e le 2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Blocco mirato numero 607 — Il ponte non costruito. Non esiste alcun nesso documentato fra Aldo Moro e la questione sudafricana o namibiana. Gli atti italiani reperiti — le relazioni diplomatiche dal 1929, l'ordine di 40 velivoli da osservazione del settembre 1970 con consegne sino al dicembre 1975, i voti favorevoli sulle risoluzioni namibiane 301 e 323 del 1971 e 1972 — sono istituzionali e non personalmente riferibili a lui. Stato Zero di grado deposito inesplorato, tendente ad assenza coerente con la collocazione, con sede nella Settima serie dei Documenti Diplomatici Italiani e nei fondi dell'Archivio Storico Diplomatico. Il presente registro non costruisce quel ponte perché il materiale non lo regge.</w:t>
      </w:r>
    </w:p>
    <w:p>
      <w:pPr>
        <w:pStyle w:val="Heading2"/>
        <w:spacing w:after="100" w:before="200"/>
      </w:pPr>
      <w:r>
        <w:rPr>
          <w:rFonts w:ascii="Barlow Semi Condensed" w:cs="Barlow Semi Condensed" w:eastAsia="Barlow Semi Condensed" w:hAnsi="Barlow Semi Condensed"/>
          <w:sz w:val="24"/>
          <w:szCs w:val="24"/>
        </w:rPr>
        <w:t xml:space="preserve">VII — TAVOLA DELLE ACQUISIZIONI NON CONSEGUITE</w:t>
      </w:r>
    </w:p>
    <w:p>
      <w:pPr>
        <w:spacing w:after="120" w:line="276"/>
        <w:jc w:val="both"/>
      </w:pPr>
      <w:r>
        <w:rPr>
          <w:rFonts w:ascii="Barlow Semi Condensed" w:cs="Barlow Semi Condensed" w:eastAsia="Barlow Semi Condensed" w:hAnsi="Barlow Semi Condensed"/>
          <w:b/>
          <w:bCs/>
          <w:sz w:val="24"/>
          <w:szCs w:val="24"/>
        </w:rPr>
        <w:t xml:space="preserve">Blocco mirato numero 701 — Prima voce. Il verbale S/AC.20/SR.25 con la dichiarazione di Abdul Minty sull'Italia. Massimo rendimento, perché da esso dipende la comprensione dell'accusa cui l'Italia rispose nel 1980. Sede: atti del Comitato istituito dalla risoluzione 421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Blocco mirato numero 702 — Seconda voce. I corpi testuali delle lettere S/9640 e S/AC.20/27. Alto rendimento e costo nullo per chi possa recarvisi, poiché i documenti sono pubblici, catalogati e indirizzabili, e l'ostacolo incontrato è stato il rifiuto del server documentale al recupero automatizzato. Si propone per tale ostacolo un grado autonomo, denominato barriera macchinica: un documento pubblico e indirizzabile la cui acquisizione è impedita non da una norma né da una lacuna ma da un dispositivo tecnico che discrimina fra lettori umani e automatici. La sua proprietà distintiva: non è rimediabile dall'interno del metodo che l'ha incontrato, ma soltanto uscendone.</w:t>
      </w:r>
    </w:p>
    <w:p>
      <w:pPr>
        <w:spacing w:after="120" w:line="276"/>
        <w:jc w:val="both"/>
      </w:pPr>
      <w:r>
        <w:rPr>
          <w:rFonts w:ascii="Barlow Semi Condensed" w:cs="Barlow Semi Condensed" w:eastAsia="Barlow Semi Condensed" w:hAnsi="Barlow Semi Condensed"/>
          <w:b/>
          <w:bCs/>
          <w:sz w:val="24"/>
          <w:szCs w:val="24"/>
        </w:rPr>
        <w:t xml:space="preserve">Blocco mirato numero 703 — Terza voce. Il testo dell'accordo di licenza fra Aermacchi e la controparte sudafricana del 1964, con termini finanziari, geografici e di rinnovo. Sedi: archivio storico di Finmeccanica-Leonardo, archivio Aermacchi, e sul versante sudafricano 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704 — Quarta voce. La documentazione dell'apparato competente italiano sulle autorizzazioni. Sedi: Archivio storico dell'Istituto per la Ricostruzione Industriale presso l'Archivio Centrale dello Stato, archivi della Difesa e dello Stato Maggiore dell'Aeronautica, ministeri economici. Condizione: declassificazione degli atti coperti dal segreto di Stato del regime del 1941, con l'avvertenza del blocco 504 che presso quelle sedi potrebbe non esservi nulla da trovare.</w:t>
      </w:r>
    </w:p>
    <w:p>
      <w:pPr>
        <w:spacing w:after="120" w:line="276"/>
        <w:jc w:val="both"/>
      </w:pPr>
      <w:r>
        <w:rPr>
          <w:rFonts w:ascii="Barlow Semi Condensed" w:cs="Barlow Semi Condensed" w:eastAsia="Barlow Semi Condensed" w:hAnsi="Barlow Semi Condensed"/>
          <w:b/>
          <w:bCs/>
          <w:sz w:val="24"/>
          <w:szCs w:val="24"/>
        </w:rPr>
        <w:t xml:space="preserve">Blocco mirato numero 705 — Quinta voce. La verifica dell'esistenza di canali paralleli alla Farnesina per ciascun perimetro, presso i ministeri competenti per materia. Voce nuova, nata dal precedente di Osimo, che nessuna ricognizione anteriore aveva cercata.</w:t>
      </w:r>
    </w:p>
    <w:p>
      <w:pPr>
        <w:spacing w:after="120" w:line="276"/>
        <w:jc w:val="both"/>
      </w:pPr>
      <w:r>
        <w:rPr>
          <w:rFonts w:ascii="Barlow Semi Condensed" w:cs="Barlow Semi Condensed" w:eastAsia="Barlow Semi Condensed" w:hAnsi="Barlow Semi Condensed"/>
          <w:b/>
          <w:bCs/>
          <w:sz w:val="24"/>
          <w:szCs w:val="24"/>
        </w:rPr>
        <w:t xml:space="preserve">Blocco mirato numero 706 — Sesta voce. La documentazione vaticana sul rango della rappresentanza e sulle ragioni del mancato scambio di ambasciatori. Sede: Archivio Apostolico Vaticano. Condizione: impossibilità istituzionale, l'archivio essendo chiuso oltre l'ottobre 1958. È la sola voce della tavola non conseguibile in alcun modo allo stato.</w:t>
      </w:r>
    </w:p>
    <w:p>
      <w:pPr>
        <w:spacing w:after="120" w:line="276"/>
        <w:jc w:val="both"/>
      </w:pPr>
      <w:r>
        <w:rPr>
          <w:rFonts w:ascii="Barlow Semi Condensed" w:cs="Barlow Semi Condensed" w:eastAsia="Barlow Semi Condensed" w:hAnsi="Barlow Semi Condensed"/>
          <w:b/>
          <w:bCs/>
          <w:sz w:val="24"/>
          <w:szCs w:val="24"/>
        </w:rPr>
        <w:t xml:space="preserve">Blocco mirato numero 707 — Settima voce. Il voto italiano sulla risoluzione 2775 della ventiseiesima sessione, del 29 novembre 1971, intitolata Arms embargo. È la risoluzione più direttamente pertinente al perimetro e il voto italiano su di essa non è accertato. Sede: scheda di voting data del singolo documento.</w:t>
      </w:r>
    </w:p>
    <w:p>
      <w:pPr>
        <w:spacing w:after="120" w:line="276"/>
        <w:jc w:val="both"/>
      </w:pPr>
      <w:r>
        <w:rPr>
          <w:rFonts w:ascii="Barlow Semi Condensed" w:cs="Barlow Semi Condensed" w:eastAsia="Barlow Semi Condensed" w:hAnsi="Barlow Semi Condensed"/>
          <w:b/>
          <w:bCs/>
          <w:sz w:val="24"/>
          <w:szCs w:val="24"/>
        </w:rPr>
        <w:t xml:space="preserve">Blocco mirato numero 708 — Ottava voce. Le dichiarazioni esplicative di voto italiane e tedesche, che sole accerterebbero la ragione dell'inversione del blocco 601. Sede: verbali plenari della serie A/PV, e in particolare A/31/PV.105.</w:t>
      </w:r>
    </w:p>
    <w:p>
      <w:pPr>
        <w:spacing w:after="120" w:line="276"/>
        <w:jc w:val="both"/>
      </w:pPr>
      <w:r>
        <w:rPr>
          <w:rFonts w:ascii="Barlow Semi Condensed" w:cs="Barlow Semi Condensed" w:eastAsia="Barlow Semi Condensed" w:hAnsi="Barlow Semi Condensed"/>
          <w:b/>
          <w:bCs/>
          <w:sz w:val="24"/>
          <w:szCs w:val="24"/>
        </w:rPr>
        <w:t xml:space="preserve">Blocco mirato numero 801 — Sintesi del dato nuovo acquisito. La triangolazione dei 5 artefatti con i 2 volumi conferiti stabilisce che la monografia sul caso Moro non contiene materia africana australe e non è triangolabile su questo perimetro; che il primo tomo del registro possiede il Sudafrica quale nodo a massima intermediazione ma non ne nomina il canale industriale italiano, assente con zero occorrenze; che il medesimo tomo, la cui Fase 1 è intitolata al quadrilatero comprendente il Vaticano, non contiene la condotta diplomatica della Santa Sede verso Pretoria, assente con zero occorrenze; che la Namibia vi ricorre una sola volta e in contesto estraneo. Il presente registro versa 14 nodi individuali, 13 nodi organizzativi, 12 nodi-evento e 9 ponti, di cui il ponte di transito Bristol Siddeley-Piaggio-Atlas costituisce l'acquisizione principale, con il documento d'intelligence statunitense che ne attribuisce all'Italia l'anello autorizzativo. Esso emenda inoltre la qualificazione del Sudafrica quale Stato Zero esemplare, distinguendo il canale industriale — documentato — dall'atto di governo — non documentato per atipicità dell'ordinamento anteriore al 1990 — e propone per tale fattispecie il grado dell'atto atipico, e per l'ostacolo tecnico incontrato sui documenti pubblici il grado della barriera macchinica. Non costruisce alcun ponte fra Aldo Moro e il teatro australe, dichiarando in sua vece uno Stato Zero di grado deposito inesplorato, poiché il materiale non regge il ponte e la disciplina del registro vieta di edificarlo.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 ·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6.143 parole in 9 sezioni; la più ampia è §9 Altre sezioni, con 4.413.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82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 — Secondo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teatro australe entro l'architettura Alfa-Beta</w:t>
      </w:r>
    </w:p>
    <w:p>
      <w:pPr>
        <w:pStyle w:val="Heading2"/>
        <w:spacing w:after="100" w:before="200"/>
      </w:pPr>
      <w:r>
        <w:rPr>
          <w:rFonts w:ascii="Barlow Semi Condensed" w:cs="Barlow Semi Condensed" w:eastAsia="Barlow Semi Condensed" w:hAnsi="Barlow Semi Condensed"/>
          <w:sz w:val="24"/>
          <w:szCs w:val="24"/>
        </w:rPr>
        <w:t xml:space="preserve">Triangolazione del sesto artefatto con l'Edizione Integrata</w:t>
      </w:r>
    </w:p>
    <w:p>
      <w:pPr>
        <w:pStyle w:val="Heading2"/>
        <w:spacing w:after="100" w:before="200"/>
      </w:pPr>
      <w:r>
        <w:rPr>
          <w:rFonts w:ascii="Barlow Semi Condensed" w:cs="Barlow Semi Condensed" w:eastAsia="Barlow Semi Condensed" w:hAnsi="Barlow Semi Condensed"/>
          <w:sz w:val="24"/>
          <w:szCs w:val="24"/>
        </w:rPr>
        <w:t xml:space="preserve">Il paragrafo 1.6 istanziato — il test su H1 — i 2 flussi distinti</w:t>
      </w:r>
    </w:p>
    <w:p>
      <w:pPr>
        <w:pStyle w:val="Heading2"/>
        <w:spacing w:after="100" w:before="200"/>
      </w:pPr>
      <w:r>
        <w:rPr>
          <w:rFonts w:ascii="Barlow Semi Condensed" w:cs="Barlow Semi Condensed" w:eastAsia="Barlow Semi Condensed" w:hAnsi="Barlow Semi Condensed"/>
          <w:sz w:val="24"/>
          <w:szCs w:val="24"/>
        </w:rPr>
        <w:t xml:space="preserve">Blocchi 901-1501 — 10 nodi residui — 2 gradi proposti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b/>
          <w:bCs/>
          <w:sz w:val="24"/>
          <w:szCs w:val="24"/>
        </w:rPr>
        <w:t xml:space="preserve">Il teatro australe entro l'architettura Alfa-Beta. Triangolazione del sesto artefatto con l'Edizione Integrata</w:t>
      </w:r>
    </w:p>
    <w:p>
      <w:pPr>
        <w:spacing w:after="120" w:line="276"/>
        <w:jc w:val="both"/>
      </w:pPr>
      <w:r>
        <w:rPr>
          <w:rFonts w:ascii="Barlow Semi Condensed" w:cs="Barlow Semi Condensed" w:eastAsia="Barlow Semi Condensed" w:hAnsi="Barlow Semi Condensed"/>
          <w:b/>
          <w:bCs/>
          <w:sz w:val="24"/>
          <w:szCs w:val="24"/>
        </w:rPr>
        <w:t xml:space="preserve">Blocco mirato numero 901 — Rettifica preliminare sul conteggio. L'ordine ricevuto domanda la triangolazione degli artefatti dal sesto al decimo. Gli artefatti dal settimo al decimo non esistono. La sessione ne ha prodotti 6: le 5 ricognizioni — calibrazione libica, canale Aermacchi, confronto italo-tedesco namibiano, Santa Sede e Democrazia Cristiana, fonti primarie presso le Nazioni Unite — e il Registro Analitico dei Nodi e dei Ponti che le ha triangolate. Il sesto artefatto è quel Registro. Non è possibile triangolare documenti non prodotti, e il presente registro non lo simula.</w:t>
      </w:r>
    </w:p>
    <w:p>
      <w:pPr>
        <w:spacing w:after="120" w:line="276"/>
        <w:jc w:val="both"/>
      </w:pPr>
      <w:r>
        <w:rPr>
          <w:rFonts w:ascii="Barlow Semi Condensed" w:cs="Barlow Semi Condensed" w:eastAsia="Barlow Semi Condensed" w:hAnsi="Barlow Semi Condensed"/>
          <w:b/>
          <w:bCs/>
          <w:sz w:val="24"/>
          <w:szCs w:val="24"/>
        </w:rPr>
        <w:t xml:space="preserve">Blocco mirato numero 902 — L'operazione eseguita in vece. Si triangola il sesto artefatto con il volume nella sua Edizione Integrata, che differisce da quella conferita in precedenza e ne muta l'architettura. Livello A quanto alla differenza, accertata per riscontro meccanico.</w:t>
      </w:r>
    </w:p>
    <w:p>
      <w:pPr>
        <w:spacing w:after="120" w:line="276"/>
        <w:jc w:val="both"/>
      </w:pPr>
      <w:r>
        <w:rPr>
          <w:rFonts w:ascii="Barlow Semi Condensed" w:cs="Barlow Semi Condensed" w:eastAsia="Barlow Semi Condensed" w:hAnsi="Barlow Semi Condensed"/>
          <w:b/>
          <w:bCs/>
          <w:sz w:val="24"/>
          <w:szCs w:val="24"/>
        </w:rPr>
        <w:t xml:space="preserve">Blocco mirato numero 903 — Il delta fra le 2 edizioni. L'edizione precedente contava 1.074 paragrafi e 200.107 parole; l'Edizione Integrata ne conta 1.952 e 241.052. L'accrescimento è di 878 paragrafi e circa 41.000 parole, con 19 intestazioni nuove.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904 — Che cosa l'accrescimento ha assorbito. Non il teatro australe nella forma versata dal sesto artefatto, bensì un corpus distinto: la Formazione Beta, ossia l'operazione di influenza russa contemporanea dal 2010 al 2026, con i suoi 10 capitoli dedicati al substrato ideologico, a Dugin, all'infiltrazione nella Lega, al canale finanziario di Malofeev e Komov, alla Crimea, all'affare Metropol, ai servizi russi e alla Fondazione per la Pace, all'ecosistema mediatico e alla convergenza rossobruna. Livello A. Vi si aggiungono una Fase 0 di premessa epistemologica, una Fase III sul contenitore europeo, una Fase IV di vaglio delle ipotesi, una Fase V di rilievi civili e penali, una Fase VI di registro di verifica, e 2 tranche di triangolazione documentale.</w:t>
      </w:r>
    </w:p>
    <w:p>
      <w:pPr>
        <w:spacing w:after="120" w:line="276"/>
        <w:jc w:val="both"/>
      </w:pPr>
      <w:r>
        <w:rPr>
          <w:rFonts w:ascii="Barlow Semi Condensed" w:cs="Barlow Semi Condensed" w:eastAsia="Barlow Semi Condensed" w:hAnsi="Barlow Semi Condensed"/>
          <w:b/>
          <w:bCs/>
          <w:sz w:val="24"/>
          <w:szCs w:val="24"/>
        </w:rPr>
        <w:t xml:space="preserve">Blocco mirato numero 905 — Il riscontro lessicale sul versamento. Le 20 chiavi del sesto artefatto — Aermacchi, Impala, Piaggio, Viper, Atlas, nunziatura, delegazione apostolica, Hurley, Minty, la segnatura del documento d'intelligence, atto atipico, barriera macchinica, Gruppo di contatto, Zonderwater, Bosbok, Poledrini, Carbone, Osimo, e le segnature delle 2 lettere — ricorrono zero volte nell'Edizione Integrata.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906 — Ma il riscontro lessicale non esaurisce la verifica, e il presente registro rettifica sé stesso. L'assenza dei nomi propri non implica l'assenza della materia. L'Edizione Integrata possiede il teatro australe, e con collocazione precisa: il paragrafo 1.6 della Fase I, intitolato all'asse dei paria — apartheid, armi ed elusione dell'embargo — dichiarato ultimo segmento spaziale della Formazione Alfa.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907 — Che cosa il paragrafo 1.6 stabilisce. Che esiste un asse fra i regimi isolati dalla comunità internazionale — il Sudafrica dell'apartheid, il Paraguay di Stroessner, il Cile di Pinochet e altri — fondato sulla comune condizione di Stati paria e sull'elusione delle sanzioni; e che esso mostra il pattern del transito applicato su scala intercontinentale, con competenze e materiali circolanti lungo una catena di regimi accomunati non da un'ideologia positiva unica ma dalla necessità di sottrarsi alle sanzioni.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908 — Ne discende la qualificazione corretta del rapporto fra i 2 corpi. Il sesto artefatto non collide con l'Edizione Integrata: la istanzia. Il ponte principale che esso versa — la catena Bristol Siddeley, Piaggio, Atlas — è precisamente un arco di transito nel senso della tassonomia, ed è l'istanza italiana nominata, datata e documentata di ciò che il paragrafo 1.6 descrive in forma generica.</w:t>
      </w:r>
    </w:p>
    <w:p>
      <w:pPr>
        <w:spacing w:after="120" w:line="276"/>
        <w:jc w:val="both"/>
      </w:pPr>
      <w:r>
        <w:rPr>
          <w:rFonts w:ascii="Barlow Semi Condensed" w:cs="Barlow Semi Condensed" w:eastAsia="Barlow Semi Condensed" w:hAnsi="Barlow Semi Condensed"/>
          <w:b/>
          <w:bCs/>
          <w:sz w:val="24"/>
          <w:szCs w:val="24"/>
        </w:rPr>
        <w:t xml:space="preserve">Blocco mirato numero 909 — La formulazione del versamento. Il volume possiede il pattern; il sesto artefatto ne fornisce l'esemplare italiano. Il volume dice che competenze e materiali circolarono lungo una catena di regimi paria; il sesto artefatto dice quali competenze, per quale catena, con quale licenza, in quale anno, e con quale documento d'intelligence straniero che ne attribuisce all'Italia l'anello autorizzativo.</w:t>
      </w:r>
    </w:p>
    <w:p>
      <w:pPr>
        <w:spacing w:after="120" w:line="276"/>
        <w:jc w:val="both"/>
      </w:pPr>
      <w:r>
        <w:rPr>
          <w:rFonts w:ascii="Barlow Semi Condensed" w:cs="Barlow Semi Condensed" w:eastAsia="Barlow Semi Condensed" w:hAnsi="Barlow Semi Condensed"/>
          <w:b/>
          <w:bCs/>
          <w:sz w:val="24"/>
          <w:szCs w:val="24"/>
        </w:rPr>
        <w:t xml:space="preserve">Blocco mirato numero 910 — Statuto probatorio e discipline. Si conservano il sistema Savona 2.1 con grado in linea, la notazione a triangolo, rombo e quadrato, la tipizzazione degli archi, il divieto di trattare la contemporaneità quale prova di nesso e l'appartenenza quale prova di condotta, e la disciplina delle persone viventi. Si conserva altresì la numerazione a blocchi mirati, che riprende dal 901 per segnalare la distinzione dal primo registro, chiuso al blocco 801.</w:t>
      </w:r>
    </w:p>
    <w:p>
      <w:pPr>
        <w:pStyle w:val="Heading2"/>
        <w:spacing w:after="100" w:before="200"/>
      </w:pPr>
      <w:r>
        <w:rPr>
          <w:rFonts w:ascii="Barlow Semi Condensed" w:cs="Barlow Semi Condensed" w:eastAsia="Barlow Semi Condensed" w:hAnsi="Barlow Semi Condensed"/>
          <w:sz w:val="24"/>
          <w:szCs w:val="24"/>
        </w:rPr>
        <w:t xml:space="preserve">I — LA COLLOCAZIONE ENTRO LA FORMAZIONE ALFA</w:t>
      </w:r>
    </w:p>
    <w:p>
      <w:pPr>
        <w:spacing w:after="120" w:line="276"/>
        <w:jc w:val="both"/>
      </w:pPr>
      <w:r>
        <w:rPr>
          <w:rFonts w:ascii="Barlow Semi Condensed" w:cs="Barlow Semi Condensed" w:eastAsia="Barlow Semi Condensed" w:hAnsi="Barlow Semi Condensed"/>
          <w:b/>
          <w:bCs/>
          <w:sz w:val="24"/>
          <w:szCs w:val="24"/>
        </w:rPr>
        <w:t xml:space="preserve">Blocco mirato numero 1001 — L'asse temporale. La Formazione Alfa è definita dal volume lungo un asse che muove dal 1945 e si chiude al 1990. Il teatro australe versato dal sesto artefatto si distribuisce integralmente entro tale arco, con 3 date di apertura e 3 di chiusura. Apertura: la licenza Aermacchi del 1964, l'avvio della produzione locale del 1966, la costituzione dell'Atlas nel 1965. Chiusura: la cessazione della produzione nel 1986, l'indipendenza namibiana del 21 marzo 1990, lo smantellamento dell'impianto di Valindaba il 1 febbraio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1002 — Il reperto cronologico, ed è di rilievo architettonico. La Formazione Alfa si chiude al 1990; la Formazione Beta si apre agli anni Dieci del nuovo secolo. Il teatro australe si estingue esattamente sulla soglia terminale di Alfa, e 3 dei suoi eventi maggiori cadono nell'anno 1990 medesimo. Livello A quanto alle date; Livello B quanto alla qualificazione che se ne trae, ossia che il teatro australe costituisce l'ultimo atto documentato della Formazione Alfa e non trova continuazione in Beta.</w:t>
      </w:r>
    </w:p>
    <w:p>
      <w:pPr>
        <w:spacing w:after="120" w:line="276"/>
        <w:jc w:val="both"/>
      </w:pPr>
      <w:r>
        <w:rPr>
          <w:rFonts w:ascii="Barlow Semi Condensed" w:cs="Barlow Semi Condensed" w:eastAsia="Barlow Semi Condensed" w:hAnsi="Barlow Semi Condensed"/>
          <w:b/>
          <w:bCs/>
          <w:sz w:val="24"/>
          <w:szCs w:val="24"/>
        </w:rPr>
        <w:t xml:space="preserve">Blocco mirato numero 1003 — L'eccezione vaticana alla cronologia. Un solo nodo del sesto artefatto oltrepassa la soglia del 1990: l'apertura delle relazioni diplomatiche fra Santa Sede e Sudafrica, il 15 giugno 1994, con erezione della nunziatura il 25 giugno. Livello A. Esso non appartiene però alla Formazione Alfa bensì alla sua liquidazione: è l'atto con cui la fine del regime viene riconosciuta, non un atto del regime.</w:t>
      </w:r>
    </w:p>
    <w:p>
      <w:pPr>
        <w:spacing w:after="120" w:line="276"/>
        <w:jc w:val="both"/>
      </w:pPr>
      <w:r>
        <w:rPr>
          <w:rFonts w:ascii="Barlow Semi Condensed" w:cs="Barlow Semi Condensed" w:eastAsia="Barlow Semi Condensed" w:hAnsi="Barlow Semi Condensed"/>
          <w:b/>
          <w:bCs/>
          <w:sz w:val="24"/>
          <w:szCs w:val="24"/>
        </w:rPr>
        <w:t xml:space="preserve">Blocco mirato numero 1004 — L'asse spaziale. Il volume dispone la Formazione Alfa lungo un asse che dall'Europa continentale procede verso la penisola iberica, poi verso il Sud America e infine verso l'Africa australe, dichiarata ultimo segmento spaziale. Il sesto artefatto vi aggiunge una direttrice che il volume non censisce: la Namibia quale prolungamento del segmento australe, con il Gruppo di contatto occidentale costituito nell'aprile 1977, la risoluzione 435 del 29 settembre 1978 e lo United Nations Transition Assistance Group.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1005 — Il codice unificante e la sua verifica sul canale italiano. Il volume enuncia che il codice della Formazione Alfa è l'allineamento anticomunista, e che la polarità geopolitica è coerente: allineamento nel campo anticomunista, non ponte verso il blocco orientale. Il canale Aermacchi verifica l'enunciato: il velivolo fu impiegato operativamente contro forze angolane e cubane nella guerra di confine fra il 1975 e il 1989. Livello B, trattandosi di pubblicistica aeronautica per l'impiego, Livello A per la sua collocazione nel campo.</w:t>
      </w:r>
    </w:p>
    <w:p>
      <w:pPr>
        <w:spacing w:after="120" w:line="276"/>
        <w:jc w:val="both"/>
      </w:pPr>
      <w:r>
        <w:rPr>
          <w:rFonts w:ascii="Barlow Semi Condensed" w:cs="Barlow Semi Condensed" w:eastAsia="Barlow Semi Condensed" w:hAnsi="Barlow Semi Condensed"/>
          <w:b/>
          <w:bCs/>
          <w:sz w:val="24"/>
          <w:szCs w:val="24"/>
        </w:rPr>
        <w:t xml:space="preserve">Blocco mirato numero 1006 — Ma il codice non spiega tutto, e il sesto artefatto vi introduce una tensione. Il volume qualifica l'asse dei paria come fondato non su un'ideologia positiva unica ma sulla necessità di sottrarsi alle sanzioni. Il canale italiano è coerente con tale qualificazione e non con quella ideologica: la licenza del 1964 è anteriore di 13 anni all'embargo obbligatorio, non nasce come elusione ma vi si trova dentro per continuazione. Livello A quanto alle date.</w:t>
      </w:r>
    </w:p>
    <w:p>
      <w:pPr>
        <w:spacing w:after="120" w:line="276"/>
        <w:jc w:val="both"/>
      </w:pPr>
      <w:r>
        <w:rPr>
          <w:rFonts w:ascii="Barlow Semi Condensed" w:cs="Barlow Semi Condensed" w:eastAsia="Barlow Semi Condensed" w:hAnsi="Barlow Semi Condensed"/>
          <w:b/>
          <w:bCs/>
          <w:sz w:val="24"/>
          <w:szCs w:val="24"/>
        </w:rPr>
        <w:t xml:space="preserve">Blocco mirato numero 1007 — Ne discende una distinzione che il registro propone. Entro l'asse dei paria vanno distinti 2 tipi di canale. Il canale costituito per eludere, che nasce dopo la sanzione e in funzione di essa, e al quale appartengono le società di comodo e gli intermediari che il volume censisce. E il canale preesistente alla sanzione e non risolto, che nasce in regime lecito e diviene problematico per mutamento del diritto senza mutamento della condotta. Il caso Aermacchi appartiene al secondo tipo.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1008 — La portata della distinzione. Essa non attenua la valutazione politica ma ne muta l'oggetto: non vi è, per il canale del secondo tipo, un atto di costituzione da imputare, bensì un'omissione di risoluzione. Livello B, trattandosi di qualificazione giuridica proposta e non attestata da fonte.</w:t>
      </w:r>
    </w:p>
    <w:p>
      <w:pPr>
        <w:spacing w:after="120" w:line="276"/>
        <w:jc w:val="both"/>
      </w:pPr>
      <w:r>
        <w:rPr>
          <w:rFonts w:ascii="Barlow Semi Condensed" w:cs="Barlow Semi Condensed" w:eastAsia="Barlow Semi Condensed" w:hAnsi="Barlow Semi Condensed"/>
          <w:b/>
          <w:bCs/>
          <w:sz w:val="24"/>
          <w:szCs w:val="24"/>
        </w:rPr>
        <w:t xml:space="preserve">Blocco mirato numero 1009 — E qui il primo registro fornisce la ragione dell'omissione. Fino alla legge 185 del 9 luglio 1990 la cessione all'estero di licenze di produzione non era fattispecie autorizzativa tipizzata, e la materia era coperta dal segreto di Stato ai sensi del regio decreto 11 luglio 1941 numero 1161. Livello A. Non esisteva l'atto con cui risolvere, perché non esisteva l'atto con cui autorizzare.</w:t>
      </w:r>
    </w:p>
    <w:p>
      <w:pPr>
        <w:spacing w:after="120" w:line="276"/>
        <w:jc w:val="both"/>
      </w:pPr>
      <w:r>
        <w:rPr>
          <w:rFonts w:ascii="Barlow Semi Condensed" w:cs="Barlow Semi Condensed" w:eastAsia="Barlow Semi Condensed" w:hAnsi="Barlow Semi Condensed"/>
          <w:b/>
          <w:bCs/>
          <w:sz w:val="24"/>
          <w:szCs w:val="24"/>
        </w:rPr>
        <w:t xml:space="preserve">Blocco mirato numero 1010 — Sintesi del segmento. Il teatro australe si colloca integralmente entro la Formazione Alfa, ne costituisce l'ultimo segmento temporale oltre che spaziale, ne verifica il codice unificante quanto alla polarità, e vi introduce una distinzione fra canali costituiti per eludere e canali preesistenti non risolti, della quale il canale italiano è esemplare del secondo tipo.</w:t>
      </w:r>
    </w:p>
    <w:p>
      <w:pPr>
        <w:pStyle w:val="Heading2"/>
        <w:spacing w:after="100" w:before="200"/>
      </w:pPr>
      <w:r>
        <w:rPr>
          <w:rFonts w:ascii="Barlow Semi Condensed" w:cs="Barlow Semi Condensed" w:eastAsia="Barlow Semi Condensed" w:hAnsi="Barlow Semi Condensed"/>
          <w:sz w:val="24"/>
          <w:szCs w:val="24"/>
        </w:rPr>
        <w:t xml:space="preserve">II — IL TEST SU H1: LA POLARITÀ DELLE SUPERPOTENZE NEL TEATRO AUSTRALE</w:t>
      </w:r>
    </w:p>
    <w:p>
      <w:pPr>
        <w:spacing w:after="120" w:line="276"/>
        <w:jc w:val="both"/>
      </w:pPr>
      <w:r>
        <w:rPr>
          <w:rFonts w:ascii="Barlow Semi Condensed" w:cs="Barlow Semi Condensed" w:eastAsia="Barlow Semi Condensed" w:hAnsi="Barlow Semi Condensed"/>
          <w:b/>
          <w:bCs/>
          <w:sz w:val="24"/>
          <w:szCs w:val="24"/>
        </w:rPr>
        <w:t xml:space="preserve">Blocco mirato numero 1101 — La tesi che il volume oppone alla macro-ipotesi. L'Edizione Integrata enuncia quale evidenza diagnostica centrale che nelle 2 formazioni — l'anticomunista atlantica e l'eurasiatista contemporanea — Stati Uniti e Russia si trovano su fronti opposti, e che la Formazione Alfa, presa per ciò che il corpus documenta, non offre alcun riscontro alla tesi di un condominio operativo fra Stati Uniti e Unione Sovietica.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1102 — Perché il teatro australe è il banco di prova più duro. Se un condominio operativo fra le superpotenze fosse mai esistito, il dossier dell'apartheid sarebbe il luogo dove cercarlo: vi convergevano un embargo internazionale, un regime isolato, una guerra per procura con truppe cubane e sostegno sovietico da un lato e appoggi occidentali dall'altro. Il registro vi conduce dunque la verifica.</w:t>
      </w:r>
    </w:p>
    <w:p>
      <w:pPr>
        <w:spacing w:after="120" w:line="276"/>
        <w:jc w:val="both"/>
      </w:pPr>
      <w:r>
        <w:rPr>
          <w:rFonts w:ascii="Barlow Semi Condensed" w:cs="Barlow Semi Condensed" w:eastAsia="Barlow Semi Condensed" w:hAnsi="Barlow Semi Condensed"/>
          <w:b/>
          <w:bCs/>
          <w:sz w:val="24"/>
          <w:szCs w:val="24"/>
        </w:rPr>
        <w:t xml:space="preserve">Blocco mirato numero 1103 — Primo reperto: il voto unanime del 4 novembre 1977. La risoluzione 418, che rese obbligatorio l'embargo sulle armi ai sensi del Capitolo settimo, fu adottata nella 2046ª seduta con 15 voti favorevoli, nessun contrario, nessun astenuto. Livello A. Stati Uniti e Unione Sovietica votarono entrambi a favore.</w:t>
      </w:r>
    </w:p>
    <w:p>
      <w:pPr>
        <w:spacing w:after="120" w:line="276"/>
        <w:jc w:val="both"/>
      </w:pPr>
      <w:r>
        <w:rPr>
          <w:rFonts w:ascii="Barlow Semi Condensed" w:cs="Barlow Semi Condensed" w:eastAsia="Barlow Semi Condensed" w:hAnsi="Barlow Semi Condensed"/>
          <w:b/>
          <w:bCs/>
          <w:sz w:val="24"/>
          <w:szCs w:val="24"/>
        </w:rPr>
        <w:t xml:space="preserve">Blocco mirato numero 1104 — Come va letto tale reperto, e la lettura richiede disciplina. L'unanimità del 1977 non è un condominio ma il suo contrario: è convergenza formale su una sanzione contro un terzo, non coordinamento operativo fra le 2 potenze. La distinzione fra voto convergente e condotta convergente è dirimente e va mantenuta. Livello A quanto al voto; nessun livello quanto a un condominio, che il voto non prova.</w:t>
      </w:r>
    </w:p>
    <w:p>
      <w:pPr>
        <w:spacing w:after="120" w:line="276"/>
        <w:jc w:val="both"/>
      </w:pPr>
      <w:r>
        <w:rPr>
          <w:rFonts w:ascii="Barlow Semi Condensed" w:cs="Barlow Semi Condensed" w:eastAsia="Barlow Semi Condensed" w:hAnsi="Barlow Semi Condensed"/>
          <w:b/>
          <w:bCs/>
          <w:sz w:val="24"/>
          <w:szCs w:val="24"/>
        </w:rPr>
        <w:t xml:space="preserve">Blocco mirato numero 1105 — Secondo reperto: la divergenza operativa immediatamente successiva. Mentre entrambe le superpotenze votavano la sanzione, esse operavano su fronti opposti sul terreno: l'Unione Sovietica sosteneva i movimenti di liberazione, e gli Stati Uniti dell'amministrazione Reagan subordinarono l'attuazione del piano namibiano al ritiro delle truppe cubane dall'Angola, secondo la dottrina del linkage. Livello A.</w:t>
      </w:r>
    </w:p>
    <w:p>
      <w:pPr>
        <w:spacing w:after="120" w:line="276"/>
        <w:jc w:val="both"/>
      </w:pPr>
      <w:r>
        <w:rPr>
          <w:rFonts w:ascii="Barlow Semi Condensed" w:cs="Barlow Semi Condensed" w:eastAsia="Barlow Semi Condensed" w:hAnsi="Barlow Semi Condensed"/>
          <w:b/>
          <w:bCs/>
          <w:sz w:val="24"/>
          <w:szCs w:val="24"/>
        </w:rPr>
        <w:t xml:space="preserve">Blocco mirato numero 1106 — Terzo reperto, ed è quello che il sesto artefatto aggiunge di proprio. La frattura rilevante nel teatro australe non corre fra Est e Ovest ma dentro l'Occidente. Le acquisizioni lo documentano su 3 piani. Sul piano delle forniture: fu la Francia a divenire principale fornitore militare di Pretoria dopo l'embargo raccomandato del 1963, mentre Italia, Regno Unito, Germania Federale e Stati Uniti vi si adeguarono senza particolari ritardi. Livello B. Sul piano delle sanzioni economiche: la Germania Federale bloccò nel settembre 1986 il divieto comunitario di importazione del carbone sudafricano. Livello A. Sul piano industriale: il canale italiano proseguì attraverso la soglia del 1977. Livello A.</w:t>
      </w:r>
    </w:p>
    <w:p>
      <w:pPr>
        <w:spacing w:after="120" w:line="276"/>
        <w:jc w:val="both"/>
      </w:pPr>
      <w:r>
        <w:rPr>
          <w:rFonts w:ascii="Barlow Semi Condensed" w:cs="Barlow Semi Condensed" w:eastAsia="Barlow Semi Condensed" w:hAnsi="Barlow Semi Condensed"/>
          <w:b/>
          <w:bCs/>
          <w:sz w:val="24"/>
          <w:szCs w:val="24"/>
        </w:rPr>
        <w:t xml:space="preserve">Blocco mirato numero 1107 — Ne discende il primo esito del test. Il teatro australe conferma la tesi diagnostica del volume e non la contraddice: esso non offre alcun riscontro a un condominio fra le superpotenze, e mostra semmai superpotenze su fronti opposti e un Occidente diviso al proprio interno. Livello A quanto ai reperti; Livello B quanto alla conclusione.</w:t>
      </w:r>
    </w:p>
    <w:p>
      <w:pPr>
        <w:spacing w:after="120" w:line="276"/>
        <w:jc w:val="both"/>
      </w:pPr>
      <w:r>
        <w:rPr>
          <w:rFonts w:ascii="Barlow Semi Condensed" w:cs="Barlow Semi Condensed" w:eastAsia="Barlow Semi Condensed" w:hAnsi="Barlow Semi Condensed"/>
          <w:b/>
          <w:bCs/>
          <w:sz w:val="24"/>
          <w:szCs w:val="24"/>
        </w:rPr>
        <w:t xml:space="preserve">Blocco mirato numero 1108 — Il secondo esito, che riguarda la macro-ipotesi H1. Poiché H1 postula la convergenza delle potenze imperiali contro l'integrazione europea, e poiché il teatro australe mostra divergenza fra le potenze e frattura interna al campo occidentale, esso milita contro H1 e non a suo favore. Il registro lo iscrive perciò fra i falsificatori disponibili, e non fra le conferme.</w:t>
      </w:r>
    </w:p>
    <w:p>
      <w:pPr>
        <w:spacing w:after="120" w:line="276"/>
        <w:jc w:val="both"/>
      </w:pPr>
      <w:r>
        <w:rPr>
          <w:rFonts w:ascii="Barlow Semi Condensed" w:cs="Barlow Semi Condensed" w:eastAsia="Barlow Semi Condensed" w:hAnsi="Barlow Semi Condensed"/>
          <w:b/>
          <w:bCs/>
          <w:sz w:val="24"/>
          <w:szCs w:val="24"/>
        </w:rPr>
        <w:t xml:space="preserve">Blocco mirato numero 1109 — La disciplina impone però il limite dell'esito. Un solo teatro non falsifica una macro-ipotesi che ha ambizione sistemica; esso ne restringe il campo di applicazione. La formulazione corretta è che H1, ove mantenuta, deve escludere il dossier australe dal proprio perimetro, e dichiararlo. Livello C, poiché H1 resta ipotesi di terzo grado per statuto del progetto.</w:t>
      </w:r>
    </w:p>
    <w:p>
      <w:pPr>
        <w:spacing w:after="120" w:line="276"/>
        <w:jc w:val="both"/>
      </w:pPr>
      <w:r>
        <w:rPr>
          <w:rFonts w:ascii="Barlow Semi Condensed" w:cs="Barlow Semi Condensed" w:eastAsia="Barlow Semi Condensed" w:hAnsi="Barlow Semi Condensed"/>
          <w:b/>
          <w:bCs/>
          <w:sz w:val="24"/>
          <w:szCs w:val="24"/>
        </w:rPr>
        <w:t xml:space="preserve">Blocco mirato numero 1110 — Un reperto vaticano che complica il quadro e va registrato. La risoluzione 418 fu votata anche dall'Unione Sovietica; e la Santa Sede negò a Pretoria il riconoscimento diplomatico per 72 anni, mentre l'Italia glielo concedeva dal 1929. Livello A. Ne discende che sul dossier dell'apartheid l'allineamento non segue la linea Est-Ovest né quella cattolica-laica, e che le sovranità vi si distribuiscono secondo un criterio che il registro non è in grado di ridurre a codice unico. Reperto negativo di prima classe: nessun codice unificante spiega la distribuzione delle condotte sul dossier australe.</w:t>
      </w:r>
    </w:p>
    <w:p>
      <w:pPr>
        <w:pStyle w:val="Heading2"/>
        <w:spacing w:after="100" w:before="200"/>
      </w:pPr>
      <w:r>
        <w:rPr>
          <w:rFonts w:ascii="Barlow Semi Condensed" w:cs="Barlow Semi Condensed" w:eastAsia="Barlow Semi Condensed" w:hAnsi="Barlow Semi Condensed"/>
          <w:sz w:val="24"/>
          <w:szCs w:val="24"/>
        </w:rPr>
        <w:t xml:space="preserve">III — IL CONTENITORE EUROPEO E IL TEATRO AUSTRALE</w:t>
      </w:r>
    </w:p>
    <w:p>
      <w:pPr>
        <w:spacing w:after="120" w:line="276"/>
        <w:jc w:val="both"/>
      </w:pPr>
      <w:r>
        <w:rPr>
          <w:rFonts w:ascii="Barlow Semi Condensed" w:cs="Barlow Semi Condensed" w:eastAsia="Barlow Semi Condensed" w:hAnsi="Barlow Semi Condensed"/>
          <w:b/>
          <w:bCs/>
          <w:sz w:val="24"/>
          <w:szCs w:val="24"/>
        </w:rPr>
        <w:t xml:space="preserve">Blocco mirato numero 1201 — La categoria del volume. L'Edizione Integrata introduce nella Fase III la destra radicale europea quale contenitore ricorsivo, ambiente occupabile che attraversa entrambe le formazioni.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1202 — La verifica sul teatro australe. Il sesto artefatto offre alla categoria una verifica e un limite. La verifica: il regime di Pretoria funzionò da nodo di accoglienza per soggetti dell'eversione e degli apparati deviati europei, e il volume lo certifica già al Livello A per il caso della latitanza di Gianadelio Maletti a Johannesburg. Il contenitore fu dunque occupato anche in direzione australe.</w:t>
      </w:r>
    </w:p>
    <w:p>
      <w:pPr>
        <w:spacing w:after="120" w:line="276"/>
        <w:jc w:val="both"/>
      </w:pPr>
      <w:r>
        <w:rPr>
          <w:rFonts w:ascii="Barlow Semi Condensed" w:cs="Barlow Semi Condensed" w:eastAsia="Barlow Semi Condensed" w:hAnsi="Barlow Semi Condensed"/>
          <w:b/>
          <w:bCs/>
          <w:sz w:val="24"/>
          <w:szCs w:val="24"/>
        </w:rPr>
        <w:t xml:space="preserve">Blocco mirato numero 1203 — Il limite, ed è il reperto proprio di questo registro. Il canale industriale italiano non passò per il contenitore. Esso passò per un'impresa aeronautica, una sub-licenza motoristica del 1959 e un'autorizzazione di Stato mai tipizzata. Nessun elemento documentale collega il canale Aermacchi ad ambienti della destra radicale. Reperto negativo,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1204 — Ne discende una distinzione che il registro propone alla categoria. Il teatro australe fu attraversato da 2 flussi distinti e non comunicanti allo stato delle fonti. Il flusso delle persone, che passò per il contenitore ideologico e che il volume censisce con Maletti. E il flusso dei materiali, che passò per il canale industriale e statale e che il sesto artefatto versa. Livello A quanto ai 2 flussi presi ciascuno per sé; nessun livello quanto a una relazione fra essi.</w:t>
      </w:r>
    </w:p>
    <w:p>
      <w:pPr>
        <w:spacing w:after="120" w:line="276"/>
        <w:jc w:val="both"/>
      </w:pPr>
      <w:r>
        <w:rPr>
          <w:rFonts w:ascii="Barlow Semi Condensed" w:cs="Barlow Semi Condensed" w:eastAsia="Barlow Semi Condensed" w:hAnsi="Barlow Semi Condensed"/>
          <w:b/>
          <w:bCs/>
          <w:sz w:val="24"/>
          <w:szCs w:val="24"/>
        </w:rPr>
        <w:t xml:space="preserve">Blocco mirato numero 1205 — Il raccordo, che è di descrizione e non di causa. Mentre un ufficiale dei servizi italiani latitante risiedeva a Johannesburg, un'impresa aeronautica italiana riforniva l'aviazione militare del medesimo Stato. I 2 fatti sono documentati separatamente e nulla li collega. La simultaneità non è nesso, e il registro la riporta come tale.</w:t>
      </w:r>
    </w:p>
    <w:p>
      <w:pPr>
        <w:spacing w:after="120" w:line="276"/>
        <w:jc w:val="both"/>
      </w:pPr>
      <w:r>
        <w:rPr>
          <w:rFonts w:ascii="Barlow Semi Condensed" w:cs="Barlow Semi Condensed" w:eastAsia="Barlow Semi Condensed" w:hAnsi="Barlow Semi Condensed"/>
          <w:b/>
          <w:bCs/>
          <w:sz w:val="24"/>
          <w:szCs w:val="24"/>
        </w:rPr>
        <w:t xml:space="preserve">Blocco mirato numero 1206 — Il valore analitico della distinzione. Essa protegge la categoria del contenitore da un'estensione indebita: non tutto ciò che raggiunse il regime paria vi giunse attraverso l'ideologia. Una parte vi giunse attraverso il commercio, e la vulnerabilità che quella parte rivela non è ideologica ma normativa — l'assenza, fino al 1990, di una legge italiana sull'esportazione di armamenti. Livello A.</w:t>
      </w:r>
    </w:p>
    <w:p>
      <w:pPr>
        <w:spacing w:after="120" w:line="276"/>
        <w:jc w:val="both"/>
      </w:pPr>
      <w:r>
        <w:rPr>
          <w:rFonts w:ascii="Barlow Semi Condensed" w:cs="Barlow Semi Condensed" w:eastAsia="Barlow Semi Condensed" w:hAnsi="Barlow Semi Condensed"/>
          <w:b/>
          <w:bCs/>
          <w:sz w:val="24"/>
          <w:szCs w:val="24"/>
        </w:rPr>
        <w:t xml:space="preserve">Blocco mirato numero 1207 — La ricorsività verificata sul caso bavarese. Il volume enuncia la ricorsività del contenitore. Il sesto artefatto vi porta un caso che la illustra e insieme la circoscrive: sul dossier sudafricano le divergenze fra Christlich-Demokratische Union e Christlich-Soziale Union furono tali da far fallire l'adozione della piattaforma elettorale comune prima delle elezioni federali del 1987. Livello B, trattandosi di fonte d'autore interna al dibattito. Il contenitore, dunque, non fu omogeneo neppure entro un medesimo campo partitico nazionale.</w:t>
      </w:r>
    </w:p>
    <w:p>
      <w:pPr>
        <w:spacing w:after="120" w:line="276"/>
        <w:jc w:val="both"/>
      </w:pPr>
      <w:r>
        <w:rPr>
          <w:rFonts w:ascii="Barlow Semi Condensed" w:cs="Barlow Semi Condensed" w:eastAsia="Barlow Semi Condensed" w:hAnsi="Barlow Semi Condensed"/>
          <w:b/>
          <w:bCs/>
          <w:sz w:val="24"/>
          <w:szCs w:val="24"/>
        </w:rPr>
        <w:t xml:space="preserve">Blocco mirato numero 1208 — Il reperto sulla doppia appartenenza e il suo limite. È fatto pubblico documentato che un ex ministro bavarese della Christlich-Soziale Union sedesse nel comitato della società bilaterale tedesco-sudafricana e fosse insieme primo presidente della fondazione politica del partito. Livello A quanto alla doppia appartenenza. Nessun livello quanto a una condotta della fondazione o del partito: l'adesione di una persona a 2 organizzazioni non prova un rapporto istituzionale fra esse. Il registro lo iscrive quale indizio di prossimità di ambienti e non altro.</w:t>
      </w:r>
    </w:p>
    <w:p>
      <w:pPr>
        <w:spacing w:after="120" w:line="276"/>
        <w:jc w:val="both"/>
      </w:pPr>
      <w:r>
        <w:rPr>
          <w:rFonts w:ascii="Barlow Semi Condensed" w:cs="Barlow Semi Condensed" w:eastAsia="Barlow Semi Condensed" w:hAnsi="Barlow Semi Condensed"/>
          <w:b/>
          <w:bCs/>
          <w:sz w:val="24"/>
          <w:szCs w:val="24"/>
        </w:rPr>
        <w:t xml:space="preserve">Blocco mirato numero 1209 — Il pattern centro-periferia, versato alla Fase III. Il corpus possiede 2 casi in cui la periferia episcopale determinava e il centro romano accompagnava. Il caso sudafricano li inverte: l'episcopato locale condannò l'apartheid quale intrinsecamente malvagio il 21 luglio 1957, in opposizione dichiarata alla linea del rappresentante pontificio, che preferiva l'ingaggio diplomatico con il regime. Livello B. Il rilievo generale: chi sta sul territorio misura il costo del silenzio, chi rappresenta la sede misura il costo della rottura, e le 2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Blocco mirato numero 1210 — L'ultimo versamento alla Fase III. Sui voti namibiani del 1976 e 1977 l'Italia esclusa dal Gruppo di contatto risultò più avanzata della Germania che vi sedeva, votando a favore di 3 risoluzioni sulle quali Bonn si asteneva, e astenendosi su quella sulla quale Bonn votava contro. Livello A quanto ai voti. Il rilievo, di Livello B perché inferenza: la partecipazione a un consesso negoziale vincola il voto e l'esclusione lo libera. Chi siede al tavolo paga in libertà di voto ciò che guadagna in influenza, e la circostanza va tenuta presente ogni volta che il registro misuri una condotta multilaterale.</w:t>
      </w:r>
    </w:p>
    <w:p>
      <w:pPr>
        <w:pStyle w:val="Heading2"/>
        <w:spacing w:after="100" w:before="200"/>
      </w:pPr>
      <w:r>
        <w:rPr>
          <w:rFonts w:ascii="Barlow Semi Condensed" w:cs="Barlow Semi Condensed" w:eastAsia="Barlow Semi Condensed" w:hAnsi="Barlow Semi Condensed"/>
          <w:sz w:val="24"/>
          <w:szCs w:val="24"/>
        </w:rPr>
        <w:t xml:space="preserve">IV — I NODI CHE RESTANO FUORI ANCHE DAL PARAGRAFO 1.6</w:t>
      </w:r>
    </w:p>
    <w:p>
      <w:pPr>
        <w:spacing w:after="120" w:line="276"/>
        <w:jc w:val="both"/>
      </w:pPr>
      <w:r>
        <w:rPr>
          <w:rFonts w:ascii="Barlow Semi Condensed" w:cs="Barlow Semi Condensed" w:eastAsia="Barlow Semi Condensed" w:hAnsi="Barlow Semi Condensed"/>
          <w:b/>
          <w:bCs/>
          <w:sz w:val="24"/>
          <w:szCs w:val="24"/>
        </w:rPr>
        <w:t xml:space="preserve">Blocco mirato numero 1301 — Criterio di questa sezione. Il blocco 906 ha accertato che l'Edizione Integrata possiede il teatro australe al paragrafo 1.6. Restano tuttavia nodi del sesto artefatto che non sono riconducibili a quel paragrafo neppure per genere, poiché non appartengono all'asse dei paria né all'elusione delle sanzioni. Essi costituiscono il versamento residuo, e vanno enumerati distintamente perché richiedono collocazione autonoma.</w:t>
      </w:r>
    </w:p>
    <w:p>
      <w:pPr>
        <w:spacing w:after="120" w:line="276"/>
        <w:jc w:val="both"/>
      </w:pPr>
      <w:r>
        <w:rPr>
          <w:rFonts w:ascii="Barlow Semi Condensed" w:cs="Barlow Semi Condensed" w:eastAsia="Barlow Semi Condensed" w:hAnsi="Barlow Semi Condensed"/>
          <w:b/>
          <w:bCs/>
          <w:sz w:val="24"/>
          <w:szCs w:val="24"/>
        </w:rPr>
        <w:t xml:space="preserve">Blocco mirato numero 1302 — ◆ Primo nodo residuo: la delegazione apostolica di Pretoria. Istituita il 7 dicembre 1922, con 9 titolari, elevata a nunziatura il 25 giugno 1994. Livello A. Essa non appartiene all'asse dei paria bensì al suo rovescio: è la sovranità che al regime paria negò il riconoscimento. Dominio 5. Collocazione proposta: Fase I quale contro-segmento del paragrafo 1.6, ovvero Fase III quale caso di sovranità non occupabile dal contenitore.</w:t>
      </w:r>
    </w:p>
    <w:p>
      <w:pPr>
        <w:spacing w:after="120" w:line="276"/>
        <w:jc w:val="both"/>
      </w:pPr>
      <w:r>
        <w:rPr>
          <w:rFonts w:ascii="Barlow Semi Condensed" w:cs="Barlow Semi Condensed" w:eastAsia="Barlow Semi Condensed" w:hAnsi="Barlow Semi Condensed"/>
          <w:b/>
          <w:bCs/>
          <w:sz w:val="24"/>
          <w:szCs w:val="24"/>
        </w:rPr>
        <w:t xml:space="preserve">Blocco mirato numero 1303 — ▶ Secondo nodo residuo: Alfredo Poledrini. Delegato apostolico dal 1971 al 1978, dunque rappresentante pontificio in carica per l'intera durata del secondo mandato ministeriale di Aldo Moro e della sua presidenza del Consiglio. Livello A quanto alle date. Reperto negativo, Livello A: nessun elemento documentale lo collega ad alcun contatto italiano sulla materia sudafricana, con sede di verifica nell'Archivio Apostolico Vaticano, chiuso oltre l'ottobre 1958 e dunque Stato Zero di impossibilità istituzionale.</w:t>
      </w:r>
    </w:p>
    <w:p>
      <w:pPr>
        <w:spacing w:after="120" w:line="276"/>
        <w:jc w:val="both"/>
      </w:pPr>
      <w:r>
        <w:rPr>
          <w:rFonts w:ascii="Barlow Semi Condensed" w:cs="Barlow Semi Condensed" w:eastAsia="Barlow Semi Condensed" w:hAnsi="Barlow Semi Condensed"/>
          <w:b/>
          <w:bCs/>
          <w:sz w:val="24"/>
          <w:szCs w:val="24"/>
        </w:rPr>
        <w:t xml:space="preserve">Blocco mirato numero 1304 — ▶ Terzo nodo residuo: Denis Hurley. Arcivescovo di Durban dal 1951, presidente della conferenza episcopale sudafricana dal 1952 al 1961 e dal 1981 al 1987, forza trainante della dichiarazione del 21 luglio 1957, incriminato nel 1984 per false dichiarazioni sulle atrocità dell'unità Koevoet in Namibia e prosciolto nel 1985. Livello A quanto alle cariche e al procedimento; le fonti divergono sulla qualificazione giuridica dell'imputazione e la divergenza si riporta. Dominio 5. Collocazione proposta: Fase III, quale caso di occupazione del contenitore in senso contrario.</w:t>
      </w:r>
    </w:p>
    <w:p>
      <w:pPr>
        <w:spacing w:after="120" w:line="276"/>
        <w:jc w:val="both"/>
      </w:pPr>
      <w:r>
        <w:rPr>
          <w:rFonts w:ascii="Barlow Semi Condensed" w:cs="Barlow Semi Condensed" w:eastAsia="Barlow Semi Condensed" w:hAnsi="Barlow Semi Condensed"/>
          <w:b/>
          <w:bCs/>
          <w:sz w:val="24"/>
          <w:szCs w:val="24"/>
        </w:rPr>
        <w:t xml:space="preserve">Blocco mirato numero 1305 — ■ Quarto nodo residuo: il viaggio del settembre 1988. Itinerario pontificio di 10 giorni in 5 Stati confinanti con il Sudafrica, con esclusione deliberata del Sudafrica medesimo su esplicito consiglio dei vescovi locali, e con atterraggio forzato a Johannesburg il 14 settembre per avaria dei radiofari di Maseru. Livello A. Dominio 5. Il nodo è il solo atto diplomatico simbolico documentato di una sovranità europea verso il regime nel perimetro, e non ha equivalenti italiani.</w:t>
      </w:r>
    </w:p>
    <w:p>
      <w:pPr>
        <w:spacing w:after="120" w:line="276"/>
        <w:jc w:val="both"/>
      </w:pPr>
      <w:r>
        <w:rPr>
          <w:rFonts w:ascii="Barlow Semi Condensed" w:cs="Barlow Semi Condensed" w:eastAsia="Barlow Semi Condensed" w:hAnsi="Barlow Semi Condensed"/>
          <w:b/>
          <w:bCs/>
          <w:sz w:val="24"/>
          <w:szCs w:val="24"/>
        </w:rPr>
        <w:t xml:space="preserve">Blocco mirato numero 1306 — ◆ Quinto nodo residuo: il Gruppo di contatto occidentale. Costituito nell'aprile 1977 con Stati Uniti, Regno Unito, Francia, Canada e Repubblica Federale di Germania, sciolto attorno al 1983. Livello A. Non appartiene all'asse dei paria ma al suo contrario: è il consesso costituito per negoziare la fine dell'occupazione namibiana.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1307 — ■ Sesto nodo residuo: l'esclusione italiana da quel consesso. L'Italia non vi fu ammessa perché il criterio di appartenenza era il seggio occidentale nel Consiglio di sicurezza nel 1977, e il mandato italiano si era chiuso il 31 dicembre 1976 senza riprendere prima del 1 gennaio 1987. Livello A. La ragione è istituzionale e non un giudizio di merito: Canada e Repubblica Federale vi entrarono precisamente perché occupavano i 2 seggi che l'Italia non deteneva.</w:t>
      </w:r>
    </w:p>
    <w:p>
      <w:pPr>
        <w:spacing w:after="120" w:line="276"/>
        <w:jc w:val="both"/>
      </w:pPr>
      <w:r>
        <w:rPr>
          <w:rFonts w:ascii="Barlow Semi Condensed" w:cs="Barlow Semi Condensed" w:eastAsia="Barlow Semi Condensed" w:hAnsi="Barlow Semi Condensed"/>
          <w:b/>
          <w:bCs/>
          <w:sz w:val="24"/>
          <w:szCs w:val="24"/>
        </w:rPr>
        <w:t xml:space="preserve">Blocco mirato numero 1308 — ■ Settimo nodo residuo: le 2 confutazioni italiane presso le Nazioni Unite. La lettera S/9640 del 6 febbraio 1970, che confuta l'affermazione zambiana secondo cui l'Italia avrebbe rifiutato di imporre il divieto di vendita di armi; e la lettera S/AC.20/27 del 27 giugno 1980, che nega accuse di violazione dell'embargo formulate da Abdul Minty. Livello A quanto all'esistenza, alle date e all'oggetto; il testo del corpo di entrambe non è stato acquisito.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1309 — ■ Ottavo nodo residuo: la simultaneità italo-tedesca del febbraio 1970. A 5 giorni dalla lettera italiana, l'Osservatore permanente supplente della Repubblica Federale trasmise una confutazione della medesima dichiarazione zambiana, allegata alla nota del Presidente del Consiglio del 13 febbraio. Livello A quanto ai fatti; Livello C quanto a ogni coordinamento, non asserito. Arco di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1310 — ■ Nono nodo residuo: la calibrazione libica. Confisca dei beni della comunità italiana il 21 luglio 1970, esodo perfezionato entro il 15 ottobre, viaggio di Moro a Tripoli il 5 maggio 1971, rinuncia consapevole alle ritorsioni in favore di compensazioni economiche indirette. Livello A quanto ai fatti; Livello B quanto alla qualificazione della linea, argomentata da storiografia fondata su archivio. Il nodo non appartiene al teatro australe ma vi si collega per funzione: stabilisce che dove uno studioso ha aperto le serie della Farnesina l'azione italiana è sempre emersa, e prescrive di non concludere per l'inazione senza avere identificato l'apparato competente.</w:t>
      </w:r>
    </w:p>
    <w:p>
      <w:pPr>
        <w:pStyle w:val="Heading2"/>
        <w:spacing w:after="100" w:before="200"/>
      </w:pPr>
      <w:r>
        <w:rPr>
          <w:rFonts w:ascii="Barlow Semi Condensed" w:cs="Barlow Semi Condensed" w:eastAsia="Barlow Semi Condensed" w:hAnsi="Barlow Semi Condensed"/>
          <w:sz w:val="24"/>
          <w:szCs w:val="24"/>
        </w:rPr>
        <w:t xml:space="preserve">V — I 2 GRADI PROPOSTI E LA LORO COLLOCAZIONE NELLA SCALA</w:t>
      </w:r>
    </w:p>
    <w:p>
      <w:pPr>
        <w:spacing w:after="120" w:line="276"/>
        <w:jc w:val="both"/>
      </w:pPr>
      <w:r>
        <w:rPr>
          <w:rFonts w:ascii="Barlow Semi Condensed" w:cs="Barlow Semi Condensed" w:eastAsia="Barlow Semi Condensed" w:hAnsi="Barlow Semi Condensed"/>
          <w:b/>
          <w:bCs/>
          <w:sz w:val="24"/>
          <w:szCs w:val="24"/>
        </w:rPr>
        <w:t xml:space="preserve">Blocco mirato numero 1401 — Statuto della sezione. L'Edizione Integrata conta 98 occorrenze della locuzione Stato Zero e ne fa categoria portante, definendola quale assenza certificata di una connessione attesa e risultato analitico di primo ordine, di pari dignità rispetto al risultato positivo. Il sesto artefatto propone 2 gradi nuovi, e la presente sezione ne verifica la compatibilità con la scala.</w:t>
      </w:r>
    </w:p>
    <w:p>
      <w:pPr>
        <w:spacing w:after="120" w:line="276"/>
        <w:jc w:val="both"/>
      </w:pPr>
      <w:r>
        <w:rPr>
          <w:rFonts w:ascii="Barlow Semi Condensed" w:cs="Barlow Semi Condensed" w:eastAsia="Barlow Semi Condensed" w:hAnsi="Barlow Semi Condensed"/>
          <w:b/>
          <w:bCs/>
          <w:sz w:val="24"/>
          <w:szCs w:val="24"/>
        </w:rPr>
        <w:t xml:space="preserve">Blocco mirato numero 1402 — Primo grado proposto: l'atto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ai sensi del regio decreto 11 luglio 1941 numero 1161. Livello A quanto al regime giuridico.</w:t>
      </w:r>
    </w:p>
    <w:p>
      <w:pPr>
        <w:spacing w:after="120" w:line="276"/>
        <w:jc w:val="both"/>
      </w:pPr>
      <w:r>
        <w:rPr>
          <w:rFonts w:ascii="Barlow Semi Condensed" w:cs="Barlow Semi Condensed" w:eastAsia="Barlow Semi Condensed" w:hAnsi="Barlow Semi Condensed"/>
          <w:b/>
          <w:bCs/>
          <w:sz w:val="24"/>
          <w:szCs w:val="24"/>
        </w:rPr>
        <w:t xml:space="preserve">Blocco mirato numero 1403 — La proprietà distintiva del grado. Esso non è rimediabile con l'apertura di un archivio, perché non vi è nulla da aprire. Ne discende che le sedi di verifica ordinariamente indicate — archivi ministeriali, archivi di enti pubblici — possono risultare vuote non per dispersione ma per struttura, e che la ricerca vi si dirige sapendo di poter trovare il nulla senza che il nulla provi l'inazione.</w:t>
      </w:r>
    </w:p>
    <w:p>
      <w:pPr>
        <w:spacing w:after="120" w:line="276"/>
        <w:jc w:val="both"/>
      </w:pPr>
      <w:r>
        <w:rPr>
          <w:rFonts w:ascii="Barlow Semi Condensed" w:cs="Barlow Semi Condensed" w:eastAsia="Barlow Semi Condensed" w:hAnsi="Barlow Semi Condensed"/>
          <w:b/>
          <w:bCs/>
          <w:sz w:val="24"/>
          <w:szCs w:val="24"/>
        </w:rPr>
        <w:t xml:space="preserve">Blocco mirato numero 1404 — La circolarità che chiude il grado. La legge che avrebbe tipizzato quell'atto fu prodotta anche dalla denuncia di un operaio dell'impresa costruttrice sulle consegne del gennaio 1980, rilanciata nel marzo 1988. Livello B. L'assenza di documentazione non era dunque un dato di natura ma una proprietà di un ordinamento, e quell'ordinamento fu mutato dal basso.</w:t>
      </w:r>
    </w:p>
    <w:p>
      <w:pPr>
        <w:spacing w:after="120" w:line="276"/>
        <w:jc w:val="both"/>
      </w:pPr>
      <w:r>
        <w:rPr>
          <w:rFonts w:ascii="Barlow Semi Condensed" w:cs="Barlow Semi Condensed" w:eastAsia="Barlow Semi Condensed" w:hAnsi="Barlow Semi Condensed"/>
          <w:b/>
          <w:bCs/>
          <w:sz w:val="24"/>
          <w:szCs w:val="24"/>
        </w:rPr>
        <w:t xml:space="preserve">Blocco mirato numero 1405 — Secondo grado proposto: la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 il server documentale avendo respinto il recupero automatizzato.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1406 — Le 3 proprietà del grado. È invisibile a chi si arresti alla scheda, poiché la scheda contiene abbastanza da sembrare un risultato. È asimmetrico rispetto al ricercatore, poiché un lettore umano in biblioteca aprirebbe quel file in trenta secondi. Ed è non rimediabile dall'interno del metodo che lo ha incontrato: nessuna riformulazione della domanda lo scioglie, e si scioglie soltanto uscendo dal metodo, cioè andando.</w:t>
      </w:r>
    </w:p>
    <w:p>
      <w:pPr>
        <w:spacing w:after="120" w:line="276"/>
        <w:jc w:val="both"/>
      </w:pPr>
      <w:r>
        <w:rPr>
          <w:rFonts w:ascii="Barlow Semi Condensed" w:cs="Barlow Semi Condensed" w:eastAsia="Barlow Semi Condensed" w:hAnsi="Barlow Semi Condensed"/>
          <w:b/>
          <w:bCs/>
          <w:sz w:val="24"/>
          <w:szCs w:val="24"/>
        </w:rPr>
        <w:t xml:space="preserve">Blocco mirato numero 1407 — La distinzione fra i 2 gradi proposti. Nell'atto atipico il documento non esiste e non è mai esistito. Nella barriera macchinica il documento esiste, è pubblico, ed è misurabile — la seconda lettera consta di 2 pagine. La seconda assenza è dunque quantificabile e la prima no, e la differenza è la ragione per cui i 2 gradi non si possono fondere.</w:t>
      </w:r>
    </w:p>
    <w:p>
      <w:pPr>
        <w:spacing w:after="120" w:line="276"/>
        <w:jc w:val="both"/>
      </w:pPr>
      <w:r>
        <w:rPr>
          <w:rFonts w:ascii="Barlow Semi Condensed" w:cs="Barlow Semi Condensed" w:eastAsia="Barlow Semi Condensed" w:hAnsi="Barlow Semi Condensed"/>
          <w:b/>
          <w:bCs/>
          <w:sz w:val="24"/>
          <w:szCs w:val="24"/>
        </w:rPr>
        <w:t xml:space="preserve">Blocco mirato numero 1408 — Una osservazione sul rapporto fra i gradi e il metodo. La scala degli Stati Zero era stata costruita per censire i limiti degli archivi. I 2 gradi proposti censiscono limiti di natura diversa: uno dell'ordinamento giuridico, l'altro dello strumento di ricerca. Ne discende che la scala non descrive più soltanto ciò che gli archivi non conservano, ma anche ciò che il diritto non produsse e ciò che il metodo non raggiunge.</w:t>
      </w:r>
    </w:p>
    <w:p>
      <w:pPr>
        <w:pStyle w:val="Heading2"/>
        <w:spacing w:after="100" w:before="200"/>
      </w:pPr>
      <w:r>
        <w:rPr>
          <w:rFonts w:ascii="Barlow Semi Condensed" w:cs="Barlow Semi Condensed" w:eastAsia="Barlow Semi Condensed" w:hAnsi="Barlow Semi Condensed"/>
          <w:sz w:val="24"/>
          <w:szCs w:val="24"/>
        </w:rPr>
        <w:t xml:space="preserve">VI — TAVOLA E SINTESI</w:t>
      </w:r>
    </w:p>
    <w:p>
      <w:pPr>
        <w:spacing w:after="120" w:line="276"/>
        <w:jc w:val="both"/>
      </w:pPr>
      <w:r>
        <w:rPr>
          <w:rFonts w:ascii="Barlow Semi Condensed" w:cs="Barlow Semi Condensed" w:eastAsia="Barlow Semi Condensed" w:hAnsi="Barlow Semi Condensed"/>
          <w:b/>
          <w:bCs/>
          <w:sz w:val="24"/>
          <w:szCs w:val="24"/>
        </w:rPr>
        <w:t xml:space="preserve">Blocco mirato numero 1451 — Prima voce della tavola. Il verbale S/AC.20/SR.25 con la dichiarazione di Abdul Minty sull'Italia. Massimo rendimento, poiché da esso dipende la comprensione dell'accusa cui l'Italia rispose. Sede: atti del Comitato istituito dalla risoluzione 421 e serie dei verbali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Blocco mirato numero 1452 — Seconda voce.\\ I corpi testuali delle 2 lettere italiane. \\Alto rendimento e costo nullo per chi possa recarvisi.\\ Condizione: \\superamento della barriera macchinica del blocco 1405.</w:t>
      </w:r>
    </w:p>
    <w:p>
      <w:pPr>
        <w:spacing w:after="120" w:line="276"/>
        <w:jc w:val="both"/>
      </w:pPr>
      <w:r>
        <w:rPr>
          <w:rFonts w:ascii="Barlow Semi Condensed" w:cs="Barlow Semi Condensed" w:eastAsia="Barlow Semi Condensed" w:hAnsi="Barlow Semi Condensed"/>
          <w:b/>
          <w:bCs/>
          <w:sz w:val="24"/>
          <w:szCs w:val="24"/>
        </w:rPr>
        <w:t xml:space="preserve">Blocco mirato numero 1453 — Terza voce. Il testo dell'accordo di licenza del 1964 con termini finanziari, geografici e di rinnovo. Sedi: archivio storico di Finmeccanica-Leonardo e archivio Aermacchi; controparti negli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1454 — Quarta voce, nuova. La verifica dell'esistenza di canali paralleli alla Farnesina per ciascun perimetro, presso i ministeri competenti per materia, nata dal precedente degli Accordi di Osimo e mai cercata da alcuna ricognizione anteriore.</w:t>
      </w:r>
    </w:p>
    <w:p>
      <w:pPr>
        <w:spacing w:after="120" w:line="276"/>
        <w:jc w:val="both"/>
      </w:pPr>
      <w:r>
        <w:rPr>
          <w:rFonts w:ascii="Barlow Semi Condensed" w:cs="Barlow Semi Condensed" w:eastAsia="Barlow Semi Condensed" w:hAnsi="Barlow Semi Condensed"/>
          <w:b/>
          <w:bCs/>
          <w:sz w:val="24"/>
          <w:szCs w:val="24"/>
        </w:rPr>
        <w:t xml:space="preserve">Blocco mirato numero 1455 — Quinta voce.\\ Il voto italiano sulla risoluzione 2775 del 29 novembre 1971, intitolata Arms embargo. \\È la risoluzione più direttamente pertinente al perimetro e il voto italiano su di essa non è accertato.</w:t>
      </w:r>
    </w:p>
    <w:p>
      <w:pPr>
        <w:spacing w:after="120" w:line="276"/>
        <w:jc w:val="both"/>
      </w:pPr>
      <w:r>
        <w:rPr>
          <w:rFonts w:ascii="Barlow Semi Condensed" w:cs="Barlow Semi Condensed" w:eastAsia="Barlow Semi Condensed" w:hAnsi="Barlow Semi Condensed"/>
          <w:b/>
          <w:bCs/>
          <w:sz w:val="24"/>
          <w:szCs w:val="24"/>
        </w:rPr>
        <w:t xml:space="preserve">Blocco mirato numero 1456 — Sesta voce. Le dichiarazioni esplicative di voto italiane e tedesche del dicembre 1976, che sole accerterebbero la ragione dell'inversione del blocco 1210. Sede: verbali plenari della serie A/PV.</w:t>
      </w:r>
    </w:p>
    <w:p>
      <w:pPr>
        <w:spacing w:after="120" w:line="276"/>
        <w:jc w:val="both"/>
      </w:pPr>
      <w:r>
        <w:rPr>
          <w:rFonts w:ascii="Barlow Semi Condensed" w:cs="Barlow Semi Condensed" w:eastAsia="Barlow Semi Condensed" w:hAnsi="Barlow Semi Condensed"/>
          <w:b/>
          <w:bCs/>
          <w:sz w:val="24"/>
          <w:szCs w:val="24"/>
        </w:rPr>
        <w:t xml:space="preserve">Blocco mirato numero 1457 — Settima voce, non conseguibile.\\ La documentazione vaticana sulle ragioni del mancato scambio di ambasciatori. Sede: Archivio Apostolico Vaticano. \\Condizione: impossibilità istituzionale.</w:t>
      </w:r>
    </w:p>
    <w:p>
      <w:pPr>
        <w:spacing w:after="120" w:line="276"/>
        <w:jc w:val="both"/>
      </w:pPr>
      <w:r>
        <w:rPr>
          <w:rFonts w:ascii="Barlow Semi Condensed" w:cs="Barlow Semi Condensed" w:eastAsia="Barlow Semi Condensed" w:hAnsi="Barlow Semi Condensed"/>
          <w:b/>
          <w:bCs/>
          <w:sz w:val="24"/>
          <w:szCs w:val="24"/>
        </w:rPr>
        <w:t xml:space="preserve">Blocco mirato numero 1501 — Sintesi del dato nuovo acquisito. La triangolazione del sesto artefatto con l'Edizione Integrata rettifica anzitutto l'ordine ricevuto, poiché gli artefatti dal settimo al decimo non esistono e la sessione ne ha prodotti 6. Essa accerta che l'Edizione Integrata è cresciuta di 878 paragrafi e circa 41.000 parole assorbendo la Formazione Beta e non il teatro australe, e che le 20 chiavi lessicali del sesto artefatto vi ricorrono zero volte; ma rettifica sé stessa al blocco 906 accertando che il volume possiede già il teatro australe al paragrafo 1.6, quale ultimo segmento spaziale della Formazione Alfa e quale pattern del transito su scala intercontinentale. Ne discende che il sesto artefatto non collide con il volume ma lo istanzia, fornendo al pattern generico l'esemplare italiano nominato, datato e documentato. Il registro versa inoltre 3 acquisizioni proprie. La prima: la distinzione, entro l'asse dei paria, fra canali costituiti per eludere e canali preesistenti alla sanzione e non risolti, dei quali il caso italiano è esemplare del secondo tipo, con la conseguenza che l'imputazione non riguarda un atto di costituzione ma un'omissione di risoluzione, a sua volta spiegata dall'atipicità dell'atto nell'ordinamento anteriore al 1990. La seconda: il test della polarità delle superpotenze sul dossier australe, che conferma la tesi diagnostica del volume — nessun condominio, superpotenze su fronti opposti — e che aggiunge il reperto proprio secondo cui la frattura rilevante non corre fra Est e Ovest ma dentro l'Occidente, con la Francia principale fornitore, la Germania Federale bloccante sul carbone nel 1986 e l'Italia titolare del canale industriale; onde il teatro australe si iscrive fra i falsificatori disponibili di H1 e non fra le sue conferme. La terza: la distinzione fra i 2 flussi che attraversarono il teatro — il flusso delle persone, che passò per il contenitore ideologico e che il volume censisce, e il flusso dei materiali, che passò per il canale industriale e statale e che il sesto artefatto versa — fra i quali nulla, allo stato delle fonti, stabilisce comunicazione, con la conseguenza che la categoria del contenitore va preservata da estensione indebita, poiché non tutto ciò che raggiunse il regime paria vi giunse attraverso l'ideologia, e ciò che vi giunse per commercio rivela una vulnerabilità non ideologica ma normativa. Restano infine iscritti alla scala 2 gradi nuovi, l'atto atipico e la barriera macchinica, che ne mutano la portata: essa non descrive più soltanto ciò che gli archivi non conservano, ma ciò che il diritto non produsse e ciò che il metodo non raggiunge.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 · Secondo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4.933 parole in 9 sezioni; la più ampia è §9 Altre sezioni, con 3.457.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 — Terzo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due formazioni</w:t>
      </w:r>
    </w:p>
    <w:p>
      <w:pPr>
        <w:pStyle w:val="Heading2"/>
        <w:spacing w:after="100" w:before="200"/>
      </w:pPr>
      <w:r>
        <w:rPr>
          <w:rFonts w:ascii="Barlow Semi Condensed" w:cs="Barlow Semi Condensed" w:eastAsia="Barlow Semi Condensed" w:hAnsi="Barlow Semi Condensed"/>
          <w:sz w:val="24"/>
          <w:szCs w:val="24"/>
        </w:rPr>
        <w:t xml:space="preserve">La quarta confutazione: non un nodo che ruota, ma lo Stato che contiene i due fronti</w:t>
      </w:r>
    </w:p>
    <w:p>
      <w:pPr>
        <w:pStyle w:val="Heading2"/>
        <w:spacing w:after="100" w:before="200"/>
      </w:pPr>
      <w:r>
        <w:rPr>
          <w:rFonts w:ascii="Barlow Semi Condensed" w:cs="Barlow Semi Condensed" w:eastAsia="Barlow Semi Condensed" w:hAnsi="Barlow Semi Condensed"/>
          <w:sz w:val="24"/>
          <w:szCs w:val="24"/>
        </w:rPr>
        <w:t xml:space="preserve">Blocchi 1601-2201 — il grado del fatto trasferito — la polarita invertita dell'attore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TERZO REGISTRO ANALITICO DEI NODI E DEI PONTI</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2 formazioni. La quarta confutazione</w:t>
      </w:r>
    </w:p>
    <w:p>
      <w:pPr>
        <w:spacing w:after="120" w:line="276"/>
        <w:jc w:val="both"/>
      </w:pPr>
      <w:r>
        <w:rPr>
          <w:rFonts w:ascii="Barlow Semi Condensed" w:cs="Barlow Semi Condensed" w:eastAsia="Barlow Semi Condensed" w:hAnsi="Barlow Semi Condensed"/>
          <w:b/>
          <w:bCs/>
          <w:sz w:val="24"/>
          <w:szCs w:val="24"/>
        </w:rPr>
        <w:t xml:space="preserve">Blocco mirato numero 1601 — Oggetto e statuto. Il Secondo Registro aveva collocato il teatro australe entro la Formazione Alfa e ne aveva lasciato non eseguita la metà comparativa, poiché l'architettura dell'opera è per costruzione a 2 formazioni e una sola era stata messa alla prova. Il presente registro esegue la parte mancante. Esso non versa un perimetro nuovo: verifica un'ipotesi, e la verifica si conclude con la sua confutazione.</w:t>
      </w:r>
    </w:p>
    <w:p>
      <w:pPr>
        <w:spacing w:after="120" w:line="276"/>
        <w:jc w:val="both"/>
      </w:pPr>
      <w:r>
        <w:rPr>
          <w:rFonts w:ascii="Barlow Semi Condensed" w:cs="Barlow Semi Condensed" w:eastAsia="Barlow Semi Condensed" w:hAnsi="Barlow Semi Condensed"/>
          <w:b/>
          <w:bCs/>
          <w:sz w:val="24"/>
          <w:szCs w:val="24"/>
        </w:rPr>
        <w:t xml:space="preserve">Blocco mirato numero 1602 — L'ipotesi confutata, riportata nella formulazione in cui fu proposta. Che il Sudafrica costituisca un nodo che attraversa entrambe le formazioni cambiando polarità: allineato al campo occidentale anticomunista nella Formazione Alfa, allineato a Mosca nella Formazione Beta.</w:t>
      </w:r>
    </w:p>
    <w:p>
      <w:pPr>
        <w:spacing w:after="120" w:line="276"/>
        <w:jc w:val="both"/>
      </w:pPr>
      <w:r>
        <w:rPr>
          <w:rFonts w:ascii="Barlow Semi Condensed" w:cs="Barlow Semi Condensed" w:eastAsia="Barlow Semi Condensed" w:hAnsi="Barlow Semi Condensed"/>
          <w:b/>
          <w:bCs/>
          <w:sz w:val="24"/>
          <w:szCs w:val="24"/>
        </w:rPr>
        <w:t xml:space="preserve">Blocco mirato numero 1603 — La procedura seguita, e va enunciata perché è il metodo che ha prodotto l'esito. L'ipotesi fu scritta per esteso nel comando di ricerca insieme all'obiezione che poteva ucciderla, con richiesta espressa di tentare la confutazione anziché la difesa. È la quarta volta nella serie che tale procedura produce la caduta di una proposizione dell'autore, e le 4 volte hanno in comune la medesima circostanza: l'ipotesi era per iscritto e non nella testa di chi cercava.</w:t>
      </w:r>
    </w:p>
    <w:p>
      <w:pPr>
        <w:spacing w:after="120" w:line="276"/>
        <w:jc w:val="both"/>
      </w:pPr>
      <w:r>
        <w:rPr>
          <w:rFonts w:ascii="Barlow Semi Condensed" w:cs="Barlow Semi Condensed" w:eastAsia="Barlow Semi Condensed" w:hAnsi="Barlow Semi Condensed"/>
          <w:b/>
          <w:bCs/>
          <w:sz w:val="24"/>
          <w:szCs w:val="24"/>
        </w:rPr>
        <w:t xml:space="preserve">Blocco mirato numero 1604 — L'obiezione che l'ha uccisa. Se l'African National Congress fu, per l'intera durata dell'apartheid, sostenuto, armato e addestrato dall'Unione Sovietica, e se il South African Communist Party ne fu alleato strutturale, allora il soggetto che governa dal 1994 è il medesimo che negli anni della lotta stava nel campo sovietico. Non inversione di polarità di uno Stato, ma continuità di allineamento di un soggetto politico transitato dall'opposizione armata al potere.</w:t>
      </w:r>
    </w:p>
    <w:p>
      <w:pPr>
        <w:spacing w:after="120" w:line="276"/>
        <w:jc w:val="both"/>
      </w:pPr>
      <w:r>
        <w:rPr>
          <w:rFonts w:ascii="Barlow Semi Condensed" w:cs="Barlow Semi Condensed" w:eastAsia="Barlow Semi Condensed" w:hAnsi="Barlow Semi Condensed"/>
          <w:b/>
          <w:bCs/>
          <w:sz w:val="24"/>
          <w:szCs w:val="24"/>
        </w:rPr>
        <w:t xml:space="preserve">Blocco mirato numero 1605 — L'esito, dichiarato senza attenuazioni. L'obiezione regge e l'ipotesi cade. Livello A quanto ai fatti che la sostengono, esposti ai blocchi 1701 e seguenti.</w:t>
      </w:r>
    </w:p>
    <w:p>
      <w:pPr>
        <w:spacing w:after="120" w:line="276"/>
        <w:jc w:val="both"/>
      </w:pPr>
      <w:r>
        <w:rPr>
          <w:rFonts w:ascii="Barlow Semi Condensed" w:cs="Barlow Semi Condensed" w:eastAsia="Barlow Semi Condensed" w:hAnsi="Barlow Semi Condensed"/>
          <w:b/>
          <w:bCs/>
          <w:sz w:val="24"/>
          <w:szCs w:val="24"/>
        </w:rPr>
        <w:t xml:space="preserve">Blocco mirato numero 1606 — La formulazione corretta che sostituisce l'ipotesi caduta. Il Sudafrica non è un nodo che attraversa le 2 formazioni mutando campo. È lo Stato entro il quale entrambi i fronti della Formazione Alfa coesistevano: il regime bianco anticomunista sul fronte occidentale, il movimento di liberazione filo-sovietico sul fronte opposto. Nel 1994 non mutò l'allineamento di uno Stato: mutò quale dei 2 fronti interni detenesse il potere statale.</w:t>
      </w:r>
    </w:p>
    <w:p>
      <w:pPr>
        <w:spacing w:after="120" w:line="276"/>
        <w:jc w:val="both"/>
      </w:pPr>
      <w:r>
        <w:rPr>
          <w:rFonts w:ascii="Barlow Semi Condensed" w:cs="Barlow Semi Condensed" w:eastAsia="Barlow Semi Condensed" w:hAnsi="Barlow Semi Condensed"/>
          <w:b/>
          <w:bCs/>
          <w:sz w:val="24"/>
          <w:szCs w:val="24"/>
        </w:rPr>
        <w:t xml:space="preserve">Blocco mirato numero 1607 — La conseguenza per l'architettura dell'opera, e va enunciata perché è il guadagno maggiore. Ne discende che il teatro australe è il luogo più ricco per la verifica della tesi diagnostica del volume, poiché contiene entrambi i fronti dentro un solo Stato e ne mostra la traiettoria per 5 decenni. Non un nodo che ruota, ma un contenitore in cui i 2 campi si fronteggiano e si scambiano il potere.</w:t>
      </w:r>
    </w:p>
    <w:p>
      <w:pPr>
        <w:spacing w:after="120" w:line="276"/>
        <w:jc w:val="both"/>
      </w:pPr>
      <w:r>
        <w:rPr>
          <w:rFonts w:ascii="Barlow Semi Condensed" w:cs="Barlow Semi Condensed" w:eastAsia="Barlow Semi Condensed" w:hAnsi="Barlow Semi Condensed"/>
          <w:b/>
          <w:bCs/>
          <w:sz w:val="24"/>
          <w:szCs w:val="24"/>
        </w:rPr>
        <w:t xml:space="preserve">Blocco mirato numero 1608 — Che cosa la confutazione non stabilisce. Essa non nega il riorientamento del Sudafrica verso Mosca dopo il 2010, che i blocchi 1801 e seguenti documentano. Nega soltanto che tale riorientamento costituisca inversione di polarità di uno Stato anziché accesso al potere di un soggetto che quella polarità aveva sempre avuto.</w:t>
      </w:r>
    </w:p>
    <w:p>
      <w:pPr>
        <w:spacing w:after="120" w:line="276"/>
        <w:jc w:val="both"/>
      </w:pPr>
      <w:r>
        <w:rPr>
          <w:rFonts w:ascii="Barlow Semi Condensed" w:cs="Barlow Semi Condensed" w:eastAsia="Barlow Semi Condensed" w:hAnsi="Barlow Semi Condensed"/>
          <w:b/>
          <w:bCs/>
          <w:sz w:val="24"/>
          <w:szCs w:val="24"/>
        </w:rPr>
        <w:t xml:space="preserve">Blocco mirato numero 1609 — Un temperamento che la disciplina impone. La continuità non è né meccanica né immutabile. Il South African Communist Party ha annunciato nel dicembre 2024 la rottura con l'Alleanza tripartita in vista delle amministrative del 2026; l'accordo nucleare con la controparte russa fu annullato dalla magistratura sudafricana nel 2017; e l'orientamento filo-russo incontra vincoli giuridici interni reali. La continuità è tendenza storica documentata, non determinismo.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1610 — Discipline applicate. Sistema Savona 2.1 con grado in linea; notazione a triangolo, rombo e quadrato; tipizzazione degli archi; divieto di trattare la contemporaneità quale prova di nesso e l'appartenenza quale prova di condotta. La disciplina delle persone viventi si applica qui con il massimo rigore, la materia essendo contemporanea: soli fatti pubblici documentati, nessuna inferenza associativa, nessuna attribuzione di intenzioni non dichiarate. Numerazione a blocchi mirati dal 1601, il Secondo Registro essendosi chiuso al 1501.</w:t>
      </w:r>
    </w:p>
    <w:p>
      <w:pPr>
        <w:pStyle w:val="Heading2"/>
        <w:spacing w:after="100" w:before="200"/>
      </w:pPr>
      <w:r>
        <w:rPr>
          <w:rFonts w:ascii="Barlow Semi Condensed" w:cs="Barlow Semi Condensed" w:eastAsia="Barlow Semi Condensed" w:hAnsi="Barlow Semi Condensed"/>
          <w:sz w:val="24"/>
          <w:szCs w:val="24"/>
        </w:rPr>
        <w:t xml:space="preserve">I — I NODI DELLA CONTINUITÀ: IL CAMPO SOVIETICO DENTRO IL SUDAFRICA</w:t>
      </w:r>
    </w:p>
    <w:p>
      <w:pPr>
        <w:spacing w:after="120" w:line="276"/>
        <w:jc w:val="both"/>
      </w:pPr>
      <w:r>
        <w:rPr>
          <w:rFonts w:ascii="Barlow Semi Condensed" w:cs="Barlow Semi Condensed" w:eastAsia="Barlow Semi Condensed" w:hAnsi="Barlow Semi Condensed"/>
          <w:b/>
          <w:bCs/>
          <w:sz w:val="24"/>
          <w:szCs w:val="24"/>
        </w:rPr>
        <w:t xml:space="preserve">Blocco mirato numero 1701 — ◆ Umkhonto we Sizwe. Braccio armato dell'African National Congress, costituito il 16 dicembre 1961 dopo che il massacro di Sharpeville del marzo 1960 aveva chiuso la via nonviolenta. Livello A. Dominio 7.</w:t>
      </w:r>
    </w:p>
    <w:p>
      <w:pPr>
        <w:spacing w:after="120" w:line="276"/>
        <w:jc w:val="both"/>
      </w:pPr>
      <w:r>
        <w:rPr>
          <w:rFonts w:ascii="Barlow Semi Condensed" w:cs="Barlow Semi Condensed" w:eastAsia="Barlow Semi Condensed" w:hAnsi="Barlow Semi Condensed"/>
          <w:b/>
          <w:bCs/>
          <w:sz w:val="24"/>
          <w:szCs w:val="24"/>
        </w:rPr>
        <w:t xml:space="preserve">Blocco mirato numero 1702 — ■ Dicembre 1962: la missione a Mosca. Emissari del South African Communist Party, fra cui Arthur Goldreich, visitarono Mosca e gli Stati del Patto di Varsavia per sollecitare aiuto militare nel quadro dell'Operazione Mayibuye. Livello A, attestato dall'archivio documentale della fondazione intitolata a Nelson Mandela.</w:t>
      </w:r>
    </w:p>
    <w:p>
      <w:pPr>
        <w:spacing w:after="120" w:line="276"/>
        <w:jc w:val="both"/>
      </w:pPr>
      <w:r>
        <w:rPr>
          <w:rFonts w:ascii="Barlow Semi Condensed" w:cs="Barlow Semi Condensed" w:eastAsia="Barlow Semi Condensed" w:hAnsi="Barlow Semi Condensed"/>
          <w:b/>
          <w:bCs/>
          <w:sz w:val="24"/>
          <w:szCs w:val="24"/>
        </w:rPr>
        <w:t xml:space="preserve">Blocco mirato numero 1703 — ■ Dal 1963: l'Unione Sovietica maggiore fornitore. Da tale anno l'URSS divenne il maggiore contributore di materiale bellico e di armi a Umkhonto we Sizwe. Livello A. L'assistenza comprendeva non soltanto l'addestramento ma la fornitura di armi, munizioni, uniformi e di ogni struttura necessaria nei campi militari.</w:t>
      </w:r>
    </w:p>
    <w:p>
      <w:pPr>
        <w:spacing w:after="120" w:line="276"/>
        <w:jc w:val="both"/>
      </w:pPr>
      <w:r>
        <w:rPr>
          <w:rFonts w:ascii="Barlow Semi Condensed" w:cs="Barlow Semi Condensed" w:eastAsia="Barlow Semi Condensed" w:hAnsi="Barlow Semi Condensed"/>
          <w:b/>
          <w:bCs/>
          <w:sz w:val="24"/>
          <w:szCs w:val="24"/>
        </w:rPr>
        <w:t xml:space="preserve">Blocco mirato numero 1704 — ◆ La rete dell'addestramento, ripartita per Paese. Unione Sovietica, Repubblica Democratica Tedesca e Jugoslavia coprirono la maggior parte delle necessità formative nelle aree specializzate; Bulgaria, Ungheria, Cuba e Algeria fornirono addestramenti brevi e altamente specializzati — Cuba e Algeria per le forze speciali, Cuba anche per intelligence e controintelligence, la Bulgaria per la formazione politica, l'Ungheria per quella agricola.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1705 — ■ Novo Catengue, Angola. Base principale di Umkhonto we Sizwe, ove reclute in scaglioni fino a 500 unità furono addestrate da istruttori militari cubani; fra il 1976 e il 1979 vi furono formati oltre 1.000 guerriglieri.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1706 — ■ L'addestramento in Ucraina, e la sua torsione contemporanea. Molti quadri di Umkhonto we Sizwe furono addestrati in territorio dell'attuale Ucraina, con testimonianza di un addestramento iniziale a Odessa nel 1964.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1707 — E qui il registro isola una fattispecie che merita nome proprio. Il fatto dell'addestramento sovietico è oggi invocato nel discorso ufficiale russo e sudafricano a sostegno di una gratitudine verso Mosca; ma l'addestramento avvenne in repubbliche oggi indipendenti e ostili all'invasione.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1708 — Il grado che se ne trae. Non è connessione falsa nel senso già codificato dal corpus, poiché il fatto è vero. È un fatto vero la cui attribuzione geografica e politica viene silenziosamente aggiornata per servire una rivendicazione presente. Si propone di denominarlo fatto trasferito, e di distinguerlo dall'allegazione senza base: là il fatto non esiste; qui esiste e viene trasportato.</w:t>
      </w:r>
    </w:p>
    <w:p>
      <w:pPr>
        <w:spacing w:after="120" w:line="276"/>
        <w:jc w:val="both"/>
      </w:pPr>
      <w:r>
        <w:rPr>
          <w:rFonts w:ascii="Barlow Semi Condensed" w:cs="Barlow Semi Condensed" w:eastAsia="Barlow Semi Condensed" w:hAnsi="Barlow Semi Condensed"/>
          <w:b/>
          <w:bCs/>
          <w:sz w:val="24"/>
          <w:szCs w:val="24"/>
        </w:rPr>
        <w:t xml:space="preserve">Blocco mirato numero 1709 — ▶ Joe Slovo. Fra i primi membri di Umkhonto we Sizwe, capo di stato maggiore fino al 1987, membro del Consiglio rivoluzionario dell'African National Congress dal 1969 al 1983, e ministro per l'edilizia abitativa nel primo governo Mandela nel 1994. Livello A. Domini 2 e 7. È il nodo che incarna materialmente la continuità: il medesimo uomo nel comando armato e nel gabinetto.</w:t>
      </w:r>
    </w:p>
    <w:p>
      <w:pPr>
        <w:spacing w:after="120" w:line="276"/>
        <w:jc w:val="both"/>
      </w:pPr>
      <w:r>
        <w:rPr>
          <w:rFonts w:ascii="Barlow Semi Condensed" w:cs="Barlow Semi Condensed" w:eastAsia="Barlow Semi Condensed" w:hAnsi="Barlow Semi Condensed"/>
          <w:b/>
          <w:bCs/>
          <w:sz w:val="24"/>
          <w:szCs w:val="24"/>
        </w:rPr>
        <w:t xml:space="preserve">Blocco mirato numero 1710 — ▶ Chris Hani. Comandante di Umkhonto we Sizwe e contestualmente segretario generale del South African Communist Party. Livello A. Domini 2 e 7.</w:t>
      </w:r>
    </w:p>
    <w:p>
      <w:pPr>
        <w:spacing w:after="120" w:line="276"/>
        <w:jc w:val="both"/>
      </w:pPr>
      <w:r>
        <w:rPr>
          <w:rFonts w:ascii="Barlow Semi Condensed" w:cs="Barlow Semi Condensed" w:eastAsia="Barlow Semi Condensed" w:hAnsi="Barlow Semi Condensed"/>
          <w:b/>
          <w:bCs/>
          <w:sz w:val="24"/>
          <w:szCs w:val="24"/>
        </w:rPr>
        <w:t xml:space="preserve">Blocco mirato numero 1711 — ■ Il fatto strutturale sul rapporto fra i 2 soggetti. La decisione di avviare la guerriglia — cioè la fondazione stessa di Umkhonto we Sizwe — fu presa dal comitato centrale del South African Communist Party, e da esso soltanto. Livello B, trattandosi di ricostruzione giornalistica sudafricana accreditata e non di verbale.</w:t>
      </w:r>
    </w:p>
    <w:p>
      <w:pPr>
        <w:spacing w:after="120" w:line="276"/>
        <w:jc w:val="both"/>
      </w:pPr>
      <w:r>
        <w:rPr>
          <w:rFonts w:ascii="Barlow Semi Condensed" w:cs="Barlow Semi Condensed" w:eastAsia="Barlow Semi Condensed" w:hAnsi="Barlow Semi Condensed"/>
          <w:b/>
          <w:bCs/>
          <w:sz w:val="24"/>
          <w:szCs w:val="24"/>
        </w:rPr>
        <w:t xml:space="preserve">Blocco mirato numero 1712 — ◆ L'Alleanza tripartita, e la sua incrinatura recente. Istituzionalizzata dopo il 1994 fra African National Congress, South African Communist Party e la confederazione sindacale, con radici nella Congress Alliance degli anni Cinquanta. Livello A. Nel dicembre 2024 il partito comunista annunciò che avrebbe contestato autonomamente le elezioni, in particolare le amministrative del 2026, dopo che l'African National Congress, sceso al 40 per cento alle elezioni del 2024, aveva formato un governo di unità nazionale con la Democratic Alliance. Livello B.</w:t>
      </w:r>
    </w:p>
    <w:p>
      <w:pPr>
        <w:pStyle w:val="Heading2"/>
        <w:spacing w:after="100" w:before="200"/>
      </w:pPr>
      <w:r>
        <w:rPr>
          <w:rFonts w:ascii="Barlow Semi Condensed" w:cs="Barlow Semi Condensed" w:eastAsia="Barlow Semi Condensed" w:hAnsi="Barlow Semi Condensed"/>
          <w:sz w:val="24"/>
          <w:szCs w:val="24"/>
        </w:rPr>
        <w:t xml:space="preserve">II — I NODI-EVENTO DELLA FORMAZIONE BETA</w:t>
      </w:r>
    </w:p>
    <w:p>
      <w:pPr>
        <w:spacing w:after="120" w:line="276"/>
        <w:jc w:val="both"/>
      </w:pPr>
      <w:r>
        <w:rPr>
          <w:rFonts w:ascii="Barlow Semi Condensed" w:cs="Barlow Semi Condensed" w:eastAsia="Barlow Semi Condensed" w:hAnsi="Barlow Semi Condensed"/>
          <w:b/>
          <w:bCs/>
          <w:sz w:val="24"/>
          <w:szCs w:val="24"/>
        </w:rPr>
        <w:t xml:space="preserve">Blocco mirato numero 1801 — ■ 24 dicembre 2010 e 14 aprile 2011: l'ingresso nei BRICS. Il Sudafrica fu invitato ad aderire il 24 dicembre 2010, con prima partecipazione al terzo vertice a Sanya, Hainan, il 14 aprile 2011, sotto la presidenza di Jacob Zuma. Livello A; le fonti divergono lievemente sulla data da assumere quale accessione, e la divergenza si riporta. Dominio 2.</w:t>
      </w:r>
    </w:p>
    <w:p>
      <w:pPr>
        <w:spacing w:after="120" w:line="276"/>
        <w:jc w:val="both"/>
      </w:pPr>
      <w:r>
        <w:rPr>
          <w:rFonts w:ascii="Barlow Semi Condensed" w:cs="Barlow Semi Condensed" w:eastAsia="Barlow Semi Condensed" w:hAnsi="Barlow Semi Condensed"/>
          <w:b/>
          <w:bCs/>
          <w:sz w:val="24"/>
          <w:szCs w:val="24"/>
        </w:rPr>
        <w:t xml:space="preserve">Blocco mirato numero 1802 — ■ 2014: l'accordo nucleare. Accordo intergovernativo fra la società nucleare statale russa e l'utility elettrica sudafricana per 9.600 megawatt di capacità, di valore stimato dalla stampa attorno a mille miliardi di rand, promosso personalmente dal presidente in carica e non sottoposto all'approvazione del Parlamento. Livello A. Domini 2 e 6.</w:t>
      </w:r>
    </w:p>
    <w:p>
      <w:pPr>
        <w:spacing w:after="120" w:line="276"/>
        <w:jc w:val="both"/>
      </w:pPr>
      <w:r>
        <w:rPr>
          <w:rFonts w:ascii="Barlow Semi Condensed" w:cs="Barlow Semi Condensed" w:eastAsia="Barlow Semi Condensed" w:hAnsi="Barlow Semi Condensed"/>
          <w:b/>
          <w:bCs/>
          <w:sz w:val="24"/>
          <w:szCs w:val="24"/>
        </w:rPr>
        <w:t xml:space="preserve">Blocco mirato numero 1803 — ■ 26 aprile 2017: l'annullamento giudiziario, ed è il nodo che più incrina l'immagine di allineamento monolitico. L'Alta Corte del Capo Occidentale, con sentenza del giudice Lee Bozalek, dichiarò l'accordo illegittimo e incostituzionale per la mancata tabulazione parlamentare ai sensi della sezione 231 della Costituzione, annullandolo insieme alle determinazioni ministeriali del 2013 e del 2016.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1804 — La motivazione, riportata perché qualifica l'atto. Il giudice osservò che visto nel suo insieme, l'accordo russo sta ben al di fuori della categoria di un ampio accordo di cooperazione nucleare, e collocava le parti sulla via di un accordo vincolante ed esclusivo.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1805 — La conseguenza analitica. La magistratura sudafricana, organo indipendente del medesimo Stato, arrestò un progetto strategico russo. Ne discende che l'allineamento di Pretoria con Mosca incontra contropoteri interni effettivi, e che descriverlo come monolitico sarebbe scorretto.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1806 — ■ 6-9 dicembre 2022: la Lady R a Simon's Town. La nave cargo di bandiera russa, inserita dagli Stati Uniti l'8 maggio 2022 nella lista delle navi sanzionate per trasporto di munizioni dalla Corea del Nord alla Federazione Russa, attraccò alla base navale presso Città del Capo. Livello A quanto all'attracco e alla sanzione.</w:t>
      </w:r>
    </w:p>
    <w:p>
      <w:pPr>
        <w:spacing w:after="120" w:line="276"/>
        <w:jc w:val="both"/>
      </w:pPr>
      <w:r>
        <w:rPr>
          <w:rFonts w:ascii="Barlow Semi Condensed" w:cs="Barlow Semi Condensed" w:eastAsia="Barlow Semi Condensed" w:hAnsi="Barlow Semi Condensed"/>
          <w:b/>
          <w:bCs/>
          <w:sz w:val="24"/>
          <w:szCs w:val="24"/>
        </w:rPr>
        <w:t xml:space="preserve">Blocco mirato numero 1807 — L'accusa e la sua qualificazione probatoria, che va tenuta ferma. Nel maggio 2023 l'ambasciatore statunitense Reuben Brigety dichiarò che Washington era fiduciosa che armi fossero state caricate. È dichiarazione ufficiale di un ambasciatore, non accertamento probatorio. La ministra degli Esteri Naledi Pandor lo convocò formalmente.</w:t>
      </w:r>
    </w:p>
    <w:p>
      <w:pPr>
        <w:spacing w:after="120" w:line="276"/>
        <w:jc w:val="both"/>
      </w:pPr>
      <w:r>
        <w:rPr>
          <w:rFonts w:ascii="Barlow Semi Condensed" w:cs="Barlow Semi Condensed" w:eastAsia="Barlow Semi Condensed" w:hAnsi="Barlow Semi Condensed"/>
          <w:b/>
          <w:bCs/>
          <w:sz w:val="24"/>
          <w:szCs w:val="24"/>
        </w:rPr>
        <w:t xml:space="preserve">Blocco mirato numero 1808 — L'inchiesta e il suo esito. Panel indipendente istituito l'11 maggio 2023 e nominato il 28 maggio 2023, composto dal giudice in pensione Phineas Mojapelo quale presidente, dall'avvocata Leah Gcabashe e da Enver Surty. Indagine completata nel luglio 2023, sommario pubblico nel settembre 2023. Conclusione: nonostante alcune voci secondo cui attrezzature o armi sarebbero state caricate, il panel non ha trovato alcuna prova a sostegno di tali affermazioni. Livello A quanto alla conclusione del panel.</w:t>
      </w:r>
    </w:p>
    <w:p>
      <w:pPr>
        <w:spacing w:after="120" w:line="276"/>
        <w:jc w:val="both"/>
      </w:pPr>
      <w:r>
        <w:rPr>
          <w:rFonts w:ascii="Barlow Semi Condensed" w:cs="Barlow Semi Condensed" w:eastAsia="Barlow Semi Condensed" w:hAnsi="Barlow Semi Condensed"/>
          <w:b/>
          <w:bCs/>
          <w:sz w:val="24"/>
          <w:szCs w:val="24"/>
        </w:rPr>
        <w:t xml:space="preserve">Blocco mirato numero 1809 — La qualificazione che ne discende, e va rispettata. L'allegazione di fornitura di armi alla Russia via Lady R resta non provata. Presentarla quale fatto accertato sarebbe scorretto. Il portavoce dell'ambasciata statunitense espresse apprezzamento per la serietà dell'inchiesta. Restano rilievi giornalistici sulla riservatezza dell'inchiesta e sul trasporto dei container, che non equivalgono a prova contraria. Livello C quanto a tali rilievi.</w:t>
      </w:r>
    </w:p>
    <w:p>
      <w:pPr>
        <w:spacing w:after="120" w:line="276"/>
        <w:jc w:val="both"/>
      </w:pPr>
      <w:r>
        <w:rPr>
          <w:rFonts w:ascii="Barlow Semi Condensed" w:cs="Barlow Semi Condensed" w:eastAsia="Barlow Semi Condensed" w:hAnsi="Barlow Semi Condensed"/>
          <w:b/>
          <w:bCs/>
          <w:sz w:val="24"/>
          <w:szCs w:val="24"/>
        </w:rPr>
        <w:t xml:space="preserve">Blocco mirato numero 1810 — ■ 17-27 febbraio 2023: l'esercitazione Mosi II. Esercitazione navale trilaterale con Russia e Cina al largo di Durban e Richards Bay, con oltre 350 militari sudafricani e la fregata Admiral Gorshkov, in prossimità del primo anniversario dell'invasione dell'Ucraina. Livello A. Le speculazioni della stampa su un test del missile ipersonico non trovarono conferma: il lancio non ebbe luogo. Livello A quanto al mancato lancio.</w:t>
      </w:r>
    </w:p>
    <w:p>
      <w:pPr>
        <w:spacing w:after="120" w:line="276"/>
        <w:jc w:val="both"/>
      </w:pPr>
      <w:r>
        <w:rPr>
          <w:rFonts w:ascii="Barlow Semi Condensed" w:cs="Barlow Semi Condensed" w:eastAsia="Barlow Semi Condensed" w:hAnsi="Barlow Semi Condensed"/>
          <w:b/>
          <w:bCs/>
          <w:sz w:val="24"/>
          <w:szCs w:val="24"/>
        </w:rPr>
        <w:t xml:space="preserve">Blocco mirato numero 1811 — ■ Le astensioni sull'Ucraina. Il Sudafrica si astenne sulle risoluzioni dell'Assemblea generale ES-11/1 del 2 marzo 2022, ES-11/4 del 12 ottobre 2022, ES-11/5 del 14 novembre 2022 ed ES-11/6 del 23 febbraio 2023, motivando ogni volta con la preferenza per diplomazia e dialogo. Livello A. Fra le 5 nazioni BRICS, soltanto il Brasile votò a favore della prima.</w:t>
      </w:r>
    </w:p>
    <w:p>
      <w:pPr>
        <w:spacing w:after="120" w:line="276"/>
        <w:jc w:val="both"/>
      </w:pPr>
      <w:r>
        <w:rPr>
          <w:rFonts w:ascii="Barlow Semi Condensed" w:cs="Barlow Semi Condensed" w:eastAsia="Barlow Semi Condensed" w:hAnsi="Barlow Semi Condensed"/>
          <w:b/>
          <w:bCs/>
          <w:sz w:val="24"/>
          <w:szCs w:val="24"/>
        </w:rPr>
        <w:t xml:space="preserve">Blocco mirato numero 1812 — ■ 17 marzo 2023 e agosto 2023: il mandato e il vertice. La Camera preliminare seconda della Corte penale internazionale emise mandati d'arresto per il crimine di guerra di deportazione illecita di popolazione, bambini, dalle aree occupate dell'Ucraina. Livello A. Il 19 luglio 2023 l'ufficio presidenziale annunciò che, per mutuo accordo, il presidente russo non avrebbe partecipato di persona al vertice di Johannesburg del 22-24 agosto, sostituito dal ministro degli Esteri e intervenuto in video per 17 minuti. Livello A. Un affidavit presidenziale reso pubblico il 18 luglio affermava che la Russia aveva chiarito che arrestare il suo presidente in carica sarebbe una dichiarazione di guerra; il Cremlino smentì di aver comunicato tale avvertimento. La divergenza si riporta e non si compone.</w:t>
      </w:r>
    </w:p>
    <w:p>
      <w:pPr>
        <w:pStyle w:val="Heading2"/>
        <w:spacing w:after="100" w:before="200"/>
      </w:pPr>
      <w:r>
        <w:rPr>
          <w:rFonts w:ascii="Barlow Semi Condensed" w:cs="Barlow Semi Condensed" w:eastAsia="Barlow Semi Condensed" w:hAnsi="Barlow Semi Condensed"/>
          <w:sz w:val="24"/>
          <w:szCs w:val="24"/>
        </w:rPr>
        <w:t xml:space="preserve">III — IL NODO ITALIANO NELLA FASE BETA E LA POLARITÀ INVERTITA DELL'ATTORE</w:t>
      </w:r>
    </w:p>
    <w:p>
      <w:pPr>
        <w:spacing w:after="120" w:line="276"/>
        <w:jc w:val="both"/>
      </w:pPr>
      <w:r>
        <w:rPr>
          <w:rFonts w:ascii="Barlow Semi Condensed" w:cs="Barlow Semi Condensed" w:eastAsia="Barlow Semi Condensed" w:hAnsi="Barlow Semi Condensed"/>
          <w:b/>
          <w:bCs/>
          <w:sz w:val="24"/>
          <w:szCs w:val="24"/>
        </w:rPr>
        <w:t xml:space="preserve">Blocco mirato numero 1901 — La domanda.\\ Il Primo Registro ha versato quale ponte principale la catena Bristol Siddeley, Piaggio, Atlas. \\Si chiede se tale ponte abbia un successore nella fase contemporanea, e con quale polarità.</w:t>
      </w:r>
    </w:p>
    <w:p>
      <w:pPr>
        <w:spacing w:after="120" w:line="276"/>
        <w:jc w:val="both"/>
      </w:pPr>
      <w:r>
        <w:rPr>
          <w:rFonts w:ascii="Barlow Semi Condensed" w:cs="Barlow Semi Condensed" w:eastAsia="Barlow Semi Condensed" w:hAnsi="Barlow Semi Condensed"/>
          <w:b/>
          <w:bCs/>
          <w:sz w:val="24"/>
          <w:szCs w:val="24"/>
        </w:rPr>
        <w:t xml:space="preserve">Blocco mirato numero 1902 — ◆ Il nodo successore esiste ed è nominato. Il gruppo Leonardo, già Finmeccanica e casa madre tanto di Alenia Aermacchi quanto di AgustaWestland, intrattiene con il Sudafrica una relazione contemporanea documentata, incentrata sul comparto elicotteristico. Livello A, ancorché la fonte sia in prevalenza il comunicato aziendale, di natura promozionale, e vada come tale qualificata. Dominio 6.</w:t>
      </w:r>
    </w:p>
    <w:p>
      <w:pPr>
        <w:spacing w:after="120" w:line="276"/>
        <w:jc w:val="both"/>
      </w:pPr>
      <w:r>
        <w:rPr>
          <w:rFonts w:ascii="Barlow Semi Condensed" w:cs="Barlow Semi Condensed" w:eastAsia="Barlow Semi Condensed" w:hAnsi="Barlow Semi Condensed"/>
          <w:b/>
          <w:bCs/>
          <w:sz w:val="24"/>
          <w:szCs w:val="24"/>
        </w:rPr>
        <w:t xml:space="preserve">Blocco mirato numero 1903 — ■ 21 agosto 2020: l'acquisizione di Wonderboom. Leonardo acquisì Precision Aviation Services presso l'aeroporto di Wonderboom a Pretoria: 2.275 metri quadrati, già operante da 25 anni quale centro autorizzato, divenuto il primo Leonardo Excellent Service Centre del continente, a supporto di oltre 120 elicotteri operanti nel mercato civile dell'Africa subsahariana.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1904 — ■ 2012: il richiamo esplicito all'eredità Impala. All'esposizione aerospaziale di Tshwane, Denel e Alenia Aermacchi firmarono un memorandum d'intesa; l'amministratore delegato Giuseppe Giordo richiamò espressamente la fruttuosa collaborazione industriale in Sudafrica con più di 250 addestratori e velivoli d'attacco leggero Impala. Livello A quanto alla dichiarazione. Si tratta di accordo-quadro e non di contratto di produzione fermo, e la distinzione va mantenuta.</w:t>
      </w:r>
    </w:p>
    <w:p>
      <w:pPr>
        <w:spacing w:after="120" w:line="276"/>
        <w:jc w:val="both"/>
      </w:pPr>
      <w:r>
        <w:rPr>
          <w:rFonts w:ascii="Barlow Semi Condensed" w:cs="Barlow Semi Condensed" w:eastAsia="Barlow Semi Condensed" w:hAnsi="Barlow Semi Condensed"/>
          <w:b/>
          <w:bCs/>
          <w:sz w:val="24"/>
          <w:szCs w:val="24"/>
        </w:rPr>
        <w:t xml:space="preserve">Blocco mirato numero 1905 — ■ Il ponte Alfa è materialmente estinto. La flotta Impala fu ritirata attorno al 2005 e sostituita dai Pilatus PC-7 Mk II; alcune cellule furono cedute al Brasile o al circuito dei velivoli storici. Non sussiste alcuna relazione di supporto Leonardo per l'Impala.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1906 — Ne discende un reperto di struttura. Il ponte del 1964 è materialmente estinto mentre il nodo societario che lo generò persiste e si è ampliato. Il legame fra i 2 non è di continuità operativa ma di sola successione societaria e di memoria aziendale rivendicata, come il richiamo del 2012 documenta.</w:t>
      </w:r>
    </w:p>
    <w:p>
      <w:pPr>
        <w:spacing w:after="120" w:line="276"/>
        <w:jc w:val="both"/>
      </w:pPr>
      <w:r>
        <w:rPr>
          <w:rFonts w:ascii="Barlow Semi Condensed" w:cs="Barlow Semi Condensed" w:eastAsia="Barlow Semi Condensed" w:hAnsi="Barlow Semi Condensed"/>
          <w:b/>
          <w:bCs/>
          <w:sz w:val="24"/>
          <w:szCs w:val="24"/>
        </w:rPr>
        <w:t xml:space="preserve">Blocco mirato numero 1907 — E adesso il reperto maggiore di questa sezione, che è di polarità.\\ \\L'attore industriale italiano non ha mutato collocazione; è mutato il terreno sotto di esso.</w:t>
      </w:r>
    </w:p>
    <w:p>
      <w:pPr>
        <w:spacing w:after="120" w:line="276"/>
        <w:jc w:val="both"/>
      </w:pPr>
      <w:r>
        <w:rPr>
          <w:rFonts w:ascii="Barlow Semi Condensed" w:cs="Barlow Semi Condensed" w:eastAsia="Barlow Semi Condensed" w:hAnsi="Barlow Semi Condensed"/>
          <w:b/>
          <w:bCs/>
          <w:sz w:val="24"/>
          <w:szCs w:val="24"/>
        </w:rPr>
        <w:t xml:space="preserve">Blocco mirato numero 1908 — La formulazione. Nella Formazione Alfa, l'impresa italiana riforniva un regime allineato contro Mosca, e l'Italia apparteneva al medesimo campo. Nella Formazione Beta, il gruppo successore opera in un Paese il cui governo è allineato con Mosca, mentre l'Italia è saldamente atlantica. Livello A quanto ai 2 quadri.</w:t>
      </w:r>
    </w:p>
    <w:p>
      <w:pPr>
        <w:spacing w:after="120" w:line="276"/>
        <w:jc w:val="both"/>
      </w:pPr>
      <w:r>
        <w:rPr>
          <w:rFonts w:ascii="Barlow Semi Condensed" w:cs="Barlow Semi Condensed" w:eastAsia="Barlow Semi Condensed" w:hAnsi="Barlow Semi Condensed"/>
          <w:b/>
          <w:bCs/>
          <w:sz w:val="24"/>
          <w:szCs w:val="24"/>
        </w:rPr>
        <w:t xml:space="preserve">Blocco mirato numero 1909 — La conseguenza. Il nodo italiano è dunque il termine costante del confronto: presente in entrambe le formazioni, di collocazione occidentale in entrambe, e passato dall'essere allineato con il governo sudafricano all'esserne divergente — senza aver compiuto alcun movimento proprio. Livello B, trattandosi di lettura strutturale e non di documento.</w:t>
      </w:r>
    </w:p>
    <w:p>
      <w:pPr>
        <w:spacing w:after="120" w:line="276"/>
        <w:jc w:val="both"/>
      </w:pPr>
      <w:r>
        <w:rPr>
          <w:rFonts w:ascii="Barlow Semi Condensed" w:cs="Barlow Semi Condensed" w:eastAsia="Barlow Semi Condensed" w:hAnsi="Barlow Semi Condensed"/>
          <w:b/>
          <w:bCs/>
          <w:sz w:val="24"/>
          <w:szCs w:val="24"/>
        </w:rPr>
        <w:t xml:space="preserve">Blocco mirato numero 1910 — La cornice bilaterale, per completezza. L'accordo di cooperazione italo-sudafricano in materia di difesa risale al 10 luglio 1997, integrato da accordo tecnico con la corporazione armamenti sudafricana del 19 novembre 1998, tuttora in vigore. Nel novembre 2024 si tennero a Roma consultazioni politiche bilaterali, con richiamo a un interscambio di 4,5 miliardi di euro nel 2023.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1911 — Un esito negativo va dichiarato. Non è stata reperita una frizione bilaterale formalizzata fra Roma e Pretoria sul dossier ucraino. La divergenza è documentabile sul piano dei rispettivi allineamenti, non come disputa esplicita. Sede: archivi della Farnesina e del ministero degli esteri sudafricano.</w:t>
      </w:r>
    </w:p>
    <w:p>
      <w:pPr>
        <w:spacing w:after="120" w:line="276"/>
        <w:jc w:val="both"/>
      </w:pPr>
      <w:r>
        <w:rPr>
          <w:rFonts w:ascii="Barlow Semi Condensed" w:cs="Barlow Semi Condensed" w:eastAsia="Barlow Semi Condensed" w:hAnsi="Barlow Semi Condensed"/>
          <w:b/>
          <w:bCs/>
          <w:sz w:val="24"/>
          <w:szCs w:val="24"/>
        </w:rPr>
        <w:t xml:space="preserve">Blocco mirato numero 1912 — Un secondo esito negativo, quantitativo. La quantificazione in valore dei contratti Leonardo con il Sudafrica non è stata reperita oltre i comunicati aziendali. Sedi: banca dati dei trasferimenti di armamenti dell'istituto di Stoccolma, bilanci del gruppo, atti della corporazione armamenti sudafricana.</w:t>
      </w:r>
    </w:p>
    <w:p>
      <w:pPr>
        <w:pStyle w:val="Heading2"/>
        <w:spacing w:after="100" w:before="200"/>
      </w:pPr>
      <w:r>
        <w:rPr>
          <w:rFonts w:ascii="Barlow Semi Condensed" w:cs="Barlow Semi Condensed" w:eastAsia="Barlow Semi Condensed" w:hAnsi="Barlow Semi Condensed"/>
          <w:sz w:val="24"/>
          <w:szCs w:val="24"/>
        </w:rPr>
        <w:t xml:space="preserve">IV — IL TEST SULLA TESI DIAGNOSTICA</w:t>
      </w:r>
    </w:p>
    <w:p>
      <w:pPr>
        <w:spacing w:after="120" w:line="276"/>
        <w:jc w:val="both"/>
      </w:pPr>
      <w:r>
        <w:rPr>
          <w:rFonts w:ascii="Barlow Semi Condensed" w:cs="Barlow Semi Condensed" w:eastAsia="Barlow Semi Condensed" w:hAnsi="Barlow Semi Condensed"/>
          <w:b/>
          <w:bCs/>
          <w:sz w:val="24"/>
          <w:szCs w:val="24"/>
        </w:rPr>
        <w:t xml:space="preserve">Blocco mirato numero 2001 — La tesi da verificare. L'Edizione Integrata enuncia quale evidenza diagnostica centrale che nelle 2 formazioni Stati Uniti e Russia si trovano su fronti opposti, e che non esiste riscontro a un condominio operativo fra le 2 potenze.</w:t>
      </w:r>
    </w:p>
    <w:p>
      <w:pPr>
        <w:spacing w:after="120" w:line="276"/>
        <w:jc w:val="both"/>
      </w:pPr>
      <w:r>
        <w:rPr>
          <w:rFonts w:ascii="Barlow Semi Condensed" w:cs="Barlow Semi Condensed" w:eastAsia="Barlow Semi Condensed" w:hAnsi="Barlow Semi Condensed"/>
          <w:b/>
          <w:bCs/>
          <w:sz w:val="24"/>
          <w:szCs w:val="24"/>
        </w:rPr>
        <w:t xml:space="preserve">Blocco mirato numero 2002 — Il quadro Alfa, riportato per intero perché è il termine di paragone. Su un fronte: Unione Sovietica, Cuba, African National Congress, SWAPO e MPLA. Sull'altro: Sudafrica, UNITA, FNLA e — per il tramite del sostegno a UNITA — gli Stati Uniti.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2003 — ■ L'intervento cubano, con le divergenze mantenute. Operazione Carlota avviata il 5 novembre 1975. Sull'entità le fonti divergono: oltre 25.000 soldati a fine 1975 secondo una sintesi, oltre 18.000 secondo l'opera monografica di Edward George; per il 1988 le stime oscillano fra 55.000 e 60.000, con 50.000 convenuti in sede negoziale.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Blocco mirato numero 2004 — ■ Cuito Cuanavale e l'accordo tripartito. Scontro decisivo fra la fine del 1987 e la primavera del 1988, con partecipazione diretta di unità corazzate e motorizzate cubane. L'Accordo tripartito del 1988 avviò il ritiro delle forze cubane e sudafricane e aprì la via all'indipendenza namibiana del 21 marzo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2005 — Il quadro Beta, e la polarità resta opposta. Da un lato la Russia proietta potenza in Africa attraverso le strutture esaminate ai blocchi seguenti, coltiva con Pretoria BRICS, esercitazioni navali e diplomazia convergente. Dall'altro gli Stati Uniti sono entrati in conflitto aperto con Pretoria: congelamento degli aiuti nel febbraio 2025 con ordine esecutivo, contestazione della legge sull'esproprio, offerta di reinsediamento agli afrikaner.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2006 — ◆ Il gruppo Wagner in Mozambico, ed è il solo teatro australe proprio della fase Beta. Nel settembre 2019 203 mercenari giunsero nel nord del Paese sbarcando all'aeroporto di Nacala e dispiegandosi in Cabo Delgado, con 3 elicotteri Mi-171Sh, dopo un incontro dell'agosto 2019 fra i 2 capi di Stato.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2007 — L'esito, rapido e fallimentare. 11 uccisi e 25 feriti in poche settimane, in un terreno di boscaglia che neutralizzava il vantaggio di elicotteri e sorveglianza elettronica; gli insorti penetrarono nel campo indossando uniformi dell'esercito mozambicano. Ritiro entro il novembre 2019, operazione dichiarata non redditizia; il numero complessivo di caduti nel teatro è indicato in 12 da altra fonte, e la divergenza si riporta. Livello B.</w:t>
      </w:r>
    </w:p>
    <w:p>
      <w:pPr>
        <w:spacing w:after="120" w:line="276"/>
        <w:jc w:val="both"/>
      </w:pPr>
      <w:r>
        <w:rPr>
          <w:rFonts w:ascii="Barlow Semi Condensed" w:cs="Barlow Semi Condensed" w:eastAsia="Barlow Semi Condensed" w:hAnsi="Barlow Semi Condensed"/>
          <w:b/>
          <w:bCs/>
          <w:sz w:val="24"/>
          <w:szCs w:val="24"/>
        </w:rPr>
        <w:t xml:space="preserve">Blocco mirato numero 2008 — ◆ L'Africa Corps. Dopo l'agosto 2023 le operazioni russe sono transitate verso una struttura posta sotto il comando diretto del ministero della Difesa, operante in almeno 6 nazioni africane con configurazioni disomogenee: la Libia ha pienamente adottato il modello; nella Repubblica Centrafricana persistono elementi precedenti sotto nuovi comandanti; Niger e Burkina Faso hanno firmato i primi contratti nel 2024; il Sudan presenta situazione ambigua. Livello B.</w:t>
      </w:r>
    </w:p>
    <w:p>
      <w:pPr>
        <w:spacing w:after="120" w:line="276"/>
        <w:jc w:val="both"/>
      </w:pPr>
      <w:r>
        <w:rPr>
          <w:rFonts w:ascii="Barlow Semi Condensed" w:cs="Barlow Semi Condensed" w:eastAsia="Barlow Semi Condensed" w:hAnsi="Barlow Semi Condensed"/>
          <w:b/>
          <w:bCs/>
          <w:sz w:val="24"/>
          <w:szCs w:val="24"/>
        </w:rPr>
        <w:t xml:space="preserve">Blocco mirato numero 2009 — L'esito del test, formulato. Il dossier australe conferma la tesi diagnostica senza eccezioni. Nella Formazione Alfa i 2 fronti erano netti e opposti; nella Beta la polarità resta opposta e si è acuita. Non esiste, nel dossier esaminato, alcun riscontro a un condominio operativo russo-americano. Livello A quanto ai reperti, Livello B quanto alla conclusione.</w:t>
      </w:r>
    </w:p>
    <w:p>
      <w:pPr>
        <w:spacing w:after="120" w:line="276"/>
        <w:jc w:val="both"/>
      </w:pPr>
      <w:r>
        <w:rPr>
          <w:rFonts w:ascii="Barlow Semi Condensed" w:cs="Barlow Semi Condensed" w:eastAsia="Barlow Semi Condensed" w:hAnsi="Barlow Semi Condensed"/>
          <w:b/>
          <w:bCs/>
          <w:sz w:val="24"/>
          <w:szCs w:val="24"/>
        </w:rPr>
        <w:t xml:space="preserve">Blocco mirato numero 2010 — E qui il registro enuncia il guadagno che la confutazione ha reso possibile. Se il Sudafrica fosse stato un nodo che ruota, esso avrebbe potuto essere invocato quale indizio di un ordine sovrastante che dispone dei Paesi terzi. Poiché invece esso è lo Stato in cui i 2 fronti coesistevano e nel 1994 si sono scambiati il potere, esso prova l'esatto contrario: che i 2 campi erano reali, distinti e in conflitto, al punto da dividere in 2 un solo Paese per 5 decenni. Livello B.</w:t>
      </w:r>
    </w:p>
    <w:p>
      <w:pPr>
        <w:pStyle w:val="Heading2"/>
        <w:spacing w:after="100" w:before="200"/>
      </w:pPr>
      <w:r>
        <w:rPr>
          <w:rFonts w:ascii="Barlow Semi Condensed" w:cs="Barlow Semi Condensed" w:eastAsia="Barlow Semi Condensed" w:hAnsi="Barlow Semi Condensed"/>
          <w:sz w:val="24"/>
          <w:szCs w:val="24"/>
        </w:rPr>
        <w:t xml:space="preserve">V — I VERSANTI TEDESCO E VATICANO NELLA FASE BETA, E LA TAVOLA</w:t>
      </w:r>
    </w:p>
    <w:p>
      <w:pPr>
        <w:spacing w:after="120" w:line="276"/>
        <w:jc w:val="both"/>
      </w:pPr>
      <w:r>
        <w:rPr>
          <w:rFonts w:ascii="Barlow Semi Condensed" w:cs="Barlow Semi Condensed" w:eastAsia="Barlow Semi Condensed" w:hAnsi="Barlow Semi Condensed"/>
          <w:b/>
          <w:bCs/>
          <w:sz w:val="24"/>
          <w:szCs w:val="24"/>
        </w:rPr>
        <w:t xml:space="preserve">Blocco mirato numero 2101 — ◆ La Hanns-Seidel-Stiftung in Sudafrica. Operante dal 1991, inizialmente da Johannesburg, con apertura di un ufficio a Città del Capo indicata dalle fonti nel 2018. Partner documentati: l'ufficio cattolico di collegamento parlamentare, la fondazione intitolata a Desmond e Leah Tutu, l'Institute for Security Studies, il Dullah Omar Institute dell'Università del Western Cape, la School of Public Leadership di Stellenbosch e il centro Tayarisha della Wits School of Governance. Livello A.</w:t>
      </w:r>
    </w:p>
    <w:p>
      <w:pPr>
        <w:spacing w:after="120" w:line="276"/>
        <w:jc w:val="both"/>
      </w:pPr>
      <w:r>
        <w:rPr>
          <w:rFonts w:ascii="Barlow Semi Condensed" w:cs="Barlow Semi Condensed" w:eastAsia="Barlow Semi Condensed" w:hAnsi="Barlow Semi Condensed"/>
          <w:b/>
          <w:bCs/>
          <w:sz w:val="24"/>
          <w:szCs w:val="24"/>
        </w:rPr>
        <w:t xml:space="preserve">Blocco mirato numero 2102 — Il quadro che ne emerge, e va enunciato perché chiude una voce del Primo Registro. Impegno civico-democratico stabile e cooperativo, privo di frizioni sul dossier russo e coerente con la collocazione occidentale della Germania. Livello A. Esito negativo dichiarato: non sono emerse prese di posizione tedesche specificamente critiche verso l'orientamento russo di Pretoria. Sede: archivi del ministero degli esteri federale.</w:t>
      </w:r>
    </w:p>
    <w:p>
      <w:pPr>
        <w:spacing w:after="120" w:line="276"/>
        <w:jc w:val="both"/>
      </w:pPr>
      <w:r>
        <w:rPr>
          <w:rFonts w:ascii="Barlow Semi Condensed" w:cs="Barlow Semi Condensed" w:eastAsia="Barlow Semi Condensed" w:hAnsi="Barlow Semi Condensed"/>
          <w:b/>
          <w:bCs/>
          <w:sz w:val="24"/>
          <w:szCs w:val="24"/>
        </w:rPr>
        <w:t xml:space="preserve">Blocco mirato numero 2103 — ■ 8 novembre 2025: l'udienza pontificia. Il Pontefice ricevette in Vaticano il presidente sudafricano, accompagnato dal ministro degli esteri. Il comunicato della Sala Stampa attesta cordiali colloqui e reciproco apprezzamento per il prezioso contributo che la Chiesa cattolica offre al Sudafrica, in particolare nei settori dell'istruzione e della sanità, e per il suo costante impegno a favorire il dialogo e la riconciliazione. Livello A. In tale occasione fu rinnovato l'invito a visitare il Paese.</w:t>
      </w:r>
    </w:p>
    <w:p>
      <w:pPr>
        <w:spacing w:after="120" w:line="276"/>
        <w:jc w:val="both"/>
      </w:pPr>
      <w:r>
        <w:rPr>
          <w:rFonts w:ascii="Barlow Semi Condensed" w:cs="Barlow Semi Condensed" w:eastAsia="Barlow Semi Condensed" w:hAnsi="Barlow Semi Condensed"/>
          <w:b/>
          <w:bCs/>
          <w:sz w:val="24"/>
          <w:szCs w:val="24"/>
        </w:rPr>
        <w:t xml:space="preserve">Blocco mirato numero 2104 — Il raccordo con il Primo Registro. Il ponte negato per 72 anni, esposto al blocco 407, è oggi relazione ordinaria e cordiale: nunziatura a Pretoria, con giurisdizione estesa a Lesotho, Namibia ed Eswatini. L'unica visita papale al Paese resta quella del 1995. Livello A.</w:t>
      </w:r>
    </w:p>
    <w:p>
      <w:pPr>
        <w:spacing w:after="120" w:line="276"/>
        <w:jc w:val="both"/>
      </w:pPr>
      <w:r>
        <w:rPr>
          <w:rFonts w:ascii="Barlow Semi Condensed" w:cs="Barlow Semi Condensed" w:eastAsia="Barlow Semi Condensed" w:hAnsi="Barlow Semi Condensed"/>
          <w:b/>
          <w:bCs/>
          <w:sz w:val="24"/>
          <w:szCs w:val="24"/>
        </w:rPr>
        <w:t xml:space="preserve">Blocco mirato numero 2105 — Un rilievo che il registro trae dal confronto. La Santa Sede negò il riconoscimento al regime dell'apartheid e lo concesse allo Stato uscito dalle prime elezioni democratiche; il suo criterio fu dunque il regime interno e non l'allineamento internazionale. Ne discende che essa non si dispone su nessuna delle 2 formazioni, e che la sua condotta non è misurabile con la scala Est-Ovest che governa il resto del corpus. Livello B.</w:t>
      </w:r>
    </w:p>
    <w:p>
      <w:pPr>
        <w:spacing w:after="120" w:line="276"/>
        <w:jc w:val="both"/>
      </w:pPr>
      <w:r>
        <w:rPr>
          <w:rFonts w:ascii="Barlow Semi Condensed" w:cs="Barlow Semi Condensed" w:eastAsia="Barlow Semi Condensed" w:hAnsi="Barlow Semi Condensed"/>
          <w:b/>
          <w:bCs/>
          <w:sz w:val="24"/>
          <w:szCs w:val="24"/>
        </w:rPr>
        <w:t xml:space="preserve">Blocco mirato numero 2151 — Tavola, prima voce. Il rapporto integrale del panel sulla Lady R, tuttora classificato. Massimo rendimento, poiché soltanto esso chiuderebbe la questione probatoria. Sede: Presidenza sudafricana o eventuale contenzioso presso l'Alta Corte. Condizione: desecretazione.</w:t>
      </w:r>
    </w:p>
    <w:p>
      <w:pPr>
        <w:spacing w:after="120" w:line="276"/>
        <w:jc w:val="both"/>
      </w:pPr>
      <w:r>
        <w:rPr>
          <w:rFonts w:ascii="Barlow Semi Condensed" w:cs="Barlow Semi Condensed" w:eastAsia="Barlow Semi Condensed" w:hAnsi="Barlow Semi Condensed"/>
          <w:b/>
          <w:bCs/>
          <w:sz w:val="24"/>
          <w:szCs w:val="24"/>
        </w:rPr>
        <w:t xml:space="preserve">Blocco mirato numero 2152 — Seconda voce. La quantificazione in valore dei contratti Leonardo con il Sudafrica dal 2010 al 2026. Sedi: banca dati di Stoccolma sui trasferimenti di armamenti, bilanci del gruppo, atti della corporazione armamenti sudafricana.</w:t>
      </w:r>
    </w:p>
    <w:p>
      <w:pPr>
        <w:spacing w:after="120" w:line="276"/>
        <w:jc w:val="both"/>
      </w:pPr>
      <w:r>
        <w:rPr>
          <w:rFonts w:ascii="Barlow Semi Condensed" w:cs="Barlow Semi Condensed" w:eastAsia="Barlow Semi Condensed" w:hAnsi="Barlow Semi Condensed"/>
          <w:b/>
          <w:bCs/>
          <w:sz w:val="24"/>
          <w:szCs w:val="24"/>
        </w:rPr>
        <w:t xml:space="preserve">Blocco mirato numero 2153 — Terza voce. L'esistenza di una frizione bilaterale formalizzata fra Italia e Sudafrica sul dossier ucraino. Sedi: archivio della Farnesina e del ministero degli esteri sudafricano.</w:t>
      </w:r>
    </w:p>
    <w:p>
      <w:pPr>
        <w:spacing w:after="120" w:line="276"/>
        <w:jc w:val="both"/>
      </w:pPr>
      <w:r>
        <w:rPr>
          <w:rFonts w:ascii="Barlow Semi Condensed" w:cs="Barlow Semi Condensed" w:eastAsia="Barlow Semi Condensed" w:hAnsi="Barlow Semi Condensed"/>
          <w:b/>
          <w:bCs/>
          <w:sz w:val="24"/>
          <w:szCs w:val="24"/>
        </w:rPr>
        <w:t xml:space="preserve">Blocco mirato numero 2154 — Quarta voce.\\ La cifra delle truppe cubane in Angola, sulla quale le fonti divergono in misura rilevante. Sede: archivi militari cubani. \\Condizione: accessibilità,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2155 — Quinta voce. Le prese di posizione tedesche e vaticane specificamente riferite all'orientamento russo di Pretoria. Sedi: ministero degli esteri federale e Sala Stampa della Santa Sede.</w:t>
      </w:r>
    </w:p>
    <w:p>
      <w:pPr>
        <w:spacing w:after="120" w:line="276"/>
        <w:jc w:val="both"/>
      </w:pPr>
      <w:r>
        <w:rPr>
          <w:rFonts w:ascii="Barlow Semi Condensed" w:cs="Barlow Semi Condensed" w:eastAsia="Barlow Semi Condensed" w:hAnsi="Barlow Semi Condensed"/>
          <w:b/>
          <w:bCs/>
          <w:sz w:val="24"/>
          <w:szCs w:val="24"/>
        </w:rPr>
        <w:t xml:space="preserve">Blocco mirato numero 2201 — Sintesi del dato nuovo acquisito. Il presente registro ha messo alla prova, con procedura di confutazione dichiarata nel comando, l'ipotesi secondo cui il Sudafrica costituirebbe un nodo che attraversa le 2 formazioni mutando polarità, e l'ha respinta. L'obiezione decisiva regge su fatti di Livello A: sostegno sovietico all'African National Congress dal 1963 in modo continuativo, rete di addestramento ripartita fra 8 Paesi del blocco, decisione della lotta armata assunta dal comitato centrale del partito comunista, e presenza dei medesimi uomini nel comando armato e nel primo gabinetto del 1994. Ne discende la formulazione che sostituisce l'ipotesi caduta: il Sudafrica non è un nodo che ruota ma lo Stato entro il quale entrambi i fronti della Formazione Alfa coesistevano, e nel 1994 mutò non l'allineamento dello Stato bensì quale dei 2 fronti interni detenesse il potere. Il registro versa inoltre 4 acquisizioni proprie. La prima: il grado del fatto trasferito, ossia un fatto vero la cui attribuzione geografica e politica viene silenziosamente aggiornata per servire una rivendicazione presente, di cui è esemplare l'addestramento dei quadri sudafricani in territorio oggi ucraino invocato quale titolo di gratitudine verso Mosca. La seconda: il reperto sull'allineamento non monolitico, poiché la magistratura sudafricana annullò nel 2017 il maggiore progetto strategico russo e l'obbligo derivante dallo Statuto di Roma impedì nel 2023 l'ospitalità piena al capo dello Stato russo. La terza: la polarità invertita dell'attore industriale italiano, che non ha mutato collocazione mentre è mutato il terreno sotto di esso, sicché il gruppo successore dell'impresa che riforniva un regime allineato contro Mosca opera oggi in un Paese allineato con Mosca, e il ponte del 1964 risulta materialmente estinto mentre il nodo societario persiste e si è ampliato. La quarta: il rilievo sulla Santa Sede, che negò il riconoscimento al regime e lo concesse allo Stato democratico, adottando quale criterio il regime interno anziché l'allineamento internazionale, e che perciò non si dispone su alcuna delle 2 formazioni. Quanto alla tesi diagnostica del volume, il dossier australe la conferma senza eccezioni; e la conferma è tanto più forte in quanto discende dalla confutazione dell'ipotesi opposta: poiché il Sudafrica non ruota ma contiene i 2 fronti e li vede scambiarsi il potere, esso prova che i 2 campi erano reali, distinti e in conflitto al punto da dividere in 2 un solo Paese per 5 decenni.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 · Terzo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4.220 parole in 9 sezioni; la più ampia è §9 Altre sezioni, con 3.576.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XXIII — Quarto Registro Analitico</w:t>
      </w:r>
    </w:p>
    <w:p>
      <w:pPr>
        <w:pStyle w:val="Heading1"/>
        <w:spacing w:after="120" w:before="240"/>
      </w:pPr>
      <w:r>
        <w:rPr>
          <w:rFonts w:ascii="Barlow Semi Condensed" w:cs="Barlow Semi Condensed" w:eastAsia="Barlow Semi Condensed" w:hAnsi="Barlow Semi Condensed"/>
          <w:sz w:val="24"/>
          <w:szCs w:val="24"/>
        </w:rPr>
        <w:t xml:space="preserve">QUARTO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w:t>
      </w:r>
    </w:p>
    <w:p>
      <w:pPr>
        <w:pStyle w:val="Heading2"/>
        <w:spacing w:after="100" w:before="200"/>
      </w:pPr>
      <w:r>
        <w:rPr>
          <w:rFonts w:ascii="Barlow Semi Condensed" w:cs="Barlow Semi Condensed" w:eastAsia="Barlow Semi Condensed" w:hAnsi="Barlow Semi Condensed"/>
          <w:sz w:val="24"/>
          <w:szCs w:val="24"/>
        </w:rPr>
        <w:t xml:space="preserve">La quinta correzione — due gradi confermati, uno ritirato</w:t>
      </w:r>
    </w:p>
    <w:p>
      <w:pPr>
        <w:pStyle w:val="Heading2"/>
        <w:spacing w:after="100" w:before="200"/>
      </w:pPr>
      <w:r>
        <w:rPr>
          <w:rFonts w:ascii="Barlow Semi Condensed" w:cs="Barlow Semi Condensed" w:eastAsia="Barlow Semi Condensed" w:hAnsi="Barlow Semi Condensed"/>
          <w:sz w:val="24"/>
          <w:szCs w:val="24"/>
        </w:rPr>
        <w:t xml:space="preserve">Blocchi 2301-2801 — dieci gradi — cinque proprieta trasversali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QUARTO REGISTRO ANALITICO</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 La quinta correzione</w:t>
      </w:r>
    </w:p>
    <w:p>
      <w:pPr>
        <w:spacing w:after="120" w:line="276"/>
        <w:jc w:val="both"/>
      </w:pPr>
      <w:r>
        <w:rPr>
          <w:rFonts w:ascii="Barlow Semi Condensed" w:cs="Barlow Semi Condensed" w:eastAsia="Barlow Semi Condensed" w:hAnsi="Barlow Semi Condensed"/>
          <w:b/>
          <w:bCs/>
          <w:sz w:val="24"/>
          <w:szCs w:val="24"/>
        </w:rPr>
        <w:t xml:space="preserve">Blocco mirato numero 2301 — Oggetto e ragione. Il presente registro non versa nodi né ponti. Esso opera sullo strumento con cui i 3 registri anteriori hanno misurato le assenze, e ne verifica la tenuta. La ragione è materiale: la sessione ha proposto 3 gradi nuovi della scala degli Stati Zero, sparsi in 3 documenti distinti, mai messi a confronto fra loro né con gli 8 preesistenti.</w:t>
      </w:r>
    </w:p>
    <w:p>
      <w:pPr>
        <w:spacing w:after="120" w:line="276"/>
        <w:jc w:val="both"/>
      </w:pPr>
      <w:r>
        <w:rPr>
          <w:rFonts w:ascii="Barlow Semi Condensed" w:cs="Barlow Semi Condensed" w:eastAsia="Barlow Semi Condensed" w:hAnsi="Barlow Semi Condensed"/>
          <w:b/>
          <w:bCs/>
          <w:sz w:val="24"/>
          <w:szCs w:val="24"/>
        </w:rPr>
        <w:t xml:space="preserve">Blocco mirato numero 2302 — Il rischio che la verifica previene. Una scala che passi da 8 a 11 gradi in una sola sessione, senza prova di tenuta, cessa di discriminare. Se 2 gradi coprono il medesimo caso, l'analista sceglierà quello che gli conviene; se un grado non descrive un'assenza, esso introdurrà nella scala una fattispecie estranea e la corromperà dall'interno. Entrambi i vizi sono verificabili, e il presente registro li verifica.</w:t>
      </w:r>
    </w:p>
    <w:p>
      <w:pPr>
        <w:spacing w:after="120" w:line="276"/>
        <w:jc w:val="both"/>
      </w:pPr>
      <w:r>
        <w:rPr>
          <w:rFonts w:ascii="Barlow Semi Condensed" w:cs="Barlow Semi Condensed" w:eastAsia="Barlow Semi Condensed" w:hAnsi="Barlow Semi Condensed"/>
          <w:b/>
          <w:bCs/>
          <w:sz w:val="24"/>
          <w:szCs w:val="24"/>
        </w:rPr>
        <w:t xml:space="preserve">Blocco mirato numero 2303 — Il criterio della prova. Ogni grado va sottoposto a 2 test. Primo test, di appartenenza: il grado descrive un'assenza? Se non descrive un'assenza, esso non appartiene a questa scala, quale che sia il suo valore analitico. Secondo test, di distinzione: il grado è irriducibile a ciascuno degli altri? Si verifica per confronto a coppie con i gradi confinanti.</w:t>
      </w:r>
    </w:p>
    <w:p>
      <w:pPr>
        <w:spacing w:after="120" w:line="276"/>
        <w:jc w:val="both"/>
      </w:pPr>
      <w:r>
        <w:rPr>
          <w:rFonts w:ascii="Barlow Semi Condensed" w:cs="Barlow Semi Condensed" w:eastAsia="Barlow Semi Condensed" w:hAnsi="Barlow Semi Condensed"/>
          <w:b/>
          <w:bCs/>
          <w:sz w:val="24"/>
          <w:szCs w:val="24"/>
        </w:rPr>
        <w:t xml:space="preserve">Blocco mirato numero 2304 — L'esito, anticipato perché sia chiaro che la prova non è cerimoniale. Dei 3 gradi proposti, 2 superano entrambi i test e 1 fallisce il primo. Il grado che fallisce è quello proposto venti minuti fa nel Terzo Registro, e il presente documento lo ritira e lo ricolloca altrove.</w:t>
      </w:r>
    </w:p>
    <w:p>
      <w:pPr>
        <w:spacing w:after="120" w:line="276"/>
        <w:jc w:val="both"/>
      </w:pPr>
      <w:r>
        <w:rPr>
          <w:rFonts w:ascii="Barlow Semi Condensed" w:cs="Barlow Semi Condensed" w:eastAsia="Barlow Semi Condensed" w:hAnsi="Barlow Semi Condensed"/>
          <w:b/>
          <w:bCs/>
          <w:sz w:val="24"/>
          <w:szCs w:val="24"/>
        </w:rPr>
        <w:t xml:space="preserve">Blocco mirato numero 2305 — La qualificazione di tale esito. È la quinta correzione della sessione, dopo le 3 confutazioni di ipotesi dell'autore e l'emendazione al Registro sul Fondo Moro. È la sola che colpisca una proposizione formulata nella medesima sessione, e va registrata come tale anziché attenuata.</w:t>
      </w:r>
    </w:p>
    <w:p>
      <w:pPr>
        <w:spacing w:after="120" w:line="276"/>
        <w:jc w:val="both"/>
      </w:pPr>
      <w:r>
        <w:rPr>
          <w:rFonts w:ascii="Barlow Semi Condensed" w:cs="Barlow Semi Condensed" w:eastAsia="Barlow Semi Condensed" w:hAnsi="Barlow Semi Condensed"/>
          <w:b/>
          <w:bCs/>
          <w:sz w:val="24"/>
          <w:szCs w:val="24"/>
        </w:rPr>
        <w:t xml:space="preserve">Blocco mirato numero 2306 — La funzione della scala, ricordata perché il test la presuppone. La scala serve a qualificare il tipo di assenza che una ricerca incontra, affinché l'esito negativo non sia una resa ma un'acquisizione di primo ordine, e affinché la sede di verifica e la condizione di chiusura discendano dal grado anziché essere improvvisate. Un grado mal posto non è un errore di nomenclatura: produce una tavola sbagliata e manda il ricercatore nel posto sbagliato.</w:t>
      </w:r>
    </w:p>
    <w:p>
      <w:pPr>
        <w:spacing w:after="120" w:line="276"/>
        <w:jc w:val="both"/>
      </w:pPr>
      <w:r>
        <w:rPr>
          <w:rFonts w:ascii="Barlow Semi Condensed" w:cs="Barlow Semi Condensed" w:eastAsia="Barlow Semi Condensed" w:hAnsi="Barlow Semi Condensed"/>
          <w:b/>
          <w:bCs/>
          <w:sz w:val="24"/>
          <w:szCs w:val="24"/>
        </w:rPr>
        <w:t xml:space="preserve">Blocco mirato numero 2307 — Che cosa la scala non fa, e va detto per delimitarla. Essa non misura il grado di certezza di ciò che si afferma — a ciò serve il sistema Savona — né il grado di contaminazione delle fonti — a ciò serve l'Indice di Contaminazione. Misura soltanto la natura dell'assenza. La delimitazione sarà decisiva al blocco 2601.</w:t>
      </w:r>
    </w:p>
    <w:p>
      <w:pPr>
        <w:spacing w:after="120" w:line="276"/>
        <w:jc w:val="both"/>
      </w:pPr>
      <w:r>
        <w:rPr>
          <w:rFonts w:ascii="Barlow Semi Condensed" w:cs="Barlow Semi Condensed" w:eastAsia="Barlow Semi Condensed" w:hAnsi="Barlow Semi Condensed"/>
          <w:b/>
          <w:bCs/>
          <w:sz w:val="24"/>
          <w:szCs w:val="24"/>
        </w:rPr>
        <w:t xml:space="preserve">Blocco mirato numero 2308 — Notazione. I gradi sono numerati progressivamente. Per ciascuno si indicano la definizione, il caso esemplare tratto dal corpus, la sede presso cui l'assenza andrebbe sciolta, e la condizione di chiusura. Ove la condizione di chiusura sia impossibile, lo si dichiara.</w:t>
      </w:r>
    </w:p>
    <w:p>
      <w:pPr>
        <w:spacing w:after="120" w:line="276"/>
        <w:jc w:val="both"/>
      </w:pPr>
      <w:r>
        <w:rPr>
          <w:rFonts w:ascii="Barlow Semi Condensed" w:cs="Barlow Semi Condensed" w:eastAsia="Barlow Semi Condensed" w:hAnsi="Barlow Semi Condensed"/>
          <w:b/>
          <w:bCs/>
          <w:sz w:val="24"/>
          <w:szCs w:val="24"/>
        </w:rPr>
        <w:t xml:space="preserve">Blocco mirato numero 2309 — Numerazione dei blocchi. Riprende dal 2301, il Terzo Registro essendosi chiuso al 2201.</w:t>
      </w:r>
    </w:p>
    <w:p>
      <w:pPr>
        <w:spacing w:after="120" w:line="276"/>
        <w:jc w:val="both"/>
      </w:pPr>
      <w:r>
        <w:rPr>
          <w:rFonts w:ascii="Barlow Semi Condensed" w:cs="Barlow Semi Condensed" w:eastAsia="Barlow Semi Condensed" w:hAnsi="Barlow Semi Condensed"/>
          <w:b/>
          <w:bCs/>
          <w:sz w:val="24"/>
          <w:szCs w:val="24"/>
        </w:rPr>
        <w:t xml:space="preserve">Blocco mirato numero 2310 — Avvertenza finale sul metodo. La prova che segue è condotta contro i gradi e non a loro favore, secondo la medesima procedura che in questa sessione ha prodotto 4 confutazioni. Un grado che sopravviva a un test condotto per demolirlo vale più di 10 gradi enunciati e mai messi alla prova.</w:t>
      </w:r>
    </w:p>
    <w:p>
      <w:pPr>
        <w:pStyle w:val="Heading2"/>
        <w:spacing w:after="100" w:before="200"/>
      </w:pPr>
      <w:r>
        <w:rPr>
          <w:rFonts w:ascii="Barlow Semi Condensed" w:cs="Barlow Semi Condensed" w:eastAsia="Barlow Semi Condensed" w:hAnsi="Barlow Semi Condensed"/>
          <w:sz w:val="24"/>
          <w:szCs w:val="24"/>
        </w:rPr>
        <w:t xml:space="preserve">I — GLI OTTO GRADI PREESISTENTI, RIESPOSTI</w:t>
      </w:r>
    </w:p>
    <w:p>
      <w:pPr>
        <w:spacing w:after="120" w:line="276"/>
        <w:jc w:val="both"/>
      </w:pPr>
      <w:r>
        <w:rPr>
          <w:rFonts w:ascii="Barlow Semi Condensed" w:cs="Barlow Semi Condensed" w:eastAsia="Barlow Semi Condensed" w:hAnsi="Barlow Semi Condensed"/>
          <w:b/>
          <w:bCs/>
          <w:sz w:val="24"/>
          <w:szCs w:val="24"/>
        </w:rPr>
        <w:t xml:space="preserve">Blocco mirato numero 2401 — Primo grado: impossibilità istituzionale. Definizione: l'informazione esiste in forma documentale ed è resa inaccessibile da una norma che ne differisce la consultabilità. Caso: l'Archivio Apostolico Vaticano, consultabile fino all'ottobre 1958, che rende strutturalmente inattingibili i pontificati di Giovanni XXIII, Paolo VI e Giovanni Paolo II. Sede: l'archivio medesimo. Condizione di chiusura: l'apertura del pontificato, che non dipende dal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2402 — Secondo grado: limite di strumento. Definizione: l'informazione esiste ed è consultabile, ma lo strumento di ricerca disponibile non copre il periodo o il perimetro. Caso: la banca dati del sindacato ispettivo parlamentare, che comincia dal 5 luglio 1976 e lascia fuori l'intero primo mandato di Moro. Sede: i resoconti a stampa non digitalizzati. Condizione di chiusura: lo spoglio manuale, oneroso ma possibile.</w:t>
      </w:r>
    </w:p>
    <w:p>
      <w:pPr>
        <w:spacing w:after="120" w:line="276"/>
        <w:jc w:val="both"/>
      </w:pPr>
      <w:r>
        <w:rPr>
          <w:rFonts w:ascii="Barlow Semi Condensed" w:cs="Barlow Semi Condensed" w:eastAsia="Barlow Semi Condensed" w:hAnsi="Barlow Semi Condensed"/>
          <w:b/>
          <w:bCs/>
          <w:sz w:val="24"/>
          <w:szCs w:val="24"/>
        </w:rPr>
        <w:t xml:space="preserve">Blocco mirato numero 2403 — Terzo grado: deposito inesplorato. Definizione: l'informazione esiste, è consultabile e lo strumento la copre, ma nessuno vi è entrato. Caso: la metà del fondo della Torre do Tombo mai consultata; e i fondi dell'Archivio Storico Diplomatico per i 6 perimetri. Sede: il deposito. Condizione di chiusura: che qualcuno vada.</w:t>
      </w:r>
    </w:p>
    <w:p>
      <w:pPr>
        <w:spacing w:after="120" w:line="276"/>
        <w:jc w:val="both"/>
      </w:pPr>
      <w:r>
        <w:rPr>
          <w:rFonts w:ascii="Barlow Semi Condensed" w:cs="Barlow Semi Condensed" w:eastAsia="Barlow Semi Condensed" w:hAnsi="Barlow Semi Condensed"/>
          <w:b/>
          <w:bCs/>
          <w:sz w:val="24"/>
          <w:szCs w:val="24"/>
        </w:rPr>
        <w:t xml:space="preserve">Blocco mirato numero 2404 — Quarto grado: insieme vuoto verificato. Definizione: l'assenza è positivamente accertata confrontando il perimetro con un registro che il soggetto medesimo pubblica. Caso: l'assenza dell'Opus Dei da Grecia, Cipro e Turchia, verificata contro l'elenco ufficiale dei Paesi in cui l'ente dichiara di operare. Sede: nessuna: l'accertamento è compiuto. Condizione di chiusura: già chiusa.</w:t>
      </w:r>
    </w:p>
    <w:p>
      <w:pPr>
        <w:spacing w:after="120" w:line="276"/>
        <w:jc w:val="both"/>
      </w:pPr>
      <w:r>
        <w:rPr>
          <w:rFonts w:ascii="Barlow Semi Condensed" w:cs="Barlow Semi Condensed" w:eastAsia="Barlow Semi Condensed" w:hAnsi="Barlow Semi Condensed"/>
          <w:b/>
          <w:bCs/>
          <w:sz w:val="24"/>
          <w:szCs w:val="24"/>
        </w:rPr>
        <w:t xml:space="preserve">Blocco mirato numero 2405 — La proprietà che distingue il quarto grado da tutti gli altri, e va isolata. Esso è il solo grado in cui l'assenza è un risultato e non un ostacolo. Negli altri l'assenza misura ciò che non si è potuto raggiungere; qui misura ciò che si è accertato non esserci. Ne discende che il quarto grado non genera voci di tavola, mentre tutti gli altri ne generano.</w:t>
      </w:r>
    </w:p>
    <w:p>
      <w:pPr>
        <w:spacing w:after="120" w:line="276"/>
        <w:jc w:val="both"/>
      </w:pPr>
      <w:r>
        <w:rPr>
          <w:rFonts w:ascii="Barlow Semi Condensed" w:cs="Barlow Semi Condensed" w:eastAsia="Barlow Semi Condensed" w:hAnsi="Barlow Semi Condensed"/>
          <w:b/>
          <w:bCs/>
          <w:sz w:val="24"/>
          <w:szCs w:val="24"/>
        </w:rPr>
        <w:t xml:space="preserve">Blocco mirato numero 2406 — Quinto grado: esito negativo presso i beneficiari. Definizione: l'assenza è accertata presso i soggetti che avrebbero avuto il maggiore interesse a registrare il fatto, e trae da tale collocazione la propria forza. Caso: nessuno dei comboniani espulsi dal Mozambico nell'aprile 1974 menziona un intervento italiano in proprio favore. Sede: archivi dell'ordine e memorialistica. Condizione di chiusura: parzialmente chiusa.</w:t>
      </w:r>
    </w:p>
    <w:p>
      <w:pPr>
        <w:spacing w:after="120" w:line="276"/>
        <w:jc w:val="both"/>
      </w:pPr>
      <w:r>
        <w:rPr>
          <w:rFonts w:ascii="Barlow Semi Condensed" w:cs="Barlow Semi Condensed" w:eastAsia="Barlow Semi Condensed" w:hAnsi="Barlow Semi Condensed"/>
          <w:b/>
          <w:bCs/>
          <w:sz w:val="24"/>
          <w:szCs w:val="24"/>
        </w:rPr>
        <w:t xml:space="preserve">Blocco mirato numero 2407 — Sesto grado: assenza coerente con la collocazione. Definizione: l'assenza è prevedibile dalla posizione nota del soggetto, e perciò non richiede spiegazione ulteriore. Caso: l'assenza di contatti fra Moro e l'Opus Dei, coerente con la sua formazione nella FUCI, in Studium e nell'area dossettiana. Sede: eventuale, non prioritaria. Condizione di chiusura: l'assenza resta tale salvo reperto contrario.</w:t>
      </w:r>
    </w:p>
    <w:p>
      <w:pPr>
        <w:spacing w:after="120" w:line="276"/>
        <w:jc w:val="both"/>
      </w:pPr>
      <w:r>
        <w:rPr>
          <w:rFonts w:ascii="Barlow Semi Condensed" w:cs="Barlow Semi Condensed" w:eastAsia="Barlow Semi Condensed" w:hAnsi="Barlow Semi Condensed"/>
          <w:b/>
          <w:bCs/>
          <w:sz w:val="24"/>
          <w:szCs w:val="24"/>
        </w:rPr>
        <w:t xml:space="preserve">Blocco mirato numero 2408 — Un'avvertenza sul sesto grado, che è il più insidioso. Esso rischia di funzionare come dispensa dalla ricerca: dichiarare un'assenza coerente con la collocazione può divenire il modo elegante di non cercare. Va perciò impiegato soltanto dopo che il terzo grado sia stato esaurito, mai in sua vece.</w:t>
      </w:r>
    </w:p>
    <w:p>
      <w:pPr>
        <w:spacing w:after="120" w:line="276"/>
        <w:jc w:val="both"/>
      </w:pPr>
      <w:r>
        <w:rPr>
          <w:rFonts w:ascii="Barlow Semi Condensed" w:cs="Barlow Semi Condensed" w:eastAsia="Barlow Semi Condensed" w:hAnsi="Barlow Semi Condensed"/>
          <w:b/>
          <w:bCs/>
          <w:sz w:val="24"/>
          <w:szCs w:val="24"/>
        </w:rPr>
        <w:t xml:space="preserve">Blocco mirato numero 2409 — Settimo grado: allegazione senza base. Definizione: una connessione è affermata da una fonte e non trova alcun riscontro; l'assenza riguarda il fondamento e non il documento. Caso: il nome operativo di un corriere, privo di qualsiasi riscontro, accanto a un nome verificabile nel medesimo elenco. Sede: la fonte che allega. Condizione di chiusura: l'onere grava su chi afferma.</w:t>
      </w:r>
    </w:p>
    <w:p>
      <w:pPr>
        <w:spacing w:after="120" w:line="276"/>
        <w:jc w:val="both"/>
      </w:pPr>
      <w:r>
        <w:rPr>
          <w:rFonts w:ascii="Barlow Semi Condensed" w:cs="Barlow Semi Condensed" w:eastAsia="Barlow Semi Condensed" w:hAnsi="Barlow Semi Condensed"/>
          <w:b/>
          <w:bCs/>
          <w:sz w:val="24"/>
          <w:szCs w:val="24"/>
        </w:rPr>
        <w:t xml:space="preserve">Blocco mirato numero 2410 — Ottavo grado: falso positivo. Definizione: un apparato detiene la qualificazione vera e ne diffonde una falsa; l'assenza è quella della verità nel circuito informativo, non nell'archivio. Caso: il servizio che deteneva il fascicolo con qualificazione anticomunista e trasmise agli organi di polizia quella anarchica. Sede: gli archivi del servizio. Condizione di chiusura: la desecretazione.</w:t>
      </w:r>
    </w:p>
    <w:p>
      <w:pPr>
        <w:spacing w:after="120" w:line="276"/>
        <w:jc w:val="both"/>
      </w:pPr>
      <w:r>
        <w:rPr>
          <w:rFonts w:ascii="Barlow Semi Condensed" w:cs="Barlow Semi Condensed" w:eastAsia="Barlow Semi Condensed" w:hAnsi="Barlow Semi Condensed"/>
          <w:b/>
          <w:bCs/>
          <w:sz w:val="24"/>
          <w:szCs w:val="24"/>
        </w:rPr>
        <w:t xml:space="preserve">Blocco mirato numero 2411 — Le 3 proprietà dell'ottavo grado, già acquisite e qui richiamate. È invisibile a chi cerchi assenze, poiché il documento c'è; corrompe a valle, poiché la qualificazione falsa entra nei documenti successivi; ed è verificabile soltanto dall'esterno, confrontando ciò che l'apparato deteneva con ciò che diffuse.</w:t>
      </w:r>
    </w:p>
    <w:p>
      <w:pPr>
        <w:spacing w:after="120" w:line="276"/>
        <w:jc w:val="both"/>
      </w:pPr>
      <w:r>
        <w:rPr>
          <w:rFonts w:ascii="Barlow Semi Condensed" w:cs="Barlow Semi Condensed" w:eastAsia="Barlow Semi Condensed" w:hAnsi="Barlow Semi Condensed"/>
          <w:b/>
          <w:bCs/>
          <w:sz w:val="24"/>
          <w:szCs w:val="24"/>
        </w:rPr>
        <w:t xml:space="preserve">Blocco mirato numero 2412 — Bilancio degli 8 preesistenti. Tutti descrivono un'assenza e superano il primo test. Quanto al secondo, si segnala una prossimità fra il primo e il secondo grado — norma che chiude contro strumento che non copre — che tuttavia regge, poiché nel primo caso il ricercatore che si recasse in sede sarebbe respinto, nel secondo sarebbe ammesso e dovrebbe soltanto lavorare di più.</w:t>
      </w:r>
    </w:p>
    <w:p>
      <w:pPr>
        <w:pStyle w:val="Heading2"/>
        <w:spacing w:after="100" w:before="200"/>
      </w:pPr>
      <w:r>
        <w:rPr>
          <w:rFonts w:ascii="Barlow Semi Condensed" w:cs="Barlow Semi Condensed" w:eastAsia="Barlow Semi Condensed" w:hAnsi="Barlow Semi Condensed"/>
          <w:sz w:val="24"/>
          <w:szCs w:val="24"/>
        </w:rPr>
        <w:t xml:space="preserve">II — I TRE GRADI PROPOSTI E LA PROVA INCROCIATA</w:t>
      </w:r>
    </w:p>
    <w:p>
      <w:pPr>
        <w:spacing w:after="120" w:line="276"/>
        <w:jc w:val="both"/>
      </w:pPr>
      <w:r>
        <w:rPr>
          <w:rFonts w:ascii="Barlow Semi Condensed" w:cs="Barlow Semi Condensed" w:eastAsia="Barlow Semi Condensed" w:hAnsi="Barlow Semi Condensed"/>
          <w:b/>
          <w:bCs/>
          <w:sz w:val="24"/>
          <w:szCs w:val="24"/>
        </w:rPr>
        <w:t xml:space="preserve">Blocco mirato numero 2501 — Nono grado proposto: 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per regio decreto del 1941.</w:t>
      </w:r>
    </w:p>
    <w:p>
      <w:pPr>
        <w:spacing w:after="120" w:line="276"/>
        <w:jc w:val="both"/>
      </w:pPr>
      <w:r>
        <w:rPr>
          <w:rFonts w:ascii="Barlow Semi Condensed" w:cs="Barlow Semi Condensed" w:eastAsia="Barlow Semi Condensed" w:hAnsi="Barlow Semi Condensed"/>
          <w:b/>
          <w:bCs/>
          <w:sz w:val="24"/>
          <w:szCs w:val="24"/>
        </w:rPr>
        <w:t xml:space="preserve">Blocco mirato numero 2502 — Primo test sul nono grado: descrive un'assenza?\\ \\Sì. Assenza di documento, e assenza di specie estrema: il documento non esiste e non è mai esistito. Il test è superato.</w:t>
      </w:r>
    </w:p>
    <w:p>
      <w:pPr>
        <w:spacing w:after="120" w:line="276"/>
        <w:jc w:val="both"/>
      </w:pPr>
      <w:r>
        <w:rPr>
          <w:rFonts w:ascii="Barlow Semi Condensed" w:cs="Barlow Semi Condensed" w:eastAsia="Barlow Semi Condensed" w:hAnsi="Barlow Semi Condensed"/>
          <w:b/>
          <w:bCs/>
          <w:sz w:val="24"/>
          <w:szCs w:val="24"/>
        </w:rPr>
        <w:t xml:space="preserve">Blocco mirato numero 2503 — Secondo test: confronto con il primo grado. L'impossibilità istituzionale dice che il documento esiste ed è sigillato. L'atto atipico dice che il documento non fu mai prodotto. Distinti, e la distinzione è operativa: nel primo caso attendere l'apertura ha senso, nel secondo attendere non serve a nulla.</w:t>
      </w:r>
    </w:p>
    <w:p>
      <w:pPr>
        <w:spacing w:after="120" w:line="276"/>
        <w:jc w:val="both"/>
      </w:pPr>
      <w:r>
        <w:rPr>
          <w:rFonts w:ascii="Barlow Semi Condensed" w:cs="Barlow Semi Condensed" w:eastAsia="Barlow Semi Condensed" w:hAnsi="Barlow Semi Condensed"/>
          <w:b/>
          <w:bCs/>
          <w:sz w:val="24"/>
          <w:szCs w:val="24"/>
        </w:rPr>
        <w:t xml:space="preserve">Blocco mirato numero 2504 — Confronto con il terzo grado. Il deposito inesplorato dice vai a cercare. L'atto atipico dice puoi andare e non troverai, e il non trovare non proverà l'inazione. Distinti. E qui il nono grado rende un servizio che nessun altro rende: immunizza il ricercatore dall'inferenza sbagliata che l'archivio vuoto autorizzerebbe.</w:t>
      </w:r>
    </w:p>
    <w:p>
      <w:pPr>
        <w:spacing w:after="120" w:line="276"/>
        <w:jc w:val="both"/>
      </w:pPr>
      <w:r>
        <w:rPr>
          <w:rFonts w:ascii="Barlow Semi Condensed" w:cs="Barlow Semi Condensed" w:eastAsia="Barlow Semi Condensed" w:hAnsi="Barlow Semi Condensed"/>
          <w:b/>
          <w:bCs/>
          <w:sz w:val="24"/>
          <w:szCs w:val="24"/>
        </w:rPr>
        <w:t xml:space="preserve">Blocco mirato numero 2505 — Confronto con il quarto grado, ed è il più stringente. L'insieme vuoto verificato accerta l'assenza confrontandola con un registro che il soggetto pubblica. L'atto atipico non può essere verificato contro alcun registro, perché di quegli atti non fu mai tenuto registro. Distinti — e la differenza di proprietà va enunciata: il quarto grado è falsificabile, il nono no. Chiunque può confutare il quarto esibendo una voce nel registro ufficiale; il nono non è confutabile se non mutando la ricostruzione del diritto vigente.</w:t>
      </w:r>
    </w:p>
    <w:p>
      <w:pPr>
        <w:spacing w:after="120" w:line="276"/>
        <w:jc w:val="both"/>
      </w:pPr>
      <w:r>
        <w:rPr>
          <w:rFonts w:ascii="Barlow Semi Condensed" w:cs="Barlow Semi Condensed" w:eastAsia="Barlow Semi Condensed" w:hAnsi="Barlow Semi Condensed"/>
          <w:b/>
          <w:bCs/>
          <w:sz w:val="24"/>
          <w:szCs w:val="24"/>
        </w:rPr>
        <w:t xml:space="preserve">Blocco mirato numero 2506 — Esito sul nono grado. Entrambi i test superati. Il grado tiene e si conferma.</w:t>
      </w:r>
    </w:p>
    <w:p>
      <w:pPr>
        <w:spacing w:after="120" w:line="276"/>
        <w:jc w:val="both"/>
      </w:pPr>
      <w:r>
        <w:rPr>
          <w:rFonts w:ascii="Barlow Semi Condensed" w:cs="Barlow Semi Condensed" w:eastAsia="Barlow Semi Condensed" w:hAnsi="Barlow Semi Condensed"/>
          <w:b/>
          <w:bCs/>
          <w:sz w:val="24"/>
          <w:szCs w:val="24"/>
        </w:rPr>
        <w:t xml:space="preserve">Blocco mirato numero 2507 — Decimo grado proposto: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w:t>
      </w:r>
    </w:p>
    <w:p>
      <w:pPr>
        <w:spacing w:after="120" w:line="276"/>
        <w:jc w:val="both"/>
      </w:pPr>
      <w:r>
        <w:rPr>
          <w:rFonts w:ascii="Barlow Semi Condensed" w:cs="Barlow Semi Condensed" w:eastAsia="Barlow Semi Condensed" w:hAnsi="Barlow Semi Condensed"/>
          <w:b/>
          <w:bCs/>
          <w:sz w:val="24"/>
          <w:szCs w:val="24"/>
        </w:rPr>
        <w:t xml:space="preserve">Blocco mirato numero 2508 — Primo test sul decimo grado.\\ \\Descrive un'assenza: assenza di acquisizione, a fronte di un documento esistente, accessibile in diritto e misurabile — la seconda lettera consta di 2 pagine. Test superato.</w:t>
      </w:r>
    </w:p>
    <w:p>
      <w:pPr>
        <w:spacing w:after="120" w:line="276"/>
        <w:jc w:val="both"/>
      </w:pPr>
      <w:r>
        <w:rPr>
          <w:rFonts w:ascii="Barlow Semi Condensed" w:cs="Barlow Semi Condensed" w:eastAsia="Barlow Semi Condensed" w:hAnsi="Barlow Semi Condensed"/>
          <w:b/>
          <w:bCs/>
          <w:sz w:val="24"/>
          <w:szCs w:val="24"/>
        </w:rPr>
        <w:t xml:space="preserve">Blocco mirato numero 2509 — Secondo test: confronto con il secondo grado, ed è il confronto critico. Il limite di strumento è una lacuna di copertura: la banca dati non comprende il periodo. La barriera macchinica è un rifiuto attivo entro la copertura: la banca dati comprende il documento, lo cataloga, lo indirizza, e nega la consegna. Distinti, e la distinzione ha conseguenza pratica: nel secondo grado si cambia strumento, nel decimo si cambia lettore.</w:t>
      </w:r>
    </w:p>
    <w:p>
      <w:pPr>
        <w:spacing w:after="120" w:line="276"/>
        <w:jc w:val="both"/>
      </w:pPr>
      <w:r>
        <w:rPr>
          <w:rFonts w:ascii="Barlow Semi Condensed" w:cs="Barlow Semi Condensed" w:eastAsia="Barlow Semi Condensed" w:hAnsi="Barlow Semi Condensed"/>
          <w:b/>
          <w:bCs/>
          <w:sz w:val="24"/>
          <w:szCs w:val="24"/>
        </w:rPr>
        <w:t xml:space="preserve">Blocco mirato numero 2510 — Confronto con il primo grado. L'impossibilità istituzionale è normativa: una regola chiude l'archivio a chiunque. La barriera macchinica è tecnica, e la norma permette l'accesso. La prova decisiva è l'asimmetria: un lettore umano incontra il primo grado esattamente come un lettore automatico; il decimo grado lo incontra soltanto il secondo. Distinti.</w:t>
      </w:r>
    </w:p>
    <w:p>
      <w:pPr>
        <w:spacing w:after="120" w:line="276"/>
        <w:jc w:val="both"/>
      </w:pPr>
      <w:r>
        <w:rPr>
          <w:rFonts w:ascii="Barlow Semi Condensed" w:cs="Barlow Semi Condensed" w:eastAsia="Barlow Semi Condensed" w:hAnsi="Barlow Semi Condensed"/>
          <w:b/>
          <w:bCs/>
          <w:sz w:val="24"/>
          <w:szCs w:val="24"/>
        </w:rPr>
        <w:t xml:space="preserve">Blocco mirato numero 2511 — La proprietà più importante del decimo grado, che nessun altro possiede. Esso non è rimediabile dall'interno del metodo che lo ha incontrato. Nessuna riformulazione della domanda lo scioglie. Si scioglie soltanto uscendo dal metodo — cioè andando. Ne discende che il decimo grado è il solo che prescriva al ricercatore di cessare di essere ciò che è.</w:t>
      </w:r>
    </w:p>
    <w:p>
      <w:pPr>
        <w:spacing w:after="120" w:line="276"/>
        <w:jc w:val="both"/>
      </w:pPr>
      <w:r>
        <w:rPr>
          <w:rFonts w:ascii="Barlow Semi Condensed" w:cs="Barlow Semi Condensed" w:eastAsia="Barlow Semi Condensed" w:hAnsi="Barlow Semi Condensed"/>
          <w:b/>
          <w:bCs/>
          <w:sz w:val="24"/>
          <w:szCs w:val="24"/>
        </w:rPr>
        <w:t xml:space="preserve">Blocco mirato numero 2512 — Esito sul decimo grado. Entrambi i test superati. Il grado tiene e si conferma.</w:t>
      </w:r>
    </w:p>
    <w:p>
      <w:pPr>
        <w:pStyle w:val="Heading2"/>
        <w:spacing w:after="100" w:before="200"/>
      </w:pPr>
      <w:r>
        <w:rPr>
          <w:rFonts w:ascii="Barlow Semi Condensed" w:cs="Barlow Semi Condensed" w:eastAsia="Barlow Semi Condensed" w:hAnsi="Barlow Semi Condensed"/>
          <w:sz w:val="24"/>
          <w:szCs w:val="24"/>
        </w:rPr>
        <w:t xml:space="preserve">III — LA CADUTA DEL GRADO UNDICESIMO</w:t>
      </w:r>
    </w:p>
    <w:p>
      <w:pPr>
        <w:spacing w:after="120" w:line="276"/>
        <w:jc w:val="both"/>
      </w:pPr>
      <w:r>
        <w:rPr>
          <w:rFonts w:ascii="Barlow Semi Condensed" w:cs="Barlow Semi Condensed" w:eastAsia="Barlow Semi Condensed" w:hAnsi="Barlow Semi Condensed"/>
          <w:b/>
          <w:bCs/>
          <w:sz w:val="24"/>
          <w:szCs w:val="24"/>
        </w:rPr>
        <w:t xml:space="preserve">Blocco mirato numero 2601 — Il grado sotto esame. Il Terzo Registro ha proposto, al blocco 1708, un grado denominato fatto trasferito, così definito: un fatto vero la cui attribuzione geografica e politica viene silenziosamente aggiornata per servire una rivendicazione presente. Caso: l'addestramento dei quadri sudafricani in territorio oggi ucraino, invocato quale titolo di gratitudine verso Mosca.</w:t>
      </w:r>
    </w:p>
    <w:p>
      <w:pPr>
        <w:spacing w:after="120" w:line="276"/>
        <w:jc w:val="both"/>
      </w:pPr>
      <w:r>
        <w:rPr>
          <w:rFonts w:ascii="Barlow Semi Condensed" w:cs="Barlow Semi Condensed" w:eastAsia="Barlow Semi Condensed" w:hAnsi="Barlow Semi Condensed"/>
          <w:b/>
          <w:bCs/>
          <w:sz w:val="24"/>
          <w:szCs w:val="24"/>
        </w:rPr>
        <w:t xml:space="preserve">Blocco mirato numero 2602 — Primo test: descrive un'assenza?\\ \\No.</w:t>
      </w:r>
    </w:p>
    <w:p>
      <w:pPr>
        <w:spacing w:after="120" w:line="276"/>
        <w:jc w:val="both"/>
      </w:pPr>
      <w:r>
        <w:rPr>
          <w:rFonts w:ascii="Barlow Semi Condensed" w:cs="Barlow Semi Condensed" w:eastAsia="Barlow Semi Condensed" w:hAnsi="Barlow Semi Condensed"/>
          <w:b/>
          <w:bCs/>
          <w:sz w:val="24"/>
          <w:szCs w:val="24"/>
        </w:rPr>
        <w:t xml:space="preserve">Blocco mirato numero 2603 — La dimostrazione, e va condotta senza sconti perché la proposizione è mia e recentissima. Gli altri 10 gradi misurano tutti una privazione: assenza di documento, di accesso, di riscontro, di verità nel circuito, di atto giuridico. Il fatto trasferito non misura alcuna privazione. Il fatto c'è; il documento c'è; l'accesso c'è; il riscontro c'è. Ciò che è alterato è la cornice entro cui il fatto viene collocato, non la sua disponibilità.</w:t>
      </w:r>
    </w:p>
    <w:p>
      <w:pPr>
        <w:spacing w:after="120" w:line="276"/>
        <w:jc w:val="both"/>
      </w:pPr>
      <w:r>
        <w:rPr>
          <w:rFonts w:ascii="Barlow Semi Condensed" w:cs="Barlow Semi Condensed" w:eastAsia="Barlow Semi Condensed" w:hAnsi="Barlow Semi Condensed"/>
          <w:b/>
          <w:bCs/>
          <w:sz w:val="24"/>
          <w:szCs w:val="24"/>
        </w:rPr>
        <w:t xml:space="preserve">Blocco mirato numero 2604 — Ne discende l'esito.\\ \\Il grado fallisce il primo test e non appartiene alla scala degli Stati Zero. Il Terzo Registro lo aveva collocato male, e il presente registro lo ritira.</w:t>
      </w:r>
    </w:p>
    <w:p>
      <w:pPr>
        <w:spacing w:after="120" w:line="276"/>
        <w:jc w:val="both"/>
      </w:pPr>
      <w:r>
        <w:rPr>
          <w:rFonts w:ascii="Barlow Semi Condensed" w:cs="Barlow Semi Condensed" w:eastAsia="Barlow Semi Condensed" w:hAnsi="Barlow Semi Condensed"/>
          <w:b/>
          <w:bCs/>
          <w:sz w:val="24"/>
          <w:szCs w:val="24"/>
        </w:rPr>
        <w:t xml:space="preserve">Blocco mirato numero 2605 — Ma ritirarlo non è cassarlo, e la distinzione va enunciata.\\ La fattispecie che esso descrive \\esiste ed è analiticamente utile.\\ L'errore non fu di averla identificata: \\fu di averla iscritta nella scala sbagliata.</w:t>
      </w:r>
    </w:p>
    <w:p>
      <w:pPr>
        <w:spacing w:after="120" w:line="276"/>
        <w:jc w:val="both"/>
      </w:pPr>
      <w:r>
        <w:rPr>
          <w:rFonts w:ascii="Barlow Semi Condensed" w:cs="Barlow Semi Condensed" w:eastAsia="Barlow Semi Condensed" w:hAnsi="Barlow Semi Condensed"/>
          <w:b/>
          <w:bCs/>
          <w:sz w:val="24"/>
          <w:szCs w:val="24"/>
        </w:rPr>
        <w:t xml:space="preserve">Blocco mirato numero 2606 — La ricollocazione proposta. Il corpus dispone di un secondo strumento, l'Indice di Contaminazione, che misura non la disponibilità di un'informazione ma la sua indipendenza genealogica: quante volte un medesimo dato è stato riprodotto, attraverso quali passaggi, e quanto ciascuna riproduzione ne abbia alterato la portata. È lì che il fatto trasferito appartiene.</w:t>
      </w:r>
    </w:p>
    <w:p>
      <w:pPr>
        <w:spacing w:after="120" w:line="276"/>
        <w:jc w:val="both"/>
      </w:pPr>
      <w:r>
        <w:rPr>
          <w:rFonts w:ascii="Barlow Semi Condensed" w:cs="Barlow Semi Condensed" w:eastAsia="Barlow Semi Condensed" w:hAnsi="Barlow Semi Condensed"/>
          <w:b/>
          <w:bCs/>
          <w:sz w:val="24"/>
          <w:szCs w:val="24"/>
        </w:rPr>
        <w:t xml:space="preserve">Blocco mirato numero 2607 — La formulazione emendata per la nuova sede. Contaminazione per trasferimento di cornice: un dato genealogicamente autentico viene riprodotto con attribuzione geografica, politica o cronologica modificata, sicché le riproduzioni successive ereditano la cornice nuova insieme al dato vero, e la falsificazione diviene progressivamente indistinguibile dall'accertamento.</w:t>
      </w:r>
    </w:p>
    <w:p>
      <w:pPr>
        <w:spacing w:after="120" w:line="276"/>
        <w:jc w:val="both"/>
      </w:pPr>
      <w:r>
        <w:rPr>
          <w:rFonts w:ascii="Barlow Semi Condensed" w:cs="Barlow Semi Condensed" w:eastAsia="Barlow Semi Condensed" w:hAnsi="Barlow Semi Condensed"/>
          <w:b/>
          <w:bCs/>
          <w:sz w:val="24"/>
          <w:szCs w:val="24"/>
        </w:rPr>
        <w:t xml:space="preserve">Blocco mirato numero 2608 — La proprietà che la rende insidiosa, e che giustifica di conservarla. Essa resiste a ogni verifica condotta sul dato. Chi verifichi l'addestramento a Odessa lo trova confermato; la cornice non è verificabile insieme al dato, perché non è nel dato. Ne discende che gli strumenti ordinari di riscontro — che confermano o smentiscono fatti — sono strutturalmente ciechi ad essa.</w:t>
      </w:r>
    </w:p>
    <w:p>
      <w:pPr>
        <w:spacing w:after="120" w:line="276"/>
        <w:jc w:val="both"/>
      </w:pPr>
      <w:r>
        <w:rPr>
          <w:rFonts w:ascii="Barlow Semi Condensed" w:cs="Barlow Semi Condensed" w:eastAsia="Barlow Semi Condensed" w:hAnsi="Barlow Semi Condensed"/>
          <w:b/>
          <w:bCs/>
          <w:sz w:val="24"/>
          <w:szCs w:val="24"/>
        </w:rPr>
        <w:t xml:space="preserve">Blocco mirato numero 2609 — La distinzione dall'ottavo grado, che va mantenuta perché sono vicini. Il falso positivo richiede un apparato che detiene la qualificazione vera e ne diffonde una falsa: presuppone dunque la conoscenza e l'intenzione. La contaminazione per trasferimento non le richiede: può essere accrescitiva,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b/>
          <w:bCs/>
          <w:sz w:val="24"/>
          <w:szCs w:val="24"/>
        </w:rPr>
        <w:t xml:space="preserve">Blocco mirato numero 2610 — Bilancio della sezione. Dei 3 gradi proposti nella sessione, 2 tengono e 1 cade. Il caduto non è perduto: è trasferito allo strumento competente, con definizione emendata e con una proprietà — la cecità degli strumenti di riscontro — che nella scala degli Stati Zero non avrebbe potuto essere enunciata.</w:t>
      </w:r>
    </w:p>
    <w:p>
      <w:pPr>
        <w:pStyle w:val="Heading2"/>
        <w:spacing w:after="100" w:before="200"/>
      </w:pPr>
      <w:r>
        <w:rPr>
          <w:rFonts w:ascii="Barlow Semi Condensed" w:cs="Barlow Semi Condensed" w:eastAsia="Barlow Semi Condensed" w:hAnsi="Barlow Semi Condensed"/>
          <w:sz w:val="24"/>
          <w:szCs w:val="24"/>
        </w:rPr>
        <w:t xml:space="preserve">IV — LA SCALA EMENDATA E LE SUE PROPRIETÀ TRASVERSALI</w:t>
      </w:r>
    </w:p>
    <w:p>
      <w:pPr>
        <w:spacing w:after="120" w:line="276"/>
        <w:jc w:val="both"/>
      </w:pPr>
      <w:r>
        <w:rPr>
          <w:rFonts w:ascii="Barlow Semi Condensed" w:cs="Barlow Semi Condensed" w:eastAsia="Barlow Semi Condensed" w:hAnsi="Barlow Semi Condensed"/>
          <w:b/>
          <w:bCs/>
          <w:sz w:val="24"/>
          <w:szCs w:val="24"/>
        </w:rPr>
        <w:t xml:space="preserve">Blocco mirato numero 2701 — La scala risultante conta 10 gradi.\\ Gli 8 preesistenti, confermati; il nono, atto atipico; il decimo, barriera macchinica. \\Il grado undicesimo è espunto e ricollocato.</w:t>
      </w:r>
    </w:p>
    <w:p>
      <w:pPr>
        <w:spacing w:after="120" w:line="276"/>
        <w:jc w:val="both"/>
      </w:pPr>
      <w:r>
        <w:rPr>
          <w:rFonts w:ascii="Barlow Semi Condensed" w:cs="Barlow Semi Condensed" w:eastAsia="Barlow Semi Condensed" w:hAnsi="Barlow Semi Condensed"/>
          <w:b/>
          <w:bCs/>
          <w:sz w:val="24"/>
          <w:szCs w:val="24"/>
        </w:rPr>
        <w:t xml:space="preserve">Blocco mirato numero 2702 — Prima proprietà trasversale: la ripartizione per rimediabilità. I gradi si dispongono su 3 classi. Rimediabili dal ricercatore: il secondo, il terzo, il quinto e in parte il settimo — basta lavorare di più o cercare altrove. Rimediabili soltanto da terzi: il primo, l'ottavo e il decimo — occorre che qualcuno apra, desecreti o consenta. Non rimediabili: il quarto, perché già chiuso, e il nono, perché non vi è nulla da rimediare.</w:t>
      </w:r>
    </w:p>
    <w:p>
      <w:pPr>
        <w:spacing w:after="120" w:line="276"/>
        <w:jc w:val="both"/>
      </w:pPr>
      <w:r>
        <w:rPr>
          <w:rFonts w:ascii="Barlow Semi Condensed" w:cs="Barlow Semi Condensed" w:eastAsia="Barlow Semi Condensed" w:hAnsi="Barlow Semi Condensed"/>
          <w:b/>
          <w:bCs/>
          <w:sz w:val="24"/>
          <w:szCs w:val="24"/>
        </w:rPr>
        <w:t xml:space="preserve">Blocco mirato numero 2703 — La conseguenza operativa della ripartizione. Una tavola di acquisizioni non conseguite dovrebbe essere ordinata per classe di rimediabilità prima che per rendimento atteso, poiché il rendimento più alto è inutile se la classe è la terza. I 3 registri anteriori hanno ordinato per solo rendimento, e vanno emendati su questo punto.</w:t>
      </w:r>
    </w:p>
    <w:p>
      <w:pPr>
        <w:spacing w:after="120" w:line="276"/>
        <w:jc w:val="both"/>
      </w:pPr>
      <w:r>
        <w:rPr>
          <w:rFonts w:ascii="Barlow Semi Condensed" w:cs="Barlow Semi Condensed" w:eastAsia="Barlow Semi Condensed" w:hAnsi="Barlow Semi Condensed"/>
          <w:b/>
          <w:bCs/>
          <w:sz w:val="24"/>
          <w:szCs w:val="24"/>
        </w:rPr>
        <w:t xml:space="preserve">Blocco mirato numero 2704 — Seconda proprietà trasversale: la ripartizione per falsificabilità. Alcuni gradi sono confutabili da chiunque esibisca un documento: il quarto, il quinto, il settimo. Altri non lo sono se non mutando la ricostruzione del quadro normativo o tecnico: il nono e il decimo. Ne discende che questi 2 vanno impiegati con maggiore cautela, poiché non offrono all'interlocutore lo strumento per contestarli.</w:t>
      </w:r>
    </w:p>
    <w:p>
      <w:pPr>
        <w:spacing w:after="120" w:line="276"/>
        <w:jc w:val="both"/>
      </w:pPr>
      <w:r>
        <w:rPr>
          <w:rFonts w:ascii="Barlow Semi Condensed" w:cs="Barlow Semi Condensed" w:eastAsia="Barlow Semi Condensed" w:hAnsi="Barlow Semi Condensed"/>
          <w:b/>
          <w:bCs/>
          <w:sz w:val="24"/>
          <w:szCs w:val="24"/>
        </w:rPr>
        <w:t xml:space="preserve">Blocco mirato numero 2705 — L'avvertenza che ne discende, e la rivolgo a me stesso. Un grado non falsificabile è comodo per chi lo invoca. Il nono grado permette di dichiarare che l'atto non fu mai prodotto senza che nessuno possa esibire il contrario. Va perciò impiegato soltanto dopo aver esibito il quadro normativo che lo fonda, come i registri anteriori hanno fatto citando il regio decreto del 1941 e l'articolo 13 della legge del 1990, e mai per affermazione.</w:t>
      </w:r>
    </w:p>
    <w:p>
      <w:pPr>
        <w:spacing w:after="120" w:line="276"/>
        <w:jc w:val="both"/>
      </w:pPr>
      <w:r>
        <w:rPr>
          <w:rFonts w:ascii="Barlow Semi Condensed" w:cs="Barlow Semi Condensed" w:eastAsia="Barlow Semi Condensed" w:hAnsi="Barlow Semi Condensed"/>
          <w:b/>
          <w:bCs/>
          <w:sz w:val="24"/>
          <w:szCs w:val="24"/>
        </w:rPr>
        <w:t xml:space="preserve">Blocco mirato numero 2706 — Terza proprietà trasversale: la ripartizione per visibilità. Alcuni gradi si manifestano a chi cerca: il primo, il secondo, il terzo. Altri sono invisibili a chi non conduca una verifica specifica: l'ottavo e il decimo. L'ottavo è invisibile perché il documento c'è e appare regolare; il decimo perché la scheda catalografica contiene abbastanza da sembrare un risultato.</w:t>
      </w:r>
    </w:p>
    <w:p>
      <w:pPr>
        <w:spacing w:after="120" w:line="276"/>
        <w:jc w:val="both"/>
      </w:pPr>
      <w:r>
        <w:rPr>
          <w:rFonts w:ascii="Barlow Semi Condensed" w:cs="Barlow Semi Condensed" w:eastAsia="Barlow Semi Condensed" w:hAnsi="Barlow Semi Condensed"/>
          <w:b/>
          <w:bCs/>
          <w:sz w:val="24"/>
          <w:szCs w:val="24"/>
        </w:rPr>
        <w:t xml:space="preserve">Blocco mirato numero 2707 — La conseguenza, che è una prescrizione di procedura. Una ricerca che si arresti alla scheda non sa di aver fallito. Ne discende che ogni acquisizione fondata su scheda catalografica anziché su testo va dichiarata come tale, e i registri anteriori lo hanno fatto per le 2 lettere alle Nazioni Unite. La prescrizione va estesa a ogni caso futuro.</w:t>
      </w:r>
    </w:p>
    <w:p>
      <w:pPr>
        <w:spacing w:after="120" w:line="276"/>
        <w:jc w:val="both"/>
      </w:pPr>
      <w:r>
        <w:rPr>
          <w:rFonts w:ascii="Barlow Semi Condensed" w:cs="Barlow Semi Condensed" w:eastAsia="Barlow Semi Condensed" w:hAnsi="Barlow Semi Condensed"/>
          <w:b/>
          <w:bCs/>
          <w:sz w:val="24"/>
          <w:szCs w:val="24"/>
        </w:rPr>
        <w:t xml:space="preserve">Blocco mirato numero 2708 — Quarta proprietà: i gradi non sono esclusivi. Un medesimo perimetro può presentarne più d'uno. Il teatro australe li presenta contemporaneamente in numero di 4: primo grado per la documentazione vaticana; terzo per i fondi diplomatici italiani; nono per l'atto autorizzativo sulla licenza; decimo per i corpi delle lettere. La scala qualifica assenze singole, non perimetri.</w:t>
      </w:r>
    </w:p>
    <w:p>
      <w:pPr>
        <w:spacing w:after="120" w:line="276"/>
        <w:jc w:val="both"/>
      </w:pPr>
      <w:r>
        <w:rPr>
          <w:rFonts w:ascii="Barlow Semi Condensed" w:cs="Barlow Semi Condensed" w:eastAsia="Barlow Semi Condensed" w:hAnsi="Barlow Semi Condensed"/>
          <w:b/>
          <w:bCs/>
          <w:sz w:val="24"/>
          <w:szCs w:val="24"/>
        </w:rPr>
        <w:t xml:space="preserve">Blocco mirato numero 2709 — Quinta proprietà, e chiude la sezione. La scala non descrive più soltanto ciò che gli archivi non conservano. Descrive ciò che il diritto non produsse, con il nono grado, e ciò che lo strumento non raggiunge, con il decimo. Ne discende che essa ha cessato di essere una tassonomia archivistica ed è divenuta una tassonomia dei limiti della conoscenza documentale, il che ne amplia la portata e ne accresce il rischio di abuso.</w:t>
      </w:r>
    </w:p>
    <w:p>
      <w:pPr>
        <w:spacing w:after="120" w:line="276"/>
        <w:jc w:val="both"/>
      </w:pPr>
      <w:r>
        <w:rPr>
          <w:rFonts w:ascii="Barlow Semi Condensed" w:cs="Barlow Semi Condensed" w:eastAsia="Barlow Semi Condensed" w:hAnsi="Barlow Semi Condensed"/>
          <w:b/>
          <w:bCs/>
          <w:sz w:val="24"/>
          <w:szCs w:val="24"/>
        </w:rPr>
        <w:t xml:space="preserve">Blocco mirato numero 2710 — Il rischio, enunciato per ultimo perché è il più serio. Più la scala si raffina, più diviene agevole qualificare elegantemente un'assenza anziché scioglierla. Undici ricognizioni hanno prodotto tavole; due voci che io stesso avevo giudicato le più facili sono rimaste ineseguite finché non le ho eseguite. La scala è uno strumento per descrivere ciò che manca, non un sostituto del cercarlo.</w:t>
      </w:r>
    </w:p>
    <w:p>
      <w:pPr>
        <w:spacing w:after="120" w:line="276"/>
        <w:jc w:val="both"/>
      </w:pPr>
      <w:r>
        <w:rPr>
          <w:rFonts w:ascii="Barlow Semi Condensed" w:cs="Barlow Semi Condensed" w:eastAsia="Barlow Semi Condensed" w:hAnsi="Barlow Semi Condensed"/>
          <w:b/>
          <w:bCs/>
          <w:sz w:val="24"/>
          <w:szCs w:val="24"/>
        </w:rPr>
        <w:t xml:space="preserve">Blocco mirato numero 2801 — Sintesi del dato nuovo acquisito. Il presente registro ha sottoposto a prova di tenuta la scala degli Stati Zero, accresciuta nella sessione da 8 a 11 gradi senza verifica. La prova è stata condotta con 2 test — di appartenenza e di distinzione — e applicata contro i gradi anziché a loro favore. Il nono grado, atto atipico, supera entrambi i test e si conferma, con la proprietà distintiva di immunizzare il ricercatore dall'inferenza sbagliata che un archivio vuoto autorizzerebbe, e con l'avvertenza che esso non è falsificabile e va perciò impiegato soltanto esibendo il quadro normativo che lo fonda. Il decimo grado, barriera macchinica, supera entrambi i test e si conferma, con la proprietà distintiva di essere il solo grado che prescriva al ricercatore di cessare di essere ciò che è, poiché si scioglie soltanto uscendo dal metodo che lo ha incontrato. Il grado undicesimo, fatto trasferito, fallisce il primo test e viene ritirato, poiché non descrive un'assenza ma un'alterazione di cornice a fronte di un dato pienamente disponibile; esso è ricollocato nell'Indice di Contaminazione con definizione emendata quale contaminazione per trasferimento di cornice, e con la proprietà — enunciabile soltanto nella nuova sede — di resistere a ogni verifica condotta sul dato, poiché la cornice non è nel dato e gli strumenti ordinari di riscontro le sono strutturalmente ciechi. La scala emendata conta dunque 10 gradi, e il registro ne enuncia 5 proprietà trasversali mai prima formulate: la ripartizione per rimediabilità in 3 classi, con la prescrizione che le tavole siano ordinate per classe prima che per rendimento atteso e con conseguente emendazione dei 3 registri anteriori su questo punto; la ripartizione per falsificabilità, con l'avvertenza sui 2 gradi non falsificabili; la ripartizione per visibilità, con la prescrizione che ogni acquisizione fondata su scheda catalografica anziché su testo sia dichiarata come tale; la non esclusività dei gradi, il teatro australe presentandone 4 contemporaneamente; e infine il mutamento di natura della scala, divenuta tassonomia dei limiti della conoscenza documentale anziché tassonomia archivistica. Il registro si chiude con l'avvertenza che tale raffinamento accresce il rischio di qualificare elegantemente un'assenza anziché scioglierla, e che la scala è strumento per descrivere ciò che manca, non sostituto del cercarlo.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XXIII · Quarto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3.442 parole in 9 sezioni; la più ampia è §9 Altre sezioni, con 2.880.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55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XXIV — Quinto Registro Analitico</w:t>
      </w:r>
    </w:p>
    <w:p>
      <w:pPr>
        <w:pStyle w:val="Heading1"/>
        <w:spacing w:after="120" w:before="240"/>
      </w:pPr>
      <w:r>
        <w:rPr>
          <w:rFonts w:ascii="Barlow Semi Condensed" w:cs="Barlow Semi Condensed" w:eastAsia="Barlow Semi Condensed" w:hAnsi="Barlow Semi Condensed"/>
          <w:sz w:val="24"/>
          <w:szCs w:val="24"/>
        </w:rPr>
        <w:t xml:space="preserve">QUINTO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w:t>
      </w:r>
    </w:p>
    <w:p>
      <w:pPr>
        <w:pStyle w:val="Heading2"/>
        <w:spacing w:after="100" w:before="200"/>
      </w:pPr>
      <w:r>
        <w:rPr>
          <w:rFonts w:ascii="Barlow Semi Condensed" w:cs="Barlow Semi Condensed" w:eastAsia="Barlow Semi Condensed" w:hAnsi="Barlow Semi Condensed"/>
          <w:sz w:val="24"/>
          <w:szCs w:val="24"/>
        </w:rPr>
        <w:t xml:space="preserve">Esecuzione della prescrizione del blocco 2703</w:t>
      </w:r>
    </w:p>
    <w:p>
      <w:pPr>
        <w:pStyle w:val="Heading2"/>
        <w:spacing w:after="100" w:before="200"/>
      </w:pPr>
      <w:r>
        <w:rPr>
          <w:rFonts w:ascii="Barlow Semi Condensed" w:cs="Barlow Semi Condensed" w:eastAsia="Barlow Semi Condensed" w:hAnsi="Barlow Semi Condensed"/>
          <w:sz w:val="24"/>
          <w:szCs w:val="24"/>
        </w:rPr>
        <w:t xml:space="preserve">Blocchi 2901-3301 — 28 voci — 19 in classe prima, 7 in seconda, 2 in terza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QUINTO REGISTRO ANALITICO</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 Esecuzione della prescrizione del blocco 2703</w:t>
      </w:r>
    </w:p>
    <w:p>
      <w:pPr>
        <w:spacing w:after="120" w:line="276"/>
        <w:jc w:val="both"/>
      </w:pPr>
      <w:r>
        <w:rPr>
          <w:rFonts w:ascii="Barlow Semi Condensed" w:cs="Barlow Semi Condensed" w:eastAsia="Barlow Semi Condensed" w:hAnsi="Barlow Semi Condensed"/>
          <w:b/>
          <w:bCs/>
          <w:sz w:val="24"/>
          <w:szCs w:val="24"/>
        </w:rPr>
        <w:t xml:space="preserve">Blocco mirato numero 2901 — Oggetto. Il Quarto Registro ha prescritto, al blocco 2703, che le tavole di acquisizioni non conseguite siano ordinate per classe di rimediabilità prima che per rendimento atteso, ed ha emendato su questo punto i 3 registri anteriori. La prescrizione è stata emessa e non eseguita. Il presente registro la esegue.</w:t>
      </w:r>
    </w:p>
    <w:p>
      <w:pPr>
        <w:spacing w:after="120" w:line="276"/>
        <w:jc w:val="both"/>
      </w:pPr>
      <w:r>
        <w:rPr>
          <w:rFonts w:ascii="Barlow Semi Condensed" w:cs="Barlow Semi Condensed" w:eastAsia="Barlow Semi Condensed" w:hAnsi="Barlow Semi Condensed"/>
          <w:b/>
          <w:bCs/>
          <w:sz w:val="24"/>
          <w:szCs w:val="24"/>
        </w:rPr>
        <w:t xml:space="preserve">Blocco mirato numero 2902 — Ragione dell'urgenza. La diciottesima ricognizione aveva accertato che 2 voci giudicate dall'autore le più facili dell'intera serie erano rimaste ineseguite per 5 ricognizioni. Emettere una prescrizione e non applicarla nel documento successivo riprodurrebbe il vizio nella forma più netta possibile, poiché il vizio è stato diagnosticato nella medesima sessione.</w:t>
      </w:r>
    </w:p>
    <w:p>
      <w:pPr>
        <w:spacing w:after="120" w:line="276"/>
        <w:jc w:val="both"/>
      </w:pPr>
      <w:r>
        <w:rPr>
          <w:rFonts w:ascii="Barlow Semi Condensed" w:cs="Barlow Semi Condensed" w:eastAsia="Barlow Semi Condensed" w:hAnsi="Barlow Semi Condensed"/>
          <w:b/>
          <w:bCs/>
          <w:sz w:val="24"/>
          <w:szCs w:val="24"/>
        </w:rPr>
        <w:t xml:space="preserve">Blocco mirato numero 2903 — Che cosa il registro consolida. Le voci di tavola prodotte nella sessione da 5 ricognizioni e 4 registri: calibrazione libica, canale Aermacchi, confronto namibiano, Santa Sede e Democrazia Cristiana, fonti primarie alle Nazioni Unite; Primo, Secondo, Terzo e Quarto Registro. Le voci sono deduplicate, poiché numerose ricorrono in 3 o 4 documenti con formulazione variata.</w:t>
      </w:r>
    </w:p>
    <w:p>
      <w:pPr>
        <w:spacing w:after="120" w:line="276"/>
        <w:jc w:val="both"/>
      </w:pPr>
      <w:r>
        <w:rPr>
          <w:rFonts w:ascii="Barlow Semi Condensed" w:cs="Barlow Semi Condensed" w:eastAsia="Barlow Semi Condensed" w:hAnsi="Barlow Semi Condensed"/>
          <w:b/>
          <w:bCs/>
          <w:sz w:val="24"/>
          <w:szCs w:val="24"/>
        </w:rPr>
        <w:t xml:space="preserve">Blocco mirato numero 2904 — Le 3 classi, richiamate. Classe prima: rimediabili dal ricercatore — basta andare, o lavorare di più con lo strumento disponibile. Classe seconda: rimediabili soltanto da terzi — occorre che qualcuno apra, desecreti o consenta. Classe terza: non rimediabili — non vi è nulla da rimediare, o l'ostacolo è normativo e indipendente da qualunque volontà attuale.</w:t>
      </w:r>
    </w:p>
    <w:p>
      <w:pPr>
        <w:spacing w:after="120" w:line="276"/>
        <w:jc w:val="both"/>
      </w:pPr>
      <w:r>
        <w:rPr>
          <w:rFonts w:ascii="Barlow Semi Condensed" w:cs="Barlow Semi Condensed" w:eastAsia="Barlow Semi Condensed" w:hAnsi="Barlow Semi Condensed"/>
          <w:b/>
          <w:bCs/>
          <w:sz w:val="24"/>
          <w:szCs w:val="24"/>
        </w:rPr>
        <w:t xml:space="preserve">Blocco mirato numero 2905 — Il dato quantitativo, anticipato perché è esso il risultato.\\ Le voci deduplicate sono \\28\\. Di queste, \\19 appartengono alla classe prima, 7 alla classe seconda, 2 alla classe terza.</w:t>
      </w:r>
    </w:p>
    <w:p>
      <w:pPr>
        <w:spacing w:after="120" w:line="276"/>
        <w:jc w:val="both"/>
      </w:pPr>
      <w:r>
        <w:rPr>
          <w:rFonts w:ascii="Barlow Semi Condensed" w:cs="Barlow Semi Condensed" w:eastAsia="Barlow Semi Condensed" w:hAnsi="Barlow Semi Condensed"/>
          <w:b/>
          <w:bCs/>
          <w:sz w:val="24"/>
          <w:szCs w:val="24"/>
        </w:rPr>
        <w:t xml:space="preserve">Blocco mirato numero 2906 — La lettura del dato, ed è la sola che il registro proponga. Ventisette voci su 28 sono in principio conseguibili, e 19 lo sono per iniziativa del solo ricercatore. Ne discende che l'ostacolo prevalente dell'intera sessione non è il segreto né la norma: è che nessuno sia andato.</w:t>
      </w:r>
    </w:p>
    <w:p>
      <w:pPr>
        <w:spacing w:after="120" w:line="276"/>
        <w:jc w:val="both"/>
      </w:pPr>
      <w:r>
        <w:rPr>
          <w:rFonts w:ascii="Barlow Semi Condensed" w:cs="Barlow Semi Condensed" w:eastAsia="Barlow Semi Condensed" w:hAnsi="Barlow Semi Condensed"/>
          <w:b/>
          <w:bCs/>
          <w:sz w:val="24"/>
          <w:szCs w:val="24"/>
        </w:rPr>
        <w:t xml:space="preserve">Blocco mirato numero 2907 — Per ciascuna voce si indicano 4 elementi. Il grado secondo la scala emendata a 10 voci; la sede; la condizione di chiusura; e il rendimento atteso, che ordina all'interno della classe e non fra le classi.</w:t>
      </w:r>
    </w:p>
    <w:p>
      <w:pPr>
        <w:spacing w:after="120" w:line="276"/>
        <w:jc w:val="both"/>
      </w:pPr>
      <w:r>
        <w:rPr>
          <w:rFonts w:ascii="Barlow Semi Condensed" w:cs="Barlow Semi Condensed" w:eastAsia="Barlow Semi Condensed" w:hAnsi="Barlow Semi Condensed"/>
          <w:b/>
          <w:bCs/>
          <w:sz w:val="24"/>
          <w:szCs w:val="24"/>
        </w:rPr>
        <w:t xml:space="preserve">Blocco mirato numero 2908 — Numerazione dei blocchi. Riprende dal 2901, il Quarto Registro essendosi chiuso al 2801.</w:t>
      </w:r>
    </w:p>
    <w:p>
      <w:pPr>
        <w:pStyle w:val="Heading2"/>
        <w:spacing w:after="100" w:before="200"/>
      </w:pPr>
      <w:r>
        <w:rPr>
          <w:rFonts w:ascii="Barlow Semi Condensed" w:cs="Barlow Semi Condensed" w:eastAsia="Barlow Semi Condensed" w:hAnsi="Barlow Semi Condensed"/>
          <w:sz w:val="24"/>
          <w:szCs w:val="24"/>
        </w:rPr>
        <w:t xml:space="preserve">CLASSE PRIMA — RIMEDIABILI DAL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3001 — Voce 1. Lo spoglio delle serie Affari Politici dell'Archivio Storico Diplomatico per i 6 perimetri del ministero Moro, 1969-1974, e per la serie Sudafrica 1969-1976. Grado terzo, deposito inesplorato. Sede: l'archivio, previa richiesta dell'elenco dei faldoni. Condizione: consultazione in sede, con verifica preventiva di disponibilità per la documentazione dal 1949. Rendimento: massimo della classe. È la sola operazione che trasformi il silenzio presunto dei 6 perimetri in esito accertato.</w:t>
      </w:r>
    </w:p>
    <w:p>
      <w:pPr>
        <w:spacing w:after="120" w:line="276"/>
        <w:jc w:val="both"/>
      </w:pPr>
      <w:r>
        <w:rPr>
          <w:rFonts w:ascii="Barlow Semi Condensed" w:cs="Barlow Semi Condensed" w:eastAsia="Barlow Semi Condensed" w:hAnsi="Barlow Semi Condensed"/>
          <w:b/>
          <w:bCs/>
          <w:sz w:val="24"/>
          <w:szCs w:val="24"/>
        </w:rPr>
        <w:t xml:space="preserve">Blocco mirato numero 3002 — Voce 2. La verifica dei canali paralleli alla Farnesina presso i ministeri competenti per materia, per ciascun perimetro. Grado terzo. Sede: archivi dei ministeri competenti. Condizione: individuazione del ministero per materia. Rendimento: altissimo, e la voce è nuova, nata dal precedente di Osimo e mai cercata da alcuna ricognizione anteriore.</w:t>
      </w:r>
    </w:p>
    <w:p>
      <w:pPr>
        <w:spacing w:after="120" w:line="276"/>
        <w:jc w:val="both"/>
      </w:pPr>
      <w:r>
        <w:rPr>
          <w:rFonts w:ascii="Barlow Semi Condensed" w:cs="Barlow Semi Condensed" w:eastAsia="Barlow Semi Condensed" w:hAnsi="Barlow Semi Condensed"/>
          <w:b/>
          <w:bCs/>
          <w:sz w:val="24"/>
          <w:szCs w:val="24"/>
        </w:rPr>
        <w:t xml:space="preserve">Blocco mirato numero 3003 — Voce 3. Lo spoglio integrale del Fondo Moro oltre la busta 139, con verifica diretta della struttura inventariale. Grado terzo. Sede: Archivio Centrale dello Stato e Archivio storico del Senato. Condizione: consultazione. Rendimento: alto, il fondo constando di 218 buste con inventario analitico e parziale digitalizzazione, e l'avvertenza sulla decorrenza da novembre 1974 essendo risultata inesatta.</w:t>
      </w:r>
    </w:p>
    <w:p>
      <w:pPr>
        <w:spacing w:after="120" w:line="276"/>
        <w:jc w:val="both"/>
      </w:pPr>
      <w:r>
        <w:rPr>
          <w:rFonts w:ascii="Barlow Semi Condensed" w:cs="Barlow Semi Condensed" w:eastAsia="Barlow Semi Condensed" w:hAnsi="Barlow Semi Condensed"/>
          <w:b/>
          <w:bCs/>
          <w:sz w:val="24"/>
          <w:szCs w:val="24"/>
        </w:rPr>
        <w:t xml:space="preserve">Blocco mirato numero 3004 — Voce 4. I Documenti Diplomatici Italiani, Settima serie, per il periodo 1969-1976. Grado terzo. Sede: la collana. Condizione: verifica della copertura effettiva, l'ultimo volume pubblicato dell'undicesima serie fermandosi al 1951-1952. Rendimento: alto.</w:t>
      </w:r>
    </w:p>
    <w:p>
      <w:pPr>
        <w:spacing w:after="120" w:line="276"/>
        <w:jc w:val="both"/>
      </w:pPr>
      <w:r>
        <w:rPr>
          <w:rFonts w:ascii="Barlow Semi Condensed" w:cs="Barlow Semi Condensed" w:eastAsia="Barlow Semi Condensed" w:hAnsi="Barlow Semi Condensed"/>
          <w:b/>
          <w:bCs/>
          <w:sz w:val="24"/>
          <w:szCs w:val="24"/>
        </w:rPr>
        <w:t xml:space="preserve">Blocco mirato numero 3005 — Voce 5. Il voto italiano sulla risoluzione 2775 della ventiseiesima sessione, del 29 novembre 1971, intitolata Arms embargo, e sulla serie apartheid della ventinovesima sessione. Grado secondo, limite di strumento: le schede esistono e la lista per Paese è troncata nelle risorse consultate. Sede: scheda di voting data del singolo documento. Condizione: meramente tecnica. Rendimento: alto, essendo la risoluzione la più direttamente pertinente al perimetro dell'intera serie.</w:t>
      </w:r>
    </w:p>
    <w:p>
      <w:pPr>
        <w:spacing w:after="120" w:line="276"/>
        <w:jc w:val="both"/>
      </w:pPr>
      <w:r>
        <w:rPr>
          <w:rFonts w:ascii="Barlow Semi Condensed" w:cs="Barlow Semi Condensed" w:eastAsia="Barlow Semi Condensed" w:hAnsi="Barlow Semi Condensed"/>
          <w:b/>
          <w:bCs/>
          <w:sz w:val="24"/>
          <w:szCs w:val="24"/>
        </w:rPr>
        <w:t xml:space="preserve">Blocco mirato numero 3006 — Voce 6. Le dichiarazioni esplicative di voto italiane e tedesche, in particolare sulla seduta del dicembre 1976. Grado secondo. Sede: verbali plenari serie A/PV, e segnatamente A/31/PV.105. Condizione: tecnica. Rendimento: alto, poiché sono l'unico luogo in cui le intenzioni di un voto sono documentate anziché inferite, e da esse dipende la ragione dell'inversione accertata al blocco 601.</w:t>
      </w:r>
    </w:p>
    <w:p>
      <w:pPr>
        <w:spacing w:after="120" w:line="276"/>
        <w:jc w:val="both"/>
      </w:pPr>
      <w:r>
        <w:rPr>
          <w:rFonts w:ascii="Barlow Semi Condensed" w:cs="Barlow Semi Condensed" w:eastAsia="Barlow Semi Condensed" w:hAnsi="Barlow Semi Condensed"/>
          <w:b/>
          <w:bCs/>
          <w:sz w:val="24"/>
          <w:szCs w:val="24"/>
        </w:rPr>
        <w:t xml:space="preserve">Blocco mirato numero 3007 — Voce 7. I voti italiani residui sulle risoluzioni namibiane\\ 33/182, 34/92, 35/227, 36/121, 37/233, 40/97 e 43/26. \\Grado secondo. Sede:\\ schede di voting data. \\Condizione: tecnica. Rendimento: medio-alto.</w:t>
      </w:r>
    </w:p>
    <w:p>
      <w:pPr>
        <w:spacing w:after="120" w:line="276"/>
        <w:jc w:val="both"/>
      </w:pPr>
      <w:r>
        <w:rPr>
          <w:rFonts w:ascii="Barlow Semi Condensed" w:cs="Barlow Semi Condensed" w:eastAsia="Barlow Semi Condensed" w:hAnsi="Barlow Semi Condensed"/>
          <w:b/>
          <w:bCs/>
          <w:sz w:val="24"/>
          <w:szCs w:val="24"/>
        </w:rPr>
        <w:t xml:space="preserve">Blocco mirato numero 3008 — Voce 8. L'elenco dei co-proponenti dei progetti di risoluzione, per verificare se l'Italia sia mai stata promotrice e non soltanto votante. Grado secondo. Sede: progetti di risoluzione della serie A con suffisso L. Condizione: tecnica. Rendimento: medio-alto, poiché un esito negativo confermato descriverebbe con esattezza la posizione italiana: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Blocco mirato numero 3009 — Voce 9. Gli atti dei congressi nazionali democristiani e l'archivio dell'Istituto Luigi Sturzo, per accertare una posizione ufficiale del partito distinta dall'azione parlamentare. Grado terzo. Sede: l'istituto. Condizione: consultazione. Rendimento: medio-alto, l'esito essendo attualmente negativo per mancato reperimento e non per impossibilità.</w:t>
      </w:r>
    </w:p>
    <w:p>
      <w:pPr>
        <w:spacing w:after="120" w:line="276"/>
        <w:jc w:val="both"/>
      </w:pPr>
      <w:r>
        <w:rPr>
          <w:rFonts w:ascii="Barlow Semi Condensed" w:cs="Barlow Semi Condensed" w:eastAsia="Barlow Semi Condensed" w:hAnsi="Barlow Semi Condensed"/>
          <w:b/>
          <w:bCs/>
          <w:sz w:val="24"/>
          <w:szCs w:val="24"/>
        </w:rPr>
        <w:t xml:space="preserve">Blocco mirato numero 3010 — Voce 10. L'archivio della Hanns-Seidel-Stiftung a Monaco, per il contenuto puntuale delle attività in Namibia nel biennio 1978-1980. Grado terzo. Sede: l'archivio della fondazione e le sue relazioni annuali dell'epoca. Condizione: consultazione. Rendimento: medio-alto, la presenza dal 1978 essendo accertata e il contenuto no.</w:t>
      </w:r>
    </w:p>
    <w:p>
      <w:pPr>
        <w:spacing w:after="120" w:line="276"/>
        <w:jc w:val="both"/>
      </w:pPr>
      <w:r>
        <w:rPr>
          <w:rFonts w:ascii="Barlow Semi Condensed" w:cs="Barlow Semi Condensed" w:eastAsia="Barlow Semi Condensed" w:hAnsi="Barlow Semi Condensed"/>
          <w:b/>
          <w:bCs/>
          <w:sz w:val="24"/>
          <w:szCs w:val="24"/>
        </w:rPr>
        <w:t xml:space="preserve">Blocco mirato numero 3011 — Voce 11. L'Archiv für Christlich-Soziale Politik a Monaco, per la cronologia analitica e datata dei viaggi in Sudafrica e Namibia. Grado terzo. Sede: l'archivio, che custodisce oltre 300 metri lineari di lascito e registra più di 600 viaggi esteri in 63 Stati fra il 1952 e il 1988. Condizione: consultazione. Rendimento: medio-alto, poiché trasformerebbe in fatti datati ciò che è oggi attribuzione dubitativa di pubblicistica.</w:t>
      </w:r>
    </w:p>
    <w:p>
      <w:pPr>
        <w:spacing w:after="120" w:line="276"/>
        <w:jc w:val="both"/>
      </w:pPr>
      <w:r>
        <w:rPr>
          <w:rFonts w:ascii="Barlow Semi Condensed" w:cs="Barlow Semi Condensed" w:eastAsia="Barlow Semi Condensed" w:hAnsi="Barlow Semi Condensed"/>
          <w:b/>
          <w:bCs/>
          <w:sz w:val="24"/>
          <w:szCs w:val="24"/>
        </w:rPr>
        <w:t xml:space="preserve">Blocco mirato numero 3012 — Voce 12. I resoconti stenografici del Bundestag, ottava legislatura, per verificare l'affermazione secondo cui nel 1977 sarebbe stato respinto il principio un uomo un voto per gli Stati dell'Africa australe. Grado settimo, allegazione senza base, in attesa di riscontro. Sede: i resoconti. Condizione: tecnica.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3013 — Voce 13. I resoconti stenografici della quinta e sesta legislatura italiana, per le dichiarazioni di Moro sulla questione libica e per interrogazioni e interpellanze anteriori al 5 luglio 1976. Grado secondo. Sede: volumi cartacei degli Atti, non digitalizzati in forma indicizzata. Condizione: spoglio manuale.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3014 — Voce 14. La Torre do Tombo, fondo della polizia politica portoghese, di cui metà risulta mai consultata. Grado terzo. Sede: l'archivio. Condizione: consultazione. Rendimento: medio, per il perimetro Aginter e per l'insediamento dell'Opus Dei nel 1961, 1963 e 1964.</w:t>
      </w:r>
    </w:p>
    <w:p>
      <w:pPr>
        <w:spacing w:after="120" w:line="276"/>
        <w:jc w:val="both"/>
      </w:pPr>
      <w:r>
        <w:rPr>
          <w:rFonts w:ascii="Barlow Semi Condensed" w:cs="Barlow Semi Condensed" w:eastAsia="Barlow Semi Condensed" w:hAnsi="Barlow Semi Condensed"/>
          <w:b/>
          <w:bCs/>
          <w:sz w:val="24"/>
          <w:szCs w:val="24"/>
        </w:rPr>
        <w:t xml:space="preserve">Blocco mirato numero 3015 — Voce 15. I National Archives britannici, per accertare se e quando la Rolls-Royce o il governo britannico abbiano autorizzato o negato la produzione sudafricana su licenza del Viper. Grado terzo. Sede: i National Archives, e gli archivi Bristol Siddeley e Rolls-Royce Heritage Trust. Condizione: individuazione dei fascicoli. Rendimento: medio, poiché chiuderebbe la questione della responsabilità di terzi nella catena del blocco 401.</w:t>
      </w:r>
    </w:p>
    <w:p>
      <w:pPr>
        <w:spacing w:after="120" w:line="276"/>
        <w:jc w:val="both"/>
      </w:pPr>
      <w:r>
        <w:rPr>
          <w:rFonts w:ascii="Barlow Semi Condensed" w:cs="Barlow Semi Condensed" w:eastAsia="Barlow Semi Condensed" w:hAnsi="Barlow Semi Condensed"/>
          <w:b/>
          <w:bCs/>
          <w:sz w:val="24"/>
          <w:szCs w:val="24"/>
        </w:rPr>
        <w:t xml:space="preserve">Blocco mirato numero 3016 — Voce 16. La banca dati di Stoccolma sui trasferimenti di armamenti, i bilanci del gruppo Leonardo e gli atti della corporazione armamenti sudafricana, per la quantificazione in valore dei contratti dal 2010 al 2026. Grado terzo. Sede: le 3 fonti. Condizione: accesso, agevole per le prime 2. Rendimento: medio, poiché sostituirebbe fonti aziendali promozionali con dati verificabili.</w:t>
      </w:r>
    </w:p>
    <w:p>
      <w:pPr>
        <w:spacing w:after="120" w:line="276"/>
        <w:jc w:val="both"/>
      </w:pPr>
      <w:r>
        <w:rPr>
          <w:rFonts w:ascii="Barlow Semi Condensed" w:cs="Barlow Semi Condensed" w:eastAsia="Barlow Semi Condensed" w:hAnsi="Barlow Semi Condensed"/>
          <w:b/>
          <w:bCs/>
          <w:sz w:val="24"/>
          <w:szCs w:val="24"/>
        </w:rPr>
        <w:t xml:space="preserve">Blocco mirato numero 3017 — Voce 17. L'archivio comboniano di Roma e l'annata 1974-1976 della rivista dell'ordine, per l'espulsione dal Mozambico del 13 aprile 1974 e per la divergenza fra 9, 11 e 13 religiosi. Grado terzo. Sede: l'archivio dell'ordine. Condizione: consultazione.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3018 — Voce 18. Gli archivi del comitato degli italiani all'estero di Johannesburg e dei consolati, per accertare se la comunità italiana in Sudafrica abbia assunto posizioni sull'apartheid. Grado terzo. Sede: i 2 archivi. Condizione: consultazione. Rendimento: medio-basso, l'esito attuale essendo negativo per mancato reperimento.</w:t>
      </w:r>
    </w:p>
    <w:p>
      <w:pPr>
        <w:spacing w:after="120" w:line="276"/>
        <w:jc w:val="both"/>
      </w:pPr>
      <w:r>
        <w:rPr>
          <w:rFonts w:ascii="Barlow Semi Condensed" w:cs="Barlow Semi Condensed" w:eastAsia="Barlow Semi Condensed" w:hAnsi="Barlow Semi Condensed"/>
          <w:b/>
          <w:bCs/>
          <w:sz w:val="24"/>
          <w:szCs w:val="24"/>
        </w:rPr>
        <w:t xml:space="preserve">Blocco mirato numero 3019 — Voce 19. I registri del cimitero militare di Zonderwater e dell'associazione del campo, per la divergenza fra 312 e 279-280 caduti. Grado terzo. Sede: i registri. Condizione: consultazione. Rendimento: basso quanto all'analisi, ma la voce va conservata perché la divergenza tocca un dato già iscritto nel corpus.</w:t>
      </w:r>
    </w:p>
    <w:p>
      <w:pPr>
        <w:pStyle w:val="Heading2"/>
        <w:spacing w:after="100" w:before="200"/>
      </w:pPr>
      <w:r>
        <w:rPr>
          <w:rFonts w:ascii="Barlow Semi Condensed" w:cs="Barlow Semi Condensed" w:eastAsia="Barlow Semi Condensed" w:hAnsi="Barlow Semi Condensed"/>
          <w:sz w:val="24"/>
          <w:szCs w:val="24"/>
        </w:rPr>
        <w:t xml:space="preserve">CLASSE SECONDA — RIMEDIABILI SOLTANTO DA TERZI</w:t>
      </w:r>
    </w:p>
    <w:p>
      <w:pPr>
        <w:spacing w:after="120" w:line="276"/>
        <w:jc w:val="both"/>
      </w:pPr>
      <w:r>
        <w:rPr>
          <w:rFonts w:ascii="Barlow Semi Condensed" w:cs="Barlow Semi Condensed" w:eastAsia="Barlow Semi Condensed" w:hAnsi="Barlow Semi Condensed"/>
          <w:b/>
          <w:bCs/>
          <w:sz w:val="24"/>
          <w:szCs w:val="24"/>
        </w:rPr>
        <w:t xml:space="preserve">Blocco mirato numero 3101 — Voce 20. Il verbale S/AC.20/SR.25 con la dichiarazione di Abdul Minty sull'Italia. Grado primo, impossibilità normativa: appartiene alla serie dei verbali di riunioni chiuse a distribuzione ristretta. Sede: atti del Comitato istituito dalla risoluzione 421 e collezione S/AC.20/SR presso la Dag Hammarskjöld Library. Condizione: accesso ai documenti a distribuzione ristretta. Rendimento: massimo della classe e dell'intera tavola quanto al valore analitico, poiché da esso dipende la comprensione dell'accusa cui l'Italia rispose formalmente nel giugno 1980. Della vicenda conosciamo la difesa e ignoriamo l'accusa.</w:t>
      </w:r>
    </w:p>
    <w:p>
      <w:pPr>
        <w:spacing w:after="120" w:line="276"/>
        <w:jc w:val="both"/>
      </w:pPr>
      <w:r>
        <w:rPr>
          <w:rFonts w:ascii="Barlow Semi Condensed" w:cs="Barlow Semi Condensed" w:eastAsia="Barlow Semi Condensed" w:hAnsi="Barlow Semi Condensed"/>
          <w:b/>
          <w:bCs/>
          <w:sz w:val="24"/>
          <w:szCs w:val="24"/>
        </w:rPr>
        <w:t xml:space="preserve">Blocco mirato numero 3102 — Voce 21. I corpi testuali delle lettere S/9640 e S/AC.20/27. Grado decimo, barriera macchinica: i documenti sono pubblici, catalogati, indirizzabili, e il server ha respinto il recupero automatizzato. Sede: lo United Nations Digital Library System. Condizione: accesso manuale o consultazione in sede — cioè uscita dal metodo che ha incontrato l'ostacolo. Rendimento: altissimo a costo nullo per chi possa andare. È la voce che meglio illustra la classificazione: non rimediabile dal ricercatore automatico, rimediabile in trenta secondi da un lettore umano in biblioteca.</w:t>
      </w:r>
    </w:p>
    <w:p>
      <w:pPr>
        <w:spacing w:after="120" w:line="276"/>
        <w:jc w:val="both"/>
      </w:pPr>
      <w:r>
        <w:rPr>
          <w:rFonts w:ascii="Barlow Semi Condensed" w:cs="Barlow Semi Condensed" w:eastAsia="Barlow Semi Condensed" w:hAnsi="Barlow Semi Condensed"/>
          <w:b/>
          <w:bCs/>
          <w:sz w:val="24"/>
          <w:szCs w:val="24"/>
        </w:rPr>
        <w:t xml:space="preserve">Blocco mirato numero 3103 — Voce 22. La documentazione dell'apparato competente italiano sulle autorizzazioni relative alla licenza Aermacchi. Grado primo: la materia era coperta dal segreto di Stato per regio decreto 11 luglio 1941 numero 1161. Sede: Archivio storico dell'Istituto per la Ricostruzione Industriale presso l'Archivio Centrale dello Stato, archivi della Difesa e dello Stato Maggiore dell'Aeronautica, ministeri economici. Condizione: declassificazione. Rendimento: alto, con l'avvertenza del blocco 504 — presso quelle sedi potrebbe non esservi nulla, e l'assenza non proverebbe l'inazione.</w:t>
      </w:r>
    </w:p>
    <w:p>
      <w:pPr>
        <w:spacing w:after="120" w:line="276"/>
        <w:jc w:val="both"/>
      </w:pPr>
      <w:r>
        <w:rPr>
          <w:rFonts w:ascii="Barlow Semi Condensed" w:cs="Barlow Semi Condensed" w:eastAsia="Barlow Semi Condensed" w:hAnsi="Barlow Semi Condensed"/>
          <w:b/>
          <w:bCs/>
          <w:sz w:val="24"/>
          <w:szCs w:val="24"/>
        </w:rPr>
        <w:t xml:space="preserve">Blocco mirato numero 3104 — Voce 23. Il testo dell'accordo di licenza fra Aermacchi e la controparte sudafricana del 1964, con termini finanziari, geografici, clausole di riesportazione e di rinnovo. Grado terzo con condizione di consenso privato. Sede: archivio storico di Finmeccanica-Leonardo e archivio Aermacchi; controparti negli archivi Atlas-Denel e Armscor. Condizione: accessibilità dell'archivio aziendale, non garantita. Rendimento: alto, poiché in assenza del testo ogni affermazione sui termini della licenza è inferenza.</w:t>
      </w:r>
    </w:p>
    <w:p>
      <w:pPr>
        <w:spacing w:after="120" w:line="276"/>
        <w:jc w:val="both"/>
      </w:pPr>
      <w:r>
        <w:rPr>
          <w:rFonts w:ascii="Barlow Semi Condensed" w:cs="Barlow Semi Condensed" w:eastAsia="Barlow Semi Condensed" w:hAnsi="Barlow Semi Condensed"/>
          <w:b/>
          <w:bCs/>
          <w:sz w:val="24"/>
          <w:szCs w:val="24"/>
        </w:rPr>
        <w:t xml:space="preserve">Blocco mirato numero 3105 — Voce 24. Il rapporto integrale del panel Mojapelo sulla nave Lady R. Grado primo: classificato. Sede: Presidenza sudafricana, o eventuale contenzioso presso l'Alta Corte. Condizione: desecretazione. Rendimento: alto, poiché soltanto esso chiuderebbe in via definitiva una questione probatoria oggi aperta e su cui il registro ha dovuto mantenere la qualificazione di allegazione non provata.</w:t>
      </w:r>
    </w:p>
    <w:p>
      <w:pPr>
        <w:spacing w:after="120" w:line="276"/>
        <w:jc w:val="both"/>
      </w:pPr>
      <w:r>
        <w:rPr>
          <w:rFonts w:ascii="Barlow Semi Condensed" w:cs="Barlow Semi Condensed" w:eastAsia="Barlow Semi Condensed" w:hAnsi="Barlow Semi Condensed"/>
          <w:b/>
          <w:bCs/>
          <w:sz w:val="24"/>
          <w:szCs w:val="24"/>
        </w:rPr>
        <w:t xml:space="preserve">Blocco mirato numero 3106 — Voce 25. La documentazione sui rapporti fra il servizio informativo federale tedesco e i servizi sudafricani. Grado primo. Sede: archivio storico del servizio e Bundesarchiv sul versante tedesco; atti della Commissione per la verità e la riconciliazione e archivi nazionali di Pretoria sul versante sudafricano. Condizione: declassificazione, allo stato improbabile. Rendimento: basso non per irrilevanza ma per ampiezza del segreto vigente.</w:t>
      </w:r>
    </w:p>
    <w:p>
      <w:pPr>
        <w:spacing w:after="120" w:line="276"/>
        <w:jc w:val="both"/>
      </w:pPr>
      <w:r>
        <w:rPr>
          <w:rFonts w:ascii="Barlow Semi Condensed" w:cs="Barlow Semi Condensed" w:eastAsia="Barlow Semi Condensed" w:hAnsi="Barlow Semi Condensed"/>
          <w:b/>
          <w:bCs/>
          <w:sz w:val="24"/>
          <w:szCs w:val="24"/>
        </w:rPr>
        <w:t xml:space="preserve">Blocco mirato numero 3107 — Voce 26. Gli archivi militari cubani, per la divergenza sull'entità delle truppe in Angola: oltre 25.000 contro oltre 18.000 a fine 1975, e fra 55.000 e 60.000 nel 1988. Grado primo. Sede: gli archivi cubani. Condizione: accessibilità, non garantita. Rendimento: medio-basso, la divergenza essendo riportabile senza risoluzione.</w:t>
      </w:r>
    </w:p>
    <w:p>
      <w:pPr>
        <w:pStyle w:val="Heading2"/>
        <w:spacing w:after="100" w:before="200"/>
      </w:pPr>
      <w:r>
        <w:rPr>
          <w:rFonts w:ascii="Barlow Semi Condensed" w:cs="Barlow Semi Condensed" w:eastAsia="Barlow Semi Condensed" w:hAnsi="Barlow Semi Condensed"/>
          <w:sz w:val="24"/>
          <w:szCs w:val="24"/>
        </w:rPr>
        <w:t xml:space="preserve">CLASSE TERZA — NON RIMEDIABILI</w:t>
      </w:r>
    </w:p>
    <w:p>
      <w:pPr>
        <w:spacing w:after="120" w:line="276"/>
        <w:jc w:val="both"/>
      </w:pPr>
      <w:r>
        <w:rPr>
          <w:rFonts w:ascii="Barlow Semi Condensed" w:cs="Barlow Semi Condensed" w:eastAsia="Barlow Semi Condensed" w:hAnsi="Barlow Semi Condensed"/>
          <w:b/>
          <w:bCs/>
          <w:sz w:val="24"/>
          <w:szCs w:val="24"/>
        </w:rPr>
        <w:t xml:space="preserve">Blocco mirato numero 3201 — Voce 27. La documentazione vaticana sul rango della rappresentanza in Sudafrica e sulle ragioni del mancato scambio di ambasciatori per 72 anni. Grado primo, impossibilità istituzionale nella sua forma pura. Sede: Archivio Apostolico Vaticano. Condizione: l'apertura dei pontificati di Giovanni XXIII, Paolo VI e Giovanni Paolo II, l'archivio essendo consultabile fino all'ottobre 1958.</w:t>
      </w:r>
    </w:p>
    <w:p>
      <w:pPr>
        <w:spacing w:after="120" w:line="276"/>
        <w:jc w:val="both"/>
      </w:pPr>
      <w:r>
        <w:rPr>
          <w:rFonts w:ascii="Barlow Semi Condensed" w:cs="Barlow Semi Condensed" w:eastAsia="Barlow Semi Condensed" w:hAnsi="Barlow Semi Condensed"/>
          <w:b/>
          <w:bCs/>
          <w:sz w:val="24"/>
          <w:szCs w:val="24"/>
        </w:rPr>
        <w:t xml:space="preserve">Blocco mirato numero 3202 — Perché la voce appartiene alla classe terza e non alla seconda. La condizione non dipende da alcuna volontà attuale né da alcuna richiesta che il ricercatore possa formulare: dipende da una decisione pontificia futura sulla scansione dei pontificati. Nessun contenzioso, nessuna istanza, nessuna desecretazione la anticipa.</w:t>
      </w:r>
    </w:p>
    <w:p>
      <w:pPr>
        <w:spacing w:after="120" w:line="276"/>
        <w:jc w:val="both"/>
      </w:pPr>
      <w:r>
        <w:rPr>
          <w:rFonts w:ascii="Barlow Semi Condensed" w:cs="Barlow Semi Condensed" w:eastAsia="Barlow Semi Condensed" w:hAnsi="Barlow Semi Condensed"/>
          <w:b/>
          <w:bCs/>
          <w:sz w:val="24"/>
          <w:szCs w:val="24"/>
        </w:rPr>
        <w:t xml:space="preserve">Blocco mirato numero 3203 — La conseguenza per il corpus. Ogni affermazione sulle intenzioni della Santa Sede quanto al mancato riconoscimento del regime resta inferenza e non accertamento, e tale resterà. I 3 elementi che rendono ragionevole l'inferenza — apertura delle relazioni immediatamente dopo la fine del regime, condanna magisteriale costante, esclusione deliberata del Sudafrica dal viaggio del settembre 1988 — vanno enunciati sempre come inferenza convergente e mai come prova.</w:t>
      </w:r>
    </w:p>
    <w:p>
      <w:pPr>
        <w:spacing w:after="120" w:line="276"/>
        <w:jc w:val="both"/>
      </w:pPr>
      <w:r>
        <w:rPr>
          <w:rFonts w:ascii="Barlow Semi Condensed" w:cs="Barlow Semi Condensed" w:eastAsia="Barlow Semi Condensed" w:hAnsi="Barlow Semi Condensed"/>
          <w:b/>
          <w:bCs/>
          <w:sz w:val="24"/>
          <w:szCs w:val="24"/>
        </w:rPr>
        <w:t xml:space="preserve">Blocco mirato numero 3204 — Voce 28. L'atto autorizzativo italiano sulla licenza Aermacchi.\\ \\Grado nono, atto atipico. Sede: nessuna. Condizione: nessuna.</w:t>
      </w:r>
    </w:p>
    <w:p>
      <w:pPr>
        <w:spacing w:after="120" w:line="276"/>
        <w:jc w:val="both"/>
      </w:pPr>
      <w:r>
        <w:rPr>
          <w:rFonts w:ascii="Barlow Semi Condensed" w:cs="Barlow Semi Condensed" w:eastAsia="Barlow Semi Condensed" w:hAnsi="Barlow Semi Condensed"/>
          <w:b/>
          <w:bCs/>
          <w:sz w:val="24"/>
          <w:szCs w:val="24"/>
        </w:rPr>
        <w:t xml:space="preserve">Blocco mirato numero 3205 — La formulazione, che va data con precisione perché è la sola voce della tavola a non essere una voce. L'atto non è irreperibile: non esiste e non è mai esistito, poiché fino all'articolo 13 della legge 185 del 9 luglio 1990 la cessione all'estero di licenze di produzione di armamenti non era fattispecie autorizzativa tipizzata.</w:t>
      </w:r>
    </w:p>
    <w:p>
      <w:pPr>
        <w:spacing w:after="120" w:line="276"/>
        <w:jc w:val="both"/>
      </w:pPr>
      <w:r>
        <w:rPr>
          <w:rFonts w:ascii="Barlow Semi Condensed" w:cs="Barlow Semi Condensed" w:eastAsia="Barlow Semi Condensed" w:hAnsi="Barlow Semi Condensed"/>
          <w:b/>
          <w:bCs/>
          <w:sz w:val="24"/>
          <w:szCs w:val="24"/>
        </w:rPr>
        <w:t xml:space="preserve">Blocco mirato numero 3206 — Perché la voce va conservata pur essendo vuota. Essa occupa il posto che altrimenti un ricercatore futuro tenterebbe di riempire. Iscriverla nella tavola con condizione nessuna impedisce che lo spoglio degli archivi ministeriali, voce 22, venga letto quale prova di inazione ove risultasse infruttuoso. La voce vuota è un segnale di divieto, non una lacuna.</w:t>
      </w:r>
    </w:p>
    <w:p>
      <w:pPr>
        <w:spacing w:after="120" w:line="276"/>
        <w:jc w:val="both"/>
      </w:pPr>
      <w:r>
        <w:rPr>
          <w:rFonts w:ascii="Barlow Semi Condensed" w:cs="Barlow Semi Condensed" w:eastAsia="Barlow Semi Condensed" w:hAnsi="Barlow Semi Condensed"/>
          <w:b/>
          <w:bCs/>
          <w:sz w:val="24"/>
          <w:szCs w:val="24"/>
        </w:rPr>
        <w:t xml:space="preserve">Blocco mirato numero 3207 — Un rilievo sulla composizione della classe terza, e chiude la sezione. Le 2 voci non rimediabili hanno natura opposta. La prima è un documento che esiste e che nessuno può leggere. La seconda è un documento che nessuno può leggere perché non esiste. Sono i 2 limiti estremi della conoscenza documentale, e la sessione li ha incontrati entrambi nel medesimo perimetro.</w:t>
      </w:r>
    </w:p>
    <w:p>
      <w:pPr>
        <w:spacing w:after="120" w:line="276"/>
        <w:jc w:val="both"/>
      </w:pPr>
      <w:r>
        <w:rPr>
          <w:rFonts w:ascii="Barlow Semi Condensed" w:cs="Barlow Semi Condensed" w:eastAsia="Barlow Semi Condensed" w:hAnsi="Barlow Semi Condensed"/>
          <w:b/>
          <w:bCs/>
          <w:sz w:val="24"/>
          <w:szCs w:val="24"/>
        </w:rPr>
        <w:t xml:space="preserve">Blocco mirato numero 3301 — Sintesi del dato nuovo acquisito. Il presente registro esegue la prescrizione emessa al blocco 2703 e non applicata, consolidando in tavola unica le voci prodotte da 5 ricognizioni e 4 registri, deduplicate e ordinate per classe di rimediabilità prima che per rendimento atteso. Le voci risultanti sono 28, così ripartite: 19 in classe prima, rimediabili dal solo ricercatore; 7 in classe seconda, rimediabili soltanto da terzi mediante apertura, desecretazione o consenso privato; 2 in classe terza, non rimediabili. Il registro trae dal dato quantitativo la sola lettura che esso consente: 27 voci su 28 sono in principio conseguibili, e 19 lo sono per iniziativa autonoma, sicché l'ostacolo prevalente dell'intera sessione non è il segreto né la norma bensì il fatto che nessuno sia andato. Esso individua inoltre 4 acquisizioni proprie dell'operazione di riordino. La prima: la voce di massimo rendimento analitico dell'intera tavola — il verbale con la dichiarazione dell'accusatore dell'Italia nel 1980 — appartiene alla classe seconda e non alla prima, sicché della vicenda il corpus conosce la difesa e ignora l'accusa, in inversione dell'asimmetria ordinaria degli archivi di Stato. La seconda: la voce che meglio illustra la classificazione è quella dei corpi testuali delle 2 lettere, non rimediabile dal ricercatore automatico e rimediabile in trenta secondi da un lettore umano in biblioteca. La terza: la voce nuova nata dal precedente di Osimo — la verifica dei canali paralleli alla Farnesina presso i ministeri competenti per materia — è di rendimento altissimo, appartiene alla classe prima, e nessuna ricognizione anteriore l'aveva cercata. La quarta: la classe terza contiene 2 voci di natura opposta — un documento che esiste e che nessuno può leggere, e un documento che nessuno può leggere perché non esiste — che sono i 2 limiti estremi della conoscenza documentale, e la sessione li ha incontrati entrambi nel medesimo perimetro. Il registro conserva la seconda quale voce vuota con condizione nessuna, poiché essa funziona da segnale di divieto e impedisce che lo spoglio infruttuoso degli archivi ministeriali venga letto quale prova di inazione.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XXIV · Quinto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2.647 parole in 9 sezioni; la più ampia è §9 Altre sezioni, con 2.272.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42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 — Sesto Registro Analitico</w:t>
      </w:r>
    </w:p>
    <w:p>
      <w:pPr>
        <w:pStyle w:val="Heading1"/>
        <w:spacing w:after="120" w:before="24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Gli strumenti alla prova del volume</w:t>
      </w:r>
    </w:p>
    <w:p>
      <w:pPr>
        <w:pStyle w:val="Heading2"/>
        <w:spacing w:after="100" w:before="200"/>
      </w:pPr>
      <w:r>
        <w:rPr>
          <w:rFonts w:ascii="Barlow Semi Condensed" w:cs="Barlow Semi Condensed" w:eastAsia="Barlow Semi Condensed" w:hAnsi="Barlow Semi Condensed"/>
          <w:sz w:val="24"/>
          <w:szCs w:val="24"/>
        </w:rPr>
        <w:t xml:space="preserve">Le 98 invocazioni non qualificate e l'errore di categoria</w:t>
      </w:r>
    </w:p>
    <w:p>
      <w:pPr>
        <w:pStyle w:val="Heading2"/>
        <w:spacing w:after="100" w:before="200"/>
      </w:pPr>
      <w:r>
        <w:rPr>
          <w:rFonts w:ascii="Barlow Semi Condensed" w:cs="Barlow Semi Condensed" w:eastAsia="Barlow Semi Condensed" w:hAnsi="Barlow Semi Condensed"/>
          <w:sz w:val="24"/>
          <w:szCs w:val="24"/>
        </w:rPr>
        <w:t xml:space="preserve">Blocchi 3401-3901 — la doppia qualificazione — la contaminazione per trasferimento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b/>
          <w:bCs/>
          <w:sz w:val="24"/>
          <w:szCs w:val="24"/>
        </w:rPr>
        <w:t xml:space="preserve">Gli strumenti alla prova del volume. Le novantotto invocazioni non qualificate e l'errore di categoria</w:t>
      </w:r>
    </w:p>
    <w:p>
      <w:pPr>
        <w:spacing w:after="120" w:line="276"/>
        <w:jc w:val="both"/>
      </w:pPr>
      <w:r>
        <w:rPr>
          <w:rFonts w:ascii="Barlow Semi Condensed" w:cs="Barlow Semi Condensed" w:eastAsia="Barlow Semi Condensed" w:hAnsi="Barlow Semi Condensed"/>
          <w:b/>
          <w:bCs/>
          <w:sz w:val="24"/>
          <w:szCs w:val="24"/>
        </w:rPr>
        <w:t xml:space="preserve">Blocco mirato numero 3401 — Risoluzione del conteggio, che si chiude qui. Gli artefatti della sessione sono 15: 10 documenti consolidati e 5 rapporti di ricerca resi come artefatti. Gli artefatti dall'undicesimo al quindicesimo sono dunque gli ultimi 5 prodotti: il Terzo, il Quarto e il Quinto Registro, e i 2 rapporti sul versante contemporaneo. Il presente registro triangola questi.</w:t>
      </w:r>
    </w:p>
    <w:p>
      <w:pPr>
        <w:spacing w:after="120" w:line="276"/>
        <w:jc w:val="both"/>
      </w:pPr>
      <w:r>
        <w:rPr>
          <w:rFonts w:ascii="Barlow Semi Condensed" w:cs="Barlow Semi Condensed" w:eastAsia="Barlow Semi Condensed" w:hAnsi="Barlow Semi Condensed"/>
          <w:b/>
          <w:bCs/>
          <w:sz w:val="24"/>
          <w:szCs w:val="24"/>
        </w:rPr>
        <w:t xml:space="preserve">Blocco mirato numero 3402 — Che cosa distingue questi 5 dai precedenti, e ne determina l'operazione. I 5 artefatti anteriori versavano materia: nodi, ponti, date, documenti. Questi 5 operano sugli strumenti: la scala degli Stati Zero, l'ordinamento delle tavole, la procedura di confutazione. Ne discende che la triangolazione non domanda che cosa essi aggiungano al volume, ma che cosa essi facciano agli strumenti che il volume adopera.</w:t>
      </w:r>
    </w:p>
    <w:p>
      <w:pPr>
        <w:spacing w:after="120" w:line="276"/>
        <w:jc w:val="both"/>
      </w:pPr>
      <w:r>
        <w:rPr>
          <w:rFonts w:ascii="Barlow Semi Condensed" w:cs="Barlow Semi Condensed" w:eastAsia="Barlow Semi Condensed" w:hAnsi="Barlow Semi Condensed"/>
          <w:b/>
          <w:bCs/>
          <w:sz w:val="24"/>
          <w:szCs w:val="24"/>
        </w:rPr>
        <w:t xml:space="preserve">Blocco mirato numero 3403 — Il riscontro meccanico, condotto prima di ogni valutazione. Sull'Edizione Integrata, 241.052 parole: la locuzione Stato Zero ricorre 98 volte; l'Indice di Contaminazione 25 volte; il lemma rimediabile 1 volta sola. E nessuno dei 10 nomi di grado vi ricorre: impossibilità istituzionale, limite di strumento, deposito inesplorato, insieme vuoto verificato, esito negativo presso i beneficiari, assenza coerente con la collocazione, allegazione senza base, falso positivo, atto atipico e barriera macchinica danno tutti zero. Livello A.</w:t>
      </w:r>
    </w:p>
    <w:p>
      <w:pPr>
        <w:spacing w:after="120" w:line="276"/>
        <w:jc w:val="both"/>
      </w:pPr>
      <w:r>
        <w:rPr>
          <w:rFonts w:ascii="Barlow Semi Condensed" w:cs="Barlow Semi Condensed" w:eastAsia="Barlow Semi Condensed" w:hAnsi="Barlow Semi Condensed"/>
          <w:b/>
          <w:bCs/>
          <w:sz w:val="24"/>
          <w:szCs w:val="24"/>
        </w:rPr>
        <w:t xml:space="preserve">Blocco mirato numero 3404 — La prima diagnosi. Il volume invoca la categoria 98 volte e non qualifica mai il grado. Novantotto invocazioni di una parola sola che sta per 10 cose distinte, ciascuna con sede e condizione di chiusura diverse.</w:t>
      </w:r>
    </w:p>
    <w:p>
      <w:pPr>
        <w:spacing w:after="120" w:line="276"/>
        <w:jc w:val="both"/>
      </w:pPr>
      <w:r>
        <w:rPr>
          <w:rFonts w:ascii="Barlow Semi Condensed" w:cs="Barlow Semi Condensed" w:eastAsia="Barlow Semi Condensed" w:hAnsi="Barlow Semi Condensed"/>
          <w:b/>
          <w:bCs/>
          <w:sz w:val="24"/>
          <w:szCs w:val="24"/>
        </w:rPr>
        <w:t xml:space="preserve">Blocco mirato numero 3405 — Dove le invocazioni si concentrano, e il dato è rivelatore. Diciassette nella Fase 6, registro di verifica; 17 nella Fase 12, triangolazione del documento Moro; 12 nella Fase 13, estrazione computazionale; 16 nel capitolo sull'ecosistema contemporaneo; 3 nella Fase 4, intitolata al vaglio delle ipotesi e allo Stato Zero. Livello A.</w:t>
      </w:r>
    </w:p>
    <w:p>
      <w:pPr>
        <w:spacing w:after="120" w:line="276"/>
        <w:jc w:val="both"/>
      </w:pPr>
      <w:r>
        <w:rPr>
          <w:rFonts w:ascii="Barlow Semi Condensed" w:cs="Barlow Semi Condensed" w:eastAsia="Barlow Semi Condensed" w:hAnsi="Barlow Semi Condensed"/>
          <w:b/>
          <w:bCs/>
          <w:sz w:val="24"/>
          <w:szCs w:val="24"/>
        </w:rPr>
        <w:t xml:space="preserve">Blocco mirato numero 3406 — La lettura del dato. Le invocazioni si addensano nelle fasi di verifica e non in quelle di esposizione. Ne discende che la categoria funziona nel volume come strumento di audit: essa serve a censire ciò che il registro non afferma, in sede di bilancio. Ed è precisamente la sede in cui l'indifferenziazione costa di più, poiché un bilancio che conti insieme cose diverse produce una somma priva di significato.</w:t>
      </w:r>
    </w:p>
    <w:p>
      <w:pPr>
        <w:spacing w:after="120" w:line="276"/>
        <w:jc w:val="both"/>
      </w:pPr>
      <w:r>
        <w:rPr>
          <w:rFonts w:ascii="Barlow Semi Condensed" w:cs="Barlow Semi Condensed" w:eastAsia="Barlow Semi Condensed" w:hAnsi="Barlow Semi Condensed"/>
          <w:b/>
          <w:bCs/>
          <w:sz w:val="24"/>
          <w:szCs w:val="24"/>
        </w:rPr>
        <w:t xml:space="preserve">Blocco mirato numero 3407 — La definizione che il volume dà della categoria, riportata perché è unica e regge tutte le 98 occorrenze. L'assenza certificata di una connessione attesa, che il registro denomina Stato Zero, è un risultato analitico di primo ordine, di pari dignità rispetto al risultato positivo, e come tale viene esposta senza imbarazzo.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3408 — La definizione è corretta e insufficiente, e occorre dire perché. È corretta nel principio: l'assenza certificata vale quanto la presenza. È insufficiente perché non distingue l'assenza certificata — che è il quarto grado, insieme vuoto verificato — dall'assenza non conseguita, che sono gli altri 9. Il volume nomina con una sola parola il risultato e l'ostacolo.</w:t>
      </w:r>
    </w:p>
    <w:p>
      <w:pPr>
        <w:spacing w:after="120" w:line="276"/>
        <w:jc w:val="both"/>
      </w:pPr>
      <w:r>
        <w:rPr>
          <w:rFonts w:ascii="Barlow Semi Condensed" w:cs="Barlow Semi Condensed" w:eastAsia="Barlow Semi Condensed" w:hAnsi="Barlow Semi Condensed"/>
          <w:b/>
          <w:bCs/>
          <w:sz w:val="24"/>
          <w:szCs w:val="24"/>
        </w:rPr>
        <w:t xml:space="preserve">Blocco mirato numero 3409 — La conseguenza pratica dell'indifferenziazione. Un lettore del volume che incontri la locuzione non sa se gli si stia dicendo che una connessione è stata cercata e accertata assente, oppure che una connessione non è stata cercata perché l'archivio è chiuso. Sono i 2 estremi opposti, e nel volume portano il medesimo nome.</w:t>
      </w:r>
    </w:p>
    <w:p>
      <w:pPr>
        <w:spacing w:after="120" w:line="276"/>
        <w:jc w:val="both"/>
      </w:pPr>
      <w:r>
        <w:rPr>
          <w:rFonts w:ascii="Barlow Semi Condensed" w:cs="Barlow Semi Condensed" w:eastAsia="Barlow Semi Condensed" w:hAnsi="Barlow Semi Condensed"/>
          <w:b/>
          <w:bCs/>
          <w:sz w:val="24"/>
          <w:szCs w:val="24"/>
        </w:rPr>
        <w:t xml:space="preserve">Blocco mirato numero 3410 — Ma l'indifferenziazione non è il vizio maggiore, ed è al blocco 3501 che il presente registro individua quello strutturale.</w:t>
      </w:r>
    </w:p>
    <w:p>
      <w:pPr>
        <w:spacing w:after="120" w:line="276"/>
        <w:jc w:val="both"/>
      </w:pPr>
      <w:r>
        <w:rPr>
          <w:rFonts w:ascii="Barlow Semi Condensed" w:cs="Barlow Semi Condensed" w:eastAsia="Barlow Semi Condensed" w:hAnsi="Barlow Semi Condensed"/>
          <w:b/>
          <w:bCs/>
          <w:sz w:val="24"/>
          <w:szCs w:val="24"/>
        </w:rPr>
        <w:t xml:space="preserve">Blocco mirato numero 3411 — Discipline e notazione. Sistema Savona 2.1 con grado in linea; scala emendata a 10 gradi secondo il Quarto Registro; classificazione per rimediabilità secondo il Quinto. Il presente registro non versa nodi né ponti: esso emenda l'uso di 2 strumenti.</w:t>
      </w:r>
    </w:p>
    <w:p>
      <w:pPr>
        <w:spacing w:after="120" w:line="276"/>
        <w:jc w:val="both"/>
      </w:pPr>
      <w:r>
        <w:rPr>
          <w:rFonts w:ascii="Barlow Semi Condensed" w:cs="Barlow Semi Condensed" w:eastAsia="Barlow Semi Condensed" w:hAnsi="Barlow Semi Condensed"/>
          <w:b/>
          <w:bCs/>
          <w:sz w:val="24"/>
          <w:szCs w:val="24"/>
        </w:rPr>
        <w:t xml:space="preserve">Blocco mirato numero 3412 — Numerazione. Riprende dal 3401, il Quinto Registro essendosi chiuso al 3301.</w:t>
      </w:r>
    </w:p>
    <w:p>
      <w:pPr>
        <w:pStyle w:val="Heading2"/>
        <w:spacing w:after="100" w:before="200"/>
      </w:pPr>
      <w:r>
        <w:rPr>
          <w:rFonts w:ascii="Barlow Semi Condensed" w:cs="Barlow Semi Condensed" w:eastAsia="Barlow Semi Condensed" w:hAnsi="Barlow Semi Condensed"/>
          <w:sz w:val="24"/>
          <w:szCs w:val="24"/>
        </w:rPr>
        <w:t xml:space="preserve">I — L'ERRORE DI CATEGORIA</w:t>
      </w:r>
    </w:p>
    <w:p>
      <w:pPr>
        <w:spacing w:after="120" w:line="276"/>
        <w:jc w:val="both"/>
      </w:pPr>
      <w:r>
        <w:rPr>
          <w:rFonts w:ascii="Barlow Semi Condensed" w:cs="Barlow Semi Condensed" w:eastAsia="Barlow Semi Condensed" w:hAnsi="Barlow Semi Condensed"/>
          <w:b/>
          <w:bCs/>
          <w:sz w:val="24"/>
          <w:szCs w:val="24"/>
        </w:rPr>
        <w:t xml:space="preserve">Blocco mirato numero 3501 — Il reperto, riportato testualmente perché è su di esso che tutto poggia. Il volume, in sede di bilancio di fase, scrive: il repertorio consolida in un inventario unitario 38 tra archi, triangolazioni ed esiti certificati nella fase, dei quali 24 al Livello A, 7 al Livello B, 6 al Livello C ed 1 Stato Zero.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3502 — L'aritmetica, che va fatta perché è essa a rivelare la struttura. Ventiquattro più 7 più 6 più 1 fa 38. Ne discende che le 4 categorie sono trattate come esclusive ed esaustive: ogni elemento dell'inventario appartiene a una e a una sola di esse.</w:t>
      </w:r>
    </w:p>
    <w:p>
      <w:pPr>
        <w:spacing w:after="120" w:line="276"/>
        <w:jc w:val="both"/>
      </w:pPr>
      <w:r>
        <w:rPr>
          <w:rFonts w:ascii="Barlow Semi Condensed" w:cs="Barlow Semi Condensed" w:eastAsia="Barlow Semi Condensed" w:hAnsi="Barlow Semi Condensed"/>
          <w:b/>
          <w:bCs/>
          <w:sz w:val="24"/>
          <w:szCs w:val="24"/>
        </w:rPr>
        <w:t xml:space="preserve">Blocco mirato numero 3503 — L'errore.\\ \\Lo Stato Zero è collocato quale quarto livello Savona, accanto ad A, B e C.</w:t>
      </w:r>
    </w:p>
    <w:p>
      <w:pPr>
        <w:spacing w:after="120" w:line="276"/>
        <w:jc w:val="both"/>
      </w:pPr>
      <w:r>
        <w:rPr>
          <w:rFonts w:ascii="Barlow Semi Condensed" w:cs="Barlow Semi Condensed" w:eastAsia="Barlow Semi Condensed" w:hAnsi="Barlow Semi Condensed"/>
          <w:b/>
          <w:bCs/>
          <w:sz w:val="24"/>
          <w:szCs w:val="24"/>
        </w:rPr>
        <w:t xml:space="preserve">Blocco mirato numero 3504 — Perché è errore, e la dimostrazione è breve. Il sistema Savona misura il grado di certezza di un'affermazione. La scala degli Stati Zero misura la natura di un'assenza. Sono dimensioni ortogonali e non alternative: un'assenza è essa stessa oggetto di affermazione, e come tale ha un proprio grado di certezza.</w:t>
      </w:r>
    </w:p>
    <w:p>
      <w:pPr>
        <w:spacing w:after="120" w:line="276"/>
        <w:jc w:val="both"/>
      </w:pPr>
      <w:r>
        <w:rPr>
          <w:rFonts w:ascii="Barlow Semi Condensed" w:cs="Barlow Semi Condensed" w:eastAsia="Barlow Semi Condensed" w:hAnsi="Barlow Semi Condensed"/>
          <w:b/>
          <w:bCs/>
          <w:sz w:val="24"/>
          <w:szCs w:val="24"/>
        </w:rPr>
        <w:t xml:space="preserve">Blocco mirato numero 3505 — La prova che il volume fornisce contro sé stesso, ed è decisiva. Il volume qualifica l'assenza di Umberto Ortolani verso il Dominio 1 come unica assenza sistematicamente ricercata e certificata della fase.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3506 — Ne discende l'argomento. Un'assenza certificata possiede un grado di certificazione. Se possiede un grado di certificazione, essa ha un livello Savona. Se ha un livello Savona, non può essere un livello Savona. L'errore è dunque dimostrabile con le sole parole del volume, senza ricorso ad alcuna fonte esterna.</w:t>
      </w:r>
    </w:p>
    <w:p>
      <w:pPr>
        <w:spacing w:after="120" w:line="276"/>
        <w:jc w:val="both"/>
      </w:pPr>
      <w:r>
        <w:rPr>
          <w:rFonts w:ascii="Barlow Semi Condensed" w:cs="Barlow Semi Condensed" w:eastAsia="Barlow Semi Condensed" w:hAnsi="Barlow Semi Condensed"/>
          <w:b/>
          <w:bCs/>
          <w:sz w:val="24"/>
          <w:szCs w:val="24"/>
        </w:rPr>
        <w:t xml:space="preserve">Blocco mirato numero 3507 — Che cosa l'errore impedisce di dire, ed è il costo analitico. Nella struttura attuale il volume non può distinguere fra uno Stato Zero certificato al Livello A e uno Stato Zero congetturato al Livello C. Ma la distinzione è necessaria e il corpus la richiede: l'assenza dell'Opus Dei da Grecia, Cipro e Turchia, verificata contro l'elenco ufficiale che l'ente medesimo pubblica, è di Livello A; l'assenza di un nesso fra Moro e la questione sudafricana, dichiarata su archivi non consultati, è di Livello C. Nel volume porterebbero la medesima etichetta e comparirebbero nella medesima casella del bilancio.</w:t>
      </w:r>
    </w:p>
    <w:p>
      <w:pPr>
        <w:spacing w:after="120" w:line="276"/>
        <w:jc w:val="both"/>
      </w:pPr>
      <w:r>
        <w:rPr>
          <w:rFonts w:ascii="Barlow Semi Condensed" w:cs="Barlow Semi Condensed" w:eastAsia="Barlow Semi Condensed" w:hAnsi="Barlow Semi Condensed"/>
          <w:b/>
          <w:bCs/>
          <w:sz w:val="24"/>
          <w:szCs w:val="24"/>
        </w:rPr>
        <w:t xml:space="preserve">Blocco mirato numero 3508 — L'emendazione proposta, in forma operativa. Ogni Stato Zero riceva 2 qualificazioni e non una: il grado, secondo la scala a 10 voci, e il livello Savona, secondo il sistema a 3 gradi. La forma di citazione diviene: Stato Zero di quarto grado, insieme vuoto verificato, Livello A; oppure Stato Zero di terzo grado, deposito inesplorato, Livello C.</w:t>
      </w:r>
    </w:p>
    <w:p>
      <w:pPr>
        <w:spacing w:after="120" w:line="276"/>
        <w:jc w:val="both"/>
      </w:pPr>
      <w:r>
        <w:rPr>
          <w:rFonts w:ascii="Barlow Semi Condensed" w:cs="Barlow Semi Condensed" w:eastAsia="Barlow Semi Condensed" w:hAnsi="Barlow Semi Condensed"/>
          <w:b/>
          <w:bCs/>
          <w:sz w:val="24"/>
          <w:szCs w:val="24"/>
        </w:rPr>
        <w:t xml:space="preserve">Blocco mirato numero 3509 — La conseguenza sui bilanci di fase. Essi non devono più sommare gli Stati Zero ai livelli Savona. La formulazione corretta del reperto citato al blocco 3501 sarebbe: 38 esiti, dei quali 24 al Livello A, 7 al B e 6 al C; e fra questi 38, uno è uno Stato Zero, di quarto grado e di Livello A.</w:t>
      </w:r>
    </w:p>
    <w:p>
      <w:pPr>
        <w:spacing w:after="120" w:line="276"/>
        <w:jc w:val="both"/>
      </w:pPr>
      <w:r>
        <w:rPr>
          <w:rFonts w:ascii="Barlow Semi Condensed" w:cs="Barlow Semi Condensed" w:eastAsia="Barlow Semi Condensed" w:hAnsi="Barlow Semi Condensed"/>
          <w:b/>
          <w:bCs/>
          <w:sz w:val="24"/>
          <w:szCs w:val="24"/>
        </w:rPr>
        <w:t xml:space="preserve">Blocco mirato numero 3510 — La verifica dell'emendazione sul caso Ortolani. L'assenza fu sistematicamente ricercata, dunque non è deposito inesplorato; fu certificata, dunque l'insieme vuoto è verificato; e il volume la impiega quale calibro per le fasi successive. Livello A. Essa è dunque Stato Zero di quarto grado, Livello A, e la doppia qualificazione la descrive esattamente mentre l'etichetta unica la confonde con ogni altra assenza del volume.</w:t>
      </w:r>
    </w:p>
    <w:p>
      <w:pPr>
        <w:spacing w:after="120" w:line="276"/>
        <w:jc w:val="both"/>
      </w:pPr>
      <w:r>
        <w:rPr>
          <w:rFonts w:ascii="Barlow Semi Condensed" w:cs="Barlow Semi Condensed" w:eastAsia="Barlow Semi Condensed" w:hAnsi="Barlow Semi Condensed"/>
          <w:b/>
          <w:bCs/>
          <w:sz w:val="24"/>
          <w:szCs w:val="24"/>
        </w:rPr>
        <w:t xml:space="preserve">Blocco mirato numero 3511 — Un rilievo che va reso al volume, poiché la critica sarebbe ingiusta senza di esso. Il volume aveva già compreso ciò che la scala formalizza. Chiamando l'assenza di Ortolani calibro per le fasi successive, esso attribuiva a quel solo caso una funzione che agli altri non attribuisce — cioè distingueva di fatto il quarto grado dagli altri 9, senza disporre del nome per farlo.</w:t>
      </w:r>
    </w:p>
    <w:p>
      <w:pPr>
        <w:spacing w:after="120" w:line="276"/>
        <w:jc w:val="both"/>
      </w:pPr>
      <w:r>
        <w:rPr>
          <w:rFonts w:ascii="Barlow Semi Condensed" w:cs="Barlow Semi Condensed" w:eastAsia="Barlow Semi Condensed" w:hAnsi="Barlow Semi Condensed"/>
          <w:b/>
          <w:bCs/>
          <w:sz w:val="24"/>
          <w:szCs w:val="24"/>
        </w:rPr>
        <w:t xml:space="preserve">Blocco mirato numero 3512 — Ne discende la qualificazione corretta dell'operazione presente. Non correzione di un errore concettuale, ma fornitura del lessico a una distinzione che l'opera praticava e non poteva enunciare. Livello B quanto a tale lettura.</w:t>
      </w:r>
    </w:p>
    <w:p>
      <w:pPr>
        <w:pStyle w:val="Heading2"/>
        <w:spacing w:after="100" w:before="200"/>
      </w:pPr>
      <w:r>
        <w:rPr>
          <w:rFonts w:ascii="Barlow Semi Condensed" w:cs="Barlow Semi Condensed" w:eastAsia="Barlow Semi Condensed" w:hAnsi="Barlow Semi Condensed"/>
          <w:sz w:val="24"/>
          <w:szCs w:val="24"/>
        </w:rPr>
        <w:t xml:space="preserve">II — LA RIQUALIFICAZIONE DELLE NOVANTOTTO INVOCAZIONI</w:t>
      </w:r>
    </w:p>
    <w:p>
      <w:pPr>
        <w:spacing w:after="120" w:line="276"/>
        <w:jc w:val="both"/>
      </w:pPr>
      <w:r>
        <w:rPr>
          <w:rFonts w:ascii="Barlow Semi Condensed" w:cs="Barlow Semi Condensed" w:eastAsia="Barlow Semi Condensed" w:hAnsi="Barlow Semi Condensed"/>
          <w:b/>
          <w:bCs/>
          <w:sz w:val="24"/>
          <w:szCs w:val="24"/>
        </w:rPr>
        <w:t xml:space="preserve">Blocco mirato numero 3601 — Il compito. Le 98 invocazioni vanno riqualificate ciascuna con grado e livello. Il presente registro non lo esegue voce per voce, non disponendo del testo integrale di ciascun contesto; fornisce il criterio di riqualificazione e lo applica ai casi che il riscontro ha isolato.</w:t>
      </w:r>
    </w:p>
    <w:p>
      <w:pPr>
        <w:spacing w:after="120" w:line="276"/>
        <w:jc w:val="both"/>
      </w:pPr>
      <w:r>
        <w:rPr>
          <w:rFonts w:ascii="Barlow Semi Condensed" w:cs="Barlow Semi Condensed" w:eastAsia="Barlow Semi Condensed" w:hAnsi="Barlow Semi Condensed"/>
          <w:b/>
          <w:bCs/>
          <w:sz w:val="24"/>
          <w:szCs w:val="24"/>
        </w:rPr>
        <w:t xml:space="preserve">Blocco mirato numero 3602 — Il criterio, in 3 domande ordinate. Prima: l'assenza è stata cercata? Se no, il grado è secondo o terzo. Seconda: se è stata cercata, la ricerca ha potuto concludersi? Se no, il grado è primo, ottavo o decimo. Terza: se si è conclusa, contro quale registro l'assenza è stata verificata? Se contro un registro che il soggetto pubblica, il grado è quarto e il livello è A.</w:t>
      </w:r>
    </w:p>
    <w:p>
      <w:pPr>
        <w:spacing w:after="120" w:line="276"/>
        <w:jc w:val="both"/>
      </w:pPr>
      <w:r>
        <w:rPr>
          <w:rFonts w:ascii="Barlow Semi Condensed" w:cs="Barlow Semi Condensed" w:eastAsia="Barlow Semi Condensed" w:hAnsi="Barlow Semi Condensed"/>
          <w:b/>
          <w:bCs/>
          <w:sz w:val="24"/>
          <w:szCs w:val="24"/>
        </w:rPr>
        <w:t xml:space="preserve">Blocco mirato numero 3603 — L'applicazione ai casi isolati dal riscontro. Primo caso: l'assenza di Ortolani verso il Dominio 1. Quarto grado, Livello A, per le ragioni del blocco 3510.</w:t>
      </w:r>
    </w:p>
    <w:p>
      <w:pPr>
        <w:spacing w:after="120" w:line="276"/>
        <w:jc w:val="both"/>
      </w:pPr>
      <w:r>
        <w:rPr>
          <w:rFonts w:ascii="Barlow Semi Condensed" w:cs="Barlow Semi Condensed" w:eastAsia="Barlow Semi Condensed" w:hAnsi="Barlow Semi Condensed"/>
          <w:b/>
          <w:bCs/>
          <w:sz w:val="24"/>
          <w:szCs w:val="24"/>
        </w:rPr>
        <w:t xml:space="preserve">Blocco mirato numero 3604 — Secondo caso: il capitolo intitolato all'empirica degli archivi, alla regolarità delle aperture e al lampione. Le 3 invocazioni ivi contenute riguardano la disponibilità delle fonti e non connessioni: esse sono di primo, secondo o terzo grado secondo il caso, e non di quarto. Il volume vi impiega la medesima parola che impiega per Ortolani, e le 2 cose non sono la medesima.</w:t>
      </w:r>
    </w:p>
    <w:p>
      <w:pPr>
        <w:spacing w:after="120" w:line="276"/>
        <w:jc w:val="both"/>
      </w:pPr>
      <w:r>
        <w:rPr>
          <w:rFonts w:ascii="Barlow Semi Condensed" w:cs="Barlow Semi Condensed" w:eastAsia="Barlow Semi Condensed" w:hAnsi="Barlow Semi Condensed"/>
          <w:b/>
          <w:bCs/>
          <w:sz w:val="24"/>
          <w:szCs w:val="24"/>
        </w:rPr>
        <w:t xml:space="preserve">Blocco mirato numero 3605 — Terzo caso: le 2 invocazioni nel capitolo sull'archivio catturato di Aginter Press. Un archivio catturato e non versato è deposito inesplorato con condizione di accesso, dunque terzo grado; non è insieme vuoto verificato. Livello C quanto a ogni affermazione fondata su ciò che esso conterrebbe.</w:t>
      </w:r>
    </w:p>
    <w:p>
      <w:pPr>
        <w:spacing w:after="120" w:line="276"/>
        <w:jc w:val="both"/>
      </w:pPr>
      <w:r>
        <w:rPr>
          <w:rFonts w:ascii="Barlow Semi Condensed" w:cs="Barlow Semi Condensed" w:eastAsia="Barlow Semi Condensed" w:hAnsi="Barlow Semi Condensed"/>
          <w:b/>
          <w:bCs/>
          <w:sz w:val="24"/>
          <w:szCs w:val="24"/>
        </w:rPr>
        <w:t xml:space="preserve">Blocco mirato numero 3606 — Quarto caso: le 2 invocazioni nel capitolo sull'Est, gli archivi trasferiti e il caso bulgaro. Archivi trasferiti significa primo grado, impossibilità istituzionale, ove il trasferimento ne abbia mutato il regime di consultabilità; o terzo grado ove siano soltanto non consultati. La distinzione è necessaria e il volume non la compie.</w:t>
      </w:r>
    </w:p>
    <w:p>
      <w:pPr>
        <w:spacing w:after="120" w:line="276"/>
        <w:jc w:val="both"/>
      </w:pPr>
      <w:r>
        <w:rPr>
          <w:rFonts w:ascii="Barlow Semi Condensed" w:cs="Barlow Semi Condensed" w:eastAsia="Barlow Semi Condensed" w:hAnsi="Barlow Semi Condensed"/>
          <w:b/>
          <w:bCs/>
          <w:sz w:val="24"/>
          <w:szCs w:val="24"/>
        </w:rPr>
        <w:t xml:space="preserve">Blocco mirato numero 3607 — Le 46 invocazioni delle Fasi 6, 12 e 13, che sono la massa maggiore. Esse ricorrono in sede di verifica, triangolazione ed estrazione computazionale. Ne discende un rilievo di procedura: una estrazione computazionale che censisca Stati Zero senza distinguerne il grado produce un conteggio e non un'analisi, poiché somma assenze accertate e ricerche non compiute.</w:t>
      </w:r>
    </w:p>
    <w:p>
      <w:pPr>
        <w:spacing w:after="120" w:line="276"/>
        <w:jc w:val="both"/>
      </w:pPr>
      <w:r>
        <w:rPr>
          <w:rFonts w:ascii="Barlow Semi Condensed" w:cs="Barlow Semi Condensed" w:eastAsia="Barlow Semi Condensed" w:hAnsi="Barlow Semi Condensed"/>
          <w:b/>
          <w:bCs/>
          <w:sz w:val="24"/>
          <w:szCs w:val="24"/>
        </w:rPr>
        <w:t xml:space="preserve">Blocco mirato numero 3608 — La prescrizione che ne deriva per la Fase 13.\\ \\Ogni estrazione automatica della categoria deve estrarre insieme il grado e il livello, o dichiararsi conteggio grezzo.</w:t>
      </w:r>
    </w:p>
    <w:p>
      <w:pPr>
        <w:spacing w:after="120" w:line="276"/>
        <w:jc w:val="both"/>
      </w:pPr>
      <w:r>
        <w:rPr>
          <w:rFonts w:ascii="Barlow Semi Condensed" w:cs="Barlow Semi Condensed" w:eastAsia="Barlow Semi Condensed" w:hAnsi="Barlow Semi Condensed"/>
          <w:b/>
          <w:bCs/>
          <w:sz w:val="24"/>
          <w:szCs w:val="24"/>
        </w:rPr>
        <w:t xml:space="preserve">Blocco mirato numero 3609 — Il caso della Fase 5, capitolo 3, che tocca direttamente il perimetro della sessione. Il volume vi qualifica il Sudafrica Stato Zero esemplare, con 5 invocazioni. Il Primo Registro ha già emendato tale qualificazione, distinguendo il canale industriale — documentato per triplice via — dall'atto di governo — non documentato per atipicità dell'ordinamento. Sotto la scala emendata: il canale non è Stato Zero di alcun grado; l'atto è Stato Zero di nono grado, e il suo livello è A, il quadro normativo che lo fonda essendo accertato.</w:t>
      </w:r>
    </w:p>
    <w:p>
      <w:pPr>
        <w:spacing w:after="120" w:line="276"/>
        <w:jc w:val="both"/>
      </w:pPr>
      <w:r>
        <w:rPr>
          <w:rFonts w:ascii="Barlow Semi Condensed" w:cs="Barlow Semi Condensed" w:eastAsia="Barlow Semi Condensed" w:hAnsi="Barlow Semi Condensed"/>
          <w:b/>
          <w:bCs/>
          <w:sz w:val="24"/>
          <w:szCs w:val="24"/>
        </w:rPr>
        <w:t xml:space="preserve">Blocco mirato numero 3610 — Sintesi della sezione. Delle invocazioni esaminate, una sola corrisponde alla definizione che il volume dà della categoria — l'assenza certificata di una connessione attesa — e tutte le altre designano ostacoli anziché risultati. Ne discende che la definizione del volume descrive il quarto grado e viene applicata a tutti e 10.</w:t>
      </w:r>
    </w:p>
    <w:p>
      <w:pPr>
        <w:pStyle w:val="Heading2"/>
        <w:spacing w:after="100" w:before="200"/>
      </w:pPr>
      <w:r>
        <w:rPr>
          <w:rFonts w:ascii="Barlow Semi Condensed" w:cs="Barlow Semi Condensed" w:eastAsia="Barlow Semi Condensed" w:hAnsi="Barlow Semi Condensed"/>
          <w:sz w:val="24"/>
          <w:szCs w:val="24"/>
        </w:rPr>
        <w:t xml:space="preserve">III — L'INDICE DI CONTAMINAZIONE E IL GRADO RICOLLOCATO</w:t>
      </w:r>
    </w:p>
    <w:p>
      <w:pPr>
        <w:spacing w:after="120" w:line="276"/>
        <w:jc w:val="both"/>
      </w:pPr>
      <w:r>
        <w:rPr>
          <w:rFonts w:ascii="Barlow Semi Condensed" w:cs="Barlow Semi Condensed" w:eastAsia="Barlow Semi Condensed" w:hAnsi="Barlow Semi Condensed"/>
          <w:b/>
          <w:bCs/>
          <w:sz w:val="24"/>
          <w:szCs w:val="24"/>
        </w:rPr>
        <w:t xml:space="preserve">Blocco mirato numero 3701 — Il secondo strumento.\\ Il volume impiega l'\\Indice di Contaminazione 25 volte. Livello A.\\ Esso misura non la disponibilità di un'informazione ma \\la sua indipendenza genealogica.</w:t>
      </w:r>
    </w:p>
    <w:p>
      <w:pPr>
        <w:spacing w:after="120" w:line="276"/>
        <w:jc w:val="both"/>
      </w:pPr>
      <w:r>
        <w:rPr>
          <w:rFonts w:ascii="Barlow Semi Condensed" w:cs="Barlow Semi Condensed" w:eastAsia="Barlow Semi Condensed" w:hAnsi="Barlow Semi Condensed"/>
          <w:b/>
          <w:bCs/>
          <w:sz w:val="24"/>
          <w:szCs w:val="24"/>
        </w:rPr>
        <w:t xml:space="preserve">Blocco mirato numero 3702 — Il versamento del Quarto Registro a tale strumento. Il grado proposto nel Terzo Registro quale fatto trasferito è stato ritirato dalla scala degli Stati Zero per fallimento del test di appartenenza — non descrivendo un'assenza — e ricollocato nell'Indice con la denominazione emendata di contaminazione per trasferimento di cornice.</w:t>
      </w:r>
    </w:p>
    <w:p>
      <w:pPr>
        <w:spacing w:after="120" w:line="276"/>
        <w:jc w:val="both"/>
      </w:pPr>
      <w:r>
        <w:rPr>
          <w:rFonts w:ascii="Barlow Semi Condensed" w:cs="Barlow Semi Condensed" w:eastAsia="Barlow Semi Condensed" w:hAnsi="Barlow Semi Condensed"/>
          <w:b/>
          <w:bCs/>
          <w:sz w:val="24"/>
          <w:szCs w:val="24"/>
        </w:rPr>
        <w:t xml:space="preserve">Blocco mirato numero 3703 — La definizione, per la nuova sede. Un dato genealogicamente autentico viene riprodotto con attribuzione geografica, politica o cronologica modificata, sicché le riproduzioni successive ereditano la cornice nuova insieme al dato vero.</w:t>
      </w:r>
    </w:p>
    <w:p>
      <w:pPr>
        <w:spacing w:after="120" w:line="276"/>
        <w:jc w:val="both"/>
      </w:pPr>
      <w:r>
        <w:rPr>
          <w:rFonts w:ascii="Barlow Semi Condensed" w:cs="Barlow Semi Condensed" w:eastAsia="Barlow Semi Condensed" w:hAnsi="Barlow Semi Condensed"/>
          <w:b/>
          <w:bCs/>
          <w:sz w:val="24"/>
          <w:szCs w:val="24"/>
        </w:rPr>
        <w:t xml:space="preserve">Blocco mirato numero 3704 — La proprietà che ne giustifica la conservazione, e che nella scala degli Stati Zero non avrebbe potuto essere enunciata. Essa resiste a ogni verifica condotta sul dato. Chi verifichi il dato lo trova confermato; la cornice non è nel dato e non viene verificata insieme ad esso. Ne discende che gli strumenti ordinari di riscontro — che confermano o smentiscono fatti — le sono strutturalmente ciechi.</w:t>
      </w:r>
    </w:p>
    <w:p>
      <w:pPr>
        <w:spacing w:after="120" w:line="276"/>
        <w:jc w:val="both"/>
      </w:pPr>
      <w:r>
        <w:rPr>
          <w:rFonts w:ascii="Barlow Semi Condensed" w:cs="Barlow Semi Condensed" w:eastAsia="Barlow Semi Condensed" w:hAnsi="Barlow Semi Condensed"/>
          <w:b/>
          <w:bCs/>
          <w:sz w:val="24"/>
          <w:szCs w:val="24"/>
        </w:rPr>
        <w:t xml:space="preserve">Blocco mirato numero 3705 — Il caso esemplare, richiamato. L'addestramento dei quadri sudafricani in territorio oggi ucraino, fatto vero e verificabile, invocato nel discorso contemporaneo quale titolo di gratitudine verso Mosca, mentre le repubbliche in cui avvenne sono oggi indipendenti e invase. Livello A quanto al fatto e alla sua invocazione.</w:t>
      </w:r>
    </w:p>
    <w:p>
      <w:pPr>
        <w:spacing w:after="120" w:line="276"/>
        <w:jc w:val="both"/>
      </w:pPr>
      <w:r>
        <w:rPr>
          <w:rFonts w:ascii="Barlow Semi Condensed" w:cs="Barlow Semi Condensed" w:eastAsia="Barlow Semi Condensed" w:hAnsi="Barlow Semi Condensed"/>
          <w:b/>
          <w:bCs/>
          <w:sz w:val="24"/>
          <w:szCs w:val="24"/>
        </w:rPr>
        <w:t xml:space="preserve">Blocco mirato numero 3706 — La distinzione dall'ottavo grado, che va mantenuta perché sono confinanti. Il falso positivo richiede un apparato che detiene la qualificazione vera e ne diffonde una falsa: presuppone conoscenza e intenzione. La contaminazione per trasferimento non le richiede: può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b/>
          <w:bCs/>
          <w:sz w:val="24"/>
          <w:szCs w:val="24"/>
        </w:rPr>
        <w:t xml:space="preserve">Blocco mirato numero 3707 — La conseguenza per l'Indice, che ne accresce la portata. L'Indice era stato costruito per misurare quante volte un dato è stato riprodotto e attraverso quali passaggi. La fattispecie versata gli aggiunge una dimensione: non soltanto quante volte, ma con quale cornice, poiché un dato riprodotto una volta sola con cornice mutata è più contaminato di un dato riprodotto dieci volte con cornice intatta.</w:t>
      </w:r>
    </w:p>
    <w:p>
      <w:pPr>
        <w:spacing w:after="120" w:line="276"/>
        <w:jc w:val="both"/>
      </w:pPr>
      <w:r>
        <w:rPr>
          <w:rFonts w:ascii="Barlow Semi Condensed" w:cs="Barlow Semi Condensed" w:eastAsia="Barlow Semi Condensed" w:hAnsi="Barlow Semi Condensed"/>
          <w:b/>
          <w:bCs/>
          <w:sz w:val="24"/>
          <w:szCs w:val="24"/>
        </w:rPr>
        <w:t xml:space="preserve">Blocco mirato numero 3708 — Il criterio operativo che ne discende. Nel calcolo dell'indice, il mutamento di cornice va pesato indipendentemente dal numero delle riproduzioni, e va rilevato confrontando non i dati fra loro ma le cornici entro cui i medesimi dati sono collocati nelle diverse fonti.</w:t>
      </w:r>
    </w:p>
    <w:p>
      <w:pPr>
        <w:pStyle w:val="Heading2"/>
        <w:spacing w:after="100" w:before="200"/>
      </w:pPr>
      <w:r>
        <w:rPr>
          <w:rFonts w:ascii="Barlow Semi Condensed" w:cs="Barlow Semi Condensed" w:eastAsia="Barlow Semi Condensed" w:hAnsi="Barlow Semi Condensed"/>
          <w:sz w:val="24"/>
          <w:szCs w:val="24"/>
        </w:rPr>
        <w:t xml:space="preserve">IV — LA CLASSIFICAZIONE PER RIMEDIABILITÀ APPLICATA AL VOLUME</w:t>
      </w:r>
    </w:p>
    <w:p>
      <w:pPr>
        <w:spacing w:after="120" w:line="276"/>
        <w:jc w:val="both"/>
      </w:pPr>
      <w:r>
        <w:rPr>
          <w:rFonts w:ascii="Barlow Semi Condensed" w:cs="Barlow Semi Condensed" w:eastAsia="Barlow Semi Condensed" w:hAnsi="Barlow Semi Condensed"/>
          <w:b/>
          <w:bCs/>
          <w:sz w:val="24"/>
          <w:szCs w:val="24"/>
        </w:rPr>
        <w:t xml:space="preserve">Blocco mirato numero 3801 — Il terzo versamento, dal Quinto Registro. Esso ha prescritto che le tavole di acquisizioni non conseguite siano ordinate per classe di rimediabilità prima che per rendimento atteso, e ha ripartito le voci in 3 classi: rimediabili dal ricercatore; rimediabili soltanto da terzi; non rimediabili.</w:t>
      </w:r>
    </w:p>
    <w:p>
      <w:pPr>
        <w:spacing w:after="120" w:line="276"/>
        <w:jc w:val="both"/>
      </w:pPr>
      <w:r>
        <w:rPr>
          <w:rFonts w:ascii="Barlow Semi Condensed" w:cs="Barlow Semi Condensed" w:eastAsia="Barlow Semi Condensed" w:hAnsi="Barlow Semi Condensed"/>
          <w:b/>
          <w:bCs/>
          <w:sz w:val="24"/>
          <w:szCs w:val="24"/>
        </w:rPr>
        <w:t xml:space="preserve">Blocco mirato numero 3802 — Il riscontro sul volume.\\ Il lemma \\rimediabile ricorre 1 volta sola\\ in 241.052 parole; il lemma \\tavola ricorre 8 volte. Livello A.</w:t>
      </w:r>
    </w:p>
    <w:p>
      <w:pPr>
        <w:spacing w:after="120" w:line="276"/>
        <w:jc w:val="both"/>
      </w:pPr>
      <w:r>
        <w:rPr>
          <w:rFonts w:ascii="Barlow Semi Condensed" w:cs="Barlow Semi Condensed" w:eastAsia="Barlow Semi Condensed" w:hAnsi="Barlow Semi Condensed"/>
          <w:b/>
          <w:bCs/>
          <w:sz w:val="24"/>
          <w:szCs w:val="24"/>
        </w:rPr>
        <w:t xml:space="preserve">Blocco mirato numero 3803 — La diagnosi. Il volume possiede tavole e non possiede il criterio per ordinarle. Ne discende che le sue 8 tavole sono ordinate per rendimento atteso o per successione espositiva, e che una voce di rendimento massimo e di classe terza vi può precedere una voce di rendimento medio e di classe prima, il che è precisamente l'ordinamento che spreca il lavoro del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3804 — L'esemplificazione tratta dalla sessione, che rende concreto il rilievo. Nella Tavola Unica, la voce di massimo valore analitico — il verbale con la dichiarazione dell'accusatore dell'Italia nel 1980 — appartiene alla classe seconda, e nessuna iniziativa del ricercatore la scioglie. La voce che invece scioglie il maggior numero di questioni — lo spoglio delle serie Affari Politici dell'Archivio Storico Diplomatico — appartiene alla classe prima, e dipende soltanto dall'andare. Un ordinamento per solo rendimento le collocherebbe nell'ordine inverso a quello utile.</w:t>
      </w:r>
    </w:p>
    <w:p>
      <w:pPr>
        <w:spacing w:after="120" w:line="276"/>
        <w:jc w:val="both"/>
      </w:pPr>
      <w:r>
        <w:rPr>
          <w:rFonts w:ascii="Barlow Semi Condensed" w:cs="Barlow Semi Condensed" w:eastAsia="Barlow Semi Condensed" w:hAnsi="Barlow Semi Condensed"/>
          <w:b/>
          <w:bCs/>
          <w:sz w:val="24"/>
          <w:szCs w:val="24"/>
        </w:rPr>
        <w:t xml:space="preserve">Blocco mirato numero 3805 — Il dato quantitativo della Tavola Unica, offerto al volume quale metro. Delle 28 voci deduplicate della sessione, 19 sono in classe prima, 7 in seconda, 2 in terza. Ventisette su 28 sono in principio conseguibili. Ne discende la lettura già enunciata: l'ostacolo prevalente non è il segreto né la norma, ma che nessuno sia andato.</w:t>
      </w:r>
    </w:p>
    <w:p>
      <w:pPr>
        <w:spacing w:after="120" w:line="276"/>
        <w:jc w:val="both"/>
      </w:pPr>
      <w:r>
        <w:rPr>
          <w:rFonts w:ascii="Barlow Semi Condensed" w:cs="Barlow Semi Condensed" w:eastAsia="Barlow Semi Condensed" w:hAnsi="Barlow Semi Condensed"/>
          <w:b/>
          <w:bCs/>
          <w:sz w:val="24"/>
          <w:szCs w:val="24"/>
        </w:rPr>
        <w:t xml:space="preserve">Blocco mirato numero 3806 — La prescrizione, in forma applicabile alle 8 tavole del volume. Ciascuna voce riceva classe e grado, e la tavola sia ordinata per classe crescente, e all'interno di ciascuna classe per rendimento decrescente. La classe terza sia collocata in coda e recata con la condizione dichiarata nessuna, affinché il ricercatore futuro non vi si applichi.</w:t>
      </w:r>
    </w:p>
    <w:p>
      <w:pPr>
        <w:spacing w:after="120" w:line="276"/>
        <w:jc w:val="both"/>
      </w:pPr>
      <w:r>
        <w:rPr>
          <w:rFonts w:ascii="Barlow Semi Condensed" w:cs="Barlow Semi Condensed" w:eastAsia="Barlow Semi Condensed" w:hAnsi="Barlow Semi Condensed"/>
          <w:b/>
          <w:bCs/>
          <w:sz w:val="24"/>
          <w:szCs w:val="24"/>
        </w:rPr>
        <w:t xml:space="preserve">Blocco mirato numero 3901 — Sintesi del dato nuovo acquisito. Il presente registro triangola con i 2 volumi conferiti i 5 artefatti conclusivi della sessione, che si distinguono dai precedenti per operare sugli strumenti anziché sulla materia, e ne verifica l'effetto sull'opera. Il riscontro meccanico accerta che l'Edizione Integrata invoca la categoria dello Stato Zero 98 volte senza qualificare mai il grado, nessuno dei 10 nomi ricorrendovi, e che le invocazioni si addensano nelle fasi di verifica, cioè nella sede in cui l'indifferenziazione costa di più. Il registro individua inoltre un errore di categoria strutturale: il volume, nei bilanci di fase, conta gli Stati Zero accanto ai livelli Savona come quarta categoria esclusiva, laddove il sistema Savona misura la certezza di un'affermazione e la scala misura la natura di un'assenza, dimensioni ortogonali e non alternative. L'errore è dimostrabile con le sole parole del volume, il quale qualifica l'assenza di Ortolani sistematicamente ricercata e certificata: poiché un'assenza certificata possiede un grado di certificazione, essa ha un livello Savona, e dunque non può essere un livello Savona. L'emendazione proposta è la doppia qualificazione: ogni Stato Zero rechi il grado secondo la scala a 10 voci e il livello secondo il sistema a 3, sicché la forma di citazione divenga Stato Zero di quarto grado, insieme vuoto verificato, Livello A. Il registro rende peraltro al volume ciò che gli è dovuto: esso aveva già compreso la distinzione senza disporre del nome, chiamando l'assenza di Ortolani calibro per le fasi successive e attribuendo così a quel solo caso una funzione che agli altri non attribuisce; l'operazione presente non corregge un errore concettuale ma fornisce il lessico a una distinzione già praticata. Il registro versa infine 2 acquisizioni ulteriori: la contaminazione per trasferimento di cornice, ricollocata dall'Indice di Contaminazione con la proprietà di resistere a ogni verifica condotta sul dato, e il criterio operativo per cui il mutamento di cornice va pesato indipendentemente dal numero delle riproduzioni; e la classificazione per rimediabilità applicata alle 8 tavole del volume, che possiede tavole e non possiede il criterio per ordinarle, il lemma rimediabile ricorrendovi una volta sola in 241.052 parole.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 · Sesto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3.029 parole in 9 sezioni; la più ampia è §9 Altre sezioni, con 1.685.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 — Settimo Registro Analitico</w:t>
      </w:r>
    </w:p>
    <w:p>
      <w:pPr>
        <w:pStyle w:val="Heading1"/>
        <w:spacing w:after="120" w:before="240"/>
      </w:pPr>
      <w:r>
        <w:rPr>
          <w:rFonts w:ascii="Barlow Semi Condensed" w:cs="Barlow Semi Condensed" w:eastAsia="Barlow Semi Condensed" w:hAnsi="Barlow Semi Condensed"/>
          <w:sz w:val="24"/>
          <w:szCs w:val="24"/>
        </w:rPr>
        <w:t xml:space="preserve">SETTIMO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riqualificazione eseguita</w:t>
      </w:r>
    </w:p>
    <w:p>
      <w:pPr>
        <w:pStyle w:val="Heading2"/>
        <w:spacing w:after="100" w:before="200"/>
      </w:pPr>
      <w:r>
        <w:rPr>
          <w:rFonts w:ascii="Barlow Semi Condensed" w:cs="Barlow Semi Condensed" w:eastAsia="Barlow Semi Condensed" w:hAnsi="Barlow Semi Condensed"/>
          <w:sz w:val="24"/>
          <w:szCs w:val="24"/>
        </w:rPr>
        <w:t xml:space="preserve">122 occorrenze — la sottodistinzione del quarto grado — l'undicesimo grado</w:t>
      </w:r>
    </w:p>
    <w:p>
      <w:pPr>
        <w:pStyle w:val="Heading2"/>
        <w:spacing w:after="100" w:before="200"/>
      </w:pPr>
      <w:r>
        <w:rPr>
          <w:rFonts w:ascii="Barlow Semi Condensed" w:cs="Barlow Semi Condensed" w:eastAsia="Barlow Semi Condensed" w:hAnsi="Barlow Semi Condensed"/>
          <w:sz w:val="24"/>
          <w:szCs w:val="24"/>
        </w:rPr>
        <w:t xml:space="preserve">Blocchi 4001-4401 — istanze e menzioni — esito parziale dichiarato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SETTIMO REGISTRO ANALITICO</w:t>
      </w:r>
    </w:p>
    <w:p>
      <w:pPr>
        <w:pStyle w:val="Heading2"/>
        <w:spacing w:after="100" w:before="200"/>
      </w:pPr>
      <w:r>
        <w:rPr>
          <w:rFonts w:ascii="Barlow Semi Condensed" w:cs="Barlow Semi Condensed" w:eastAsia="Barlow Semi Condensed" w:hAnsi="Barlow Semi Condensed"/>
          <w:sz w:val="24"/>
          <w:szCs w:val="24"/>
        </w:rPr>
        <w:t xml:space="preserve">La riqualificazione eseguita. Centoventidue occorrenze, due reperti non previsti</w:t>
      </w:r>
    </w:p>
    <w:p>
      <w:pPr>
        <w:spacing w:after="120" w:line="276"/>
        <w:jc w:val="both"/>
      </w:pPr>
      <w:r>
        <w:rPr>
          <w:rFonts w:ascii="Barlow Semi Condensed" w:cs="Barlow Semi Condensed" w:eastAsia="Barlow Semi Condensed" w:hAnsi="Barlow Semi Condensed"/>
          <w:b/>
          <w:bCs/>
          <w:sz w:val="24"/>
          <w:szCs w:val="24"/>
        </w:rPr>
        <w:t xml:space="preserve">Blocco mirato numero 4001 — Oggetto, e il debito che salda. Il Sesto Registro, al blocco 3601, ha dichiarato: il presente registro non esegue la riqualificazione voce per voce, non disponendo del testo integrale di ciascun contesto. Il testo è disponibile. Il presente registro la esegue.</w:t>
      </w:r>
    </w:p>
    <w:p>
      <w:pPr>
        <w:spacing w:after="120" w:line="276"/>
        <w:jc w:val="both"/>
      </w:pPr>
      <w:r>
        <w:rPr>
          <w:rFonts w:ascii="Barlow Semi Condensed" w:cs="Barlow Semi Condensed" w:eastAsia="Barlow Semi Condensed" w:hAnsi="Barlow Semi Condensed"/>
          <w:b/>
          <w:bCs/>
          <w:sz w:val="24"/>
          <w:szCs w:val="24"/>
        </w:rPr>
        <w:t xml:space="preserve">Blocco mirato numero 4002 — Prima emendazione, e colpisce il Sesto Registro medesimo. Esso contava 98 invocazioni della categoria. Il conteggio era parziale: comprendeva il solo singolare. Il riscontro sul singolare e sul plurale insieme dà 122 occorrenze: 98 al singolare e 24 al plurale. Livello A.</w:t>
      </w:r>
    </w:p>
    <w:p>
      <w:pPr>
        <w:spacing w:after="120" w:line="276"/>
        <w:jc w:val="both"/>
      </w:pPr>
      <w:r>
        <w:rPr>
          <w:rFonts w:ascii="Barlow Semi Condensed" w:cs="Barlow Semi Condensed" w:eastAsia="Barlow Semi Condensed" w:hAnsi="Barlow Semi Condensed"/>
          <w:b/>
          <w:bCs/>
          <w:sz w:val="24"/>
          <w:szCs w:val="24"/>
        </w:rPr>
        <w:t xml:space="preserve">Blocco mirato numero 4003 — Perché l'errore è istruttivo e non soltanto aritmetico. Le 24 occorrenze al plurale sono precisamente quelle dei bilanci di fase, ove il volume censisce gli Stati Zero in gruppo. Contando il solo singolare, il Sesto Registro aveva escluso dalla misura proprio la sede in cui l'indifferenziazione produce il danno maggiore. Ne discende una regola: quando si misura l'uso di una categoria, si misurino tutte le sue flessioni, poiché il plurale segnala l'aggregazione e l'aggregazione è dove le distinzioni si perdono.</w:t>
      </w:r>
    </w:p>
    <w:p>
      <w:pPr>
        <w:spacing w:after="120" w:line="276"/>
        <w:jc w:val="both"/>
      </w:pPr>
      <w:r>
        <w:rPr>
          <w:rFonts w:ascii="Barlow Semi Condensed" w:cs="Barlow Semi Condensed" w:eastAsia="Barlow Semi Condensed" w:hAnsi="Barlow Semi Condensed"/>
          <w:b/>
          <w:bCs/>
          <w:sz w:val="24"/>
          <w:szCs w:val="24"/>
        </w:rPr>
        <w:t xml:space="preserve">Blocco mirato numero 4004 — La procedura di riqualificazione, in 3 passi. Estrazione di ciascuna occorrenza con 400 caratteri di contesto; classificazione per natura dell'ostacolo o del risultato che il contesto descrive; assegnazione del grado secondo la scala emendata e del livello secondo il sistema Savona, in applicazione della doppia qualificazione prescritta al blocco 3508.</w:t>
      </w:r>
    </w:p>
    <w:p>
      <w:pPr>
        <w:spacing w:after="120" w:line="276"/>
        <w:jc w:val="both"/>
      </w:pPr>
      <w:r>
        <w:rPr>
          <w:rFonts w:ascii="Barlow Semi Condensed" w:cs="Barlow Semi Condensed" w:eastAsia="Barlow Semi Condensed" w:hAnsi="Barlow Semi Condensed"/>
          <w:b/>
          <w:bCs/>
          <w:sz w:val="24"/>
          <w:szCs w:val="24"/>
        </w:rPr>
        <w:t xml:space="preserve">Blocco mirato numero 4005 — La ripartizione risultante, per natura del contesto. Quarantasei occorrenze in contesto di certificazione o verifica; 49 in contesto altro, esaminato al blocco 4301; 17 in contesto archivistico; 10 in contesto di ricerca condotta senza esito dichiarato. Livello A quanto al conteggio.</w:t>
      </w:r>
    </w:p>
    <w:p>
      <w:pPr>
        <w:spacing w:after="120" w:line="276"/>
        <w:jc w:val="both"/>
      </w:pPr>
      <w:r>
        <w:rPr>
          <w:rFonts w:ascii="Barlow Semi Condensed" w:cs="Barlow Semi Condensed" w:eastAsia="Barlow Semi Condensed" w:hAnsi="Barlow Semi Condensed"/>
          <w:b/>
          <w:bCs/>
          <w:sz w:val="24"/>
          <w:szCs w:val="24"/>
        </w:rPr>
        <w:t xml:space="preserve">Blocco mirato numero 4006 — Notazione della doppia qualificazione.\\ Ciascun caso si cita nella forma: \\Stato Zero di grado N, denominazione, Livello X.</w:t>
      </w:r>
    </w:p>
    <w:p>
      <w:pPr>
        <w:spacing w:after="120" w:line="276"/>
        <w:jc w:val="both"/>
      </w:pPr>
      <w:r>
        <w:rPr>
          <w:rFonts w:ascii="Barlow Semi Condensed" w:cs="Barlow Semi Condensed" w:eastAsia="Barlow Semi Condensed" w:hAnsi="Barlow Semi Condensed"/>
          <w:b/>
          <w:bCs/>
          <w:sz w:val="24"/>
          <w:szCs w:val="24"/>
        </w:rPr>
        <w:t xml:space="preserve">Blocco mirato numero 4007 — Numerazione. Riprende dal 4001, il Sesto Registro essendosi chiuso al 3901.</w:t>
      </w:r>
    </w:p>
    <w:p>
      <w:pPr>
        <w:pStyle w:val="Heading2"/>
        <w:spacing w:after="100" w:before="200"/>
      </w:pPr>
      <w:r>
        <w:rPr>
          <w:rFonts w:ascii="Barlow Semi Condensed" w:cs="Barlow Semi Condensed" w:eastAsia="Barlow Semi Condensed" w:hAnsi="Barlow Semi Condensed"/>
          <w:sz w:val="24"/>
          <w:szCs w:val="24"/>
        </w:rPr>
        <w:t xml:space="preserve">I — LE QUARANTASEI OCCORRENZE DI CERTIFICAZIONE, E LA SOTTODISTINZIONE CHE IMPONGONO</w:t>
      </w:r>
    </w:p>
    <w:p>
      <w:pPr>
        <w:spacing w:after="120" w:line="276"/>
        <w:jc w:val="both"/>
      </w:pPr>
      <w:r>
        <w:rPr>
          <w:rFonts w:ascii="Barlow Semi Condensed" w:cs="Barlow Semi Condensed" w:eastAsia="Barlow Semi Condensed" w:hAnsi="Barlow Semi Condensed"/>
          <w:b/>
          <w:bCs/>
          <w:sz w:val="24"/>
          <w:szCs w:val="24"/>
        </w:rPr>
        <w:t xml:space="preserve">Blocco mirato numero 4101 — Il caso paradigmatico, riportato testualmente. Lo Stato Zero di Umberto Ortolani verso il Dominio 1, unica assenza sistematicamente ricercata e certificata della fase, che vale quale reperto negativo di prima classe e quale calibro per le fasi successive.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4102 — La qualificazione.\\ \\Stato Zero di quarto grado, insieme vuoto verificato,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4103 — Ma un secondo caso obbliga a distinguere entro il quarto grado, e il volume lo fornisce. Nel capitolo sul Sudafrica esso registra lo Stato Zero del riscontro contemporaneo elevato a esemplare della categoria, la connessione cercata su tutto il corpus e non trovata.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4104 — La differenza fra i 2 casi, che non è di grado ma di fondamento. Il caso dell'Opus Dei assente da Grecia, Cipro e Turchia fu verificato contro l'elenco ufficiale dei Paesi che l'ente medesimo pubblica. Il caso della connessione cercata su tutto il corpus fu verificato contro l'esaurimento del corpus stesso.</w:t>
      </w:r>
    </w:p>
    <w:p>
      <w:pPr>
        <w:spacing w:after="120" w:line="276"/>
        <w:jc w:val="both"/>
      </w:pPr>
      <w:r>
        <w:rPr>
          <w:rFonts w:ascii="Barlow Semi Condensed" w:cs="Barlow Semi Condensed" w:eastAsia="Barlow Semi Condensed" w:hAnsi="Barlow Semi Condensed"/>
          <w:b/>
          <w:bCs/>
          <w:sz w:val="24"/>
          <w:szCs w:val="24"/>
        </w:rPr>
        <w:t xml:space="preserve">Blocco mirato numero 4105 — Perché la differenza conta, ed è questione di falsificabilità. Il primo tipo è confutabile da chiunque esibisca una voce nel registro del soggetto. Il secondo è confutabile soltanto esibendo una fonte esterna al corpus — e poiché il corpus è definito da chi lo compila, l'assenza verificata contro di esso è tanto più forte quanto più il corpus è ampio, e tanto meno controllabile dall'esterno.</w:t>
      </w:r>
    </w:p>
    <w:p>
      <w:pPr>
        <w:spacing w:after="120" w:line="276"/>
        <w:jc w:val="both"/>
      </w:pPr>
      <w:r>
        <w:rPr>
          <w:rFonts w:ascii="Barlow Semi Condensed" w:cs="Barlow Semi Condensed" w:eastAsia="Barlow Semi Condensed" w:hAnsi="Barlow Semi Condensed"/>
          <w:b/>
          <w:bCs/>
          <w:sz w:val="24"/>
          <w:szCs w:val="24"/>
        </w:rPr>
        <w:t xml:space="preserve">Blocco mirato numero 4106 — La sottodistinzione proposta entro il quarto grado. Quarto grado di specie prima, verifica esogena: l'assenza è accertata contro un registro che il soggetto pubblica o che un terzo indipendente mantiene. Quarto grado di specie seconda, verifica endogena: l'assenza è accertata contro l'esaurimento del corpus del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4107 — La prescrizione che ne discende. Ogni Stato Zero di quarto grado dichiari la specie, e la specie seconda dichiari altresì l'estensione del corpus contro cui la verifica fu condotta, poiché senza tale indicazione l'affermazione non è controllabile.</w:t>
      </w:r>
    </w:p>
    <w:p>
      <w:pPr>
        <w:spacing w:after="120" w:line="276"/>
        <w:jc w:val="both"/>
      </w:pPr>
      <w:r>
        <w:rPr>
          <w:rFonts w:ascii="Barlow Semi Condensed" w:cs="Barlow Semi Condensed" w:eastAsia="Barlow Semi Condensed" w:hAnsi="Barlow Semi Condensed"/>
          <w:b/>
          <w:bCs/>
          <w:sz w:val="24"/>
          <w:szCs w:val="24"/>
        </w:rPr>
        <w:t xml:space="preserve">Blocco mirato numero 4108 — Un secondo caso di specie seconda, tratto dal volume. Il capitolo su Aginter Press registra lo stress-test documentale della connessione con i vertici della diplomazia atlantica dell'epoca, il cui esito è uno Stato Zero pieno, nessun documento, nessun atto, nessuna convergenza che sostenga il collegamento. Livello A quanto alla formulazione. Qualificazione: quarto grado di specie seconda, Livello A, con l'avvertenza che il corpus contro cui la verifica fu condotta va dichiarato.</w:t>
      </w:r>
    </w:p>
    <w:p>
      <w:pPr>
        <w:spacing w:after="120" w:line="276"/>
        <w:jc w:val="both"/>
      </w:pPr>
      <w:r>
        <w:rPr>
          <w:rFonts w:ascii="Barlow Semi Condensed" w:cs="Barlow Semi Condensed" w:eastAsia="Barlow Semi Condensed" w:hAnsi="Barlow Semi Condensed"/>
          <w:b/>
          <w:bCs/>
          <w:sz w:val="24"/>
          <w:szCs w:val="24"/>
        </w:rPr>
        <w:t xml:space="preserve">Blocco mirato numero 4109 — Un caso che il volume chiama Stato Zero e che sotto la scala non lo è. Il capitolo su Gladio registra quale Stato Zero più singolare del capitolo il fatto che la rete clandestina mantenne il proprio segreto per 4 decenni attraverso centinaia di reclutati civili.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4110 — Perché non è uno Stato Zero. Non vi è alcuna connessione attesa e non trovata: vi è un fatto positivo, la tenuta del segreto, che il volume trova sorprendente. L'assenza è quella delle rivelazioni, cioè di eventi che nessuno ha cercato in archivio. Qualificazione corretta: non Stato Zero, ma reperto positivo di natura sociologica. Il volume vi impiega la categoria in senso figurato, e la figura va sciolta.</w:t>
      </w:r>
    </w:p>
    <w:p>
      <w:pPr>
        <w:pStyle w:val="Heading2"/>
        <w:spacing w:after="100" w:before="200"/>
      </w:pPr>
      <w:r>
        <w:rPr>
          <w:rFonts w:ascii="Barlow Semi Condensed" w:cs="Barlow Semi Condensed" w:eastAsia="Barlow Semi Condensed" w:hAnsi="Barlow Semi Condensed"/>
          <w:sz w:val="24"/>
          <w:szCs w:val="24"/>
        </w:rPr>
        <w:t xml:space="preserve">II — LE DICIASSETTE OCCORRENZE ARCHIVISTICHE, E L'UNDICESIMO GRADO</w:t>
      </w:r>
    </w:p>
    <w:p>
      <w:pPr>
        <w:spacing w:after="120" w:line="276"/>
        <w:jc w:val="both"/>
      </w:pPr>
      <w:r>
        <w:rPr>
          <w:rFonts w:ascii="Barlow Semi Condensed" w:cs="Barlow Semi Condensed" w:eastAsia="Barlow Semi Condensed" w:hAnsi="Barlow Semi Condensed"/>
          <w:b/>
          <w:bCs/>
          <w:sz w:val="24"/>
          <w:szCs w:val="24"/>
        </w:rPr>
        <w:t xml:space="preserve">Blocco mirato numero 4201 — Il caso che apre il problema, riportato testualmente. Il capitolo su Hyperion registra un reperto e insieme il suo limite strutturale, giacché un'istruttoria italiana non poteva forzare gli archivi stranieri.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4202 — La verifica sui 10 gradi, condotta per esclusione. Non è primo grado, impossibilità istituzionale: nessuna norma chiude quell'archivio, che è aperto alle autorità del proprio Stato. Non è terzo grado, deposito inesplorato: non si tratta di un archivio ove nessuno sia andato, bensì di uno ove chi vada può essere respinto. Non è decimo grado, barriera macchinica: l'ostacolo è normativo e non tecnico, e colpisce il lettore umano esattamente quanto quello automatico.</w:t>
      </w:r>
    </w:p>
    <w:p>
      <w:pPr>
        <w:spacing w:after="120" w:line="276"/>
        <w:jc w:val="both"/>
      </w:pPr>
      <w:r>
        <w:rPr>
          <w:rFonts w:ascii="Barlow Semi Condensed" w:cs="Barlow Semi Condensed" w:eastAsia="Barlow Semi Condensed" w:hAnsi="Barlow Semi Condensed"/>
          <w:b/>
          <w:bCs/>
          <w:sz w:val="24"/>
          <w:szCs w:val="24"/>
        </w:rPr>
        <w:t xml:space="preserve">Blocco mirato numero 4203 — L'undicesimo grado proposto, e la sua provenienza va dichiarata perché ne accresce il valore. Esso non è proposto dall'analista ma estratto dal volume, che ne descriveva la fattispecie senza nominarla.</w:t>
      </w:r>
    </w:p>
    <w:p>
      <w:pPr>
        <w:spacing w:after="120" w:line="276"/>
        <w:jc w:val="both"/>
      </w:pPr>
      <w:r>
        <w:rPr>
          <w:rFonts w:ascii="Barlow Semi Condensed" w:cs="Barlow Semi Condensed" w:eastAsia="Barlow Semi Condensed" w:hAnsi="Barlow Semi Condensed"/>
          <w:b/>
          <w:bCs/>
          <w:sz w:val="24"/>
          <w:szCs w:val="24"/>
        </w:rPr>
        <w:t xml:space="preserve">Blocco mirato numero 4204 — Definizione. Limite di giurisdizione: l'informazione esiste, è conservata, è accessibile alle autorità dello Stato che la detiene, e resta inattingibile a un'autorità straniera per mancanza di uno strumento che ne imponga la produzione.</w:t>
      </w:r>
    </w:p>
    <w:p>
      <w:pPr>
        <w:spacing w:after="120" w:line="276"/>
        <w:jc w:val="both"/>
      </w:pPr>
      <w:r>
        <w:rPr>
          <w:rFonts w:ascii="Barlow Semi Condensed" w:cs="Barlow Semi Condensed" w:eastAsia="Barlow Semi Condensed" w:hAnsi="Barlow Semi Condensed"/>
          <w:b/>
          <w:bCs/>
          <w:sz w:val="24"/>
          <w:szCs w:val="24"/>
        </w:rPr>
        <w:t xml:space="preserve">Blocco mirato numero 4205 — Primo test, di appartenenza. Descrive un'assenza?\\ \\Sì: assenza di acquisizione, a fronte di un documento esistente, conservato e accessibile ad altri. Superato.</w:t>
      </w:r>
    </w:p>
    <w:p>
      <w:pPr>
        <w:spacing w:after="120" w:line="276"/>
        <w:jc w:val="both"/>
      </w:pPr>
      <w:r>
        <w:rPr>
          <w:rFonts w:ascii="Barlow Semi Condensed" w:cs="Barlow Semi Condensed" w:eastAsia="Barlow Semi Condensed" w:hAnsi="Barlow Semi Condensed"/>
          <w:b/>
          <w:bCs/>
          <w:sz w:val="24"/>
          <w:szCs w:val="24"/>
        </w:rPr>
        <w:t xml:space="preserve">Blocco mirato numero 4206 — Secondo test, di distinzione. Superato per esclusione al blocco 4202. Si aggiunge la prova più netta: il medesimo documento è al tempo stesso disponibile e indisponibile, secondo chi lo chieda. Nessuno degli altri 10 gradi possiede tale proprietà relazionale: essi qualificano il documento, questo qualifica il rapporto fra il documento e il richiedente.</w:t>
      </w:r>
    </w:p>
    <w:p>
      <w:pPr>
        <w:spacing w:after="120" w:line="276"/>
        <w:jc w:val="both"/>
      </w:pPr>
      <w:r>
        <w:rPr>
          <w:rFonts w:ascii="Barlow Semi Condensed" w:cs="Barlow Semi Condensed" w:eastAsia="Barlow Semi Condensed" w:hAnsi="Barlow Semi Condensed"/>
          <w:b/>
          <w:bCs/>
          <w:sz w:val="24"/>
          <w:szCs w:val="24"/>
        </w:rPr>
        <w:t xml:space="preserve">Blocco mirato numero 4207 — La classe di rimediabilità. Classe seconda: rimediabile soltanto da terzi, mediante rogatoria accolta, trattato di cooperazione giudiziaria, o versamento volontario.</w:t>
      </w:r>
    </w:p>
    <w:p>
      <w:pPr>
        <w:spacing w:after="120" w:line="276"/>
        <w:jc w:val="both"/>
      </w:pPr>
      <w:r>
        <w:rPr>
          <w:rFonts w:ascii="Barlow Semi Condensed" w:cs="Barlow Semi Condensed" w:eastAsia="Barlow Semi Condensed" w:hAnsi="Barlow Semi Condensed"/>
          <w:b/>
          <w:bCs/>
          <w:sz w:val="24"/>
          <w:szCs w:val="24"/>
        </w:rPr>
        <w:t xml:space="preserve">Blocco mirato numero 4208 — Il secondo caso archivistico del volume, che è di grado diverso e va distinto. Il capitolo su Aginter Press registra che la struttura non fu mai processata nel Paese che ne custodisce l'archivio, poiché il Portogallo democratico, entrato in possesso delle carte con la rivoluzione, non ne fece uso giudiziario.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4209 — La qualificazione, e differisce dal precedente. Qui non vi è limite di giurisdizione: lo Stato che detiene le carte è il medesimo che avrebbe potuto processare. Vi è mancato esercizio dell'azione da parte di chi ne aveva titolo. Qualificazione: quinto grado, esito negativo presso i beneficiari, Livello A — ove per beneficiario si intenda lo Stato che dall'accertamento avrebbe tratto il maggiore titolo.</w:t>
      </w:r>
    </w:p>
    <w:p>
      <w:pPr>
        <w:spacing w:after="120" w:line="276"/>
        <w:jc w:val="both"/>
      </w:pPr>
      <w:r>
        <w:rPr>
          <w:rFonts w:ascii="Barlow Semi Condensed" w:cs="Barlow Semi Condensed" w:eastAsia="Barlow Semi Condensed" w:hAnsi="Barlow Semi Condensed"/>
          <w:b/>
          <w:bCs/>
          <w:sz w:val="24"/>
          <w:szCs w:val="24"/>
        </w:rPr>
        <w:t xml:space="preserve">Blocco mirato numero 4210 — Il rilievo generale che i 2 casi insieme producono. Un archivio catturato e non attivato e un archivio straniero e non attingibile producono la medesima assenza di risultato per ragioni opposte: nel primo chi poteva non volle, nel secondo chi voleva non poteva. La scala deve distinguerli, e con l'undicesimo grado li distingue.</w:t>
      </w:r>
    </w:p>
    <w:p>
      <w:pPr>
        <w:pStyle w:val="Heading2"/>
        <w:spacing w:after="100" w:before="200"/>
      </w:pPr>
      <w:r>
        <w:rPr>
          <w:rFonts w:ascii="Barlow Semi Condensed" w:cs="Barlow Semi Condensed" w:eastAsia="Barlow Semi Condensed" w:hAnsi="Barlow Semi Condensed"/>
          <w:sz w:val="24"/>
          <w:szCs w:val="24"/>
        </w:rPr>
        <w:t xml:space="preserve">III — LE QUARANTANOVE OCCORRENZE RESIDUE, E IL PROBLEMA DEL CENSIMENTO</w:t>
      </w:r>
    </w:p>
    <w:p>
      <w:pPr>
        <w:spacing w:after="120" w:line="276"/>
        <w:jc w:val="both"/>
      </w:pPr>
      <w:r>
        <w:rPr>
          <w:rFonts w:ascii="Barlow Semi Condensed" w:cs="Barlow Semi Condensed" w:eastAsia="Barlow Semi Condensed" w:hAnsi="Barlow Semi Condensed"/>
          <w:b/>
          <w:bCs/>
          <w:sz w:val="24"/>
          <w:szCs w:val="24"/>
        </w:rPr>
        <w:t xml:space="preserve">Blocco mirato numero 4301 — Il reperto, ed è il più consequenziale della riqualificazione.\\ Una parte cospicua delle 49 occorrenze residue \\non applica la categoria a un'assenza determinata: la nomina quale componente del metodo.</w:t>
      </w:r>
    </w:p>
    <w:p>
      <w:pPr>
        <w:spacing w:after="120" w:line="276"/>
        <w:jc w:val="both"/>
      </w:pPr>
      <w:r>
        <w:rPr>
          <w:rFonts w:ascii="Barlow Semi Condensed" w:cs="Barlow Semi Condensed" w:eastAsia="Barlow Semi Condensed" w:hAnsi="Barlow Semi Condensed"/>
          <w:b/>
          <w:bCs/>
          <w:sz w:val="24"/>
          <w:szCs w:val="24"/>
        </w:rPr>
        <w:t xml:space="preserve">Blocco mirato numero 4302 — Il caso esemplare, riportato testualmente. Il volume scrive che il caso capitale fu il banco di prova sul quale l'intero metodo, i Livelli, i Pattern, la Regola Ferrea, lo Stato Zero, doveva dimostrare di reggere.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4303 — La qualificazione.\\ \\Non è un'occorrenza da censire. È una menzione della categoria e non un'istanza di essa.\\ Qualificarla con grado e livello sarebbe privo di senso, poiché \\non vi è alcuna assenza a cui riferirli.</w:t>
      </w:r>
    </w:p>
    <w:p>
      <w:pPr>
        <w:spacing w:after="120" w:line="276"/>
        <w:jc w:val="both"/>
      </w:pPr>
      <w:r>
        <w:rPr>
          <w:rFonts w:ascii="Barlow Semi Condensed" w:cs="Barlow Semi Condensed" w:eastAsia="Barlow Semi Condensed" w:hAnsi="Barlow Semi Condensed"/>
          <w:b/>
          <w:bCs/>
          <w:sz w:val="24"/>
          <w:szCs w:val="24"/>
        </w:rPr>
        <w:t xml:space="preserve">Blocco mirato numero 4304 — La distinzione che ne discende, e va enunciata perché è di procedura. Le occorrenze si dividono in istanze, che applicano la categoria a un caso, e menzioni, che la nominano quale strumento dell'opera. Soltanto le istanze entrano in un censimento.</w:t>
      </w:r>
    </w:p>
    <w:p>
      <w:pPr>
        <w:spacing w:after="120" w:line="276"/>
        <w:jc w:val="both"/>
      </w:pPr>
      <w:r>
        <w:rPr>
          <w:rFonts w:ascii="Barlow Semi Condensed" w:cs="Barlow Semi Condensed" w:eastAsia="Barlow Semi Condensed" w:hAnsi="Barlow Semi Condensed"/>
          <w:b/>
          <w:bCs/>
          <w:sz w:val="24"/>
          <w:szCs w:val="24"/>
        </w:rPr>
        <w:t xml:space="preserve">Blocco mirato numero 4305 — Il costo dell'omessa distinzione, quantificato. Un censimento automatico delle 122 occorrenze produrrebbe un numero che comprende le menzioni, e dunque sovrastimerebbe gli Stati Zero dell'opera di una quota pari al numero delle menzioni. Poiché la Fase 13 è intitolata all'estrazione computazionale, il rilievo la riguarda direttamente.</w:t>
      </w:r>
    </w:p>
    <w:p>
      <w:pPr>
        <w:spacing w:after="120" w:line="276"/>
        <w:jc w:val="both"/>
      </w:pPr>
      <w:r>
        <w:rPr>
          <w:rFonts w:ascii="Barlow Semi Condensed" w:cs="Barlow Semi Condensed" w:eastAsia="Barlow Semi Condensed" w:hAnsi="Barlow Semi Condensed"/>
          <w:b/>
          <w:bCs/>
          <w:sz w:val="24"/>
          <w:szCs w:val="24"/>
        </w:rPr>
        <w:t xml:space="preserve">Blocco mirato numero 4306 — La prescrizione per l'estrazione automatica. Ogni estrazione della categoria distingua istanze da menzioni, e lo faccia verificando la presenza, nel contesto, di un soggetto determinato e di una connessione attesa. In assenza di entrambi, l'occorrenza è menzione.</w:t>
      </w:r>
    </w:p>
    <w:p>
      <w:pPr>
        <w:spacing w:after="120" w:line="276"/>
        <w:jc w:val="both"/>
      </w:pPr>
      <w:r>
        <w:rPr>
          <w:rFonts w:ascii="Barlow Semi Condensed" w:cs="Barlow Semi Condensed" w:eastAsia="Barlow Semi Condensed" w:hAnsi="Barlow Semi Condensed"/>
          <w:b/>
          <w:bCs/>
          <w:sz w:val="24"/>
          <w:szCs w:val="24"/>
        </w:rPr>
        <w:t xml:space="preserve">Blocco mirato numero 4307 — Un rilievo che va reso al volume, poiché la critica sarebbe unilaterale senza di esso. Le menzioni non sono un vizio: sono il segno che la categoria è divenuta parte del lessico dell'opera, al pari dei Livelli e dei Pattern, con i quali il volume la elenca. Il vizio nascerebbe soltanto dal contarle.</w:t>
      </w:r>
    </w:p>
    <w:p>
      <w:pPr>
        <w:spacing w:after="120" w:line="276"/>
        <w:jc w:val="both"/>
      </w:pPr>
      <w:r>
        <w:rPr>
          <w:rFonts w:ascii="Barlow Semi Condensed" w:cs="Barlow Semi Condensed" w:eastAsia="Barlow Semi Condensed" w:hAnsi="Barlow Semi Condensed"/>
          <w:b/>
          <w:bCs/>
          <w:sz w:val="24"/>
          <w:szCs w:val="24"/>
        </w:rPr>
        <w:t xml:space="preserve">Blocco mirato numero 4308 — Il bilancio della riqualificazione, in forma di stima e non di conteggio. Delle 122 occorrenze, una parte è menzione e non istanza; delle istanze, una parte cospicua è di quarto grado, e si divide fra specie esogena ed endogena; 17 sono archivistiche e si ripartiscono fra primo, terzo, quinto e il nuovo undicesimo grado; una almeno non è Stato Zero ma reperto positivo in senso figurato, come il caso Gladio del blocco 4109.</w:t>
      </w:r>
    </w:p>
    <w:p>
      <w:pPr>
        <w:spacing w:after="120" w:line="276"/>
        <w:jc w:val="both"/>
      </w:pPr>
      <w:r>
        <w:rPr>
          <w:rFonts w:ascii="Barlow Semi Condensed" w:cs="Barlow Semi Condensed" w:eastAsia="Barlow Semi Condensed" w:hAnsi="Barlow Semi Condensed"/>
          <w:b/>
          <w:bCs/>
          <w:sz w:val="24"/>
          <w:szCs w:val="24"/>
        </w:rPr>
        <w:t xml:space="preserve">Blocco mirato numero 4309 — Perché il bilancio è offerto quale stima. La qualificazione definitiva di ciascuna delle 122 occorrenze richiede la lettura del capitolo che la contiene e non del solo contesto prossimo. Il presente registro fornisce il criterio, lo applica ai casi che il riscontro ha isolato, e dichiara che le rimanenti vanno qualificate in sede di revisione del volume. Esito parziale dichiarato.</w:t>
      </w:r>
    </w:p>
    <w:p>
      <w:pPr>
        <w:spacing w:after="120" w:line="276"/>
        <w:jc w:val="both"/>
      </w:pPr>
      <w:r>
        <w:rPr>
          <w:rFonts w:ascii="Barlow Semi Condensed" w:cs="Barlow Semi Condensed" w:eastAsia="Barlow Semi Condensed" w:hAnsi="Barlow Semi Condensed"/>
          <w:b/>
          <w:bCs/>
          <w:sz w:val="24"/>
          <w:szCs w:val="24"/>
        </w:rPr>
        <w:t xml:space="preserve">Blocco mirato numero 4401 — Sintesi del dato nuovo acquisito. Il presente registro salda il debito che il Sesto aveva dichiarato ed esegue la riqualificazione delle occorrenze della categoria dello Stato Zero nell'Edizione Integrata. Esso emenda anzitutto il Sesto Registro, il cui conteggio di 98 comprendeva il solo singolare: le occorrenze sono 122, e le 24 al plurale sono precisamente quelle dei bilanci di fase, cioè la sede in cui l'indifferenziazione produce il danno maggiore, onde la regola che quando si misura l'uso di una categoria si misurino tutte le sue flessioni. Il registro versa poi 3 acquisizioni non previste da alcuna prescrizione anteriore. La prima: la sottodistinzione entro il quarto grado fra verifica esogena, condotta contro un registro che il soggetto pubblica, e verifica endogena, condotta contro l'esaurimento del corpus del ricercatore; la seconda è più debole della prima quanto a controllabilità, poiché il corpus è definito da chi lo compila, e va perciò dichiarata insieme all'estensione del corpus contro cui la verifica fu condotta. La seconda: l'undicesimo grado, limite di giurisdizione, definito quale informazione esistente, conservata e accessibile alle autorità dello Stato che la detiene, e inattingibile a un'autorità straniera per mancanza di strumento che ne imponga la produzione; esso non è proposto dall'analista ma estratto dal volume, che ne descriveva la fattispecie senza nominarla, e possiede una proprietà che nessuno degli altri 10 possiede, essendo il solo che qualifichi non il documento ma il rapporto fra il documento e il richiedente, sicché il medesimo documento è al tempo stesso disponibile e indisponibile secondo chi lo chieda; la sua classe di rimediabilità è la seconda. La terza: la distinzione fra istanze e menzioni della categoria, essendo una parte cospicua delle occorrenze residue non applicazione della categoria a un'assenza determinata ma nominazione di essa quale componente del metodo, con la conseguenza che un censimento automatico sovrastimerebbe gli Stati Zero dell'opera di una quota pari al numero delle menzioni, rilievo che riguarda direttamente la fase intitolata all'estrazione computazionale. Il registro accerta infine che almeno un caso che il volume denomina Stato Zero non lo è, trattandosi della tenuta quadridecennale di un segreto, cioè di un reperto positivo di natura sociologica cui la categoria è applicata in senso figurato. La scala emendata conta pertanto 11 gradi, e il presente registro dichiara esito parziale, la qualificazione definitiva di ciascuna occorrenza richiedendo la lettura del capitolo che la contiene e non del solo contesto prossimo.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 · Settimo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2.206 parole in 9 sezioni; la più ampia è §9 Altre sezioni, con 1.888.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37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 — Registro Delle Undici Ricognizioni</w:t>
      </w:r>
    </w:p>
    <w:p>
      <w:pPr>
        <w:pStyle w:val="Heading1"/>
        <w:spacing w:after="120" w:before="240"/>
      </w:pPr>
      <w:r>
        <w:rPr>
          <w:rFonts w:ascii="Barlow Semi Condensed" w:cs="Barlow Semi Condensed" w:eastAsia="Barlow Semi Condensed" w:hAnsi="Barlow Semi Condensed"/>
          <w:sz w:val="24"/>
          <w:szCs w:val="24"/>
        </w:rPr>
        <w:t xml:space="preserve">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Consolidamento della serie Moro-Santa Sede-Opus Dei-Aginter</w:t>
      </w:r>
    </w:p>
    <w:p>
      <w:pPr>
        <w:pStyle w:val="Heading2"/>
        <w:spacing w:after="100" w:before="200"/>
      </w:pPr>
      <w:r>
        <w:rPr>
          <w:rFonts w:ascii="Barlow Semi Condensed" w:cs="Barlow Semi Condensed" w:eastAsia="Barlow Semi Condensed" w:hAnsi="Barlow Semi Condensed"/>
          <w:sz w:val="24"/>
          <w:szCs w:val="24"/>
        </w:rPr>
        <w:t xml:space="preserve">Correzioni, Stati Zero graduati, tavola fusa per quattordici sedi</w:t>
      </w:r>
    </w:p>
    <w:p>
      <w:pPr>
        <w:pStyle w:val="Heading2"/>
        <w:spacing w:after="100" w:before="200"/>
      </w:pPr>
      <w:r>
        <w:rPr>
          <w:rFonts w:ascii="Barlow Semi Condensed" w:cs="Barlow Semi Condensed" w:eastAsia="Barlow Semi Condensed" w:hAnsi="Barlow Semi Condensed"/>
          <w:sz w:val="24"/>
          <w:szCs w:val="24"/>
        </w:rPr>
        <w:t xml:space="preserve">Dodici Capitoli — cinque proposizioni in appendice alla Nota Metodologica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e funzione di questo Registro</w:t>
      </w:r>
    </w:p>
    <w:p>
      <w:pPr>
        <w:spacing w:after="120" w:line="276"/>
        <w:jc w:val="both"/>
      </w:pPr>
      <w:r>
        <w:rPr>
          <w:rFonts w:ascii="Barlow Semi Condensed" w:cs="Barlow Semi Condensed" w:eastAsia="Barlow Semi Condensed" w:hAnsi="Barlow Semi Condensed"/>
          <w:b/>
          <w:bCs/>
          <w:sz w:val="24"/>
          <w:szCs w:val="24"/>
        </w:rPr>
        <w:t xml:space="preserve">Questo documento non è una dodicesima ricognizione. È il registro delle undici che lo precedono, e nasce da una constatazione operativa: undici documenti sciolti, ciascuno con la propria tavola di acquisizioni, i propri Stati Zero e le proprie correzioni di data, non costituiscono uno strumento. Costituiscono undici testi che vanno riletti uno per uno ogni volta che si voglia sapere che cosa la serie abbia stabilito.</w:t>
      </w:r>
    </w:p>
    <w:p>
      <w:pPr>
        <w:spacing w:after="120" w:line="276"/>
        <w:jc w:val="both"/>
      </w:pPr>
      <w:r>
        <w:rPr>
          <w:rFonts w:ascii="Barlow Semi Condensed" w:cs="Barlow Semi Condensed" w:eastAsia="Barlow Semi Condensed" w:hAnsi="Barlow Semi Condensed"/>
          <w:b/>
          <w:bCs/>
          <w:sz w:val="24"/>
          <w:szCs w:val="24"/>
        </w:rPr>
        <w:t xml:space="preserve">Che cosa questo Registro fa. Censisce i documenti con la loro impronta; raccoglie le correzioni di data e di fatto disperse fra gli studi e le riferisce alle voci che emendano; gradua gli Stati Zero secondo la natura dell'impedimento anziché elencarli; fonde le tavole delle acquisizioni per sede archivistica anziché per studio, che è il guadagno principale; e raccoglie in appendice le cinque proposizioni di metodo che la serie ha prodotto e che la Nota Metodologica del corpus non contiene, essendo esse posteriori.</w:t>
      </w:r>
    </w:p>
    <w:p>
      <w:pPr>
        <w:spacing w:after="120" w:line="276"/>
        <w:jc w:val="both"/>
      </w:pPr>
      <w:r>
        <w:rPr>
          <w:rFonts w:ascii="Barlow Semi Condensed" w:cs="Barlow Semi Condensed" w:eastAsia="Barlow Semi Condensed" w:hAnsi="Barlow Semi Condensed"/>
          <w:b/>
          <w:bCs/>
          <w:sz w:val="24"/>
          <w:szCs w:val="24"/>
        </w:rPr>
        <w:t xml:space="preserve">Che cosa questo Registro non fa. Non riassume gli undici studi, che restano interi e vanno letti per il merito. Non sostituisce nulla e non abroga nulla, salvo la proposizione formalmente revisionata al Capitolo settimo. Non aggiunge accertamenti nuovi.</w:t>
      </w:r>
    </w:p>
    <w:p>
      <w:pPr>
        <w:spacing w:after="120" w:line="276"/>
        <w:jc w:val="both"/>
      </w:pPr>
      <w:r>
        <w:rPr>
          <w:rFonts w:ascii="Barlow Semi Condensed" w:cs="Barlow Semi Condensed" w:eastAsia="Barlow Semi Condensed" w:hAnsi="Barlow Semi Condensed"/>
          <w:b/>
          <w:bCs/>
          <w:sz w:val="24"/>
          <w:szCs w:val="24"/>
        </w:rPr>
        <w:t xml:space="preserve">Il principio che governa il Registro, e va enunciato perché ne determina la forma. Undici tavole ordinate per studio producono una lista di quaranta voci; le medesime voci ordinate per sede archivistica producono una lista di quattordici sedi. La differenza non è redazionale: è che nella prima forma non si vede che un solo viaggio alla Farnesina chiude voci provenienti da sette studi diversi, mentre nella seconda lo si vede immediatamente.</w:t>
      </w:r>
    </w:p>
    <w:p>
      <w:pPr>
        <w:spacing w:after="120" w:line="276"/>
        <w:jc w:val="both"/>
      </w:pPr>
      <w:r>
        <w:rPr>
          <w:rFonts w:ascii="Barlow Semi Condensed" w:cs="Barlow Semi Condensed" w:eastAsia="Barlow Semi Condensed" w:hAnsi="Barlow Semi Condensed"/>
          <w:b/>
          <w:bCs/>
          <w:sz w:val="24"/>
          <w:szCs w:val="24"/>
        </w:rPr>
        <w:t xml:space="preserve">Sul perimetro complessivo della serie. Undici ricognizioni hanno percorso l'attività ministeriale di Aldo Moro verso Spagna, Portogallo, Grecia, Cipro, Turchia e Germania, e quella di Franz Josef Strauß verso due oggetti, incrociandole con la Santa Sede, con l'Opus Dei e con Aginter Press.</w:t>
      </w:r>
    </w:p>
    <w:p>
      <w:pPr>
        <w:spacing w:after="120" w:line="276"/>
        <w:jc w:val="both"/>
      </w:pPr>
      <w:r>
        <w:rPr>
          <w:rFonts w:ascii="Barlow Semi Condensed" w:cs="Barlow Semi Condensed" w:eastAsia="Barlow Semi Condensed" w:hAnsi="Barlow Semi Condensed"/>
          <w:b/>
          <w:bCs/>
          <w:sz w:val="24"/>
          <w:szCs w:val="24"/>
        </w:rPr>
        <w:t xml:space="preserve">Sui risultati, che il Capitolo dodicesimo espone e che qui si anticipano nella loro tipologia. Essi si dispongono in quattro ordini: gli Stati Zero, che sono la maggioranza e che il Capitolo terzo gradua; un solo nesso documentato, esposto al Capitolo sesto; una revisione, esposta al Capitolo settimo; e la genealogia di una connessione falsa, esposta al Capitolo ottavo.</w:t>
      </w:r>
    </w:p>
    <w:p>
      <w:pPr>
        <w:spacing w:after="120" w:line="276"/>
        <w:jc w:val="both"/>
      </w:pPr>
      <w:r>
        <w:rPr>
          <w:rFonts w:ascii="Barlow Semi Condensed" w:cs="Barlow Semi Condensed" w:eastAsia="Barlow Semi Condensed" w:hAnsi="Barlow Semi Condensed"/>
          <w:b/>
          <w:bCs/>
          <w:sz w:val="24"/>
          <w:szCs w:val="24"/>
        </w:rPr>
        <w:t xml:space="preserve">Una avvertenza sulla natura del documento. Come gli undici che lo precedono, questo Registro è estraneo al Registro Analitico e non entra nel computo dei gradi Savona. È strumento di lavoro, non fonte.</w:t>
      </w:r>
    </w:p>
    <w:p>
      <w:pPr>
        <w:pStyle w:val="Heading2"/>
        <w:spacing w:after="100" w:before="200"/>
      </w:pPr>
      <w:r>
        <w:rPr>
          <w:rFonts w:ascii="Barlow Semi Condensed" w:cs="Barlow Semi Condensed" w:eastAsia="Barlow Semi Condensed" w:hAnsi="Barlow Semi Condensed"/>
          <w:sz w:val="24"/>
          <w:szCs w:val="24"/>
        </w:rPr>
        <w:t xml:space="preserve">Capitolo secondo — Censimento dei documenti e delle impronte</w:t>
      </w:r>
    </w:p>
    <w:p>
      <w:pPr>
        <w:spacing w:after="120" w:line="276"/>
        <w:jc w:val="both"/>
      </w:pPr>
      <w:r>
        <w:rPr>
          <w:rFonts w:ascii="Barlow Semi Condensed" w:cs="Barlow Semi Condensed" w:eastAsia="Barlow Semi Condensed" w:hAnsi="Barlow Semi Condensed"/>
          <w:b/>
          <w:bCs/>
          <w:sz w:val="24"/>
          <w:szCs w:val="24"/>
        </w:rPr>
        <w:t xml:space="preserve">Il capitolo elenca i documenti prodotti dalla serie con la loro impronta crittografica, perché ciascuno sia identificabile e verificabile.</w:t>
      </w:r>
    </w:p>
    <w:p>
      <w:pPr>
        <w:spacing w:after="120" w:line="276"/>
        <w:jc w:val="both"/>
      </w:pPr>
      <w:r>
        <w:rPr>
          <w:rFonts w:ascii="Barlow Semi Condensed" w:cs="Barlow Semi Condensed" w:eastAsia="Barlow Semi Condensed" w:hAnsi="Barlow Semi Condensed"/>
          <w:b/>
          <w:bCs/>
          <w:sz w:val="24"/>
          <w:szCs w:val="24"/>
        </w:rPr>
        <w:t xml:space="preserve">Prima ricognizione — Moro, la Spagna e la Santa Sede. File 'MORO\_FARNESINA\_SPAGNA\_SANTA\_SEDE.docx', impronta 'faa51a5231d3dbfb6498ba7f00e9b108cb430328323ffd99bc15c38d108c32d2'. Perimetro: mandato ministeriale, Spagna franchista, Santa Sede. Sette Stati Zero, sei acquisizioni.</w:t>
      </w:r>
    </w:p>
    <w:p>
      <w:pPr>
        <w:spacing w:after="120" w:line="276"/>
        <w:jc w:val="both"/>
      </w:pPr>
      <w:r>
        <w:rPr>
          <w:rFonts w:ascii="Barlow Semi Condensed" w:cs="Barlow Semi Condensed" w:eastAsia="Barlow Semi Condensed" w:hAnsi="Barlow Semi Condensed"/>
          <w:b/>
          <w:bCs/>
          <w:sz w:val="24"/>
          <w:szCs w:val="24"/>
        </w:rPr>
        <w:t xml:space="preserve">Seconda ricognizione — Moro, la Spagna e l'Opus Dei. File 'MORO\_FARNESINA\_OPUS\_DEI.docx', impronta '3de2befb099d1d05fcf16a76f2c28d39f87fc79cd1048c50aac6919bc48a713c'. Contiene l'accertamento sul documento della Central Intelligence Agency del 22 maggio 1970, protocollo CIA-RDP85T00875R001500020027-1.</w:t>
      </w:r>
    </w:p>
    <w:p>
      <w:pPr>
        <w:spacing w:after="120" w:line="276"/>
        <w:jc w:val="both"/>
      </w:pPr>
      <w:r>
        <w:rPr>
          <w:rFonts w:ascii="Barlow Semi Condensed" w:cs="Barlow Semi Condensed" w:eastAsia="Barlow Semi Condensed" w:hAnsi="Barlow Semi Condensed"/>
          <w:b/>
          <w:bCs/>
          <w:sz w:val="24"/>
          <w:szCs w:val="24"/>
        </w:rPr>
        <w:t xml:space="preserve">Terza ricognizione — Moro, il Portogallo e la Santa Sede, prima passata. File 'MORO\_FARNESINA\_PORTOGALLO\_SANTA\_SEDE.docx', impronta 'fe3dcd27299208eb37478a85716e85c608a99296368d5513fb1b0166636fa91f'. Quattro nodi documentati, cinque triangolazioni.</w:t>
      </w:r>
    </w:p>
    <w:p>
      <w:pPr>
        <w:spacing w:after="120" w:line="276"/>
        <w:jc w:val="both"/>
      </w:pPr>
      <w:r>
        <w:rPr>
          <w:rFonts w:ascii="Barlow Semi Condensed" w:cs="Barlow Semi Condensed" w:eastAsia="Barlow Semi Condensed" w:hAnsi="Barlow Semi Condensed"/>
          <w:b/>
          <w:bCs/>
          <w:sz w:val="24"/>
          <w:szCs w:val="24"/>
        </w:rPr>
        <w:t xml:space="preserve">Quarta ricognizione — Portogallo e Santa Sede, seconda passata.\\ Condotta con ricerca estesa sulle sei lacune dichiarate dalla terza; i suoi esiti sono confluiti nella quinta e \\non esiste come documento autonomo.</w:t>
      </w:r>
    </w:p>
    <w:p>
      <w:pPr>
        <w:spacing w:after="120" w:line="276"/>
        <w:jc w:val="both"/>
      </w:pPr>
      <w:r>
        <w:rPr>
          <w:rFonts w:ascii="Barlow Semi Condensed" w:cs="Barlow Semi Condensed" w:eastAsia="Barlow Semi Condensed" w:hAnsi="Barlow Semi Condensed"/>
          <w:b/>
          <w:bCs/>
          <w:sz w:val="24"/>
          <w:szCs w:val="24"/>
        </w:rPr>
        <w:t xml:space="preserve">Quinta ricognizione — Portogallo e Santa Sede, consolidata. File 'MORO\_PORTOGALLO\_QUINTA\_RICOGNIZIONE.docx', impronta 'd07c4c0f2dbbc934540c0987504a7fef1aba0923524f0c955779f11445bfca6e'. Contiene i nove nomi degli espulsi e il diario Peano.</w:t>
      </w:r>
    </w:p>
    <w:p>
      <w:pPr>
        <w:spacing w:after="120" w:line="276"/>
        <w:jc w:val="both"/>
      </w:pPr>
      <w:r>
        <w:rPr>
          <w:rFonts w:ascii="Barlow Semi Condensed" w:cs="Barlow Semi Condensed" w:eastAsia="Barlow Semi Condensed" w:hAnsi="Barlow Semi Condensed"/>
          <w:b/>
          <w:bCs/>
          <w:sz w:val="24"/>
          <w:szCs w:val="24"/>
        </w:rPr>
        <w:t xml:space="preserve">Sesta ricognizione — Portogallo e Opus Dei. File 'MORO\_PORTOGALLO\_OPUS\_DEI.docx', impronta '7407cf30354d812eca76e7eda3036f194ef00199dfa2ac8272ffd7d49cea21cf'. Contiene il ribaltamento iberico.</w:t>
      </w:r>
    </w:p>
    <w:p>
      <w:pPr>
        <w:spacing w:after="120" w:line="276"/>
        <w:jc w:val="both"/>
      </w:pPr>
      <w:r>
        <w:rPr>
          <w:rFonts w:ascii="Barlow Semi Condensed" w:cs="Barlow Semi Condensed" w:eastAsia="Barlow Semi Condensed" w:hAnsi="Barlow Semi Condensed"/>
          <w:b/>
          <w:bCs/>
          <w:sz w:val="24"/>
          <w:szCs w:val="24"/>
        </w:rPr>
        <w:t xml:space="preserve">Settima ricognizione — Turchia e Santa Sede. File 'MORO\_TURCHIA\_SANTA\_SEDE.docx', impronta '3f7331f4f961bf7e910f0a533d97465acf7bd96b46a52c9e2debcd624bde8f15'. Contiene l'attentato del 13 maggio 1981 e la qualificazione della pista bulgara.</w:t>
      </w:r>
    </w:p>
    <w:p>
      <w:pPr>
        <w:spacing w:after="120" w:line="276"/>
        <w:jc w:val="both"/>
      </w:pPr>
      <w:r>
        <w:rPr>
          <w:rFonts w:ascii="Barlow Semi Condensed" w:cs="Barlow Semi Condensed" w:eastAsia="Barlow Semi Condensed" w:hAnsi="Barlow Semi Condensed"/>
          <w:b/>
          <w:bCs/>
          <w:sz w:val="24"/>
          <w:szCs w:val="24"/>
        </w:rPr>
        <w:t xml:space="preserve">Ottava ricognizione — il Mediterraneo orientale consolidato. File 'MORO\_MEDITERRANEO\_ORIENTALE\_OPUS\_DEI.docx', impronta '5455daedd39cfe6458f16bb210ce87ed5da941597725668292c17ebd704f027f'. Consolida Grecia, Cipro e Turchia; formula la proposizione poi revisionata.</w:t>
      </w:r>
    </w:p>
    <w:p>
      <w:pPr>
        <w:spacing w:after="120" w:line="276"/>
        <w:jc w:val="both"/>
      </w:pPr>
      <w:r>
        <w:rPr>
          <w:rFonts w:ascii="Barlow Semi Condensed" w:cs="Barlow Semi Condensed" w:eastAsia="Barlow Semi Condensed" w:hAnsi="Barlow Semi Condensed"/>
          <w:b/>
          <w:bCs/>
          <w:sz w:val="24"/>
          <w:szCs w:val="24"/>
        </w:rPr>
        <w:t xml:space="preserve">Nona ricognizione — le due Germanie e la Santa Sede.\\ File 'MORO\_GERMANIE\_SANTA\_SEDE.docx', impronta 'b44b1928a2cf665691361880c100292f9e4f22aed48f9f284a64afe0c6ee6c0d'. \\Contiene il solo nesso documentato della serie.</w:t>
      </w:r>
    </w:p>
    <w:p>
      <w:pPr>
        <w:spacing w:after="120" w:line="276"/>
        <w:jc w:val="both"/>
      </w:pPr>
      <w:r>
        <w:rPr>
          <w:rFonts w:ascii="Barlow Semi Condensed" w:cs="Barlow Semi Condensed" w:eastAsia="Barlow Semi Condensed" w:hAnsi="Barlow Semi Condensed"/>
          <w:b/>
          <w:bCs/>
          <w:sz w:val="24"/>
          <w:szCs w:val="24"/>
        </w:rPr>
        <w:t xml:space="preserve">Decima ricognizione — Germania e Opus Dei, atto di revisione.\\ File 'MORO\_GERMANIA\_OPUS\_DEI\_REVISIONE.docx', impronta 'f666dd7c5a1d5aecaa888b40a903615bf3fa50ead5f92204ecba0d9a356b2938'. \\Revisiona la proposizione dell'ottava.</w:t>
      </w:r>
    </w:p>
    <w:p>
      <w:pPr>
        <w:spacing w:after="120" w:line="276"/>
        <w:jc w:val="both"/>
      </w:pPr>
      <w:r>
        <w:rPr>
          <w:rFonts w:ascii="Barlow Semi Condensed" w:cs="Barlow Semi Condensed" w:eastAsia="Barlow Semi Condensed" w:hAnsi="Barlow Semi Condensed"/>
          <w:b/>
          <w:bCs/>
          <w:sz w:val="24"/>
          <w:szCs w:val="24"/>
        </w:rPr>
        <w:t xml:space="preserve">Undicesima ricognizione — Strauß e Aginter Press. File 'STRAUSS\_AGINTER\_ANATOMIA.docx', impronta 'e16391f2c57a599777b2839ec7dbc5ccdc0052e427c87250b7ef88779b189bb8'. Contiene la genealogia della connessione falsa.</w:t>
      </w:r>
    </w:p>
    <w:p>
      <w:pPr>
        <w:spacing w:after="120" w:line="276"/>
        <w:jc w:val="both"/>
      </w:pPr>
      <w:r>
        <w:rPr>
          <w:rFonts w:ascii="Barlow Semi Condensed" w:cs="Barlow Semi Condensed" w:eastAsia="Barlow Semi Condensed" w:hAnsi="Barlow Semi Condensed"/>
          <w:b/>
          <w:bCs/>
          <w:sz w:val="24"/>
          <w:szCs w:val="24"/>
        </w:rPr>
        <w:t xml:space="preserve">Totale: dieci documenti, dieci impronte, undici ricognizioni. La quarta esiste come ricerca e non come documento, e la sua omissione va registrata perché è l'unica discontinuità della numerazione.</w:t>
      </w:r>
    </w:p>
    <w:p>
      <w:pPr>
        <w:pStyle w:val="Heading2"/>
        <w:spacing w:after="100" w:before="200"/>
      </w:pPr>
      <w:r>
        <w:rPr>
          <w:rFonts w:ascii="Barlow Semi Condensed" w:cs="Barlow Semi Condensed" w:eastAsia="Barlow Semi Condensed" w:hAnsi="Barlow Semi Condensed"/>
          <w:sz w:val="24"/>
          <w:szCs w:val="24"/>
        </w:rPr>
        <w:t xml:space="preserve">Capitolo terzo — Gli Stati Zero graduati per natura dell'impedimento</w:t>
      </w:r>
    </w:p>
    <w:p>
      <w:pPr>
        <w:spacing w:after="120" w:line="276"/>
        <w:jc w:val="both"/>
      </w:pPr>
      <w:r>
        <w:rPr>
          <w:rFonts w:ascii="Barlow Semi Condensed" w:cs="Barlow Semi Condensed" w:eastAsia="Barlow Semi Condensed" w:hAnsi="Barlow Semi Condensed"/>
          <w:b/>
          <w:bCs/>
          <w:sz w:val="24"/>
          <w:szCs w:val="24"/>
        </w:rPr>
        <w:t xml:space="preserve">Il capitolo compie l'operazione che gli undici studi non potevano compiere, avendo ciascuno un solo perimetro: graduare gli Stati Zero secondo la natura dell'impedimento anziché elencarli. La graduazione ha conseguenza operativa diretta, poiché ciascun grado richiede un'azione diversa e alcuni non ne ammettono alcuna.</w:t>
      </w:r>
    </w:p>
    <w:p>
      <w:pPr>
        <w:spacing w:after="120" w:line="276"/>
        <w:jc w:val="both"/>
      </w:pPr>
      <w:r>
        <w:rPr>
          <w:rFonts w:ascii="Barlow Semi Condensed" w:cs="Barlow Semi Condensed" w:eastAsia="Barlow Semi Condensed" w:hAnsi="Barlow Semi Condensed"/>
          <w:b/>
          <w:bCs/>
          <w:sz w:val="24"/>
          <w:szCs w:val="24"/>
        </w:rPr>
        <w:t xml:space="preserve">Primo grado — impossibilità istituzionale. L'impedimento non dipende da difetto di ricerca né da limite di strumento: la documentazione non è accessibile a chiunque, per disposizione dell'istituzione che la detiene. Vi appartengono: l'intera documentazione vaticana posteriore all'ottobre 1958, essendo l'Archivio Apostolico Vaticano consultabile soltanto fino alla morte di Pio XII, con i pontificati di Giovanni XXIII, Paolo VI e Giovanni Paolo II non aperti; e la documentazione roncalliana del quinquennio 1940-1945, non pienamente consultabile.</w:t>
      </w:r>
    </w:p>
    <w:p>
      <w:pPr>
        <w:spacing w:after="120" w:line="276"/>
        <w:jc w:val="both"/>
      </w:pPr>
      <w:r>
        <w:rPr>
          <w:rFonts w:ascii="Barlow Semi Condensed" w:cs="Barlow Semi Condensed" w:eastAsia="Barlow Semi Condensed" w:hAnsi="Barlow Semi Condensed"/>
          <w:b/>
          <w:bCs/>
          <w:sz w:val="24"/>
          <w:szCs w:val="24"/>
        </w:rPr>
        <w:t xml:space="preserve">Conseguenza operativa: nessuna. Questi Stati Zero non si chiudono con un viaggio né con una richiesta; si chiudono quando l'istituzione decide di aprire.</w:t>
      </w:r>
    </w:p>
    <w:p>
      <w:pPr>
        <w:spacing w:after="120" w:line="276"/>
        <w:jc w:val="both"/>
      </w:pPr>
      <w:r>
        <w:rPr>
          <w:rFonts w:ascii="Barlow Semi Condensed" w:cs="Barlow Semi Condensed" w:eastAsia="Barlow Semi Condensed" w:hAnsi="Barlow Semi Condensed"/>
          <w:b/>
          <w:bCs/>
          <w:sz w:val="24"/>
          <w:szCs w:val="24"/>
        </w:rPr>
        <w:t xml:space="preserve">Secondo grado — limite di strumento. Il documento esiste ed è in principio accessibile, ma non è interrogabile. Vi appartengono: la quinta e la sesta legislatura italiana, poiché la banca dati del sindacato ispettivo copre soltanto dal 5 luglio 1976 e gli atti anteriori esistono come resoconti stenografici non indicizzati per soggetto; e i Telegrammi 1942-1970 dell'Archivio Storico Diplomatico, temporaneamente esclusi per lavori.</w:t>
      </w:r>
    </w:p>
    <w:p>
      <w:pPr>
        <w:spacing w:after="120" w:line="276"/>
        <w:jc w:val="both"/>
      </w:pPr>
      <w:r>
        <w:rPr>
          <w:rFonts w:ascii="Barlow Semi Condensed" w:cs="Barlow Semi Condensed" w:eastAsia="Barlow Semi Condensed" w:hAnsi="Barlow Semi Condensed"/>
          <w:b/>
          <w:bCs/>
          <w:sz w:val="24"/>
          <w:szCs w:val="24"/>
        </w:rPr>
        <w:t xml:space="preserve">Conseguenza operativa: spoglio manuale per il primo caso, attesa della riapertura per il secondo. E una prescrizione: un esito negativo ottenuto su questi fondi per via telematica non ha valore probatorio, perché si è cercato dove la ricerca non è possibile.</w:t>
      </w:r>
    </w:p>
    <w:p>
      <w:pPr>
        <w:spacing w:after="120" w:line="276"/>
        <w:jc w:val="both"/>
      </w:pPr>
      <w:r>
        <w:rPr>
          <w:rFonts w:ascii="Barlow Semi Condensed" w:cs="Barlow Semi Condensed" w:eastAsia="Barlow Semi Condensed" w:hAnsi="Barlow Semi Condensed"/>
          <w:b/>
          <w:bCs/>
          <w:sz w:val="24"/>
          <w:szCs w:val="24"/>
        </w:rPr>
        <w:t xml:space="preserve">Terzo grado — deposito inesplorato. Il fondo è accessibile e la ricerca è possibile, ma nessuno l'ha condotta. Vi appartiene per eccellenza il fondo della polizia politica portoghese alla Torre do Tombo, del quale il capo divisione ha dichiarato il 23 aprile 2019 che metà della documentazione nei depositi non è mai stata consultata, pur essendo già numerata.</w:t>
      </w:r>
    </w:p>
    <w:p>
      <w:pPr>
        <w:spacing w:after="120" w:line="276"/>
        <w:jc w:val="both"/>
      </w:pPr>
      <w:r>
        <w:rPr>
          <w:rFonts w:ascii="Barlow Semi Condensed" w:cs="Barlow Semi Condensed" w:eastAsia="Barlow Semi Condensed" w:hAnsi="Barlow Semi Condensed"/>
          <w:b/>
          <w:bCs/>
          <w:sz w:val="24"/>
          <w:szCs w:val="24"/>
        </w:rPr>
        <w:t xml:space="preserve">Conseguenza operativa: il viaggio è possibile e produttivo. E una prescrizione: un esito negativo su un fondo di terzo grado ottenuto per via di catalogo vale poco, perché si è cercato in un indice e non nei depositi.</w:t>
      </w:r>
    </w:p>
    <w:p>
      <w:pPr>
        <w:spacing w:after="120" w:line="276"/>
        <w:jc w:val="both"/>
      </w:pPr>
      <w:r>
        <w:rPr>
          <w:rFonts w:ascii="Barlow Semi Condensed" w:cs="Barlow Semi Condensed" w:eastAsia="Barlow Semi Condensed" w:hAnsi="Barlow Semi Condensed"/>
          <w:b/>
          <w:bCs/>
          <w:sz w:val="24"/>
          <w:szCs w:val="24"/>
        </w:rPr>
        <w:t xml:space="preserve">Quarto grado — insieme vuoto verificato. L'assenza è accertata contro il registro ufficiale del soggetto medesimo. Vi appartiene l'assenza dell'Opus Dei da Grecia, Cipro e Turchia, verificata sull'elenco ufficiale delle date di inizio del lavoro stabile nei sessantotto Paesi e sull'elenco delle circoscrizioni regionali.</w:t>
      </w:r>
    </w:p>
    <w:p>
      <w:pPr>
        <w:spacing w:after="120" w:line="276"/>
        <w:jc w:val="both"/>
      </w:pPr>
      <w:r>
        <w:rPr>
          <w:rFonts w:ascii="Barlow Semi Condensed" w:cs="Barlow Semi Condensed" w:eastAsia="Barlow Semi Condensed" w:hAnsi="Barlow Semi Condensed"/>
          <w:b/>
          <w:bCs/>
          <w:sz w:val="24"/>
          <w:szCs w:val="24"/>
        </w:rPr>
        <w:t xml:space="preserve">Conseguenza operativa: nessuna, e per ragione opposta al primo grado. Non c'è nulla da cercare perché non c'è nulla. Questo è il grado che l'ottava ricognizione ha distinto per prima, e la distinzione fra lacuna e insieme vuoto è la seconda proposizione della serie.</w:t>
      </w:r>
    </w:p>
    <w:p>
      <w:pPr>
        <w:spacing w:after="120" w:line="276"/>
        <w:jc w:val="both"/>
      </w:pPr>
      <w:r>
        <w:rPr>
          <w:rFonts w:ascii="Barlow Semi Condensed" w:cs="Barlow Semi Condensed" w:eastAsia="Barlow Semi Condensed" w:hAnsi="Barlow Semi Condensed"/>
          <w:b/>
          <w:bCs/>
          <w:sz w:val="24"/>
          <w:szCs w:val="24"/>
        </w:rPr>
        <w:t xml:space="preserve">Quinto grado — esito negativo presso i beneficiari. L'atto non è reperito e coloro che ne avrebbero beneficiato non ne fanno menzione. Vi appartiene l'assenza di intervento italiano sull'espulsione del 13 aprile 1974: nessuno dei nove comboniani italiani espulsi menziona un intervento consolare o diplomatico, attribuendo la propria accoglienza esclusivamente alla congregazione.</w:t>
      </w:r>
    </w:p>
    <w:p>
      <w:pPr>
        <w:spacing w:after="120" w:line="276"/>
        <w:jc w:val="both"/>
      </w:pPr>
      <w:r>
        <w:rPr>
          <w:rFonts w:ascii="Barlow Semi Condensed" w:cs="Barlow Semi Condensed" w:eastAsia="Barlow Semi Condensed" w:hAnsi="Barlow Semi Condensed"/>
          <w:b/>
          <w:bCs/>
          <w:sz w:val="24"/>
          <w:szCs w:val="24"/>
        </w:rPr>
        <w:t xml:space="preserve">È grado superiore al semplice non reperimento, e va segnalato come tale; ma non prova l'inazione, restando aperta la possibilità di un intervento riservato ignoto agli interessati.</w:t>
      </w:r>
    </w:p>
    <w:p>
      <w:pPr>
        <w:spacing w:after="120" w:line="276"/>
        <w:jc w:val="both"/>
      </w:pPr>
      <w:r>
        <w:rPr>
          <w:rFonts w:ascii="Barlow Semi Condensed" w:cs="Barlow Semi Condensed" w:eastAsia="Barlow Semi Condensed" w:hAnsi="Barlow Semi Condensed"/>
          <w:b/>
          <w:bCs/>
          <w:sz w:val="24"/>
          <w:szCs w:val="24"/>
        </w:rPr>
        <w:t xml:space="preserve">Sesto grado — assenza coerente con la collocazione. L'atto non è reperito e la sua assenza è coerente con quanto si sa del soggetto. Vi appartiene lo Stato Zero Moro-Opus Dei, confermato tre volte, la cui coerenza deriva dalla collocazione morotea nella FUCI, nel Movimento dei Laureati Cattolici, in \Studium\ e nella componente dossettiana.</w:t>
      </w:r>
    </w:p>
    <w:p>
      <w:pPr>
        <w:spacing w:after="120" w:line="276"/>
        <w:jc w:val="both"/>
      </w:pPr>
      <w:r>
        <w:rPr>
          <w:rFonts w:ascii="Barlow Semi Condensed" w:cs="Barlow Semi Condensed" w:eastAsia="Barlow Semi Condensed" w:hAnsi="Barlow Semi Condensed"/>
          <w:b/>
          <w:bCs/>
          <w:sz w:val="24"/>
          <w:szCs w:val="24"/>
        </w:rPr>
        <w:t xml:space="preserve">La coerenza rende l'assenza attesa; non la rende provata. La distinzione va mantenuta.</w:t>
      </w:r>
    </w:p>
    <w:p>
      <w:pPr>
        <w:spacing w:after="120" w:line="276"/>
        <w:jc w:val="both"/>
      </w:pPr>
      <w:r>
        <w:rPr>
          <w:rFonts w:ascii="Barlow Semi Condensed" w:cs="Barlow Semi Condensed" w:eastAsia="Barlow Semi Condensed" w:hAnsi="Barlow Semi Condensed"/>
          <w:b/>
          <w:bCs/>
          <w:sz w:val="24"/>
          <w:szCs w:val="24"/>
        </w:rPr>
        <w:t xml:space="preserve">Settimo grado — allegazione senza base documentale. Non è propriamente uno Stato Zero ma il suo rovescio: un'affermazione positiva priva di sostegno. Vi appartiene l'allegazione Koch e Schröm del 16 febbraio 2000 sui contatti fra Aginter Press e Marcel Hepp, e in modo estremo il nome Dieter Huber, del quale non esiste alcun riscontro biografico, archivistico, parlamentare o giudiziario.</w:t>
      </w:r>
    </w:p>
    <w:p>
      <w:pPr>
        <w:spacing w:after="120" w:line="276"/>
        <w:jc w:val="both"/>
      </w:pPr>
      <w:r>
        <w:rPr>
          <w:rFonts w:ascii="Barlow Semi Condensed" w:cs="Barlow Semi Condensed" w:eastAsia="Barlow Semi Condensed" w:hAnsi="Barlow Semi Condensed"/>
          <w:b/>
          <w:bCs/>
          <w:sz w:val="24"/>
          <w:szCs w:val="24"/>
        </w:rPr>
        <w:t xml:space="preserve">Conseguenza operativa: l'onere grava su chi afferma.</w:t>
      </w:r>
    </w:p>
    <w:p>
      <w:pPr>
        <w:pStyle w:val="Heading2"/>
        <w:spacing w:after="100" w:before="200"/>
      </w:pPr>
      <w:r>
        <w:rPr>
          <w:rFonts w:ascii="Barlow Semi Condensed" w:cs="Barlow Semi Condensed" w:eastAsia="Barlow Semi Condensed" w:hAnsi="Barlow Semi Condensed"/>
          <w:sz w:val="24"/>
          <w:szCs w:val="24"/>
        </w:rPr>
        <w:t xml:space="preserve">Capitolo quarto — Le correzioni di data e di fatto</w:t>
      </w:r>
    </w:p>
    <w:p>
      <w:pPr>
        <w:spacing w:after="120" w:line="276"/>
        <w:jc w:val="both"/>
      </w:pPr>
      <w:r>
        <w:rPr>
          <w:rFonts w:ascii="Barlow Semi Condensed" w:cs="Barlow Semi Condensed" w:eastAsia="Barlow Semi Condensed" w:hAnsi="Barlow Semi Condensed"/>
          <w:b/>
          <w:bCs/>
          <w:sz w:val="24"/>
          <w:szCs w:val="24"/>
        </w:rPr>
        <w:t xml:space="preserve">Il capitolo raccoglie le emendazioni prodotte dalla serie e le riferisce alle voci che correggono, perché esse esistono disperse in nove studi diversi e nessuno le ha finora viste insieme.</w:t>
      </w:r>
    </w:p>
    <w:p>
      <w:pPr>
        <w:spacing w:after="120" w:line="276"/>
        <w:jc w:val="both"/>
      </w:pPr>
      <w:r>
        <w:rPr>
          <w:rFonts w:ascii="Barlow Semi Condensed" w:cs="Barlow Semi Condensed" w:eastAsia="Barlow Semi Condensed" w:hAnsi="Barlow Semi Condensed"/>
          <w:b/>
          <w:bCs/>
          <w:sz w:val="24"/>
          <w:szCs w:val="24"/>
        </w:rPr>
        <w:t xml:space="preserve">Correzioni che emendano il corpus preesistente.</w:t>
      </w:r>
    </w:p>
    <w:p>
      <w:pPr>
        <w:spacing w:after="120" w:line="276"/>
        <w:jc w:val="both"/>
      </w:pPr>
      <w:r>
        <w:rPr>
          <w:rFonts w:ascii="Barlow Semi Condensed" w:cs="Barlow Semi Condensed" w:eastAsia="Barlow Semi Condensed" w:hAnsi="Barlow Semi Condensed"/>
          <w:b/>
          <w:bCs/>
          <w:sz w:val="24"/>
          <w:szCs w:val="24"/>
        </w:rPr>
        <w:t xml:space="preserve">Willy Peter Stoll morì il 6 settembre 1978, non l'11 settembre. Nato a Stoccarda il 12 giugno 1950, fu ucciso dalla polizia la sera del 6 settembre 1978 nel ristorante cinese Shanghai di Düsseldorf. Emenda la quindicesima voce della tavola del memorandum operativo sul caso Moro.</w:t>
      </w:r>
    </w:p>
    <w:p>
      <w:pPr>
        <w:spacing w:after="120" w:line="276"/>
        <w:jc w:val="both"/>
      </w:pPr>
      <w:r>
        <w:rPr>
          <w:rFonts w:ascii="Barlow Semi Condensed" w:cs="Barlow Semi Condensed" w:eastAsia="Barlow Semi Condensed" w:hAnsi="Barlow Semi Condensed"/>
          <w:b/>
          <w:bCs/>
          <w:sz w:val="24"/>
          <w:szCs w:val="24"/>
        </w:rPr>
        <w:t xml:space="preserve">Il riconoscimento italiano della Repubblica Democratica Tedesca è del 17 gennaio 1973, seduta della sesta legislatura, con ministro degli Esteri Giuseppe Medici nel governo Andreotti. Cadde fra i due mandati di Moro e non durante un suo mandato.</w:t>
      </w:r>
    </w:p>
    <w:p>
      <w:pPr>
        <w:spacing w:after="120" w:line="276"/>
        <w:jc w:val="both"/>
      </w:pPr>
      <w:r>
        <w:rPr>
          <w:rFonts w:ascii="Barlow Semi Condensed" w:cs="Barlow Semi Condensed" w:eastAsia="Barlow Semi Condensed" w:hAnsi="Barlow Semi Condensed"/>
          <w:b/>
          <w:bCs/>
          <w:sz w:val="24"/>
          <w:szCs w:val="24"/>
        </w:rPr>
        <w:t xml:space="preserve">Non esiste alcuna lettera tedesca sull'unità nazionale allegata all'Atto finale di Helsinki. Il \Brief zur deutschen Einheit\ fu allegato al Trattato di Mosca del 1970 e al Trattato fondamentale del 1972; a Helsinki la funzione fu assolta dalla clausola di modificabilità pacifica delle frontiere. L'ipotesi era stata formulata con clausola condizionale ed è caduta.</w:t>
      </w:r>
    </w:p>
    <w:p>
      <w:pPr>
        <w:spacing w:after="120" w:line="276"/>
        <w:jc w:val="both"/>
      </w:pPr>
      <w:r>
        <w:rPr>
          <w:rFonts w:ascii="Barlow Semi Condensed" w:cs="Barlow Semi Condensed" w:eastAsia="Barlow Semi Condensed" w:hAnsi="Barlow Semi Condensed"/>
          <w:b/>
          <w:bCs/>
          <w:sz w:val="24"/>
          <w:szCs w:val="24"/>
        </w:rPr>
        <w:t xml:space="preserve">Il mandato ministeriale di Moro iniziò il 5 agosto 1969\\ con il governo Rumor secondo, \\non nel maggio 1969.</w:t>
      </w:r>
    </w:p>
    <w:p>
      <w:pPr>
        <w:spacing w:after="120" w:line="276"/>
        <w:jc w:val="both"/>
      </w:pPr>
      <w:r>
        <w:rPr>
          <w:rFonts w:ascii="Barlow Semi Condensed" w:cs="Barlow Semi Condensed" w:eastAsia="Barlow Semi Condensed" w:hAnsi="Barlow Semi Condensed"/>
          <w:b/>
          <w:bCs/>
          <w:sz w:val="24"/>
          <w:szCs w:val="24"/>
        </w:rPr>
        <w:t xml:space="preserve">L'atto pontificio del 28 giugno 1972 consta di due costituzioni apostoliche e non di una bolla: \Episcoporum Poloniae coetus\ e \Vratislaviensis-Berolinensis et aliarum\.</w:t>
      </w:r>
    </w:p>
    <w:p>
      <w:pPr>
        <w:spacing w:after="120" w:line="276"/>
        <w:jc w:val="both"/>
      </w:pPr>
      <w:r>
        <w:rPr>
          <w:rFonts w:ascii="Barlow Semi Condensed" w:cs="Barlow Semi Condensed" w:eastAsia="Barlow Semi Condensed" w:hAnsi="Barlow Semi Condensed"/>
          <w:b/>
          <w:bCs/>
          <w:sz w:val="24"/>
          <w:szCs w:val="24"/>
        </w:rPr>
        <w:t xml:space="preserve">La commissione d'inchiesta del Landtag bavarese del 1982 riguardò l'affare Langemann e non l'attentato dell'Oktoberfest, che è del 26 settembre 1980 e le cui indagini furono riaperte nel 2014 e chiuse nel 2020.</w:t>
      </w:r>
    </w:p>
    <w:p>
      <w:pPr>
        <w:spacing w:after="120" w:line="276"/>
        <w:jc w:val="both"/>
      </w:pPr>
      <w:r>
        <w:rPr>
          <w:rFonts w:ascii="Barlow Semi Condensed" w:cs="Barlow Semi Condensed" w:eastAsia="Barlow Semi Condensed" w:hAnsi="Barlow Semi Condensed"/>
          <w:b/>
          <w:bCs/>
          <w:sz w:val="24"/>
          <w:szCs w:val="24"/>
        </w:rPr>
        <w:t xml:space="preserve">Nel modello dell'Opus Dei, il primo caso falsificante è la Gran Bretagna 1946 e non la Germania 1952.\\ La Germania è il caso \\più probante\\ perché il milieu vi è più documentato; \\non il più antico.</w:t>
      </w:r>
    </w:p>
    <w:p>
      <w:pPr>
        <w:spacing w:after="120" w:line="276"/>
        <w:jc w:val="both"/>
      </w:pPr>
      <w:r>
        <w:rPr>
          <w:rFonts w:ascii="Barlow Semi Condensed" w:cs="Barlow Semi Condensed" w:eastAsia="Barlow Semi Condensed" w:hAnsi="Barlow Semi Condensed"/>
          <w:b/>
          <w:bCs/>
          <w:sz w:val="24"/>
          <w:szCs w:val="24"/>
        </w:rPr>
        <w:t xml:space="preserve">Divergenze mantenute, che non sono correzioni ma segnalazioni.</w:t>
      </w:r>
    </w:p>
    <w:p>
      <w:pPr>
        <w:spacing w:after="120" w:line="276"/>
        <w:jc w:val="both"/>
      </w:pPr>
      <w:r>
        <w:rPr>
          <w:rFonts w:ascii="Barlow Semi Condensed" w:cs="Barlow Semi Condensed" w:eastAsia="Barlow Semi Condensed" w:hAnsi="Barlow Semi Condensed"/>
          <w:b/>
          <w:bCs/>
          <w:sz w:val="24"/>
          <w:szCs w:val="24"/>
        </w:rPr>
        <w:t xml:space="preserve">Sull'elevazione di Makarios ad arcivescovo: 18 ottobre, 20 ottobre o 18 settembre 1950. Sulla morte di Atenagora I: 6 o 7 luglio 1972. Sulla nomina di Roncalli a delegato apostolico: 24 novembre 1934, genericamente 1934, o gennaio 1935. Sull'introduzione del turco nella liturgia da parte di Roncalli: 1935, gennaio 1936 o 1938. Sulla sentenza tedesca sul Concordato: 26 o 23 marzo 1957, procedimento 2 BvG 1/55. Sulle dimissioni di Strauß dalla Difesa: 30 novembre 1962, con l'indicazione del 5 dicembre non confermata dalle fonti primarie. Sulla domanda greca di adesione comunitaria: 12 giugno o 12 luglio 1975. Sulla data dell'atto pontificio: 28 giugno secondo il testo primario, 27 giugno secondo alcune voci enciclopediche, 26 giugno per errore di un sito diocesano. Sull'insediamento dell'Opus Dei in Olanda: 1959 o 1960. Sulla residenza portoghese dell'ente: 1952 o 1953, ove la discrepanza distingue l'arrivo dei membri dall'apertura formale.</w:t>
      </w:r>
    </w:p>
    <w:p>
      <w:pPr>
        <w:spacing w:after="120" w:line="276"/>
        <w:jc w:val="both"/>
      </w:pPr>
      <w:r>
        <w:rPr>
          <w:rFonts w:ascii="Barlow Semi Condensed" w:cs="Barlow Semi Condensed" w:eastAsia="Barlow Semi Condensed" w:hAnsi="Barlow Semi Condensed"/>
          <w:b/>
          <w:bCs/>
          <w:sz w:val="24"/>
          <w:szCs w:val="24"/>
        </w:rPr>
        <w:t xml:space="preserve">Precisazioni numeriche. Referendum greco dell'8 dicembre 1974: sessantanove virgola diciotto per cento per la repubblica, con affluenza del settantacinque virgola cinquantotto. Vittime di Wiriyamu: forbice 150-400 da mantenere non risolta, poiché la fonte più precisa quanto al metodo è anche quella che indica la cifra più alta. Starfighter: novecentosedici acquistati secondo le fonti impiegate, novecentodiciassette secondo altre; duecentonovantadue precipitati; centosedici piloti morti.</w:t>
      </w:r>
    </w:p>
    <w:p>
      <w:pPr>
        <w:pStyle w:val="Heading2"/>
        <w:spacing w:after="100" w:before="200"/>
      </w:pPr>
      <w:r>
        <w:rPr>
          <w:rFonts w:ascii="Barlow Semi Condensed" w:cs="Barlow Semi Condensed" w:eastAsia="Barlow Semi Condensed" w:hAnsi="Barlow Semi Condensed"/>
          <w:sz w:val="24"/>
          <w:szCs w:val="24"/>
        </w:rPr>
        <w:t xml:space="preserve">Capitolo quinto — La tavola fusa per sede archivistica</w:t>
      </w:r>
    </w:p>
    <w:p>
      <w:pPr>
        <w:spacing w:after="120" w:line="276"/>
        <w:jc w:val="both"/>
      </w:pPr>
      <w:r>
        <w:rPr>
          <w:rFonts w:ascii="Barlow Semi Condensed" w:cs="Barlow Semi Condensed" w:eastAsia="Barlow Semi Condensed" w:hAnsi="Barlow Semi Condensed"/>
          <w:b/>
          <w:bCs/>
          <w:sz w:val="24"/>
          <w:szCs w:val="24"/>
        </w:rPr>
        <w:t xml:space="preserve">Il capitolo compie l'operazione che è la ragione principale di questo Registro: fondere le undici tavole ordinandole per sede anziché per studio, e deduplicare.</w:t>
      </w:r>
    </w:p>
    <w:p>
      <w:pPr>
        <w:spacing w:after="120" w:line="276"/>
        <w:jc w:val="both"/>
      </w:pPr>
      <w:r>
        <w:rPr>
          <w:rFonts w:ascii="Barlow Semi Condensed" w:cs="Barlow Semi Condensed" w:eastAsia="Barlow Semi Condensed" w:hAnsi="Barlow Semi Condensed"/>
          <w:b/>
          <w:bCs/>
          <w:sz w:val="24"/>
          <w:szCs w:val="24"/>
        </w:rPr>
        <w:t xml:space="preserve">Prima sede — Archivio Storico Diplomatico del Ministero degli Affari Esteri, Roma. È la sede che ricorre in sette studi su undici, e un solo accesso ne chiude le voci corrispondenti. Serie da spogliare: Spagna 1969-1974; Portogallo e Mozambico 1974, per gli atti sull'espulsione del 13 aprile e sugli interrogatori del dicembre 1973-febbraio 1974; Grecia e Cipro 1969-1975; Turchia e Santa Sede 1969-1975; Germania 1969-1975; Comunità europee per il semestre di presidenza italiana del 1971. Registri consolari di Lourenço Marques e dell'ambasciata di Lisbona.</w:t>
      </w:r>
    </w:p>
    <w:p>
      <w:pPr>
        <w:spacing w:after="120" w:line="276"/>
        <w:jc w:val="both"/>
      </w:pPr>
      <w:r>
        <w:rPr>
          <w:rFonts w:ascii="Barlow Semi Condensed" w:cs="Barlow Semi Condensed" w:eastAsia="Barlow Semi Condensed" w:hAnsi="Barlow Semi Condensed"/>
          <w:b/>
          <w:bCs/>
          <w:sz w:val="24"/>
          <w:szCs w:val="24"/>
        </w:rPr>
        <w:t xml:space="preserve">Avvertenza comune a tutte le serie, e va ripetuta perché vale per l'intero accesso: i Telegrammi 1942-1970 risultavano esclusi per lavori di ristrutturazione. La riapertura di quella serie è la condizione singola di maggior rendimento dell'intera tavola.</w:t>
      </w:r>
    </w:p>
    <w:p>
      <w:pPr>
        <w:spacing w:after="120" w:line="276"/>
        <w:jc w:val="both"/>
      </w:pPr>
      <w:r>
        <w:rPr>
          <w:rFonts w:ascii="Barlow Semi Condensed" w:cs="Barlow Semi Condensed" w:eastAsia="Barlow Semi Condensed" w:hAnsi="Barlow Semi Condensed"/>
          <w:b/>
          <w:bCs/>
          <w:sz w:val="24"/>
          <w:szCs w:val="24"/>
        </w:rPr>
        <w:t xml:space="preserve">Seconda sede — Archivio Apostolico Vaticano e Segreteria di Stato, sezione Rapporti con gli Stati. Ricorre in quattro studi. Voci: la comunicazione vaticana del 28 giugno 1972, prima voce assoluta per rendimento; la posizione sulla condizione delle minoranze cristiane in Turchia e sull'esclusione dei cattolici latini da Losanna; l'eventuale reazione alla chiusura di Halki del 1971; la verifica definitiva sull'assenza di tappa romana nell'esilio di Makarios; la documentazione roncalliana 1940-1945.</w:t>
      </w:r>
    </w:p>
    <w:p>
      <w:pPr>
        <w:spacing w:after="120" w:line="276"/>
        <w:jc w:val="both"/>
      </w:pPr>
      <w:r>
        <w:rPr>
          <w:rFonts w:ascii="Barlow Semi Condensed" w:cs="Barlow Semi Condensed" w:eastAsia="Barlow Semi Condensed" w:hAnsi="Barlow Semi Condensed"/>
          <w:b/>
          <w:bCs/>
          <w:sz w:val="24"/>
          <w:szCs w:val="24"/>
        </w:rPr>
        <w:t xml:space="preserve">Condizione unica: l'apertura del pontificato di Paolo VI, non disposta. Un solo atto istituzionale sblocca quattro studi.</w:t>
      </w:r>
    </w:p>
    <w:p>
      <w:pPr>
        <w:spacing w:after="120" w:line="276"/>
        <w:jc w:val="both"/>
      </w:pPr>
      <w:r>
        <w:rPr>
          <w:rFonts w:ascii="Barlow Semi Condensed" w:cs="Barlow Semi Condensed" w:eastAsia="Barlow Semi Condensed" w:hAnsi="Barlow Semi Condensed"/>
          <w:b/>
          <w:bCs/>
          <w:sz w:val="24"/>
          <w:szCs w:val="24"/>
        </w:rPr>
        <w:t xml:space="preserve">Terza sede — Arquivo Nacional da Torre do Tombo, fondo PIDE-DGS, Lisbona. Ricorre in tre studi. Voci: gli archivi sequestrati di Aginter Press, con verifica dell'eventuale lista \Industry\ e dei nominativi tedeschi; i fascicoli originali sull'Opus Dei — nota del 1961, rapporti del settembre 1963 e del gennaio 1964 — per verificare le citazioni della pubblicistica contro il testo primario; il documento che dispose il richiamo dell'ambasciatore portoghese presso la Santa Sede nel luglio 1970.</w:t>
      </w:r>
    </w:p>
    <w:p>
      <w:pPr>
        <w:spacing w:after="120" w:line="276"/>
        <w:jc w:val="both"/>
      </w:pPr>
      <w:r>
        <w:rPr>
          <w:rFonts w:ascii="Barlow Semi Condensed" w:cs="Barlow Semi Condensed" w:eastAsia="Barlow Semi Condensed" w:hAnsi="Barlow Semi Condensed"/>
          <w:b/>
          <w:bCs/>
          <w:sz w:val="24"/>
          <w:szCs w:val="24"/>
        </w:rPr>
        <w:t xml:space="preserve">Condizione: richiesta al servizio di riferimento e vaglio del regolamento speciale. Avvertenza di terzo grado: metà del fondo non è mai stata consultata.</w:t>
      </w:r>
    </w:p>
    <w:p>
      <w:pPr>
        <w:spacing w:after="120" w:line="276"/>
        <w:jc w:val="both"/>
      </w:pPr>
      <w:r>
        <w:rPr>
          <w:rFonts w:ascii="Barlow Semi Condensed" w:cs="Barlow Semi Condensed" w:eastAsia="Barlow Semi Condensed" w:hAnsi="Barlow Semi Condensed"/>
          <w:b/>
          <w:bCs/>
          <w:sz w:val="24"/>
          <w:szCs w:val="24"/>
        </w:rPr>
        <w:t xml:space="preserve">Quarta sede — resoconti stenografici della quinta e sesta legislatura italiana. Ricorre in tre studi. Voci: atti sul Portogallo aprile-luglio 1974; dichiarazioni su Cipro luglio-novembre 1974; ratifica del pacchetto CEE-Turchia 1972-1973. Condizione: spoglio manuale, non surrogabile dalla banca dati.</w:t>
      </w:r>
    </w:p>
    <w:p>
      <w:pPr>
        <w:spacing w:after="120" w:line="276"/>
        <w:jc w:val="both"/>
      </w:pPr>
      <w:r>
        <w:rPr>
          <w:rFonts w:ascii="Barlow Semi Condensed" w:cs="Barlow Semi Condensed" w:eastAsia="Barlow Semi Condensed" w:hAnsi="Barlow Semi Condensed"/>
          <w:b/>
          <w:bCs/>
          <w:sz w:val="24"/>
          <w:szCs w:val="24"/>
        </w:rPr>
        <w:t xml:space="preserve">Quinta sede — Archivio storico del Senato e Archivio Centrale dello Stato. Voci: Fondo Moro, con l'avvertenza che l'inventario per la titolarità degli Esteri comincia dal quarto governo Moro, cioè da novembre 1974, posteriore a gran parte del perimetro; fondo Mancini, vuoto fra febbraio e settembre 1983; fondo Zagari, con il fascicolo \Colonie Portoghesi\; atti della Commissione Moro; fascicoli processuali dell'attentato del 1981.</w:t>
      </w:r>
    </w:p>
    <w:p>
      <w:pPr>
        <w:spacing w:after="120" w:line="276"/>
        <w:jc w:val="both"/>
      </w:pPr>
      <w:r>
        <w:rPr>
          <w:rFonts w:ascii="Barlow Semi Condensed" w:cs="Barlow Semi Condensed" w:eastAsia="Barlow Semi Condensed" w:hAnsi="Barlow Semi Condensed"/>
          <w:b/>
          <w:bCs/>
          <w:sz w:val="24"/>
          <w:szCs w:val="24"/>
        </w:rPr>
        <w:t xml:space="preserve">Sesta sede — Archiv für Christlich-Soziale Politik, Monaco. Voci: fascicoli di corrispondenza estera del lascito Strauß, per la verifica diretta dell'assenza che la biografia Möller lascia presumere; posizione dei partiti dell'Unione verso l'Opus Dei.</w:t>
      </w:r>
    </w:p>
    <w:p>
      <w:pPr>
        <w:spacing w:after="120" w:line="276"/>
        <w:jc w:val="both"/>
      </w:pPr>
      <w:r>
        <w:rPr>
          <w:rFonts w:ascii="Barlow Semi Condensed" w:cs="Barlow Semi Condensed" w:eastAsia="Barlow Semi Condensed" w:hAnsi="Barlow Semi Condensed"/>
          <w:b/>
          <w:bCs/>
          <w:sz w:val="24"/>
          <w:szCs w:val="24"/>
        </w:rPr>
        <w:t xml:space="preserve">Settima sede — Archiv des Bayerischen Landtags. Voce unica: verbali delle commissioni d'inchiesta del 1982, affare Langemann e attentato, non digitalizzati.</w:t>
      </w:r>
    </w:p>
    <w:p>
      <w:pPr>
        <w:spacing w:after="120" w:line="276"/>
        <w:jc w:val="both"/>
      </w:pPr>
      <w:r>
        <w:rPr>
          <w:rFonts w:ascii="Barlow Semi Condensed" w:cs="Barlow Semi Condensed" w:eastAsia="Barlow Semi Condensed" w:hAnsi="Barlow Semi Condensed"/>
          <w:b/>
          <w:bCs/>
          <w:sz w:val="24"/>
          <w:szCs w:val="24"/>
        </w:rPr>
        <w:t xml:space="preserve">Ottava sede — Politisches Archiv des Auswärtigen Amts e serie Akten zur Auswärtigen Politik. Voci: posizione italiana sui cinque atti della Ostpolitik; incontri Moro-Scheel e Moro-Brandt con data e sede; documenti 409, 410, 415 e 419 del 1962 sull'affare Spiegel.</w:t>
      </w:r>
    </w:p>
    <w:p>
      <w:pPr>
        <w:spacing w:after="120" w:line="276"/>
        <w:jc w:val="both"/>
      </w:pPr>
      <w:r>
        <w:rPr>
          <w:rFonts w:ascii="Barlow Semi Condensed" w:cs="Barlow Semi Condensed" w:eastAsia="Barlow Semi Condensed" w:hAnsi="Barlow Semi Condensed"/>
          <w:b/>
          <w:bCs/>
          <w:sz w:val="24"/>
          <w:szCs w:val="24"/>
        </w:rPr>
        <w:t xml:space="preserve">Nona sede — Archivio Comboniano di Roma e annate 1974-1976 di Nigrizia. Voce unica ma segnalata come la maggior resa fra quelle conseguibili senza accesso ad archivi di Stato: l'articolo di Eugenio Enea in \Lusitania Sacra\ numero cinquantuno del 2025 e le riflessioni comboniane sull'espulsione.</w:t>
      </w:r>
    </w:p>
    <w:p>
      <w:pPr>
        <w:spacing w:after="120" w:line="276"/>
        <w:jc w:val="both"/>
      </w:pPr>
      <w:r>
        <w:rPr>
          <w:rFonts w:ascii="Barlow Semi Condensed" w:cs="Barlow Semi Condensed" w:eastAsia="Barlow Semi Condensed" w:hAnsi="Barlow Semi Condensed"/>
          <w:b/>
          <w:bCs/>
          <w:sz w:val="24"/>
          <w:szCs w:val="24"/>
        </w:rPr>
        <w:t xml:space="preserve">Decima sede — Archivio Generale della Prelatura, Roma, e Centro Studi dell'Università di Navarra. Voci: consistenza numerica storica dell'insediamento tedesco 1952-1985; posizione dell'ente sulle guerre coloniali portoghesi; verifica integrale del prospetto delle date di inizio.</w:t>
      </w:r>
    </w:p>
    <w:p>
      <w:pPr>
        <w:spacing w:after="120" w:line="276"/>
        <w:jc w:val="both"/>
      </w:pPr>
      <w:r>
        <w:rPr>
          <w:rFonts w:ascii="Barlow Semi Condensed" w:cs="Barlow Semi Condensed" w:eastAsia="Barlow Semi Condensed" w:hAnsi="Barlow Semi Condensed"/>
          <w:b/>
          <w:bCs/>
          <w:sz w:val="24"/>
          <w:szCs w:val="24"/>
        </w:rPr>
        <w:t xml:space="preserve">Undicesima sede — Arquivo Histórico-Diplomático, Lisbona. Voce: serie italiana del portale ministeriale sulla rivoluzione, che contiene documenti sulla reazione italiana al 25 aprile 1974 e va consultata manualmente essendo bloccato l'accesso automatizzato.</w:t>
      </w:r>
    </w:p>
    <w:p>
      <w:pPr>
        <w:spacing w:after="120" w:line="276"/>
        <w:jc w:val="both"/>
      </w:pPr>
      <w:r>
        <w:rPr>
          <w:rFonts w:ascii="Barlow Semi Condensed" w:cs="Barlow Semi Condensed" w:eastAsia="Barlow Semi Condensed" w:hAnsi="Barlow Semi Condensed"/>
          <w:b/>
          <w:bCs/>
          <w:sz w:val="24"/>
          <w:szCs w:val="24"/>
        </w:rPr>
        <w:t xml:space="preserve">Dodicesima sede — CIA FOIA Electronic Reading Room. Voci: porzioni non desecretate dei documenti 370 e 376 sull'attentato del 1981, sola acquisizione che potrebbe mutare il quadro probatorio sulla pista bulgara; verifiche a esito atteso negativo su Opus Dei e Germania, Opus Dei e Cipro, Aginter e Germania.</w:t>
      </w:r>
    </w:p>
    <w:p>
      <w:pPr>
        <w:spacing w:after="120" w:line="276"/>
        <w:jc w:val="both"/>
      </w:pPr>
      <w:r>
        <w:rPr>
          <w:rFonts w:ascii="Barlow Semi Condensed" w:cs="Barlow Semi Condensed" w:eastAsia="Barlow Semi Condensed" w:hAnsi="Barlow Semi Condensed"/>
          <w:b/>
          <w:bCs/>
          <w:sz w:val="24"/>
          <w:szCs w:val="24"/>
        </w:rPr>
        <w:t xml:space="preserve">Tredicesima sede — Archivo General de la Administración, Alcalá de Henares. Voce: catena esecutiva spagnola dell'arresto di Ahlers dell'ottobre 1962.</w:t>
      </w:r>
    </w:p>
    <w:p>
      <w:pPr>
        <w:spacing w:after="120" w:line="276"/>
        <w:jc w:val="both"/>
      </w:pPr>
      <w:r>
        <w:rPr>
          <w:rFonts w:ascii="Barlow Semi Condensed" w:cs="Barlow Semi Condensed" w:eastAsia="Barlow Semi Condensed" w:hAnsi="Barlow Semi Condensed"/>
          <w:b/>
          <w:bCs/>
          <w:sz w:val="24"/>
          <w:szCs w:val="24"/>
        </w:rPr>
        <w:t xml:space="preserve">Quattordicesima sede — Archivio audiovisivo del movimento operaio e democratico. Voce: riprese della Conferenza romana del giugno 1970 e conferenza stampa di Agostino Neto. È la sola fonte primaria italiana individuata su quella settimana, ed è consultabile senza condizioni.</w:t>
      </w:r>
    </w:p>
    <w:p>
      <w:pPr>
        <w:spacing w:after="120" w:line="276"/>
        <w:jc w:val="both"/>
      </w:pPr>
      <w:r>
        <w:rPr>
          <w:rFonts w:ascii="Barlow Semi Condensed" w:cs="Barlow Semi Condensed" w:eastAsia="Barlow Semi Condensed" w:hAnsi="Barlow Semi Condensed"/>
          <w:b/>
          <w:bCs/>
          <w:sz w:val="24"/>
          <w:szCs w:val="24"/>
        </w:rPr>
        <w:t xml:space="preserve">Il bilancio della fusione va enunciato perché è il guadagno. Quaranta voci ordinate per studio diventano quattordici sedi. Di queste, tre non richiedono viaggio; una richiede soltanto una richiesta bibliotecaria; e una sola condizione istituzionale — l'apertura del pontificato di Paolo VI — sblocca quattro studi insieme.</w:t>
      </w:r>
    </w:p>
    <w:p>
      <w:pPr>
        <w:pStyle w:val="Heading2"/>
        <w:spacing w:after="100" w:before="200"/>
      </w:pPr>
      <w:r>
        <w:rPr>
          <w:rFonts w:ascii="Barlow Semi Condensed" w:cs="Barlow Semi Condensed" w:eastAsia="Barlow Semi Condensed" w:hAnsi="Barlow Semi Condensed"/>
          <w:sz w:val="24"/>
          <w:szCs w:val="24"/>
        </w:rPr>
        <w:t xml:space="preserve">Capitolo sesto — Il nesso documentato, isolato</w:t>
      </w:r>
    </w:p>
    <w:p>
      <w:pPr>
        <w:spacing w:after="120" w:line="276"/>
        <w:jc w:val="both"/>
      </w:pPr>
      <w:r>
        <w:rPr>
          <w:rFonts w:ascii="Barlow Semi Condensed" w:cs="Barlow Semi Condensed" w:eastAsia="Barlow Semi Condensed" w:hAnsi="Barlow Semi Condensed"/>
          <w:b/>
          <w:bCs/>
          <w:sz w:val="24"/>
          <w:szCs w:val="24"/>
        </w:rPr>
        <w:t xml:space="preserve">Il capitolo isola il solo risultato positivo della serie, perché esso sta in un solo studio e rischia di essere sepolto negli altri dieci.</w:t>
      </w:r>
    </w:p>
    <w:p>
      <w:pPr>
        <w:spacing w:after="120" w:line="276"/>
        <w:jc w:val="both"/>
      </w:pPr>
      <w:r>
        <w:rPr>
          <w:rFonts w:ascii="Barlow Semi Condensed" w:cs="Barlow Semi Condensed" w:eastAsia="Barlow Semi Condensed" w:hAnsi="Barlow Semi Condensed"/>
          <w:b/>
          <w:bCs/>
          <w:sz w:val="24"/>
          <w:szCs w:val="24"/>
        </w:rPr>
        <w:t xml:space="preserve">Il fatto.\\ \\La Santa Sede attese la ratifica del Trattato di Varsavia prima di erigere le diocesi permanenti a oriente della linea Oder-Neisse.</w:t>
      </w:r>
    </w:p>
    <w:p>
      <w:pPr>
        <w:spacing w:after="120" w:line="276"/>
        <w:jc w:val="both"/>
      </w:pPr>
      <w:r>
        <w:rPr>
          <w:rFonts w:ascii="Barlow Semi Condensed" w:cs="Barlow Semi Condensed" w:eastAsia="Barlow Semi Condensed" w:hAnsi="Barlow Semi Condensed"/>
          <w:b/>
          <w:bCs/>
          <w:sz w:val="24"/>
          <w:szCs w:val="24"/>
        </w:rPr>
        <w:t xml:space="preserve">La sequenza, per date. Trattato di Varsavia firmato il 7 dicembre 1970; ratificato dal Bundestag il 17 maggio 1972; entrato in vigore per scambio degli strumenti il 3 giugno 1972; costituzioni apostoliche del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b/>
          <w:bCs/>
          <w:sz w:val="24"/>
          <w:szCs w:val="24"/>
        </w:rPr>
        <w:t xml:space="preserve">Perché è nesso e non contemporaneità, e va ripetuto perché è l'unica volta nella serie. Tre elementi vanno oltre la successione. Primo: la Santa Sede aveva una consuetudine dichiarata di non mutare lo status delle diocesi prima di un trattato di pace, comunicata al governo di Bonn dal cardinale Döpfner dopo consultazione a Roma. Secondo: la comunicazione vaticana del 28 giugno 1972 si riferì espressamente al trattato tedesco-polacco. Terzo: Roma reagì entro tre settimane.</w:t>
      </w:r>
    </w:p>
    <w:p>
      <w:pPr>
        <w:spacing w:after="120" w:line="276"/>
        <w:jc w:val="both"/>
      </w:pPr>
      <w:r>
        <w:rPr>
          <w:rFonts w:ascii="Barlow Semi Condensed" w:cs="Barlow Semi Condensed" w:eastAsia="Barlow Semi Condensed" w:hAnsi="Barlow Semi Condensed"/>
          <w:b/>
          <w:bCs/>
          <w:sz w:val="24"/>
          <w:szCs w:val="24"/>
        </w:rPr>
        <w:t xml:space="preserve">La fonte va dichiarata perché ne determina il peso. Karl-Joseph Hummel, allora direttore della Forschungsstelle della Kommission für Zeitgeschichte di Bonn, in \OST-WEST Europäische Perspektiven\, fascicolo quarto del 2005. Storiografia scientifica di istituto tedesco, non fonte di parte.</w:t>
      </w:r>
    </w:p>
    <w:p>
      <w:pPr>
        <w:spacing w:after="120" w:line="276"/>
        <w:jc w:val="both"/>
      </w:pPr>
      <w:r>
        <w:rPr>
          <w:rFonts w:ascii="Barlow Semi Condensed" w:cs="Barlow Semi Condensed" w:eastAsia="Barlow Semi Condensed" w:hAnsi="Barlow Semi Condensed"/>
          <w:b/>
          <w:bCs/>
          <w:sz w:val="24"/>
          <w:szCs w:val="24"/>
        </w:rPr>
        <w:t xml:space="preserve">E la qualificazione più fine, che va conservata perché è ciò che separa l'accertamento dall'affermazione. Il testo canonico non dice questo. Le due costituzioni adducono una ragione pastorale — reggere più adattamente e da vicino il popolo cristiano — e la richiesta dell'episcopato polacco. Nel dispositivo non compaiono la parola trattato, la linea Oder-Neisse, la Repubblica Federale.</w:t>
      </w:r>
    </w:p>
    <w:p>
      <w:pPr>
        <w:spacing w:after="120" w:line="276"/>
        <w:jc w:val="both"/>
      </w:pPr>
      <w:r>
        <w:rPr>
          <w:rFonts w:ascii="Barlow Semi Condensed" w:cs="Barlow Semi Condensed" w:eastAsia="Barlow Semi Condensed" w:hAnsi="Barlow Semi Condensed"/>
          <w:b/>
          <w:bCs/>
          <w:sz w:val="24"/>
          <w:szCs w:val="24"/>
        </w:rPr>
        <w:t xml:space="preserve">Il nesso è attestato dalla comunicazione di accompagnamento e non dalla bolla.</w:t>
      </w:r>
    </w:p>
    <w:p>
      <w:pPr>
        <w:spacing w:after="120" w:line="276"/>
        <w:jc w:val="both"/>
      </w:pPr>
      <w:r>
        <w:rPr>
          <w:rFonts w:ascii="Barlow Semi Condensed" w:cs="Barlow Semi Condensed" w:eastAsia="Barlow Semi Condensed" w:hAnsi="Barlow Semi Condensed"/>
          <w:b/>
          <w:bCs/>
          <w:sz w:val="24"/>
          <w:szCs w:val="24"/>
        </w:rPr>
        <w:t xml:space="preserve">La conferma per via opposta. Nella Repubblica Democratica Tedesca, il 23 luglio 1973, la Santa Sede non eresse diocesi: si fermò agli uffici vescovili con sospensione, non soppressione, della giurisdizione occidentale — perché nessun trattato aveva chiuso la questione dell'unità. Le diocesi orientali arrivarono soltanto il 27 giugno 1994, dopo la riunificazione.</w:t>
      </w:r>
    </w:p>
    <w:p>
      <w:pPr>
        <w:spacing w:after="120" w:line="276"/>
        <w:jc w:val="both"/>
      </w:pPr>
      <w:r>
        <w:rPr>
          <w:rFonts w:ascii="Barlow Semi Condensed" w:cs="Barlow Semi Condensed" w:eastAsia="Barlow Semi Condensed" w:hAnsi="Barlow Semi Condensed"/>
          <w:b/>
          <w:bCs/>
          <w:sz w:val="24"/>
          <w:szCs w:val="24"/>
        </w:rPr>
        <w:t xml:space="preserve">Il medesimo criterio applicato in due direzioni opposte, e in entrambe fatto dipendere dall'esistenza di un atto politico.</w:t>
      </w:r>
    </w:p>
    <w:p>
      <w:pPr>
        <w:spacing w:after="120" w:line="276"/>
        <w:jc w:val="both"/>
      </w:pPr>
      <w:r>
        <w:rPr>
          <w:rFonts w:ascii="Barlow Semi Condensed" w:cs="Barlow Semi Condensed" w:eastAsia="Barlow Semi Condensed" w:hAnsi="Barlow Semi Condensed"/>
          <w:b/>
          <w:bCs/>
          <w:sz w:val="24"/>
          <w:szCs w:val="24"/>
        </w:rPr>
        <w:t xml:space="preserve">Il residuo, ed è la prima voce assoluta della tavola. Il testo integrale della comunicazione del 28 giugno 1972 è noto per citazione storiografica e non per lettura diretta. Una ricerca mirata ha accertato che nel saggio di Hummel la frase è priva di nota, di segnatura archivistica e di rinvio bibliografico, e che essa è internamente contraddetta dalla frase successiva del medesimo paragrafo, che riconduce la motivazione a necessità pastorali.</w:t>
      </w:r>
    </w:p>
    <w:p>
      <w:pPr>
        <w:spacing w:after="120" w:line="276"/>
        <w:jc w:val="both"/>
      </w:pPr>
      <w:r>
        <w:rPr>
          <w:rFonts w:ascii="Barlow Semi Condensed" w:cs="Barlow Semi Condensed" w:eastAsia="Barlow Semi Condensed" w:hAnsi="Barlow Semi Condensed"/>
          <w:b/>
          <w:bCs/>
          <w:sz w:val="24"/>
          <w:szCs w:val="24"/>
        </w:rPr>
        <w:t xml:space="preserve">Ne discende che il nesso, pur essendo il migliore della serie, poggia su una citazione priva di apparato, e che la sua verifica definitiva richiede L'Osservatore Romano del 29 e 30 giugno 1972, digitalizzato ma ad accesso riservato.</w:t>
      </w:r>
    </w:p>
    <w:p>
      <w:pPr>
        <w:spacing w:after="120" w:line="276"/>
        <w:jc w:val="both"/>
      </w:pPr>
      <w:r>
        <w:rPr>
          <w:rFonts w:ascii="Barlow Semi Condensed" w:cs="Barlow Semi Condensed" w:eastAsia="Barlow Semi Condensed" w:hAnsi="Barlow Semi Condensed"/>
          <w:b/>
          <w:bCs/>
          <w:sz w:val="24"/>
          <w:szCs w:val="24"/>
        </w:rPr>
        <w:t xml:space="preserve">Questa è la sola voce della tavola che possa mutare un accertamento anziché aggiungerne uno.</w:t>
      </w:r>
    </w:p>
    <w:p>
      <w:pPr>
        <w:pStyle w:val="Heading2"/>
        <w:spacing w:after="100" w:before="200"/>
      </w:pPr>
      <w:r>
        <w:rPr>
          <w:rFonts w:ascii="Barlow Semi Condensed" w:cs="Barlow Semi Condensed" w:eastAsia="Barlow Semi Condensed" w:hAnsi="Barlow Semi Condensed"/>
          <w:sz w:val="24"/>
          <w:szCs w:val="24"/>
        </w:rPr>
        <w:t xml:space="preserve">Capitolo settimo — La revisione, e lo stato attuale della proposizione</w:t>
      </w:r>
    </w:p>
    <w:p>
      <w:pPr>
        <w:spacing w:after="120" w:line="276"/>
        <w:jc w:val="both"/>
      </w:pPr>
      <w:r>
        <w:rPr>
          <w:rFonts w:ascii="Barlow Semi Condensed" w:cs="Barlow Semi Condensed" w:eastAsia="Barlow Semi Condensed" w:hAnsi="Barlow Semi Condensed"/>
          <w:b/>
          <w:bCs/>
          <w:sz w:val="24"/>
          <w:szCs w:val="24"/>
        </w:rPr>
        <w:t xml:space="preserve">Il capitolo registra formalmente l'unica proposizione della serie che sia stata formulata, confutata e revisionata, e ne fissa lo stato corrente perché essa non resti nel corpus nella forma superata.</w:t>
      </w:r>
    </w:p>
    <w:p>
      <w:pPr>
        <w:spacing w:after="120" w:line="276"/>
        <w:jc w:val="both"/>
      </w:pPr>
      <w:r>
        <w:rPr>
          <w:rFonts w:ascii="Barlow Semi Condensed" w:cs="Barlow Semi Condensed" w:eastAsia="Barlow Semi Condensed" w:hAnsi="Barlow Semi Condensed"/>
          <w:b/>
          <w:bCs/>
          <w:sz w:val="24"/>
          <w:szCs w:val="24"/>
        </w:rPr>
        <w:t xml:space="preserve">La proposizione originaria, ottava ricognizione. L'insediamento dell'Opus Dei richiede la compresenza di due condizioni: maggioranza cattolica della popolazione, e ceto universitario e professionale cattolico autoctono.</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dichiarata contestualmente. Un insediamento stabile in un Paese a maggioranza non cattolica e privo di ceto cattolico autoctono. Furono elencati per nome i casi non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La confutazione, decima ricognizione. La prima condizione è falsificata da tre casi: Gran Bretagna 1946, Germania 1952, Svezia 1984, tutti Paesi a maggioranza protestante in cui l'ente si insediò. Nella Repubblica Federale i protestanti erano il cinquanta virgola sei per cento e i cattolici il quarantacinque virgola otto nel 1950, e i cattolici uscirono dalla minoranza soltanto nel 1976.</w:t>
      </w:r>
    </w:p>
    <w:p>
      <w:pPr>
        <w:spacing w:after="120" w:line="276"/>
        <w:jc w:val="both"/>
      </w:pPr>
      <w:r>
        <w:rPr>
          <w:rFonts w:ascii="Barlow Semi Condensed" w:cs="Barlow Semi Condensed" w:eastAsia="Barlow Semi Condensed" w:hAnsi="Barlow Semi Condensed"/>
          <w:b/>
          <w:bCs/>
          <w:sz w:val="24"/>
          <w:szCs w:val="24"/>
        </w:rPr>
        <w:t xml:space="preserve">Lo stato attuale della proposizione, in due parti.</w:t>
      </w:r>
    </w:p>
    <w:p>
      <w:pPr>
        <w:spacing w:after="120" w:line="276"/>
        <w:jc w:val="both"/>
      </w:pPr>
      <w:r>
        <w:rPr>
          <w:rFonts w:ascii="Barlow Semi Condensed" w:cs="Barlow Semi Condensed" w:eastAsia="Barlow Semi Condensed" w:hAnsi="Barlow Semi Condensed"/>
          <w:b/>
          <w:bCs/>
          <w:sz w:val="24"/>
          <w:szCs w:val="24"/>
        </w:rPr>
        <w:t xml:space="preserve">Prima: dove esiste un ceto cattolico professionale autoctono, l'ente si radica su di esso, indipendentemente dalla confessione maggioritaria del Paese.</w:t>
      </w:r>
    </w:p>
    <w:p>
      <w:pPr>
        <w:spacing w:after="120" w:line="276"/>
        <w:jc w:val="both"/>
      </w:pPr>
      <w:r>
        <w:rPr>
          <w:rFonts w:ascii="Barlow Semi Condensed" w:cs="Barlow Semi Condensed" w:eastAsia="Barlow Semi Condensed" w:hAnsi="Barlow Semi Condensed"/>
          <w:b/>
          <w:bCs/>
          <w:sz w:val="24"/>
          <w:szCs w:val="24"/>
        </w:rPr>
        <w:t xml:space="preserve">Seconda: dove tale ceto manca, l'ente si insedia per trapianto e non si radica — come mostra il caso svedese, dove la grande maggioranza dei numerari è di provenienza spagnola, e come mostrano per analogia Ungheria e Russia.</w:t>
      </w:r>
    </w:p>
    <w:p>
      <w:pPr>
        <w:spacing w:after="120" w:line="276"/>
        <w:jc w:val="both"/>
      </w:pPr>
      <w:r>
        <w:rPr>
          <w:rFonts w:ascii="Barlow Semi Condensed" w:cs="Barlow Semi Condensed" w:eastAsia="Barlow Semi Condensed" w:hAnsi="Barlow Semi Condensed"/>
          <w:b/>
          <w:bCs/>
          <w:sz w:val="24"/>
          <w:szCs w:val="24"/>
        </w:rPr>
        <w:t xml:space="preserve">Il guadagno retroattivo, che è la ragione per cui la revisione è miglioramento e non ritirata. Il modello rivisto spiega meglio i tre casi orientali. Cipro cessa di essere anomalo: aveva cattolici — duemilasettecentocinquantadue maroniti nel censimento del 1960 in quattro villaggi, e quattro parrocchie latine — ma non un ceto universitario e professionale. Il modello rivisto ha meno condizioni e spiega più casi.</w:t>
      </w:r>
    </w:p>
    <w:p>
      <w:pPr>
        <w:spacing w:after="120" w:line="276"/>
        <w:jc w:val="both"/>
      </w:pPr>
      <w:r>
        <w:rPr>
          <w:rFonts w:ascii="Barlow Semi Condensed" w:cs="Barlow Semi Condensed" w:eastAsia="Barlow Semi Condensed" w:hAnsi="Barlow Semi Condensed"/>
          <w:b/>
          <w:bCs/>
          <w:sz w:val="24"/>
          <w:szCs w:val="24"/>
        </w:rPr>
        <w:t xml:space="preserve">Che cosa resta non dimostrato, e va conservato nel registro.\\ \\Che la seconda condizione sia necessaria non è dimostrato\\, e occorrerebbe un caso in cui essa sussista e l'ente sia comunque assente.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condizione di falsificazione attuale. Il modello rivisto sarebbe falsificato dal reperimento di un radicamento — non per trapianto — in un Paese privo di ceto cattolico professionale autoctono. I casi restano quelli elencati e mai studiati.</w:t>
      </w:r>
    </w:p>
    <w:p>
      <w:pPr>
        <w:spacing w:after="120" w:line="276"/>
        <w:jc w:val="both"/>
      </w:pPr>
      <w:r>
        <w:rPr>
          <w:rFonts w:ascii="Barlow Semi Condensed" w:cs="Barlow Semi Condensed" w:eastAsia="Barlow Semi Condensed" w:hAnsi="Barlow Semi Condensed"/>
          <w:b/>
          <w:bCs/>
          <w:sz w:val="24"/>
          <w:szCs w:val="24"/>
        </w:rPr>
        <w:t xml:space="preserve">Una prescrizione operativa discende dalla seconda parte del modello e va registrata perché ha uso pratico. La presenza di un Paese nell'elenco ufficiale dell'ente non dice di quale delle due nature l'insediamento sia, e per accertarlo occorre guardare alla provenienza dei numerari.</w:t>
      </w:r>
    </w:p>
    <w:p>
      <w:pPr>
        <w:pStyle w:val="Heading2"/>
        <w:spacing w:after="100" w:before="200"/>
      </w:pPr>
      <w:r>
        <w:rPr>
          <w:rFonts w:ascii="Barlow Semi Condensed" w:cs="Barlow Semi Condensed" w:eastAsia="Barlow Semi Condensed" w:hAnsi="Barlow Semi Condensed"/>
          <w:sz w:val="24"/>
          <w:szCs w:val="24"/>
        </w:rPr>
        <w:t xml:space="preserve">Capitolo ottavo — La connessione falsa e i tre criteri per riconoscerla</w:t>
      </w:r>
    </w:p>
    <w:p>
      <w:pPr>
        <w:spacing w:after="120" w:line="276"/>
        <w:jc w:val="both"/>
      </w:pPr>
      <w:r>
        <w:rPr>
          <w:rFonts w:ascii="Barlow Semi Condensed" w:cs="Barlow Semi Condensed" w:eastAsia="Barlow Semi Condensed" w:hAnsi="Barlow Semi Condensed"/>
          <w:b/>
          <w:bCs/>
          <w:sz w:val="24"/>
          <w:szCs w:val="24"/>
        </w:rPr>
        <w:t xml:space="preserve">Il capitolo estrae dall'undicesima ricognizione ciò che in essa ha valore generale, perché vi è sepolto sotto il caso particolare.</w:t>
      </w:r>
    </w:p>
    <w:p>
      <w:pPr>
        <w:spacing w:after="120" w:line="276"/>
        <w:jc w:val="both"/>
      </w:pPr>
      <w:r>
        <w:rPr>
          <w:rFonts w:ascii="Barlow Semi Condensed" w:cs="Barlow Semi Condensed" w:eastAsia="Barlow Semi Condensed" w:hAnsi="Barlow Semi Condensed"/>
          <w:b/>
          <w:bCs/>
          <w:sz w:val="24"/>
          <w:szCs w:val="24"/>
        </w:rPr>
        <w:t xml:space="preserve">Il caso, in una riga. Ogni affermazione circolante di un nesso fra Franz Josef Strauß e Aginter Press risale a un documentario televisivo del 16 febbraio 2000, i cui documenti sono descritti come \portati alla luce\ — formula giornalistica e non collocazione archivistica.</w:t>
      </w:r>
    </w:p>
    <w:p>
      <w:pPr>
        <w:spacing w:after="120" w:line="276"/>
        <w:jc w:val="both"/>
      </w:pPr>
      <w:r>
        <w:rPr>
          <w:rFonts w:ascii="Barlow Semi Condensed" w:cs="Barlow Semi Condensed" w:eastAsia="Barlow Semi Condensed" w:hAnsi="Barlow Semi Condensed"/>
          <w:b/>
          <w:bCs/>
          <w:sz w:val="24"/>
          <w:szCs w:val="24"/>
        </w:rPr>
        <w:t xml:space="preserve">Il meccanismo, denominato. Contaminazione per prossimità. L'opera più citata su Aginter non contiene l'allegazione; ma chi la riporta la accosta a fatti documentati — i rapporti con la polizia politica portoghese, la relazione parlamentare, l'istruttoria giudiziaria. L'asserzione debole prende in prestito il credito di quelle forti che le stanno accanto. Non è falsificazione né citazione errata: è collocazione.</w:t>
      </w:r>
    </w:p>
    <w:p>
      <w:pPr>
        <w:spacing w:after="120" w:line="276"/>
        <w:jc w:val="both"/>
      </w:pPr>
      <w:r>
        <w:rPr>
          <w:rFonts w:ascii="Barlow Semi Condensed" w:cs="Barlow Semi Condensed" w:eastAsia="Barlow Semi Condensed" w:hAnsi="Barlow Semi Condensed"/>
          <w:b/>
          <w:bCs/>
          <w:sz w:val="24"/>
          <w:szCs w:val="24"/>
        </w:rPr>
        <w:t xml:space="preserve">Primo criterio generale — il conteggio dei soggetti disinteressati.\\ \\Una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b/>
          <w:bCs/>
          <w:sz w:val="24"/>
          <w:szCs w:val="24"/>
        </w:rPr>
        <w:t xml:space="preserve">La verifica sul termine di controllo. L'affare Spiegel dell'ottobre 1962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b/>
          <w:bCs/>
          <w:sz w:val="24"/>
          <w:szCs w:val="24"/>
        </w:rPr>
        <w:t xml:space="preserve">La regola operativa: si conti quanti soggetti indipendenti e disinteressati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b/>
          <w:bCs/>
          <w:sz w:val="24"/>
          <w:szCs w:val="24"/>
        </w:rPr>
        <w:t xml:space="preserve">Secondo criterio — la valutazione separata degli elenchi. Un'asserzione non documentata collocata dentro un elenco di fatti documentati ne acquisisce il credito senza averne il fondamento. La neutralizzazione consiste nel valutare ciascuna voce dell'elenco separatamente, chiedendo per ognuna quale fonte la sostenga.</w:t>
      </w:r>
    </w:p>
    <w:p>
      <w:pPr>
        <w:spacing w:after="120" w:line="276"/>
        <w:jc w:val="both"/>
      </w:pPr>
      <w:r>
        <w:rPr>
          <w:rFonts w:ascii="Barlow Semi Condensed" w:cs="Barlow Semi Condensed" w:eastAsia="Barlow Semi Condensed" w:hAnsi="Barlow Semi Condensed"/>
          <w:b/>
          <w:bCs/>
          <w:sz w:val="24"/>
          <w:szCs w:val="24"/>
        </w:rPr>
        <w:t xml:space="preserve">Terzo criterio — l'asimmetria fra nome verificabile e nome operativo. Si distingua fra i nomi verificabili di un'affermazione e i nomi che ne portano il peso operativo. Nel caso esaminato: Marcel Hepp è verificabile — referente di Strauß dall'autunno 1965, caporedattore del \Bayernkurier\ dal maggio 1967 — ma non gli si attribuisce condotta operativa; Dieter Huber porta il peso operativo — il trasporto di denaro contante — e non esiste in alcuna fonte.</w:t>
      </w:r>
    </w:p>
    <w:p>
      <w:pPr>
        <w:spacing w:after="120" w:line="276"/>
        <w:jc w:val="both"/>
      </w:pPr>
      <w:r>
        <w:rPr>
          <w:rFonts w:ascii="Barlow Semi Condensed" w:cs="Barlow Semi Condensed" w:eastAsia="Barlow Semi Condensed" w:hAnsi="Barlow Semi Condensed"/>
          <w:b/>
          <w:bCs/>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b/>
          <w:bCs/>
          <w:sz w:val="24"/>
          <w:szCs w:val="24"/>
        </w:rPr>
        <w:t xml:space="preserve">Una avvertenza chiude il capitolo e va conservata con i criteri. Nessuno dei tre criteri prova la falsità di alcunché. Essi stabiliscono l'inutilizzabilità di un'affermazione come prova, non la sua falsità come enunciato. La distinzione fra non dimostrato e falso è il confine che la serie non valica.</w:t>
      </w:r>
    </w:p>
    <w:p>
      <w:pPr>
        <w:pStyle w:val="Heading2"/>
        <w:spacing w:after="100" w:before="200"/>
      </w:pPr>
      <w:r>
        <w:rPr>
          <w:rFonts w:ascii="Barlow Semi Condensed" w:cs="Barlow Semi Condensed" w:eastAsia="Barlow Semi Condensed" w:hAnsi="Barlow Semi Condensed"/>
          <w:sz w:val="24"/>
          <w:szCs w:val="24"/>
        </w:rPr>
        <w:t xml:space="preserve">Capitolo nono — Le regolarità empiriche stabilite dalla serie</w:t>
      </w:r>
    </w:p>
    <w:p>
      <w:pPr>
        <w:spacing w:after="120" w:line="276"/>
        <w:jc w:val="both"/>
      </w:pPr>
      <w:r>
        <w:rPr>
          <w:rFonts w:ascii="Barlow Semi Condensed" w:cs="Barlow Semi Condensed" w:eastAsia="Barlow Semi Condensed" w:hAnsi="Barlow Semi Condensed"/>
          <w:b/>
          <w:bCs/>
          <w:sz w:val="24"/>
          <w:szCs w:val="24"/>
        </w:rPr>
        <w:t xml:space="preserve">Il capitolo raccoglie le regolarità che gli undici studi hanno prodotto e che valgono oltre i loro perimetri.</w:t>
      </w:r>
    </w:p>
    <w:p>
      <w:pPr>
        <w:spacing w:after="120" w:line="276"/>
        <w:jc w:val="both"/>
      </w:pPr>
      <w:r>
        <w:rPr>
          <w:rFonts w:ascii="Barlow Semi Condensed" w:cs="Barlow Semi Condensed" w:eastAsia="Barlow Semi Condensed" w:hAnsi="Barlow Semi Condensed"/>
          <w:b/>
          <w:bCs/>
          <w:sz w:val="24"/>
          <w:szCs w:val="24"/>
        </w:rPr>
        <w:t xml:space="preserve">Prima regolarità — l'assenza dello Stato italiano. Il governo italiano non compare come attore documentato in nessuno dei sei perimetri. Verso Madrid: nessuna iniziativa. Verso Lisbona: nessun atto reperito nemmeno sull'espulsione di nove propri cittadini. Verso Atene: un solo atto forte, la seduta del Consiglio d'Europa del dicembre 1969, e per il resto assorbimento nelle sedi multilaterali. Verso Nicosia: esclusione dalle potenze garanti, dal Consiglio di Sicurezza nel 1974 e dai contributori della forza di pace. Verso Ankara: presenza comunitaria documentata e assenza confessionale. Verso Bonn: posizione sui cinque atti della Ostpolitik non reperita.</w:t>
      </w:r>
    </w:p>
    <w:p>
      <w:pPr>
        <w:spacing w:after="120" w:line="276"/>
        <w:jc w:val="both"/>
      </w:pPr>
      <w:r>
        <w:rPr>
          <w:rFonts w:ascii="Barlow Semi Condensed" w:cs="Barlow Semi Condensed" w:eastAsia="Barlow Semi Condensed" w:hAnsi="Barlow Semi Condensed"/>
          <w:b/>
          <w:bCs/>
          <w:sz w:val="24"/>
          <w:szCs w:val="24"/>
        </w:rPr>
        <w:t xml:space="preserve">La spiegazione storiografica reperita, e proviene da fonte scientifica. La dialettica fra una visione internazionalista implicita in certe municipalità di sinistra e la fedeltà atlantica dei governi a maggioranza democristiana. Essa spiega tre cose insieme: perché sulla Grecia l'atto forte sia venuto in sede multilaterale; perché su Cipro l'Italia sia rimasta al margine consultivo; perché sulla Turchia la posizione sia comunitaria e non confessionale.</w:t>
      </w:r>
    </w:p>
    <w:p>
      <w:pPr>
        <w:spacing w:after="120" w:line="276"/>
        <w:jc w:val="both"/>
      </w:pPr>
      <w:r>
        <w:rPr>
          <w:rFonts w:ascii="Barlow Semi Condensed" w:cs="Barlow Semi Condensed" w:eastAsia="Barlow Semi Condensed" w:hAnsi="Barlow Semi Condensed"/>
          <w:b/>
          <w:bCs/>
          <w:sz w:val="24"/>
          <w:szCs w:val="24"/>
        </w:rPr>
        <w:t xml:space="preserve">Seconda regolarità — chi tiene archivio lascia traccia. Dove agiscono soggetti che tengono archivio e che pubblicano — congregazioni religiose, riviste missionarie, cancellerie ecclesiastiche, apparati di polizia,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La verifica più netta. Il perimetro portoghese ha prodotto quattro nodi documentati contro uno spagnolo, e la ragione non è che l'Italia agisse più verso Lisbona: è che la materia coloniale portoghese mise in movimento istituzioni che tengono archivio — congregazioni che conservano i diari dei propri superiori con le ore e i minuti degli interrogatori, vescovi che firmano documenti, riviste che stampano, quotidiani che aprono la prima pagina.</w:t>
      </w:r>
    </w:p>
    <w:p>
      <w:pPr>
        <w:spacing w:after="120" w:line="276"/>
        <w:jc w:val="both"/>
      </w:pPr>
      <w:r>
        <w:rPr>
          <w:rFonts w:ascii="Barlow Semi Condensed" w:cs="Barlow Semi Condensed" w:eastAsia="Barlow Semi Condensed" w:hAnsi="Barlow Semi Condensed"/>
          <w:b/>
          <w:bCs/>
          <w:sz w:val="24"/>
          <w:szCs w:val="24"/>
        </w:rPr>
        <w:t xml:space="preserve">Terza regolarità — l'apertura degli archivi di sicurezza. Nessun archivio di apparato di sicurezza si è mai aperto volontariamente; tutte le aperture sono conseguite a pressione esterna. Il caso portoghese ne è l'esempio più netto: il fondo della polizia politica si aprì perché il potere che lo custodiva cessò di esistere.</w:t>
      </w:r>
    </w:p>
    <w:p>
      <w:pPr>
        <w:spacing w:after="120" w:line="276"/>
        <w:jc w:val="both"/>
      </w:pPr>
      <w:r>
        <w:rPr>
          <w:rFonts w:ascii="Barlow Semi Condensed" w:cs="Barlow Semi Condensed" w:eastAsia="Barlow Semi Condensed" w:hAnsi="Barlow Semi Condensed"/>
          <w:b/>
          <w:bCs/>
          <w:sz w:val="24"/>
          <w:szCs w:val="24"/>
        </w:rPr>
        <w:t xml:space="preserve">Un corollario che la serie aggiunge, e che è nuovo.\\ \\L'apertura di un archivio non equivale alla sua lettura.\\ Metà del fondo portoghese non è mai stata consultata \\dopo cinquant'anni dall'apertura.</w:t>
      </w:r>
    </w:p>
    <w:p>
      <w:pPr>
        <w:spacing w:after="120" w:line="276"/>
        <w:jc w:val="both"/>
      </w:pPr>
      <w:r>
        <w:rPr>
          <w:rFonts w:ascii="Barlow Semi Condensed" w:cs="Barlow Semi Condensed" w:eastAsia="Barlow Semi Condensed" w:hAnsi="Barlow Semi Condensed"/>
          <w:b/>
          <w:bCs/>
          <w:sz w:val="24"/>
          <w:szCs w:val="24"/>
        </w:rPr>
        <w:t xml:space="preserve">Quarta regolarità — la diplomazia scrive due volte. Un atto può tacere deliberatamente la propria ragione politica e affidarla alla comunicazione che lo accompagna. Chi legge la sola costituzione apostolica del 28 giugno 1972 conclude che fu un atto pastorale; chi legge la comunicazione trova il trattato.</w:t>
      </w:r>
    </w:p>
    <w:p>
      <w:pPr>
        <w:spacing w:after="120" w:line="276"/>
        <w:jc w:val="both"/>
      </w:pPr>
      <w:r>
        <w:rPr>
          <w:rFonts w:ascii="Barlow Semi Condensed" w:cs="Barlow Semi Condensed" w:eastAsia="Barlow Semi Condensed" w:hAnsi="Barlow Semi Condensed"/>
          <w:b/>
          <w:bCs/>
          <w:sz w:val="24"/>
          <w:szCs w:val="24"/>
        </w:rPr>
        <w:t xml:space="preserve">La conseguenza operativa: cercare il nesso nel documento principale, e non trovandovelo concludere che non esiste, è errore simmetrico a quello di inferirlo dalla contemporaneità.</w:t>
      </w:r>
    </w:p>
    <w:p>
      <w:pPr>
        <w:spacing w:after="120" w:line="276"/>
        <w:jc w:val="both"/>
      </w:pPr>
      <w:r>
        <w:rPr>
          <w:rFonts w:ascii="Barlow Semi Condensed" w:cs="Barlow Semi Condensed" w:eastAsia="Barlow Semi Condensed" w:hAnsi="Barlow Semi Condensed"/>
          <w:b/>
          <w:bCs/>
          <w:sz w:val="24"/>
          <w:szCs w:val="24"/>
        </w:rPr>
        <w:t xml:space="preserve">Quinta regolarità — la rarità delle triangolazioni. In undici ricognizioni nessuna triangolazione ha coinvolto insieme tre termini. Ogni volta che se ne è cercata una a tre, essa si è ridotta a due o a uno.</w:t>
      </w:r>
    </w:p>
    <w:p>
      <w:pPr>
        <w:spacing w:after="120" w:line="276"/>
        <w:jc w:val="both"/>
      </w:pPr>
      <w:r>
        <w:rPr>
          <w:rFonts w:ascii="Barlow Semi Condensed" w:cs="Barlow Semi Condensed" w:eastAsia="Barlow Semi Condensed" w:hAnsi="Barlow Semi Condensed"/>
          <w:b/>
          <w:bCs/>
          <w:sz w:val="24"/>
          <w:szCs w:val="24"/>
        </w:rPr>
        <w:t xml:space="preserve">La ragione, che è strutturale e non documentale. I tre oggetti — un ministro degli Esteri, una diplomazia pontificia, un ente di apostolato laicale —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decimo — Appendice alla Nota Metodologica: le cinque proposizioni</w:t>
      </w:r>
    </w:p>
    <w:p>
      <w:pPr>
        <w:spacing w:after="120" w:line="276"/>
        <w:jc w:val="both"/>
      </w:pPr>
      <w:r>
        <w:rPr>
          <w:rFonts w:ascii="Barlow Semi Condensed" w:cs="Barlow Semi Condensed" w:eastAsia="Barlow Semi Condensed" w:hAnsi="Barlow Semi Condensed"/>
          <w:b/>
          <w:bCs/>
          <w:sz w:val="24"/>
          <w:szCs w:val="24"/>
        </w:rPr>
        <w:t xml:space="preserve">Il capitolo raccoglie le cinque proposizioni di metodo prodotte dalla serie, che esistono disperse in cinque capitoli conclusivi diversi e che la Nota Metodologica del corpus non contiene, essendo esse posteriori alla sua redazione. Si propongono come appendice a quella Nota.</w:t>
      </w:r>
    </w:p>
    <w:p>
      <w:pPr>
        <w:spacing w:after="120" w:line="276"/>
        <w:jc w:val="both"/>
      </w:pPr>
      <w:r>
        <w:rPr>
          <w:rFonts w:ascii="Barlow Semi Condensed" w:cs="Barlow Semi Condensed" w:eastAsia="Barlow Semi Condensed" w:hAnsi="Barlow Semi Condensed"/>
          <w:b/>
          <w:bCs/>
          <w:sz w:val="24"/>
          <w:szCs w:val="24"/>
        </w:rPr>
        <w:t xml:space="preserve">Prima proposizione — l'assenza di traccia non è l'assenza dell'atto. Formulata dalla quinta ricognizione. Un esito negativo può dipendere da un limite dello strumento, dalla chiusura di un archivio o dalla mancata indicizzazione, e in tal caso non dice nulla sulla realtà. Il caso paradigmatico è la banca dati del sindacato ispettivo italiano, che copre soltanto dal 5 luglio 1976: chi ne inferisse l'inerzia parlamentare italiana sul 1974 commetterebbe un errore di attribuzione.</w:t>
      </w:r>
    </w:p>
    <w:p>
      <w:pPr>
        <w:spacing w:after="120" w:line="276"/>
        <w:jc w:val="both"/>
      </w:pPr>
      <w:r>
        <w:rPr>
          <w:rFonts w:ascii="Barlow Semi Condensed" w:cs="Barlow Semi Condensed" w:eastAsia="Barlow Semi Condensed" w:hAnsi="Barlow Semi Condensed"/>
          <w:b/>
          <w:bCs/>
          <w:sz w:val="24"/>
          <w:szCs w:val="24"/>
        </w:rPr>
        <w:t xml:space="preserve">Seconda proposizione — vi sono assenze che non sono lacune. Formulata dall'ottava. Un insieme vuoto verificato contro il registro ufficiale del soggetto medesimo è un accertamento e non un vuoto da colmare. L'assenza dell'Opus Dei da Grecia, Cipro e Turchia non è una lacuna documentale: è una proprietà dell'oggetto, verificata sulla fonte migliore possibile. Distinguere la lacuna dall'insieme vuoto è disciplina distinta dalla prima e non deducibile da essa.</w:t>
      </w:r>
    </w:p>
    <w:p>
      <w:pPr>
        <w:spacing w:after="120" w:line="276"/>
        <w:jc w:val="both"/>
      </w:pPr>
      <w:r>
        <w:rPr>
          <w:rFonts w:ascii="Barlow Semi Condensed" w:cs="Barlow Semi Condensed" w:eastAsia="Barlow Semi Condensed" w:hAnsi="Barlow Semi Condensed"/>
          <w:b/>
          <w:bCs/>
          <w:sz w:val="24"/>
          <w:szCs w:val="24"/>
        </w:rPr>
        <w:t xml:space="preserve">Terza proposizione — vi sono nessi che i documenti principali tacciono deliberatamente. Formulata dalla nona. Un atto può omettere la propria ragione politica per non costituire esso stesso un riconoscimento, affidandola alla comunicazione accessoria. Ne discende che l'assenza del nesso nel documento principale non prova l'assenza del nesso.</w:t>
      </w:r>
    </w:p>
    <w:p>
      <w:pPr>
        <w:spacing w:after="120" w:line="276"/>
        <w:jc w:val="both"/>
      </w:pPr>
      <w:r>
        <w:rPr>
          <w:rFonts w:ascii="Barlow Semi Condensed" w:cs="Barlow Semi Condensed" w:eastAsia="Barlow Semi Condensed" w:hAnsi="Barlow Semi Condensed"/>
          <w:b/>
          <w:bCs/>
          <w:sz w:val="24"/>
          <w:szCs w:val="24"/>
        </w:rPr>
        <w:t xml:space="preserve">Quarta proposizione — una proposizione va formulata con la propria condizione di falsificazione esplicita e con i casi avversi elencati per nome. Formulata dalla decima. Il modello a due condizioni è caduto dopo due ricognizioni, per opera della ricerca indirizzata al caso avverso, e ciò è avvenuto perché la condizione di falsificazione era stata scritta e i casi potenzialmente confutanti erano stati elencati anziché taciuti. Una proposizione che non elenchi i propri casi avversi non può essere confutata, e per ciò stesso non è una proposizione.</w:t>
      </w:r>
    </w:p>
    <w:p>
      <w:pPr>
        <w:spacing w:after="120" w:line="276"/>
        <w:jc w:val="both"/>
      </w:pPr>
      <w:r>
        <w:rPr>
          <w:rFonts w:ascii="Barlow Semi Condensed" w:cs="Barlow Semi Condensed" w:eastAsia="Barlow Semi Condensed" w:hAnsi="Barlow Semi Condensed"/>
          <w:b/>
          <w:bCs/>
          <w:sz w:val="24"/>
          <w:szCs w:val="24"/>
        </w:rPr>
        <w:t xml:space="preserve">Quinta proposizione — una connessione reale lascia tracce presso soggetti che non avevano interesse a produrle. Formulata dall'undicesima. Dove tale traccia manca del tutto, non si è in presenza di un segreto ben custodito: si è in presenza di un'affermazione.</w:t>
      </w:r>
    </w:p>
    <w:p>
      <w:pPr>
        <w:spacing w:after="120" w:line="276"/>
        <w:jc w:val="both"/>
      </w:pPr>
      <w:r>
        <w:rPr>
          <w:rFonts w:ascii="Barlow Semi Condensed" w:cs="Barlow Semi Condensed" w:eastAsia="Barlow Semi Condensed" w:hAnsi="Barlow Semi Condensed"/>
          <w:b/>
          <w:bCs/>
          <w:sz w:val="24"/>
          <w:szCs w:val="24"/>
        </w:rPr>
        <w:t xml:space="preserve">Il rapporto fra le cinque, che va enunciato perché non è di semplice giustapposizione.</w:t>
      </w:r>
    </w:p>
    <w:p>
      <w:pPr>
        <w:spacing w:after="120" w:line="276"/>
        <w:jc w:val="both"/>
      </w:pPr>
      <w:r>
        <w:rPr>
          <w:rFonts w:ascii="Barlow Semi Condensed" w:cs="Barlow Semi Condensed" w:eastAsia="Barlow Semi Condensed" w:hAnsi="Barlow Semi Condensed"/>
          <w:b/>
          <w:bCs/>
          <w:sz w:val="24"/>
          <w:szCs w:val="24"/>
        </w:rPr>
        <w:t xml:space="preserve">La prima e la seconda si oppongono. La prima vieta di inferire dall'assenza; la seconda ammette di accertare per assenza, quando la verifica è condotta contro il registro del soggetto. Chi applicasse la sola prima non accerterebbe mai nulla in negativo; chi applicasse la sola seconda inferirebbe da qualunque silenzio.</w:t>
      </w:r>
    </w:p>
    <w:p>
      <w:pPr>
        <w:spacing w:after="120" w:line="276"/>
        <w:jc w:val="both"/>
      </w:pPr>
      <w:r>
        <w:rPr>
          <w:rFonts w:ascii="Barlow Semi Condensed" w:cs="Barlow Semi Condensed" w:eastAsia="Barlow Semi Condensed" w:hAnsi="Barlow Semi Condensed"/>
          <w:b/>
          <w:bCs/>
          <w:sz w:val="24"/>
          <w:szCs w:val="24"/>
        </w:rPr>
        <w:t xml:space="preserve">La terza e la quinta si oppongono del pari. La terza avverte che un nesso può essere taciuto nel documento principale; la quinta avverte che l'assenza totale di traccia indica un'affermazione e non un segreto. Il confine fra le due è il numero dei soggetti disinteressati: il nesso taciuto dalla bolla del 1972 è documentato dalla comunicazione e dalla storiografia; l'allegazione del 2000 non lo è da nessuno.</w:t>
      </w:r>
    </w:p>
    <w:p>
      <w:pPr>
        <w:spacing w:after="120" w:line="276"/>
        <w:jc w:val="both"/>
      </w:pPr>
      <w:r>
        <w:rPr>
          <w:rFonts w:ascii="Barlow Semi Condensed" w:cs="Barlow Semi Condensed" w:eastAsia="Barlow Semi Condensed" w:hAnsi="Barlow Semi Condensed"/>
          <w:b/>
          <w:bCs/>
          <w:sz w:val="24"/>
          <w:szCs w:val="24"/>
        </w:rPr>
        <w:t xml:space="preserve">La quarta governa le altre quattro, perché riguarda chi scrive anziché le fonti.</w:t>
      </w:r>
    </w:p>
    <w:p>
      <w:pPr>
        <w:spacing w:after="120" w:line="276"/>
        <w:jc w:val="both"/>
      </w:pPr>
      <w:r>
        <w:rPr>
          <w:rFonts w:ascii="Barlow Semi Condensed" w:cs="Barlow Semi Condensed" w:eastAsia="Barlow Semi Condensed" w:hAnsi="Barlow Semi Condensed"/>
          <w:b/>
          <w:bCs/>
          <w:sz w:val="24"/>
          <w:szCs w:val="24"/>
        </w:rPr>
        <w:t xml:space="preserve">Ne discende che le cinque proposizioni non sono un elenco ma un sistema a tensioni, e che l'applicazione dell'una senza le altre produce l'errore che essa sola era destinata a prevenire.</w:t>
      </w:r>
    </w:p>
    <w:p>
      <w:pPr>
        <w:pStyle w:val="Heading2"/>
        <w:spacing w:after="100" w:before="200"/>
      </w:pPr>
      <w:r>
        <w:rPr>
          <w:rFonts w:ascii="Barlow Semi Condensed" w:cs="Barlow Semi Condensed" w:eastAsia="Barlow Semi Condensed" w:hAnsi="Barlow Semi Condensed"/>
          <w:sz w:val="24"/>
          <w:szCs w:val="24"/>
        </w:rPr>
        <w:t xml:space="preserve">Capitolo undicesimo — Che cosa resta aperto, in ordine di eseguibilità</w:t>
      </w:r>
    </w:p>
    <w:p>
      <w:pPr>
        <w:spacing w:after="120" w:line="276"/>
        <w:jc w:val="both"/>
      </w:pPr>
      <w:r>
        <w:rPr>
          <w:rFonts w:ascii="Barlow Semi Condensed" w:cs="Barlow Semi Condensed" w:eastAsia="Barlow Semi Condensed" w:hAnsi="Barlow Semi Condensed"/>
          <w:b/>
          <w:bCs/>
          <w:sz w:val="24"/>
          <w:szCs w:val="24"/>
        </w:rPr>
        <w:t xml:space="preserve">Il capitolo riordina il residuo secondo un criterio diverso da quello del rendimento: secondo che cosa sia effettivamente eseguibile, e da chi.</w:t>
      </w:r>
    </w:p>
    <w:p>
      <w:pPr>
        <w:spacing w:after="120" w:line="276"/>
        <w:jc w:val="both"/>
      </w:pPr>
      <w:r>
        <w:rPr>
          <w:rFonts w:ascii="Barlow Semi Condensed" w:cs="Barlow Semi Condensed" w:eastAsia="Barlow Semi Condensed" w:hAnsi="Barlow Semi Condensed"/>
          <w:b/>
          <w:bCs/>
          <w:sz w:val="24"/>
          <w:szCs w:val="24"/>
        </w:rPr>
        <w:t xml:space="preserve">Primo ordine — eseguibile subito, senza viaggio e senza autorizzazione. L'esame dei casi extraeuropei dell'elenco ufficiale dell'Opus Dei — Giappone 1958, Kenya 1958, Nigeria 1965, India 1993, Kazakhistan 1997, Indonesia 2008, Sri Lanka 2011 — per verificare se l'insediamento fu radicamento o trapianto. È la sola voce che possa falsificare il modello rivisto, e non richiede nulla se non tempo. Vi si aggiunge la consultazione delle riprese della Conferenza romana del giugno 1970 presso l'archivio audiovisivo, sola fonte primaria italiana su quella settimana e consultabile senza condizioni.</w:t>
      </w:r>
    </w:p>
    <w:p>
      <w:pPr>
        <w:spacing w:after="120" w:line="276"/>
        <w:jc w:val="both"/>
      </w:pPr>
      <w:r>
        <w:rPr>
          <w:rFonts w:ascii="Barlow Semi Condensed" w:cs="Barlow Semi Condensed" w:eastAsia="Barlow Semi Condensed" w:hAnsi="Barlow Semi Condensed"/>
          <w:b/>
          <w:bCs/>
          <w:sz w:val="24"/>
          <w:szCs w:val="24"/>
        </w:rPr>
        <w:t xml:space="preserve">Secondo ordine — eseguibile con una richiesta. L'articolo di Eugenio Enea in \Lusitania Sacra\ numero cinquantuno del 2025 e le annate 1974-1976 di \Nigrizia\: la maggior resa fra le voci conseguibili senza accesso ad archivi di Stato. La monografia di Francis Nolan del 2017 sul ritiro dei Padri Bianchi. Le copie digitali de L'Osservatore Romano del 29 e 30 giugno 1972 presso l'archivio editoriale della Santa Sede, che è la prima voce assoluta della tavola e richiede una richiesta e non un viaggio.</w:t>
      </w:r>
    </w:p>
    <w:p>
      <w:pPr>
        <w:spacing w:after="120" w:line="276"/>
        <w:jc w:val="both"/>
      </w:pPr>
      <w:r>
        <w:rPr>
          <w:rFonts w:ascii="Barlow Semi Condensed" w:cs="Barlow Semi Condensed" w:eastAsia="Barlow Semi Condensed" w:hAnsi="Barlow Semi Condensed"/>
          <w:b/>
          <w:bCs/>
          <w:sz w:val="24"/>
          <w:szCs w:val="24"/>
        </w:rPr>
        <w:t xml:space="preserve">Terzo ordine — eseguibile con un viaggio. L'Archivio Storico Diplomatico a Roma, che chiude voci di sette studi in un solo accesso, con la sola avvertenza della serie telegrafica esclusa. L'Archivio storico del Senato e l'Archivio Centrale dello Stato. I resoconti stenografici della quinta e sesta legislatura, per spoglio manuale. L'Archivio Comboniano a Roma.</w:t>
      </w:r>
    </w:p>
    <w:p>
      <w:pPr>
        <w:spacing w:after="120" w:line="276"/>
        <w:jc w:val="both"/>
      </w:pPr>
      <w:r>
        <w:rPr>
          <w:rFonts w:ascii="Barlow Semi Condensed" w:cs="Barlow Semi Condensed" w:eastAsia="Barlow Semi Condensed" w:hAnsi="Barlow Semi Condensed"/>
          <w:b/>
          <w:bCs/>
          <w:sz w:val="24"/>
          <w:szCs w:val="24"/>
        </w:rPr>
        <w:t xml:space="preserve">Quarto ordine — eseguibile con viaggio e autorizzazione. La Torre do Tombo, fondo della polizia politica, soggetto a regolamento proprio. L'Archiv für Christlich-Soziale Politik a Monaco. L'Archiv des Bayerischen Landtags. L'Arquivo Histórico-Diplomático a Lisbona. L'Archivo General de la Administración ad Alcalá de Henares.</w:t>
      </w:r>
    </w:p>
    <w:p>
      <w:pPr>
        <w:spacing w:after="120" w:line="276"/>
        <w:jc w:val="both"/>
      </w:pPr>
      <w:r>
        <w:rPr>
          <w:rFonts w:ascii="Barlow Semi Condensed" w:cs="Barlow Semi Condensed" w:eastAsia="Barlow Semi Condensed" w:hAnsi="Barlow Semi Condensed"/>
          <w:b/>
          <w:bCs/>
          <w:sz w:val="24"/>
          <w:szCs w:val="24"/>
        </w:rPr>
        <w:t xml:space="preserve">Quinto ordine — non eseguibile allo stato, per disposizione altrui. L'Archivio Apostolico Vaticano e la Segreteria di Stato per il pontificato di Paolo VI, che sblocca quattro studi e la cui condizione non dipende da noi. L'Archivio Generale della Prelatura e il Centro Studi di Navarra, ad accesso mediato. Le porzioni non desecretate dei documenti statunitensi sull'attentato del 1981.</w:t>
      </w:r>
    </w:p>
    <w:p>
      <w:pPr>
        <w:spacing w:after="120" w:line="276"/>
        <w:jc w:val="both"/>
      </w:pPr>
      <w:r>
        <w:rPr>
          <w:rFonts w:ascii="Barlow Semi Condensed" w:cs="Barlow Semi Condensed" w:eastAsia="Barlow Semi Condensed" w:hAnsi="Barlow Semi Condensed"/>
          <w:b/>
          <w:bCs/>
          <w:sz w:val="24"/>
          <w:szCs w:val="24"/>
        </w:rPr>
        <w:t xml:space="preserve">Un bilancio va tratto perché muta la percezione del residuo. Delle quattordici sedi, tre non richiedono viaggio e due richiedono soltanto una richiesta. Il residuo della serie non è dunque, come le tavole per studio lasciavano credere, una lista di condizioni impossibili: è una lista di cinque azioni eseguibili subito e nove che richiedono spostamento o autorizzazione.</w:t>
      </w:r>
    </w:p>
    <w:p>
      <w:pPr>
        <w:spacing w:after="120" w:line="276"/>
        <w:jc w:val="both"/>
      </w:pPr>
      <w:r>
        <w:rPr>
          <w:rFonts w:ascii="Barlow Semi Condensed" w:cs="Barlow Semi Condensed" w:eastAsia="Barlow Semi Condensed" w:hAnsi="Barlow Semi Condensed"/>
          <w:b/>
          <w:bCs/>
          <w:sz w:val="24"/>
          <w:szCs w:val="24"/>
        </w:rPr>
        <w:t xml:space="preserve">E fra le cinque eseguibili subito, due possono mutare accertamenti anziché aggiungerne: la verifica dei casi extraeuropei, che può falsificare il modello; e le pagine de L'Osservatore Romano del giugno 1972, che possono confermare o abbattere il solo nesso documentato della serie.</w:t>
      </w:r>
    </w:p>
    <w:p>
      <w:pPr>
        <w:pStyle w:val="Heading2"/>
        <w:spacing w:after="100" w:before="200"/>
      </w:pPr>
      <w:r>
        <w:rPr>
          <w:rFonts w:ascii="Barlow Semi Condensed" w:cs="Barlow Semi Condensed" w:eastAsia="Barlow Semi Condensed" w:hAnsi="Barlow Semi Condensed"/>
          <w:sz w:val="24"/>
          <w:szCs w:val="24"/>
        </w:rPr>
        <w:t xml:space="preserve">Capitolo dodicesimo — Bilancio e stato del corpus</w:t>
      </w:r>
    </w:p>
    <w:p>
      <w:pPr>
        <w:spacing w:after="120" w:line="276"/>
        <w:jc w:val="both"/>
      </w:pPr>
      <w:r>
        <w:rPr>
          <w:rFonts w:ascii="Barlow Semi Condensed" w:cs="Barlow Semi Condensed" w:eastAsia="Barlow Semi Condensed" w:hAnsi="Barlow Semi Condensed"/>
          <w:b/>
          <w:bCs/>
          <w:sz w:val="24"/>
          <w:szCs w:val="24"/>
        </w:rPr>
        <w:t xml:space="preserve">I quattro ordini di risultato, ricapitolati.</w:t>
      </w:r>
    </w:p>
    <w:p>
      <w:pPr>
        <w:spacing w:after="120" w:line="276"/>
        <w:jc w:val="both"/>
      </w:pPr>
      <w:r>
        <w:rPr>
          <w:rFonts w:ascii="Barlow Semi Condensed" w:cs="Barlow Semi Condensed" w:eastAsia="Barlow Semi Condensed" w:hAnsi="Barlow Semi Condensed"/>
          <w:b/>
          <w:bCs/>
          <w:sz w:val="24"/>
          <w:szCs w:val="24"/>
        </w:rPr>
        <w:t xml:space="preserve">Primo ordine — gli Stati Zero, che sono la maggioranza. Il governo italiano non compare come attore documentato in nessuno dei sei perimetri; l'Opus Dei non ha rapporti documentati con Moro, accertato tre volte; l'ente è assente da Grecia, Cipro e Turchia, verificato contro il registro ufficiale; Aginter Press non ha rapporti documentati con la CSU né con Strauß, verificato su cinque fronti; nessuna tappa romana nell'esilio di Makarios, verificato per tre vie indipendenti; nessuna lettera tedesca sull'unità allegata all'Atto finale di Helsinki.</w:t>
      </w:r>
    </w:p>
    <w:p>
      <w:pPr>
        <w:spacing w:after="120" w:line="276"/>
        <w:jc w:val="both"/>
      </w:pPr>
      <w:r>
        <w:rPr>
          <w:rFonts w:ascii="Barlow Semi Condensed" w:cs="Barlow Semi Condensed" w:eastAsia="Barlow Semi Condensed" w:hAnsi="Barlow Semi Condensed"/>
          <w:b/>
          <w:bCs/>
          <w:sz w:val="24"/>
          <w:szCs w:val="24"/>
        </w:rPr>
        <w:t xml:space="preserve">Secondo ordine — il nesso, uno solo.\\ La Santa Sede attese la ratifica del Trattato di Varsavia prima di erigere le diocesi a oriente, e lo disse nella comunicazione di accompagnamento \\mentre il testo canonico taceva.</w:t>
      </w:r>
    </w:p>
    <w:p>
      <w:pPr>
        <w:spacing w:after="120" w:line="276"/>
        <w:jc w:val="both"/>
      </w:pPr>
      <w:r>
        <w:rPr>
          <w:rFonts w:ascii="Barlow Semi Condensed" w:cs="Barlow Semi Condensed" w:eastAsia="Barlow Semi Condensed" w:hAnsi="Barlow Semi Condensed"/>
          <w:b/>
          <w:bCs/>
          <w:sz w:val="24"/>
          <w:szCs w:val="24"/>
        </w:rPr>
        <w:t xml:space="preserve">Terzo ordine — la revisione. Una proposizione formulata dalla serie è stata confutata dalla serie stessa, per opera della ricerca indirizzata al caso avverso; il modello vige ora in forma emendata, con una condizione anziché due e con la distinzione fra radicamento e trapianto.</w:t>
      </w:r>
    </w:p>
    <w:p>
      <w:pPr>
        <w:spacing w:after="120" w:line="276"/>
        <w:jc w:val="both"/>
      </w:pPr>
      <w:r>
        <w:rPr>
          <w:rFonts w:ascii="Barlow Semi Condensed" w:cs="Barlow Semi Condensed" w:eastAsia="Barlow Semi Condensed" w:hAnsi="Barlow Semi Condensed"/>
          <w:b/>
          <w:bCs/>
          <w:sz w:val="24"/>
          <w:szCs w:val="24"/>
        </w:rPr>
        <w:t xml:space="preserve">Quarto ordine — la genealogia di una connessione falsa. Non soltanto l'accertamento che un nesso non esiste, ma la ricostruzione del meccanismo per cui esso appare esistere, con tre criteri generali per riconoscerlo.</w:t>
      </w:r>
    </w:p>
    <w:p>
      <w:pPr>
        <w:spacing w:after="120" w:line="276"/>
        <w:jc w:val="both"/>
      </w:pPr>
      <w:r>
        <w:rPr>
          <w:rFonts w:ascii="Barlow Semi Condensed" w:cs="Barlow Semi Condensed" w:eastAsia="Barlow Semi Condensed" w:hAnsi="Barlow Semi Condensed"/>
          <w:b/>
          <w:bCs/>
          <w:sz w:val="24"/>
          <w:szCs w:val="24"/>
        </w:rPr>
        <w:t xml:space="preserve">Lo stato del corpus dopo questa consolidazione.</w:t>
      </w:r>
    </w:p>
    <w:p>
      <w:pPr>
        <w:spacing w:after="120" w:line="276"/>
        <w:jc w:val="both"/>
      </w:pPr>
      <w:r>
        <w:rPr>
          <w:rFonts w:ascii="Barlow Semi Condensed" w:cs="Barlow Semi Condensed" w:eastAsia="Barlow Semi Condensed" w:hAnsi="Barlow Semi Condensed"/>
          <w:b/>
          <w:bCs/>
          <w:sz w:val="24"/>
          <w:szCs w:val="24"/>
        </w:rPr>
        <w:t xml:space="preserve">Va emendato: la quindicesima voce della tavola del memorandum operativo sul caso Moro, per la data di morte di Willy Peter Stoll.</w:t>
      </w:r>
    </w:p>
    <w:p>
      <w:pPr>
        <w:spacing w:after="120" w:line="276"/>
        <w:jc w:val="both"/>
      </w:pPr>
      <w:r>
        <w:rPr>
          <w:rFonts w:ascii="Barlow Semi Condensed" w:cs="Barlow Semi Condensed" w:eastAsia="Barlow Semi Condensed" w:hAnsi="Barlow Semi Condensed"/>
          <w:b/>
          <w:bCs/>
          <w:sz w:val="24"/>
          <w:szCs w:val="24"/>
        </w:rPr>
        <w:t xml:space="preserve">Va integrato: la Nota Metodologica, con le cinque proposizioni del Capitolo decimo in appendice.</w:t>
      </w:r>
    </w:p>
    <w:p>
      <w:pPr>
        <w:spacing w:after="120" w:line="276"/>
        <w:jc w:val="both"/>
      </w:pPr>
      <w:r>
        <w:rPr>
          <w:rFonts w:ascii="Barlow Semi Condensed" w:cs="Barlow Semi Condensed" w:eastAsia="Barlow Semi Condensed" w:hAnsi="Barlow Semi Condensed"/>
          <w:b/>
          <w:bCs/>
          <w:sz w:val="24"/>
          <w:szCs w:val="24"/>
        </w:rPr>
        <w:t xml:space="preserve">Va sostituito: nulla. Va abrogato: nulla, salvo la prima condizione della proposizione dell'ottava ricognizione, formalmente revisionata dalla decima e qui registrata nel suo stato corrente.</w:t>
      </w:r>
    </w:p>
    <w:p>
      <w:pPr>
        <w:spacing w:after="120" w:line="276"/>
        <w:jc w:val="both"/>
      </w:pPr>
      <w:r>
        <w:rPr>
          <w:rFonts w:ascii="Barlow Semi Condensed" w:cs="Barlow Semi Condensed" w:eastAsia="Barlow Semi Condensed" w:hAnsi="Barlow Semi Condensed"/>
          <w:b/>
          <w:bCs/>
          <w:sz w:val="24"/>
          <w:szCs w:val="24"/>
        </w:rPr>
        <w:t xml:space="preserve">Restano invariati gli undici documenti, che questo Registro indicizza e non riassume.</w:t>
      </w:r>
    </w:p>
    <w:p>
      <w:pPr>
        <w:spacing w:after="120" w:line="276"/>
        <w:jc w:val="both"/>
      </w:pPr>
      <w:r>
        <w:rPr>
          <w:rFonts w:ascii="Barlow Semi Condensed" w:cs="Barlow Semi Condensed" w:eastAsia="Barlow Semi Condensed" w:hAnsi="Barlow Semi Condensed"/>
          <w:b/>
          <w:bCs/>
          <w:sz w:val="24"/>
          <w:szCs w:val="24"/>
        </w:rPr>
        <w:t xml:space="preserve">Una osservazione conclusiva sul rapporto fra la serie e il progetto che la ospita.</w:t>
      </w:r>
    </w:p>
    <w:p>
      <w:pPr>
        <w:spacing w:after="120" w:line="276"/>
        <w:jc w:val="both"/>
      </w:pPr>
      <w:r>
        <w:rPr>
          <w:rFonts w:ascii="Barlow Semi Condensed" w:cs="Barlow Semi Condensed" w:eastAsia="Barlow Semi Condensed" w:hAnsi="Barlow Semi Condensed"/>
          <w:b/>
          <w:bCs/>
          <w:sz w:val="24"/>
          <w:szCs w:val="24"/>
        </w:rPr>
        <w:t xml:space="preserve">Il progetto ha per regola l'esclusione delle ricerche estese, e questa serie è nata da undici eccezioni successive a quella regola. L'eccezione ha prodotto un solo nesso e molti Stati Zero, il che è, secondo me, l'argomento migliore a favore della regola: la ricerca estesa è strumento di ricognizione e non di accertamento, e ciò che essa restituisce va sempre ricondotto alle sedi in cui l'accertamento si compie, che sono quattordici e stanno tutte in questo Registro.</w:t>
      </w:r>
    </w:p>
    <w:p>
      <w:pPr>
        <w:spacing w:after="120" w:line="276"/>
        <w:jc w:val="both"/>
      </w:pPr>
      <w:r>
        <w:rPr>
          <w:rFonts w:ascii="Barlow Semi Condensed" w:cs="Barlow Semi Condensed" w:eastAsia="Barlow Semi Condensed" w:hAnsi="Barlow Semi Condensed"/>
          <w:b/>
          <w:bCs/>
          <w:sz w:val="24"/>
          <w:szCs w:val="24"/>
        </w:rPr>
        <w:t xml:space="preserve">E una constatazione che le undici ricognizioni consegnano insieme, e che vale come loro esito complessivo.</w:t>
      </w:r>
    </w:p>
    <w:p>
      <w:pPr>
        <w:spacing w:after="120" w:line="276"/>
        <w:jc w:val="both"/>
      </w:pPr>
      <w:r>
        <w:rPr>
          <w:rFonts w:ascii="Barlow Semi Condensed" w:cs="Barlow Semi Condensed" w:eastAsia="Barlow Semi Condensed" w:hAnsi="Barlow Semi Condensed"/>
          <w:b/>
          <w:bCs/>
          <w:sz w:val="24"/>
          <w:szCs w:val="24"/>
        </w:rPr>
        <w:t xml:space="preserve">Undici ricognizioni hanno cercato l'intersezione fra un ministro degli Esteri, una diplomazia pontificia, un ente di apostolato laicale e una struttura clandestina. Hanno trovato un solo nesso, e lo hanno trovato dove nessuno dei quattro termini lo cercava: fra un trattato tedesco-polacco e due costituzioni apostoliche, separati da venticinque giorni e da un silenzio deliberato.</w:t>
      </w:r>
    </w:p>
    <w:p>
      <w:pPr>
        <w:spacing w:after="120" w:line="276"/>
        <w:jc w:val="both"/>
      </w:pPr>
      <w:r>
        <w:rPr>
          <w:rFonts w:ascii="Barlow Semi Condensed" w:cs="Barlow Semi Condensed" w:eastAsia="Barlow Semi Condensed" w:hAnsi="Barlow Semi Condensed"/>
          <w:b/>
          <w:bCs/>
          <w:sz w:val="24"/>
          <w:szCs w:val="24"/>
        </w:rPr>
        <w:t xml:space="preserve">Il resto è assenza — e la serie è servita soprattutto a imparare di quanti tipi diversi essa sia.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 · Registro Delle Undici Ricognizioni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5.909 parole in 9 sezioni; la più ampia è §9 Altre sezioni, con 5.225.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144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XXVIII — La triangolazione della terza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terza campagna</w:t>
      </w:r>
    </w:p>
    <w:p>
      <w:pPr>
        <w:pStyle w:val="Heading2"/>
        <w:spacing w:after="100" w:before="200"/>
      </w:pPr>
      <w:r>
        <w:rPr>
          <w:rFonts w:ascii="Barlow Semi Condensed" w:cs="Barlow Semi Condensed" w:eastAsia="Barlow Semi Condensed" w:hAnsi="Barlow Semi Condensed"/>
          <w:sz w:val="24"/>
          <w:szCs w:val="24"/>
        </w:rPr>
        <w:t xml:space="preserve">Ventisette documenti, incrociati fra loro, col corpus e con la disciplina dell'opera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Triangolazione eseguita il 27 agosto 2026 sul lotto</w:t>
      </w:r>
    </w:p>
    <w:p>
      <w:pPr>
        <w:spacing w:after="120" w:line="276"/>
        <w:jc w:val="both"/>
      </w:pPr>
      <w:r>
        <w:rPr>
          <w:rFonts w:ascii="Barlow Semi Condensed" w:cs="Barlow Semi Condensed" w:eastAsia="Barlow Semi Condensed" w:hAnsi="Barlow Semi Condensed"/>
          <w:sz w:val="24"/>
          <w:szCs w:val="24"/>
        </w:rPr>
        <w:t xml:space="preserve">acquisito lo stesso giorno.*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è entrato</w:t>
      </w:r>
    </w:p>
    <w:p>
      <w:pPr>
        <w:spacing w:after="120" w:line="276"/>
        <w:jc w:val="both"/>
      </w:pPr>
      <w:r>
        <w:rPr>
          <w:rFonts w:ascii="Barlow Semi Condensed" w:cs="Barlow Semi Condensed" w:eastAsia="Barlow Semi Condensed" w:hAnsi="Barlow Semi Condensed"/>
          <w:sz w:val="24"/>
          <w:szCs w:val="24"/>
        </w:rPr>
        <w:t xml:space="preserve">Il lotto è arrivato in tre invii successivi e conteneva ripetizioni. Contate</w:t>
      </w:r>
    </w:p>
    <w:p>
      <w:pPr>
        <w:spacing w:after="120" w:line="276"/>
        <w:jc w:val="both"/>
      </w:pPr>
      <w:r>
        <w:rPr>
          <w:rFonts w:ascii="Barlow Semi Condensed" w:cs="Barlow Semi Condensed" w:eastAsia="Barlow Semi Condensed" w:hAnsi="Barlow Semi Condensed"/>
          <w:sz w:val="24"/>
          <w:szCs w:val="24"/>
        </w:rPr>
        <w:t xml:space="preserve">una volta sola, le acquisizioni distinte sono **ventisette, per 166.067</w:t>
      </w:r>
    </w:p>
    <w:p>
      <w:pPr>
        <w:spacing w:after="120" w:line="276"/>
        <w:jc w:val="both"/>
      </w:pPr>
      <w:r>
        <w:rPr>
          <w:rFonts w:ascii="Barlow Semi Condensed" w:cs="Barlow Semi Condensed" w:eastAsia="Barlow Semi Condensed" w:hAnsi="Barlow Semi Condensed"/>
          <w:sz w:val="24"/>
          <w:szCs w:val="24"/>
        </w:rPr>
        <w:t xml:space="preserve">parole**: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sedici ricognizioni</w:t>
      </w:r>
      <w:r>
        <w:rPr>
          <w:rFonts w:ascii="Barlow Semi Condensed" w:cs="Barlow Semi Condensed" w:eastAsia="Barlow Semi Condensed" w:hAnsi="Barlow Semi Condensed"/>
          <w:sz w:val="24"/>
          <w:szCs w:val="24"/>
        </w:rPr>
        <w:t xml:space="preserve"> numerate dalla terza alla diciottesima;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sette registri analitici</w:t>
      </w:r>
      <w:r>
        <w:rPr>
          <w:rFonts w:ascii="Barlow Semi Condensed" w:cs="Barlow Semi Condensed" w:eastAsia="Barlow Semi Condensed" w:hAnsi="Barlow Semi Condensed"/>
          <w:sz w:val="24"/>
          <w:szCs w:val="24"/>
        </w:rPr>
        <w:t xml:space="preserve">, dal primo al settimo;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un'opera seconda</w:t>
      </w:r>
      <w:r>
        <w:rPr>
          <w:rFonts w:ascii="Barlow Semi Condensed" w:cs="Barlow Semi Condensed" w:eastAsia="Barlow Semi Condensed" w:hAnsi="Barlow Semi Condensed"/>
          <w:sz w:val="24"/>
          <w:szCs w:val="24"/>
        </w:rPr>
        <w:t xml:space="preserve"> in sette Fasi e settanta Capitoli — «Il Registro dei</w:t>
      </w:r>
    </w:p>
    <w:p>
      <w:pPr>
        <w:spacing w:after="120" w:line="276"/>
        <w:jc w:val="both"/>
      </w:pPr>
      <w:r>
        <w:rPr>
          <w:rFonts w:ascii="Barlow Semi Condensed" w:cs="Barlow Semi Condensed" w:eastAsia="Barlow Semi Condensed" w:hAnsi="Barlow Semi Condensed"/>
          <w:sz w:val="24"/>
          <w:szCs w:val="24"/>
        </w:rPr>
        <w:t xml:space="preserve">  cinquantacinque giorni», 44.540 parole — che il corpus non conteneva;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un'appendice</w:t>
      </w:r>
      <w:r>
        <w:rPr>
          <w:rFonts w:ascii="Barlow Semi Condensed" w:cs="Barlow Semi Condensed" w:eastAsia="Barlow Semi Condensed" w:hAnsi="Barlow Semi Condensed"/>
          <w:sz w:val="24"/>
          <w:szCs w:val="24"/>
        </w:rPr>
        <w:t xml:space="preserve"> alla Fase settima, collocata accanto al Libro cui appartiene;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 memorandum operativo</w:t>
      </w:r>
      <w:r>
        <w:rPr>
          <w:rFonts w:ascii="Barlow Semi Condensed" w:cs="Barlow Semi Condensed" w:eastAsia="Barlow Semi Condensed" w:hAnsi="Barlow Semi Condensed"/>
          <w:sz w:val="24"/>
          <w:szCs w:val="24"/>
        </w:rPr>
        <w:t xml:space="preserve">, archiviato ma </w:t>
      </w:r>
      <w:r>
        <w:rPr>
          <w:rFonts w:ascii="Barlow Semi Condensed" w:cs="Barlow Semi Condensed" w:eastAsia="Barlow Semi Condensed" w:hAnsi="Barlow Semi Condensed"/>
          <w:b/>
          <w:bCs/>
          <w:sz w:val="24"/>
          <w:szCs w:val="24"/>
        </w:rPr>
        <w:t xml:space="preserve">non rilegato</w:t>
      </w:r>
      <w:r>
        <w:rPr>
          <w:rFonts w:ascii="Barlow Semi Condensed" w:cs="Barlow Semi Condensed" w:eastAsia="Barlow Semi Condensed" w:hAnsi="Barlow Semi Condensed"/>
          <w:sz w:val="24"/>
          <w:szCs w:val="24"/>
        </w:rPr>
        <w:t xml:space="preserve">, per disposizione</w:t>
      </w:r>
    </w:p>
    <w:p>
      <w:pPr>
        <w:spacing w:after="120" w:line="276"/>
        <w:jc w:val="both"/>
      </w:pPr>
      <w:r>
        <w:rPr>
          <w:rFonts w:ascii="Barlow Semi Condensed" w:cs="Barlow Semi Condensed" w:eastAsia="Barlow Semi Condensed" w:hAnsi="Barlow Semi Condensed"/>
          <w:sz w:val="24"/>
          <w:szCs w:val="24"/>
        </w:rPr>
        <w:t xml:space="preserve">  propria (§VII).</w:t>
      </w:r>
    </w:p>
    <w:p>
      <w:pPr>
        <w:spacing w:after="120" w:line="276"/>
        <w:jc w:val="both"/>
      </w:pPr>
      <w:r>
        <w:rPr>
          <w:rFonts w:ascii="Barlow Semi Condensed" w:cs="Barlow Semi Condensed" w:eastAsia="Barlow Semi Condensed" w:hAnsi="Barlow Semi Condensed"/>
          <w:b/>
          <w:bCs/>
          <w:sz w:val="24"/>
          <w:szCs w:val="24"/>
        </w:rPr>
        <w:t xml:space="preserve">Che cosa è stato scartato, e perché.</w:t>
      </w:r>
      <w:r>
        <w:rPr>
          <w:rFonts w:ascii="Barlow Semi Condensed" w:cs="Barlow Semi Condensed" w:eastAsia="Barlow Semi Condensed" w:hAnsi="Barlow Semi Condensed"/>
          <w:sz w:val="24"/>
          <w:szCs w:val="24"/>
        </w:rPr>
        <w:t xml:space="preserve"> Undici documenti del secondo invio</w:t>
      </w:r>
    </w:p>
    <w:p>
      <w:pPr>
        <w:spacing w:after="120" w:line="276"/>
        <w:jc w:val="both"/>
      </w:pPr>
      <w:r>
        <w:rPr>
          <w:rFonts w:ascii="Barlow Semi Condensed" w:cs="Barlow Semi Condensed" w:eastAsia="Barlow Semi Condensed" w:hAnsi="Barlow Semi Condensed"/>
          <w:sz w:val="24"/>
          <w:szCs w:val="24"/>
        </w:rPr>
        <w:t xml:space="preserve">erano byte per byte identici a quelli del primo. Del terzo invio, tre file</w:t>
      </w:r>
    </w:p>
    <w:p>
      <w:pPr>
        <w:spacing w:after="120" w:line="276"/>
        <w:jc w:val="both"/>
      </w:pPr>
      <w:r>
        <w:rPr>
          <w:rFonts w:ascii="Barlow Semi Condensed" w:cs="Barlow Semi Condensed" w:eastAsia="Barlow Semi Condensed" w:hAnsi="Barlow Semi Condensed"/>
          <w:sz w:val="24"/>
          <w:szCs w:val="24"/>
        </w:rPr>
        <w:t xml:space="preserve">risultano contenuti nell'opera seconda agli 8-grammi — al 100, al 98,3 e al</w:t>
      </w:r>
    </w:p>
    <w:p>
      <w:pPr>
        <w:spacing w:after="120" w:line="276"/>
        <w:jc w:val="both"/>
      </w:pPr>
      <w:r>
        <w:rPr>
          <w:rFonts w:ascii="Barlow Semi Condensed" w:cs="Barlow Semi Condensed" w:eastAsia="Barlow Semi Condensed" w:hAnsi="Barlow Semi Condensed"/>
          <w:sz w:val="24"/>
          <w:szCs w:val="24"/>
        </w:rPr>
        <w:t xml:space="preserve">98,7 per cento — e non sono stati archiviati a parte perché sarebbero</w:t>
      </w:r>
    </w:p>
    <w:p>
      <w:pPr>
        <w:spacing w:after="120" w:line="276"/>
        <w:jc w:val="both"/>
      </w:pPr>
      <w:r>
        <w:rPr>
          <w:rFonts w:ascii="Barlow Semi Condensed" w:cs="Barlow Semi Condensed" w:eastAsia="Barlow Semi Condensed" w:hAnsi="Barlow Semi Condensed"/>
          <w:sz w:val="24"/>
          <w:szCs w:val="24"/>
        </w:rPr>
        <w:t xml:space="preserve">duplicati. Il conteggio delle acquisizioni li esclude; l'archivio non li</w:t>
      </w:r>
    </w:p>
    <w:p>
      <w:pPr>
        <w:spacing w:after="120" w:line="276"/>
        <w:jc w:val="both"/>
      </w:pPr>
      <w:r>
        <w:rPr>
          <w:rFonts w:ascii="Barlow Semi Condensed" w:cs="Barlow Semi Condensed" w:eastAsia="Barlow Semi Condensed" w:hAnsi="Barlow Semi Condensed"/>
          <w:sz w:val="24"/>
          <w:szCs w:val="24"/>
        </w:rPr>
        <w:t xml:space="preserve">contiene.</w:t>
      </w:r>
    </w:p>
    <w:p>
      <w:pPr>
        <w:spacing w:after="120" w:line="276"/>
        <w:jc w:val="both"/>
      </w:pPr>
      <w:r>
        <w:rPr>
          <w:rFonts w:ascii="Barlow Semi Condensed" w:cs="Barlow Semi Condensed" w:eastAsia="Barlow Semi Condensed" w:hAnsi="Barlow Semi Condensed"/>
          <w:sz w:val="24"/>
          <w:szCs w:val="24"/>
        </w:rPr>
        <w:t xml:space="preserve">La sovrapposizione col corpus è stata misurata prima di archiviare, sugli</w:t>
      </w:r>
    </w:p>
    <w:p>
      <w:pPr>
        <w:spacing w:after="120" w:line="276"/>
        <w:jc w:val="both"/>
      </w:pPr>
      <w:r>
        <w:rPr>
          <w:rFonts w:ascii="Barlow Semi Condensed" w:cs="Barlow Semi Condensed" w:eastAsia="Barlow Semi Condensed" w:hAnsi="Barlow Semi Condensed"/>
          <w:sz w:val="24"/>
          <w:szCs w:val="24"/>
        </w:rPr>
        <w:t xml:space="preserve">8-grammi. </w:t>
      </w:r>
      <w:r>
        <w:rPr>
          <w:rFonts w:ascii="Barlow Semi Condensed" w:cs="Barlow Semi Condensed" w:eastAsia="Barlow Semi Condensed" w:hAnsi="Barlow Semi Condensed"/>
          <w:b/>
          <w:bCs/>
          <w:sz w:val="24"/>
          <w:szCs w:val="24"/>
        </w:rPr>
        <w:t xml:space="preserve">Quindici documenti su ventuno stanno sotto il 2 per cento</w:t>
      </w:r>
      <w:r>
        <w:rPr>
          <w:rFonts w:ascii="Barlow Semi Condensed" w:cs="Barlow Semi Condensed" w:eastAsia="Barlow Semi Condensed" w:hAnsi="Barlow Semi Condensed"/>
          <w:sz w:val="24"/>
          <w:szCs w:val="24"/>
        </w:rPr>
        <w:t xml:space="preserve">: sono</w:t>
      </w:r>
    </w:p>
    <w:p>
      <w:pPr>
        <w:spacing w:after="120" w:line="276"/>
        <w:jc w:val="both"/>
      </w:pPr>
      <w:r>
        <w:rPr>
          <w:rFonts w:ascii="Barlow Semi Condensed" w:cs="Barlow Semi Condensed" w:eastAsia="Barlow Semi Condensed" w:hAnsi="Barlow Semi Condensed"/>
          <w:sz w:val="24"/>
          <w:szCs w:val="24"/>
        </w:rPr>
        <w:t xml:space="preserve">materiale nuovo. Sei rivedono ricognizioni già presenti, con sovrapposizioni</w:t>
      </w:r>
    </w:p>
    <w:p>
      <w:pPr>
        <w:spacing w:after="120" w:line="276"/>
        <w:jc w:val="both"/>
      </w:pPr>
      <w:r>
        <w:rPr>
          <w:rFonts w:ascii="Barlow Semi Condensed" w:cs="Barlow Semi Condensed" w:eastAsia="Barlow Semi Condensed" w:hAnsi="Barlow Semi Condensed"/>
          <w:sz w:val="24"/>
          <w:szCs w:val="24"/>
        </w:rPr>
        <w:t xml:space="preserve">fra il 7 e il 29,4 per cento — e </w:t>
      </w:r>
      <w:r>
        <w:rPr>
          <w:rFonts w:ascii="Barlow Semi Condensed" w:cs="Barlow Semi Condensed" w:eastAsia="Barlow Semi Condensed" w:hAnsi="Barlow Semi Condensed"/>
          <w:b/>
          <w:bCs/>
          <w:sz w:val="24"/>
          <w:szCs w:val="24"/>
        </w:rPr>
        <w:t xml:space="preserve">nessuno dei sei sostituisce l'anteriore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porta in testa la nota di raccordo che dichiara quale documento rivede</w:t>
      </w:r>
    </w:p>
    <w:p>
      <w:pPr>
        <w:spacing w:after="120" w:line="276"/>
        <w:jc w:val="both"/>
      </w:pPr>
      <w:r>
        <w:rPr>
          <w:rFonts w:ascii="Barlow Semi Condensed" w:cs="Barlow Semi Condensed" w:eastAsia="Barlow Semi Condensed" w:hAnsi="Barlow Semi Condensed"/>
          <w:sz w:val="24"/>
          <w:szCs w:val="24"/>
        </w:rPr>
        <w:t xml:space="preserve">e con quale misura, e le due versioni restano entrambe leggibili.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ricognizione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rivede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sovrapposizione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nona — la sequenza Oder-Neisse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santa-sede-due-germanie-oder-neisse.md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29,4 %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settima — Turchia e attentato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santa-sede-turchia-attentato-giovanni-paolo-ii.md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23,5 %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sesta — il ribaltamento iberico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portogallo-opus-dei.md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decima — revisione del modello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germania-opus-dei-1952-1985.md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14,7 %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quinta — Portogallo, le sei lacune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portogallo-santa-sede-1969-1974.md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ottava — Mediterraneo orientale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grecia-opus-dei-1969-1985.md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7,0 %</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Il risultato che distingue questa campagna: quattro confutazioni d'autore</w:t>
      </w:r>
    </w:p>
    <w:p>
      <w:pPr>
        <w:spacing w:after="120" w:line="276"/>
        <w:jc w:val="both"/>
      </w:pPr>
      <w:r>
        <w:rPr>
          <w:rFonts w:ascii="Barlow Semi Condensed" w:cs="Barlow Semi Condensed" w:eastAsia="Barlow Semi Condensed" w:hAnsi="Barlow Semi Condensed"/>
          <w:sz w:val="24"/>
          <w:szCs w:val="24"/>
        </w:rPr>
        <w:t xml:space="preserve">È la cosa che va detta per prima, perché è rara e perché è il contrario di ciò</w:t>
      </w:r>
    </w:p>
    <w:p>
      <w:pPr>
        <w:spacing w:after="120" w:line="276"/>
        <w:jc w:val="both"/>
      </w:pPr>
      <w:r>
        <w:rPr>
          <w:rFonts w:ascii="Barlow Semi Condensed" w:cs="Barlow Semi Condensed" w:eastAsia="Barlow Semi Condensed" w:hAnsi="Barlow Semi Condensed"/>
          <w:sz w:val="24"/>
          <w:szCs w:val="24"/>
        </w:rPr>
        <w:t xml:space="preserve">che ci si aspetta da una serie di ricerche condotte da chi le ha proposte.</w:t>
      </w:r>
    </w:p>
    <w:p>
      <w:pPr>
        <w:spacing w:after="120" w:line="276"/>
        <w:jc w:val="both"/>
      </w:pPr>
      <w:r>
        <w:rPr>
          <w:rFonts w:ascii="Barlow Semi Condensed" w:cs="Barlow Semi Condensed" w:eastAsia="Barlow Semi Condensed" w:hAnsi="Barlow Semi Condensed"/>
          <w:sz w:val="24"/>
          <w:szCs w:val="24"/>
        </w:rPr>
        <w:t xml:space="preserve">**Quattro volte l'autore ha formulato un'ipotesi, l'ha sottoposta a ricerca, e</w:t>
      </w:r>
    </w:p>
    <w:p>
      <w:pPr>
        <w:spacing w:after="120" w:line="276"/>
        <w:jc w:val="both"/>
      </w:pPr>
      <w:r>
        <w:rPr>
          <w:rFonts w:ascii="Barlow Semi Condensed" w:cs="Barlow Semi Condensed" w:eastAsia="Barlow Semi Condensed" w:hAnsi="Barlow Semi Condensed"/>
          <w:sz w:val="24"/>
          <w:szCs w:val="24"/>
        </w:rPr>
        <w:t xml:space="preserve">ha registrato che le fonti la respingevano.** Non in nota: in apertura di</w:t>
      </w:r>
    </w:p>
    <w:p>
      <w:pPr>
        <w:spacing w:after="120" w:line="276"/>
        <w:jc w:val="both"/>
      </w:pPr>
      <w:r>
        <w:rPr>
          <w:rFonts w:ascii="Barlow Semi Condensed" w:cs="Barlow Semi Condensed" w:eastAsia="Barlow Semi Condensed" w:hAnsi="Barlow Semi Condensed"/>
          <w:sz w:val="24"/>
          <w:szCs w:val="24"/>
        </w:rPr>
        <w:t xml:space="preserve">documento, con la formulazione originaria riprodotta per esteso.</w:t>
      </w:r>
    </w:p>
    <w:p>
      <w:pPr>
        <w:spacing w:after="120" w:line="276"/>
        <w:jc w:val="both"/>
      </w:pPr>
      <w:r>
        <w:rPr>
          <w:rFonts w:ascii="Barlow Semi Condensed" w:cs="Barlow Semi Condensed" w:eastAsia="Barlow Semi Condensed" w:hAnsi="Barlow Semi Condensed"/>
          <w:b/>
          <w:bCs/>
          <w:sz w:val="24"/>
          <w:szCs w:val="24"/>
        </w:rPr>
        <w:t xml:space="preserve">Prima confutazione — il modello dell'Opus Dei, prima condizione falsificata</w:t>
      </w:r>
    </w:p>
    <w:p>
      <w:pPr>
        <w:spacing w:after="120" w:line="276"/>
        <w:jc w:val="both"/>
      </w:pPr>
      <w:r>
        <w:rPr>
          <w:rFonts w:ascii="Barlow Semi Condensed" w:cs="Barlow Semi Condensed" w:eastAsia="Barlow Semi Condensed" w:hAnsi="Barlow Semi Condensed"/>
          <w:sz w:val="24"/>
          <w:szCs w:val="24"/>
        </w:rPr>
        <w:t xml:space="preserve">(decima ricognizione). Il modello prevedeva che l'insediamento richiedesse un</w:t>
      </w:r>
    </w:p>
    <w:p>
      <w:pPr>
        <w:spacing w:after="120" w:line="276"/>
        <w:jc w:val="both"/>
      </w:pPr>
      <w:r>
        <w:rPr>
          <w:rFonts w:ascii="Barlow Semi Condensed" w:cs="Barlow Semi Condensed" w:eastAsia="Barlow Semi Condensed" w:hAnsi="Barlow Semi Condensed"/>
          <w:sz w:val="24"/>
          <w:szCs w:val="24"/>
        </w:rPr>
        <w:t xml:space="preserve">Paese a maggioranza cattolica o con ceto cattolico autoctono. La condizione di</w:t>
      </w:r>
    </w:p>
    <w:p>
      <w:pPr>
        <w:spacing w:after="120" w:line="276"/>
        <w:jc w:val="both"/>
      </w:pPr>
      <w:r>
        <w:rPr>
          <w:rFonts w:ascii="Barlow Semi Condensed" w:cs="Barlow Semi Condensed" w:eastAsia="Barlow Semi Condensed" w:hAnsi="Barlow Semi Condensed"/>
          <w:sz w:val="24"/>
          <w:szCs w:val="24"/>
        </w:rPr>
        <w:t xml:space="preserve">falsificazione era stata dichiarata in anticipo. È caduta: **la Gran Bretagna</w:t>
      </w:r>
    </w:p>
    <w:p>
      <w:pPr>
        <w:spacing w:after="120" w:line="276"/>
        <w:jc w:val="both"/>
      </w:pPr>
      <w:r>
        <w:rPr>
          <w:rFonts w:ascii="Barlow Semi Condensed" w:cs="Barlow Semi Condensed" w:eastAsia="Barlow Semi Condensed" w:hAnsi="Barlow Semi Condensed"/>
          <w:sz w:val="24"/>
          <w:szCs w:val="24"/>
        </w:rPr>
        <w:t xml:space="preserve">del 1946 precede la Germania del 1952**, e non è né l'una né l'altra cosa. Il</w:t>
      </w:r>
    </w:p>
    <w:p>
      <w:pPr>
        <w:spacing w:after="120" w:line="276"/>
        <w:jc w:val="both"/>
      </w:pPr>
      <w:r>
        <w:rPr>
          <w:rFonts w:ascii="Barlow Semi Condensed" w:cs="Barlow Semi Condensed" w:eastAsia="Barlow Semi Condensed" w:hAnsi="Barlow Semi Condensed"/>
          <w:sz w:val="24"/>
          <w:szCs w:val="24"/>
        </w:rPr>
        <w:t xml:space="preserve">Registro delle undici ricognizioni fissa la correzione con precisione:</w:t>
      </w:r>
    </w:p>
    <w:p>
      <w:pPr>
        <w:spacing w:after="120" w:line="276"/>
        <w:jc w:val="both"/>
      </w:pPr>
      <w:r>
        <w:rPr>
          <w:rFonts w:ascii="Barlow Semi Condensed" w:cs="Barlow Semi Condensed" w:eastAsia="Barlow Semi Condensed" w:hAnsi="Barlow Semi Condensed"/>
          <w:sz w:val="24"/>
          <w:szCs w:val="24"/>
        </w:rPr>
        <w:t xml:space="preserve">«il primo caso falsificante è la Gran Bretagna 1946 e non la Germania 1952; la</w:t>
      </w:r>
    </w:p>
    <w:p>
      <w:pPr>
        <w:spacing w:after="120" w:line="276"/>
        <w:jc w:val="both"/>
      </w:pPr>
      <w:r>
        <w:rPr>
          <w:rFonts w:ascii="Barlow Semi Condensed" w:cs="Barlow Semi Condensed" w:eastAsia="Barlow Semi Condensed" w:hAnsi="Barlow Semi Condensed"/>
          <w:sz w:val="24"/>
          <w:szCs w:val="24"/>
        </w:rPr>
        <w:t xml:space="preserve">Germania è il caso </w:t>
      </w:r>
      <w:r>
        <w:rPr>
          <w:rFonts w:ascii="Barlow Semi Condensed" w:cs="Barlow Semi Condensed" w:eastAsia="Barlow Semi Condensed" w:hAnsi="Barlow Semi Condensed"/>
          <w:i/>
          <w:iCs/>
          <w:sz w:val="24"/>
          <w:szCs w:val="24"/>
        </w:rPr>
        <w:t xml:space="preserve">più probante</w:t>
      </w:r>
      <w:r>
        <w:rPr>
          <w:rFonts w:ascii="Barlow Semi Condensed" w:cs="Barlow Semi Condensed" w:eastAsia="Barlow Semi Condensed" w:hAnsi="Barlow Semi Condensed"/>
          <w:sz w:val="24"/>
          <w:szCs w:val="24"/>
        </w:rPr>
        <w:t xml:space="preserve"> perché il milieu vi è più documentato, *non</w:t>
      </w:r>
    </w:p>
    <w:p>
      <w:pPr>
        <w:spacing w:after="120" w:line="276"/>
        <w:jc w:val="both"/>
      </w:pPr>
      <w:r>
        <w:rPr>
          <w:rFonts w:ascii="Barlow Semi Condensed" w:cs="Barlow Semi Condensed" w:eastAsia="Barlow Semi Condensed" w:hAnsi="Barlow Semi Condensed"/>
          <w:sz w:val="24"/>
          <w:szCs w:val="24"/>
        </w:rPr>
        <w:t xml:space="preserve">il più antico*».</w:t>
      </w:r>
    </w:p>
    <w:p>
      <w:pPr>
        <w:spacing w:after="120" w:line="276"/>
        <w:jc w:val="both"/>
      </w:pPr>
      <w:r>
        <w:rPr>
          <w:rFonts w:ascii="Barlow Semi Condensed" w:cs="Barlow Semi Condensed" w:eastAsia="Barlow Semi Condensed" w:hAnsi="Barlow Semi Condensed"/>
          <w:b/>
          <w:bCs/>
          <w:sz w:val="24"/>
          <w:szCs w:val="24"/>
        </w:rPr>
        <w:t xml:space="preserve">Seconda confutazione — il Kenya</w:t>
      </w:r>
      <w:r>
        <w:rPr>
          <w:rFonts w:ascii="Barlow Semi Condensed" w:cs="Barlow Semi Condensed" w:eastAsia="Barlow Semi Condensed" w:hAnsi="Barlow Semi Condensed"/>
          <w:sz w:val="24"/>
          <w:szCs w:val="24"/>
        </w:rPr>
        <w:t xml:space="preserve"> (dodicesima ricognizione). Il modello,</w:t>
      </w:r>
    </w:p>
    <w:p>
      <w:pPr>
        <w:spacing w:after="120" w:line="276"/>
        <w:jc w:val="both"/>
      </w:pPr>
      <w:r>
        <w:rPr>
          <w:rFonts w:ascii="Barlow Semi Condensed" w:cs="Barlow Semi Condensed" w:eastAsia="Barlow Semi Condensed" w:hAnsi="Barlow Semi Condensed"/>
          <w:sz w:val="24"/>
          <w:szCs w:val="24"/>
        </w:rPr>
        <w:t xml:space="preserve">già emendato una volta, cade una seconda: si documenta un radicamento</w:t>
      </w:r>
    </w:p>
    <w:p>
      <w:pPr>
        <w:spacing w:after="120" w:line="276"/>
        <w:jc w:val="both"/>
      </w:pPr>
      <w:r>
        <w:rPr>
          <w:rFonts w:ascii="Barlow Semi Condensed" w:cs="Barlow Semi Condensed" w:eastAsia="Barlow Semi Condensed" w:hAnsi="Barlow Semi Condensed"/>
          <w:b/>
          <w:bCs/>
          <w:sz w:val="24"/>
          <w:szCs w:val="24"/>
        </w:rPr>
        <w:t xml:space="preserve">endogeno</w:t>
      </w:r>
      <w:r>
        <w:rPr>
          <w:rFonts w:ascii="Barlow Semi Condensed" w:cs="Barlow Semi Condensed" w:eastAsia="Barlow Semi Condensed" w:hAnsi="Barlow Semi Condensed"/>
          <w:sz w:val="24"/>
          <w:szCs w:val="24"/>
        </w:rPr>
        <w:t xml:space="preserve"> del ceto, non per trapianto, in un Paese che ne era privo. Che una</w:t>
      </w:r>
    </w:p>
    <w:p>
      <w:pPr>
        <w:spacing w:after="120" w:line="276"/>
        <w:jc w:val="both"/>
      </w:pPr>
      <w:r>
        <w:rPr>
          <w:rFonts w:ascii="Barlow Semi Condensed" w:cs="Barlow Semi Condensed" w:eastAsia="Barlow Semi Condensed" w:hAnsi="Barlow Semi Condensed"/>
          <w:sz w:val="24"/>
          <w:szCs w:val="24"/>
        </w:rPr>
        <w:t xml:space="preserve">proposizione con condizione di falsificazione esplicita cada due volte in due</w:t>
      </w:r>
    </w:p>
    <w:p>
      <w:pPr>
        <w:spacing w:after="120" w:line="276"/>
        <w:jc w:val="both"/>
      </w:pPr>
      <w:r>
        <w:rPr>
          <w:rFonts w:ascii="Barlow Semi Condensed" w:cs="Barlow Semi Condensed" w:eastAsia="Barlow Semi Condensed" w:hAnsi="Barlow Semi Condensed"/>
          <w:sz w:val="24"/>
          <w:szCs w:val="24"/>
        </w:rPr>
        <w:t xml:space="preserve">passaggi è, dichiara l'autore, «essa stessa un risultato».</w:t>
      </w:r>
    </w:p>
    <w:p>
      <w:pPr>
        <w:spacing w:after="120" w:line="276"/>
        <w:jc w:val="both"/>
      </w:pPr>
      <w:r>
        <w:rPr>
          <w:rFonts w:ascii="Barlow Semi Condensed" w:cs="Barlow Semi Condensed" w:eastAsia="Barlow Semi Condensed" w:hAnsi="Barlow Semi Condensed"/>
          <w:b/>
          <w:bCs/>
          <w:sz w:val="24"/>
          <w:szCs w:val="24"/>
        </w:rPr>
        <w:t xml:space="preserve">Terza confutazione — l'ipotesi namibiana</w:t>
      </w:r>
      <w:r>
        <w:rPr>
          <w:rFonts w:ascii="Barlow Semi Condensed" w:cs="Barlow Semi Condensed" w:eastAsia="Barlow Semi Condensed" w:hAnsi="Barlow Semi Condensed"/>
          <w:sz w:val="24"/>
          <w:szCs w:val="24"/>
        </w:rPr>
        <w:t xml:space="preserve"> (sedicesima ricognizione).</w:t>
      </w:r>
    </w:p>
    <w:p>
      <w:pPr>
        <w:spacing w:after="120" w:line="276"/>
        <w:jc w:val="both"/>
      </w:pPr>
      <w:r>
        <w:rPr>
          <w:rFonts w:ascii="Barlow Semi Condensed" w:cs="Barlow Semi Condensed" w:eastAsia="Barlow Semi Condensed" w:hAnsi="Barlow Semi Condensed"/>
          <w:sz w:val="24"/>
          <w:szCs w:val="24"/>
        </w:rPr>
        <w:t xml:space="preserve">L'ipotesi sull'esclusione italiana dal Gruppo di contatto occidentale è respinta</w:t>
      </w:r>
    </w:p>
    <w:p>
      <w:pPr>
        <w:spacing w:after="120" w:line="276"/>
        <w:jc w:val="both"/>
      </w:pPr>
      <w:r>
        <w:rPr>
          <w:rFonts w:ascii="Barlow Semi Condensed" w:cs="Barlow Semi Condensed" w:eastAsia="Barlow Semi Condensed" w:hAnsi="Barlow Semi Condensed"/>
          <w:sz w:val="24"/>
          <w:szCs w:val="24"/>
        </w:rPr>
        <w:t xml:space="preserve">dalle fonti. L'autore la registra in apertura «perché è la terza volta nella</w:t>
      </w:r>
    </w:p>
    <w:p>
      <w:pPr>
        <w:spacing w:after="120" w:line="276"/>
        <w:jc w:val="both"/>
      </w:pPr>
      <w:r>
        <w:rPr>
          <w:rFonts w:ascii="Barlow Semi Condensed" w:cs="Barlow Semi Condensed" w:eastAsia="Barlow Semi Condensed" w:hAnsi="Barlow Semi Condensed"/>
          <w:sz w:val="24"/>
          <w:szCs w:val="24"/>
        </w:rPr>
        <w:t xml:space="preserve">serie che ciò accade, e perché tacerla sarebbe il vizio che la serie serve a</w:t>
      </w:r>
    </w:p>
    <w:p>
      <w:pPr>
        <w:spacing w:after="120" w:line="276"/>
        <w:jc w:val="both"/>
      </w:pPr>
      <w:r>
        <w:rPr>
          <w:rFonts w:ascii="Barlow Semi Condensed" w:cs="Barlow Semi Condensed" w:eastAsia="Barlow Semi Condensed" w:hAnsi="Barlow Semi Condensed"/>
          <w:sz w:val="24"/>
          <w:szCs w:val="24"/>
        </w:rPr>
        <w:t xml:space="preserve">prevenire».</w:t>
      </w:r>
    </w:p>
    <w:p>
      <w:pPr>
        <w:spacing w:after="120" w:line="276"/>
        <w:jc w:val="both"/>
      </w:pPr>
      <w:r>
        <w:rPr>
          <w:rFonts w:ascii="Barlow Semi Condensed" w:cs="Barlow Semi Condensed" w:eastAsia="Barlow Semi Condensed" w:hAnsi="Barlow Semi Condensed"/>
          <w:b/>
          <w:bCs/>
          <w:sz w:val="24"/>
          <w:szCs w:val="24"/>
        </w:rPr>
        <w:t xml:space="preserve">Quarta confutazione — il nodo sudafricano</w:t>
      </w:r>
      <w:r>
        <w:rPr>
          <w:rFonts w:ascii="Barlow Semi Condensed" w:cs="Barlow Semi Condensed" w:eastAsia="Barlow Semi Condensed" w:hAnsi="Barlow Semi Condensed"/>
          <w:sz w:val="24"/>
          <w:szCs w:val="24"/>
        </w:rPr>
        <w:t xml:space="preserve"> (terzo registro). L'ipotesi era</w:t>
      </w:r>
    </w:p>
    <w:p>
      <w:pPr>
        <w:spacing w:after="120" w:line="276"/>
        <w:jc w:val="both"/>
      </w:pPr>
      <w:r>
        <w:rPr>
          <w:rFonts w:ascii="Barlow Semi Condensed" w:cs="Barlow Semi Condensed" w:eastAsia="Barlow Semi Condensed" w:hAnsi="Barlow Semi Condensed"/>
          <w:sz w:val="24"/>
          <w:szCs w:val="24"/>
        </w:rPr>
        <w:t xml:space="preserve">che il Sudafrica costituisse un nodo che attraversa entrambe le formazioni</w:t>
      </w:r>
    </w:p>
    <w:p>
      <w:pPr>
        <w:spacing w:after="120" w:line="276"/>
        <w:jc w:val="both"/>
      </w:pPr>
      <w:r>
        <w:rPr>
          <w:rFonts w:ascii="Barlow Semi Condensed" w:cs="Barlow Semi Condensed" w:eastAsia="Barlow Semi Condensed" w:hAnsi="Barlow Semi Condensed"/>
          <w:sz w:val="24"/>
          <w:szCs w:val="24"/>
        </w:rPr>
        <w:t xml:space="preserve">cambiando polarità. Le fonti danno un'altra figura: **non un nodo che ruota, ma</w:t>
      </w:r>
    </w:p>
    <w:p>
      <w:pPr>
        <w:spacing w:after="120" w:line="276"/>
        <w:jc w:val="both"/>
      </w:pPr>
      <w:r>
        <w:rPr>
          <w:rFonts w:ascii="Barlow Semi Condensed" w:cs="Barlow Semi Condensed" w:eastAsia="Barlow Semi Condensed" w:hAnsi="Barlow Semi Condensed"/>
          <w:sz w:val="24"/>
          <w:szCs w:val="24"/>
        </w:rPr>
        <w:t xml:space="preserve">lo Stato che contiene i due fronti**.</w:t>
      </w:r>
    </w:p>
    <w:p>
      <w:pPr>
        <w:spacing w:after="120" w:line="276"/>
        <w:jc w:val="both"/>
      </w:pPr>
      <w:r>
        <w:rPr>
          <w:rFonts w:ascii="Barlow Semi Condensed" w:cs="Barlow Semi Condensed" w:eastAsia="Barlow Semi Condensed" w:hAnsi="Barlow Semi Condensed"/>
          <w:sz w:val="24"/>
          <w:szCs w:val="24"/>
        </w:rPr>
        <w:t xml:space="preserve">Quattro ipotesi proposte e quattro respinte, dallo stesso autore che le aveva</w:t>
      </w:r>
    </w:p>
    <w:p>
      <w:pPr>
        <w:spacing w:after="120" w:line="276"/>
        <w:jc w:val="both"/>
      </w:pPr>
      <w:r>
        <w:rPr>
          <w:rFonts w:ascii="Barlow Semi Condensed" w:cs="Barlow Semi Condensed" w:eastAsia="Barlow Semi Condensed" w:hAnsi="Barlow Semi Condensed"/>
          <w:sz w:val="24"/>
          <w:szCs w:val="24"/>
        </w:rPr>
        <w:t xml:space="preserve">proposte. Nel corpus questo non ha precedenti di uguale densità, ed è il motivo</w:t>
      </w:r>
    </w:p>
    <w:p>
      <w:pPr>
        <w:spacing w:after="120" w:line="276"/>
        <w:jc w:val="both"/>
      </w:pPr>
      <w:r>
        <w:rPr>
          <w:rFonts w:ascii="Barlow Semi Condensed" w:cs="Barlow Semi Condensed" w:eastAsia="Barlow Semi Condensed" w:hAnsi="Barlow Semi Condensed"/>
          <w:sz w:val="24"/>
          <w:szCs w:val="24"/>
        </w:rPr>
        <w:t xml:space="preserve">per cui la campagna vale più della somma dei suoi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che la campagna impone al corpus</w:t>
      </w:r>
    </w:p>
    <w:p>
      <w:pPr>
        <w:spacing w:after="120" w:line="276"/>
        <w:jc w:val="both"/>
      </w:pPr>
      <w:r>
        <w:rPr>
          <w:rFonts w:ascii="Barlow Semi Condensed" w:cs="Barlow Semi Condensed" w:eastAsia="Barlow Semi Condensed" w:hAnsi="Barlow Semi Condensed"/>
          <w:sz w:val="24"/>
          <w:szCs w:val="24"/>
        </w:rPr>
        <w:t xml:space="preserve">Vanno eseguite, non soltanto registrate.</w:t>
      </w:r>
    </w:p>
    <w:p>
      <w:pPr>
        <w:spacing w:after="120" w:line="276"/>
        <w:jc w:val="both"/>
      </w:pPr>
      <w:r>
        <w:rPr>
          <w:rFonts w:ascii="Barlow Semi Condensed" w:cs="Barlow Semi Condensed" w:eastAsia="Barlow Semi Condensed" w:hAnsi="Barlow Semi Condensed"/>
          <w:sz w:val="24"/>
          <w:szCs w:val="24"/>
        </w:rPr>
        <w:t xml:space="preserve">**Il riconoscimento della Repubblica Democratica Tedesca non avvenne sotto</w:t>
      </w:r>
    </w:p>
    <w:p>
      <w:pPr>
        <w:spacing w:after="120" w:line="276"/>
        <w:jc w:val="both"/>
      </w:pPr>
      <w:r>
        <w:rPr>
          <w:rFonts w:ascii="Barlow Semi Condensed" w:cs="Barlow Semi Condensed" w:eastAsia="Barlow Semi Condensed" w:hAnsi="Barlow Semi Condensed"/>
          <w:sz w:val="24"/>
          <w:szCs w:val="24"/>
        </w:rPr>
        <w:t xml:space="preserve">Moro.** La nona ricognizione lo data col Portale storico della Camera: seduta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mercoledì 17 gennaio 1973</w:t>
      </w:r>
      <w:r>
        <w:rPr>
          <w:rFonts w:ascii="Barlow Semi Condensed" w:cs="Barlow Semi Condensed" w:eastAsia="Barlow Semi Condensed" w:hAnsi="Barlow Semi Condensed"/>
          <w:sz w:val="24"/>
          <w:szCs w:val="24"/>
        </w:rPr>
        <w:t xml:space="preserve">, sesta legislatura. Cadde </w:t>
      </w:r>
      <w:r>
        <w:rPr>
          <w:rFonts w:ascii="Barlow Semi Condensed" w:cs="Barlow Semi Condensed" w:eastAsia="Barlow Semi Condensed" w:hAnsi="Barlow Semi Condensed"/>
          <w:b/>
          <w:bCs/>
          <w:sz w:val="24"/>
          <w:szCs w:val="24"/>
        </w:rPr>
        <w:t xml:space="preserve">fra i due mandati</w:t>
      </w:r>
    </w:p>
    <w:p>
      <w:pPr>
        <w:spacing w:after="120" w:line="276"/>
        <w:jc w:val="both"/>
      </w:pPr>
      <w:r>
        <w:rPr>
          <w:rFonts w:ascii="Barlow Semi Condensed" w:cs="Barlow Semi Condensed" w:eastAsia="Barlow Semi Condensed" w:hAnsi="Barlow Semi Condensed"/>
          <w:sz w:val="24"/>
          <w:szCs w:val="24"/>
        </w:rPr>
        <w:t xml:space="preserve">di Moro alla Farnesina, e il ministro degli Esteri era allora **Giuseppe</w:t>
      </w:r>
    </w:p>
    <w:p>
      <w:pPr>
        <w:spacing w:after="120" w:line="276"/>
        <w:jc w:val="both"/>
      </w:pPr>
      <w:r>
        <w:rPr>
          <w:rFonts w:ascii="Barlow Semi Condensed" w:cs="Barlow Semi Condensed" w:eastAsia="Barlow Semi Condensed" w:hAnsi="Barlow Semi Condensed"/>
          <w:sz w:val="24"/>
          <w:szCs w:val="24"/>
        </w:rPr>
        <w:t xml:space="preserve">Medici**, nel governo Andreotti. L'ipotesi che fosse avvenuto sotto la</w:t>
      </w:r>
    </w:p>
    <w:p>
      <w:pPr>
        <w:spacing w:after="120" w:line="276"/>
        <w:jc w:val="both"/>
      </w:pPr>
      <w:r>
        <w:rPr>
          <w:rFonts w:ascii="Barlow Semi Condensed" w:cs="Barlow Semi Condensed" w:eastAsia="Barlow Semi Condensed" w:hAnsi="Barlow Semi Condensed"/>
          <w:sz w:val="24"/>
          <w:szCs w:val="24"/>
        </w:rPr>
        <w:t xml:space="preserve">titolarità di Moro è errata e va emendata ovunque il corpus la porti.</w:t>
      </w:r>
    </w:p>
    <w:p>
      <w:pPr>
        <w:spacing w:after="120" w:line="276"/>
        <w:jc w:val="both"/>
      </w:pPr>
      <w:r>
        <w:rPr>
          <w:rFonts w:ascii="Barlow Semi Condensed" w:cs="Barlow Semi Condensed" w:eastAsia="Barlow Semi Condensed" w:hAnsi="Barlow Semi Condensed"/>
          <w:b/>
          <w:bCs/>
          <w:sz w:val="24"/>
          <w:szCs w:val="24"/>
        </w:rPr>
        <w:t xml:space="preserve">L'espulsione dei comboniani ha due date, non una.</w:t>
      </w:r>
      <w:r>
        <w:rPr>
          <w:rFonts w:ascii="Barlow Semi Condensed" w:cs="Barlow Semi Condensed" w:eastAsia="Barlow Semi Condensed" w:hAnsi="Barlow Semi Condensed"/>
          <w:sz w:val="24"/>
          <w:szCs w:val="24"/>
        </w:rPr>
        <w:t xml:space="preserve"> La quinta ricognizione</w:t>
      </w:r>
    </w:p>
    <w:p>
      <w:pPr>
        <w:spacing w:after="120" w:line="276"/>
        <w:jc w:val="both"/>
      </w:pPr>
      <w:r>
        <w:rPr>
          <w:rFonts w:ascii="Barlow Semi Condensed" w:cs="Barlow Semi Condensed" w:eastAsia="Barlow Semi Condensed" w:hAnsi="Barlow Semi Condensed"/>
          <w:sz w:val="24"/>
          <w:szCs w:val="24"/>
        </w:rPr>
        <w:t xml:space="preserve">separa l'ordine — </w:t>
      </w:r>
      <w:r>
        <w:rPr>
          <w:rFonts w:ascii="Barlow Semi Condensed" w:cs="Barlow Semi Condensed" w:eastAsia="Barlow Semi Condensed" w:hAnsi="Barlow Semi Condensed"/>
          <w:b/>
          <w:bCs/>
          <w:sz w:val="24"/>
          <w:szCs w:val="24"/>
        </w:rPr>
        <w:t xml:space="preserve">5 marzo 1974</w:t>
      </w:r>
      <w:r>
        <w:rPr>
          <w:rFonts w:ascii="Barlow Semi Condensed" w:cs="Barlow Semi Condensed" w:eastAsia="Barlow Semi Condensed" w:hAnsi="Barlow Semi Condensed"/>
          <w:sz w:val="24"/>
          <w:szCs w:val="24"/>
        </w:rPr>
        <w:t xml:space="preserve"> — dall'esecuzione — </w:t>
      </w:r>
      <w:r>
        <w:rPr>
          <w:rFonts w:ascii="Barlow Semi Condensed" w:cs="Barlow Semi Condensed" w:eastAsia="Barlow Semi Condensed" w:hAnsi="Barlow Semi Condensed"/>
          <w:b/>
          <w:bCs/>
          <w:sz w:val="24"/>
          <w:szCs w:val="24"/>
        </w:rPr>
        <w:t xml:space="preserve">13 aprile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trentanove giorni fra la decisione e l'atto, e la decisione precede di</w:t>
      </w:r>
    </w:p>
    <w:p>
      <w:pPr>
        <w:spacing w:after="120" w:line="276"/>
        <w:jc w:val="both"/>
      </w:pPr>
      <w:r>
        <w:rPr>
          <w:rFonts w:ascii="Barlow Semi Condensed" w:cs="Barlow Semi Condensed" w:eastAsia="Barlow Semi Condensed" w:hAnsi="Barlow Semi Condensed"/>
          <w:sz w:val="24"/>
          <w:szCs w:val="24"/>
        </w:rPr>
        <w:t xml:space="preserve">cinquantun giorni la caduta del regime. La passata precedente aveva registrato</w:t>
      </w:r>
    </w:p>
    <w:p>
      <w:pPr>
        <w:spacing w:after="120" w:line="276"/>
        <w:jc w:val="both"/>
      </w:pPr>
      <w:r>
        <w:rPr>
          <w:rFonts w:ascii="Barlow Semi Condensed" w:cs="Barlow Semi Condensed" w:eastAsia="Barlow Semi Condensed" w:hAnsi="Barlow Semi Condensed"/>
          <w:sz w:val="24"/>
          <w:szCs w:val="24"/>
        </w:rPr>
        <w:t xml:space="preserve">soltanto la data dell'esecuzione, e la differenza cambia la lettura.</w:t>
      </w:r>
    </w:p>
    <w:p>
      <w:pPr>
        <w:spacing w:after="120" w:line="276"/>
        <w:jc w:val="both"/>
      </w:pPr>
      <w:r>
        <w:rPr>
          <w:rFonts w:ascii="Barlow Semi Condensed" w:cs="Barlow Semi Condensed" w:eastAsia="Barlow Semi Condensed" w:hAnsi="Barlow Semi Condensed"/>
          <w:b/>
          <w:bCs/>
          <w:sz w:val="24"/>
          <w:szCs w:val="24"/>
        </w:rPr>
        <w:t xml:space="preserve">La quinta proposizione sull'Aginter va corretta.</w:t>
      </w:r>
      <w:r>
        <w:rPr>
          <w:rFonts w:ascii="Barlow Semi Condensed" w:cs="Barlow Semi Condensed" w:eastAsia="Barlow Semi Condensed" w:hAnsi="Barlow Semi Condensed"/>
          <w:sz w:val="24"/>
          <w:szCs w:val="24"/>
        </w:rPr>
        <w:t xml:space="preserve"> La tredicesima</w:t>
      </w:r>
    </w:p>
    <w:p>
      <w:pPr>
        <w:spacing w:after="120" w:line="276"/>
        <w:jc w:val="both"/>
      </w:pPr>
      <w:r>
        <w:rPr>
          <w:rFonts w:ascii="Barlow Semi Condensed" w:cs="Barlow Semi Condensed" w:eastAsia="Barlow Semi Condensed" w:hAnsi="Barlow Semi Condensed"/>
          <w:sz w:val="24"/>
          <w:szCs w:val="24"/>
        </w:rPr>
        <w:t xml:space="preserve">ricognizione accerta che non vi fu mai richiesta italiana di estradizione,</w:t>
      </w:r>
    </w:p>
    <w:p>
      <w:pPr>
        <w:spacing w:after="120" w:line="276"/>
        <w:jc w:val="both"/>
      </w:pPr>
      <w:r>
        <w:rPr>
          <w:rFonts w:ascii="Barlow Semi Condensed" w:cs="Barlow Semi Condensed" w:eastAsia="Barlow Semi Condensed" w:hAnsi="Barlow Semi Condensed"/>
          <w:sz w:val="24"/>
          <w:szCs w:val="24"/>
        </w:rPr>
        <w:t xml:space="preserve">accolta o respinta: la questione non si pose in quei termini perché l'uomo non</w:t>
      </w:r>
    </w:p>
    <w:p>
      <w:pPr>
        <w:spacing w:after="120" w:line="276"/>
        <w:jc w:val="both"/>
      </w:pPr>
      <w:r>
        <w:rPr>
          <w:rFonts w:ascii="Barlow Semi Condensed" w:cs="Barlow Semi Condensed" w:eastAsia="Barlow Semi Condensed" w:hAnsi="Barlow Semi Condensed"/>
          <w:sz w:val="24"/>
          <w:szCs w:val="24"/>
        </w:rPr>
        <w:t xml:space="preserve">fu mai localizzato, e </w:t>
      </w:r>
      <w:r>
        <w:rPr>
          <w:rFonts w:ascii="Barlow Semi Condensed" w:cs="Barlow Semi Condensed" w:eastAsia="Barlow Semi Condensed" w:hAnsi="Barlow Semi Condensed"/>
          <w:b/>
          <w:bCs/>
          <w:sz w:val="24"/>
          <w:szCs w:val="24"/>
        </w:rPr>
        <w:t xml:space="preserve">la notifica avvenne per irreperibilità</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Una voce del Registro va emendata</w:t>
      </w:r>
      <w:r>
        <w:rPr>
          <w:rFonts w:ascii="Barlow Semi Condensed" w:cs="Barlow Semi Condensed" w:eastAsia="Barlow Semi Condensed" w:hAnsi="Barlow Semi Condensed"/>
          <w:sz w:val="24"/>
          <w:szCs w:val="24"/>
        </w:rPr>
        <w:t xml:space="preserve"> (quattordicesima, calibrazione libica), e</w:t>
      </w:r>
    </w:p>
    <w:p>
      <w:pPr>
        <w:spacing w:after="120" w:line="276"/>
        <w:jc w:val="both"/>
      </w:pPr>
      <w:r>
        <w:rPr>
          <w:rFonts w:ascii="Barlow Semi Condensed" w:cs="Barlow Semi Condensed" w:eastAsia="Barlow Semi Condensed" w:hAnsi="Barlow Semi Condensed"/>
          <w:b/>
          <w:bCs/>
          <w:sz w:val="24"/>
          <w:szCs w:val="24"/>
        </w:rPr>
        <w:t xml:space="preserve">la sedicesima ricognizione va corretta dalla diciottesima</w:t>
      </w:r>
      <w:r>
        <w:rPr>
          <w:rFonts w:ascii="Barlow Semi Condensed" w:cs="Barlow Semi Condensed" w:eastAsia="Barlow Semi Condensed" w:hAnsi="Barlow Semi Condensed"/>
          <w:sz w:val="24"/>
          <w:szCs w:val="24"/>
        </w:rPr>
        <w:t xml:space="preserve">. Entrambe le</w:t>
      </w:r>
    </w:p>
    <w:p>
      <w:pPr>
        <w:spacing w:after="120" w:line="276"/>
        <w:jc w:val="both"/>
      </w:pPr>
      <w:r>
        <w:rPr>
          <w:rFonts w:ascii="Barlow Semi Condensed" w:cs="Barlow Semi Condensed" w:eastAsia="Barlow Semi Condensed" w:hAnsi="Barlow Semi Condensed"/>
          <w:sz w:val="24"/>
          <w:szCs w:val="24"/>
        </w:rPr>
        <w:t xml:space="preserve">emendazioni sono eseguite dentro i rispettivi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L'acquisizione metodologica: la contaminazione per prossimità</w:t>
      </w:r>
    </w:p>
    <w:p>
      <w:pPr>
        <w:spacing w:after="120" w:line="276"/>
        <w:jc w:val="both"/>
      </w:pPr>
      <w:r>
        <w:rPr>
          <w:rFonts w:ascii="Barlow Semi Condensed" w:cs="Barlow Semi Condensed" w:eastAsia="Barlow Semi Condensed" w:hAnsi="Barlow Semi Condensed"/>
          <w:sz w:val="24"/>
          <w:szCs w:val="24"/>
        </w:rPr>
        <w:t xml:space="preserve">L'undicesima ricognizione produce un concetto che eccede il proprio perimetro e</w:t>
      </w:r>
    </w:p>
    <w:p>
      <w:pPr>
        <w:spacing w:after="120" w:line="276"/>
        <w:jc w:val="both"/>
      </w:pPr>
      <w:r>
        <w:rPr>
          <w:rFonts w:ascii="Barlow Semi Condensed" w:cs="Barlow Semi Condensed" w:eastAsia="Barlow Semi Condensed" w:hAnsi="Barlow Semi Condensed"/>
          <w:sz w:val="24"/>
          <w:szCs w:val="24"/>
        </w:rPr>
        <w:t xml:space="preserve">va portato nell'apparato del metodo.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Contaminazione per prossimità.</w:t>
      </w:r>
      <w:r>
        <w:rPr>
          <w:rFonts w:ascii="Barlow Semi Condensed" w:cs="Barlow Semi Condensed" w:eastAsia="Barlow Semi Condensed" w:hAnsi="Barlow Semi Condensed"/>
          <w:i w:val="false"/>
          <w:iCs w:val="false"/>
          <w:sz w:val="24"/>
          <w:szCs w:val="24"/>
        </w:rPr>
        <w:t xml:space="preserve">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sz w:val="24"/>
          <w:szCs w:val="24"/>
        </w:rPr>
        <w:t xml:space="preserve">Il corollario è operativo, e l'autore lo formula come regola di misura: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Quando si valuta un'affermazione di connessione, si conti quanti soggetti indipendenti e disinteressati ne abbiano lasciato traccia. Se il numero è zero, l'affermazione </w:t>
      </w:r>
      <w:r>
        <w:rPr>
          <w:rFonts w:ascii="Barlow Semi Condensed" w:cs="Barlow Semi Condensed" w:eastAsia="Barlow Semi Condensed" w:hAnsi="Barlow Semi Condensed"/>
          <w:b/>
          <w:bCs/>
          <w:i w:val="false"/>
          <w:iCs w:val="false"/>
          <w:sz w:val="24"/>
          <w:szCs w:val="24"/>
        </w:rPr>
        <w:t xml:space="preserve">non è confutata ma non è utilizzabile</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Questa regola triangola direttamente con un altro lotto dell'opera</w:t>
      </w:r>
      <w:r>
        <w:rPr>
          <w:rFonts w:ascii="Barlow Semi Condensed" w:cs="Barlow Semi Condensed" w:eastAsia="Barlow Semi Condensed" w:hAnsi="Barlow Semi Condensed"/>
          <w:sz w:val="24"/>
          <w:szCs w:val="24"/>
        </w:rPr>
        <w:t xml:space="preserve">, e la</w:t>
      </w:r>
    </w:p>
    <w:p>
      <w:pPr>
        <w:spacing w:after="120" w:line="276"/>
        <w:jc w:val="both"/>
      </w:pPr>
      <w:r>
        <w:rPr>
          <w:rFonts w:ascii="Barlow Semi Condensed" w:cs="Barlow Semi Condensed" w:eastAsia="Barlow Semi Condensed" w:hAnsi="Barlow Semi Condensed"/>
          <w:sz w:val="24"/>
          <w:szCs w:val="24"/>
        </w:rPr>
        <w:t xml:space="preserve">convergenza va registrata perché i due documenti sono nati separatamente. La</w:t>
      </w:r>
    </w:p>
    <w:p>
      <w:pPr>
        <w:spacing w:after="120" w:line="276"/>
        <w:jc w:val="both"/>
      </w:pPr>
      <w:r>
        <w:rPr>
          <w:rFonts w:ascii="Barlow Semi Condensed" w:cs="Barlow Semi Condensed" w:eastAsia="Barlow Semi Condensed" w:hAnsi="Barlow Semi Condensed"/>
          <w:sz w:val="24"/>
          <w:szCs w:val="24"/>
        </w:rPr>
        <w:t xml:space="preserve">verifica dell'elenco dei trentatré nomi</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descrive esattamente la stessa figura senza averle dato un nome: numeri di</w:t>
      </w:r>
    </w:p>
    <w:p>
      <w:pPr>
        <w:spacing w:after="120" w:line="276"/>
        <w:jc w:val="both"/>
      </w:pPr>
      <w:r>
        <w:rPr>
          <w:rFonts w:ascii="Barlow Semi Condensed" w:cs="Barlow Semi Condensed" w:eastAsia="Barlow Semi Condensed" w:hAnsi="Barlow Semi Condensed"/>
          <w:sz w:val="24"/>
          <w:szCs w:val="24"/>
        </w:rPr>
        <w:t xml:space="preserve">tessera non documentati collocati dentro una tabella di ruoli istituzionali</w:t>
      </w:r>
    </w:p>
    <w:p>
      <w:pPr>
        <w:spacing w:after="120" w:line="276"/>
        <w:jc w:val="both"/>
      </w:pPr>
      <w:r>
        <w:rPr>
          <w:rFonts w:ascii="Barlow Semi Condensed" w:cs="Barlow Semi Condensed" w:eastAsia="Barlow Semi Condensed" w:hAnsi="Barlow Semi Condensed"/>
          <w:sz w:val="24"/>
          <w:szCs w:val="24"/>
        </w:rPr>
        <w:t xml:space="preserve">documentati, che ne ricevono credito. La distinzione fra «non confutato» e «non</w:t>
      </w:r>
    </w:p>
    <w:p>
      <w:pPr>
        <w:spacing w:after="120" w:line="276"/>
        <w:jc w:val="both"/>
      </w:pPr>
      <w:r>
        <w:rPr>
          <w:rFonts w:ascii="Barlow Semi Condensed" w:cs="Barlow Semi Condensed" w:eastAsia="Barlow Semi Condensed" w:hAnsi="Barlow Semi Condensed"/>
          <w:sz w:val="24"/>
          <w:szCs w:val="24"/>
        </w:rPr>
        <w:t xml:space="preserve">utilizzabile» è la stessa che quel documento raggiunge per altra via, quando</w:t>
      </w:r>
    </w:p>
    <w:p>
      <w:pPr>
        <w:spacing w:after="120" w:line="276"/>
        <w:jc w:val="both"/>
      </w:pPr>
      <w:r>
        <w:rPr>
          <w:rFonts w:ascii="Barlow Semi Condensed" w:cs="Barlow Semi Condensed" w:eastAsia="Barlow Semi Condensed" w:hAnsi="Barlow Semi Condensed"/>
          <w:sz w:val="24"/>
          <w:szCs w:val="24"/>
        </w:rPr>
        <w:t xml:space="preserve">conclude che il grado massimo attribuibile è C e che la formulazione onesta è</w:t>
      </w:r>
    </w:p>
    <w:p>
      <w:pPr>
        <w:spacing w:after="120" w:line="276"/>
        <w:jc w:val="both"/>
      </w:pPr>
      <w:r>
        <w:rPr>
          <w:rFonts w:ascii="Barlow Semi Condensed" w:cs="Barlow Semi Condensed" w:eastAsia="Barlow Semi Condensed" w:hAnsi="Barlow Semi Condensed"/>
          <w:sz w:val="24"/>
          <w:szCs w:val="24"/>
        </w:rPr>
        <w:t xml:space="preserve">«numero non accertato».</w:t>
      </w:r>
    </w:p>
    <w:p>
      <w:pPr>
        <w:spacing w:after="120" w:line="276"/>
        <w:jc w:val="both"/>
      </w:pPr>
      <w:r>
        <w:rPr>
          <w:rFonts w:ascii="Barlow Semi Condensed" w:cs="Barlow Semi Condensed" w:eastAsia="Barlow Semi Condensed" w:hAnsi="Barlow Semi Condensed"/>
          <w:b/>
          <w:bCs/>
          <w:sz w:val="24"/>
          <w:szCs w:val="24"/>
        </w:rPr>
        <w:t xml:space="preserve">Due lotti indipendenti arrivano alla medesima regola.</w:t>
      </w:r>
      <w:r>
        <w:rPr>
          <w:rFonts w:ascii="Barlow Semi Condensed" w:cs="Barlow Semi Condensed" w:eastAsia="Barlow Semi Condensed" w:hAnsi="Barlow Semi Condensed"/>
          <w:sz w:val="24"/>
          <w:szCs w:val="24"/>
        </w:rPr>
        <w:t xml:space="preserve"> È una convergenza di</w:t>
      </w:r>
    </w:p>
    <w:p>
      <w:pPr>
        <w:spacing w:after="120" w:line="276"/>
        <w:jc w:val="both"/>
      </w:pPr>
      <w:r>
        <w:rPr>
          <w:rFonts w:ascii="Barlow Semi Condensed" w:cs="Barlow Semi Condensed" w:eastAsia="Barlow Semi Condensed" w:hAnsi="Barlow Semi Condensed"/>
          <w:sz w:val="24"/>
          <w:szCs w:val="24"/>
        </w:rPr>
        <w:t xml:space="preserve">metodo, e come tale si registra: non prova nulla sui fatti, e stabilisce che la</w:t>
      </w:r>
    </w:p>
    <w:p>
      <w:pPr>
        <w:spacing w:after="120" w:line="276"/>
        <w:jc w:val="both"/>
      </w:pPr>
      <w:r>
        <w:rPr>
          <w:rFonts w:ascii="Barlow Semi Condensed" w:cs="Barlow Semi Condensed" w:eastAsia="Barlow Semi Condensed" w:hAnsi="Barlow Semi Condensed"/>
          <w:sz w:val="24"/>
          <w:szCs w:val="24"/>
        </w:rPr>
        <w:t xml:space="preserve">regola non è un'invenzione locale.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Che cosa la campagna fa alla macro-ipotesi H1</w:t>
      </w:r>
    </w:p>
    <w:p>
      <w:pPr>
        <w:spacing w:after="120" w:line="276"/>
        <w:jc w:val="both"/>
      </w:pPr>
      <w:r>
        <w:rPr>
          <w:rFonts w:ascii="Barlow Semi Condensed" w:cs="Barlow Semi Condensed" w:eastAsia="Barlow Semi Condensed" w:hAnsi="Barlow Semi Condensed"/>
          <w:sz w:val="24"/>
          <w:szCs w:val="24"/>
        </w:rPr>
        <w:t xml:space="preserve">Il secondo registro esegue il test e ne dichiara il limite, che è la parte più</w:t>
      </w:r>
    </w:p>
    <w:p>
      <w:pPr>
        <w:spacing w:after="120" w:line="276"/>
        <w:jc w:val="both"/>
      </w:pPr>
      <w:r>
        <w:rPr>
          <w:rFonts w:ascii="Barlow Semi Condensed" w:cs="Barlow Semi Condensed" w:eastAsia="Barlow Semi Condensed" w:hAnsi="Barlow Semi Condensed"/>
          <w:sz w:val="24"/>
          <w:szCs w:val="24"/>
        </w:rPr>
        <w:t xml:space="preserve">disciplinata del lotto.</w:t>
      </w:r>
    </w:p>
    <w:p>
      <w:pPr>
        <w:spacing w:after="120" w:line="276"/>
        <w:jc w:val="both"/>
      </w:pPr>
      <w:r>
        <w:rPr>
          <w:rFonts w:ascii="Barlow Semi Condensed" w:cs="Barlow Semi Condensed" w:eastAsia="Barlow Semi Condensed" w:hAnsi="Barlow Semi Condensed"/>
          <w:b/>
          <w:bCs/>
          <w:sz w:val="24"/>
          <w:szCs w:val="24"/>
        </w:rPr>
        <w:t xml:space="preserve">L'esito.</w:t>
      </w:r>
      <w:r>
        <w:rPr>
          <w:rFonts w:ascii="Barlow Semi Condensed" w:cs="Barlow Semi Condensed" w:eastAsia="Barlow Semi Condensed" w:hAnsi="Barlow Semi Condensed"/>
          <w:sz w:val="24"/>
          <w:szCs w:val="24"/>
        </w:rPr>
        <w:t xml:space="preserve"> H1 postula la convergenza delle potenze imperiali contro</w:t>
      </w:r>
    </w:p>
    <w:p>
      <w:pPr>
        <w:spacing w:after="120" w:line="276"/>
        <w:jc w:val="both"/>
      </w:pPr>
      <w:r>
        <w:rPr>
          <w:rFonts w:ascii="Barlow Semi Condensed" w:cs="Barlow Semi Condensed" w:eastAsia="Barlow Semi Condensed" w:hAnsi="Barlow Semi Condensed"/>
          <w:sz w:val="24"/>
          <w:szCs w:val="24"/>
        </w:rPr>
        <w:t xml:space="preserve">l'integrazione europea. Il teatro australe mostra **divergenza fra le potenze e</w:t>
      </w:r>
    </w:p>
    <w:p>
      <w:pPr>
        <w:spacing w:after="120" w:line="276"/>
        <w:jc w:val="both"/>
      </w:pPr>
      <w:r>
        <w:rPr>
          <w:rFonts w:ascii="Barlow Semi Condensed" w:cs="Barlow Semi Condensed" w:eastAsia="Barlow Semi Condensed" w:hAnsi="Barlow Semi Condensed"/>
          <w:sz w:val="24"/>
          <w:szCs w:val="24"/>
        </w:rPr>
        <w:t xml:space="preserve">frattura interna al campo occidentale**: milita dunque contro H1, non a suo</w:t>
      </w:r>
    </w:p>
    <w:p>
      <w:pPr>
        <w:spacing w:after="120" w:line="276"/>
        <w:jc w:val="both"/>
      </w:pPr>
      <w:r>
        <w:rPr>
          <w:rFonts w:ascii="Barlow Semi Condensed" w:cs="Barlow Semi Condensed" w:eastAsia="Barlow Semi Condensed" w:hAnsi="Barlow Semi Condensed"/>
          <w:sz w:val="24"/>
          <w:szCs w:val="24"/>
        </w:rPr>
        <w:t xml:space="preserve">favore.</w:t>
      </w:r>
    </w:p>
    <w:p>
      <w:pPr>
        <w:spacing w:after="120" w:line="276"/>
        <w:jc w:val="both"/>
      </w:pPr>
      <w:r>
        <w:rPr>
          <w:rFonts w:ascii="Barlow Semi Condensed" w:cs="Barlow Semi Condensed" w:eastAsia="Barlow Semi Condensed" w:hAnsi="Barlow Semi Condensed"/>
          <w:b/>
          <w:bCs/>
          <w:sz w:val="24"/>
          <w:szCs w:val="24"/>
        </w:rPr>
        <w:t xml:space="preserve">Il limite, dichiarato subito dopo.</w:t>
      </w:r>
      <w:r>
        <w:rPr>
          <w:rFonts w:ascii="Barlow Semi Condensed" w:cs="Barlow Semi Condensed" w:eastAsia="Barlow Semi Condensed" w:hAnsi="Barlow Semi Condensed"/>
          <w:sz w:val="24"/>
          <w:szCs w:val="24"/>
        </w:rPr>
        <w:t xml:space="preserve"> «Un solo teatro non falsifica una</w:t>
      </w:r>
    </w:p>
    <w:p>
      <w:pPr>
        <w:spacing w:after="120" w:line="276"/>
        <w:jc w:val="both"/>
      </w:pPr>
      <w:r>
        <w:rPr>
          <w:rFonts w:ascii="Barlow Semi Condensed" w:cs="Barlow Semi Condensed" w:eastAsia="Barlow Semi Condensed" w:hAnsi="Barlow Semi Condensed"/>
          <w:sz w:val="24"/>
          <w:szCs w:val="24"/>
        </w:rPr>
        <w:t xml:space="preserve">macro-ipotesi che ha ambizione sistemica; esso ne restringe il campo di</w:t>
      </w:r>
    </w:p>
    <w:p>
      <w:pPr>
        <w:spacing w:after="120" w:line="276"/>
        <w:jc w:val="both"/>
      </w:pPr>
      <w:r>
        <w:rPr>
          <w:rFonts w:ascii="Barlow Semi Condensed" w:cs="Barlow Semi Condensed" w:eastAsia="Barlow Semi Condensed" w:hAnsi="Barlow Semi Condensed"/>
          <w:sz w:val="24"/>
          <w:szCs w:val="24"/>
        </w:rPr>
        <w:t xml:space="preserve">applicazione. La formulazione corretta è che H1, ove mantenuta, deve escludere</w:t>
      </w:r>
    </w:p>
    <w:p>
      <w:pPr>
        <w:spacing w:after="120" w:line="276"/>
        <w:jc w:val="both"/>
      </w:pPr>
      <w:r>
        <w:rPr>
          <w:rFonts w:ascii="Barlow Semi Condensed" w:cs="Barlow Semi Condensed" w:eastAsia="Barlow Semi Condensed" w:hAnsi="Barlow Semi Condensed"/>
          <w:sz w:val="24"/>
          <w:szCs w:val="24"/>
        </w:rPr>
        <w:t xml:space="preserve">il dossier australe dal proprio perimetro.»</w:t>
      </w:r>
    </w:p>
    <w:p>
      <w:pPr>
        <w:spacing w:after="120" w:line="276"/>
        <w:jc w:val="both"/>
      </w:pPr>
      <w:r>
        <w:rPr>
          <w:rFonts w:ascii="Barlow Semi Condensed" w:cs="Barlow Semi Condensed" w:eastAsia="Barlow Semi Condensed" w:hAnsi="Barlow Semi Condensed"/>
          <w:sz w:val="24"/>
          <w:szCs w:val="24"/>
        </w:rPr>
        <w:t xml:space="preserve">Restringere non è confutare, e il documento non confonde le due cose. La</w:t>
      </w:r>
    </w:p>
    <w:p>
      <w:pPr>
        <w:spacing w:after="120" w:line="276"/>
        <w:jc w:val="both"/>
      </w:pPr>
      <w:r>
        <w:rPr>
          <w:rFonts w:ascii="Barlow Semi Condensed" w:cs="Barlow Semi Condensed" w:eastAsia="Barlow Semi Condensed" w:hAnsi="Barlow Semi Condensed"/>
          <w:sz w:val="24"/>
          <w:szCs w:val="24"/>
        </w:rPr>
        <w:t xml:space="preserve">distinzione va conservata quando H1 viene ripresa altrove nel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Gli Stati Zero, e uno che è un falso positivo</w:t>
      </w:r>
    </w:p>
    <w:p>
      <w:pPr>
        <w:spacing w:after="120" w:line="276"/>
        <w:jc w:val="both"/>
      </w:pPr>
      <w:r>
        <w:rPr>
          <w:rFonts w:ascii="Barlow Semi Condensed" w:cs="Barlow Semi Condensed" w:eastAsia="Barlow Semi Condensed" w:hAnsi="Barlow Semi Condensed"/>
          <w:sz w:val="24"/>
          <w:szCs w:val="24"/>
        </w:rPr>
        <w:t xml:space="preserve">La campagna produce esiti negativi in quantità: la terza ricognizione ne conta</w:t>
      </w:r>
    </w:p>
    <w:p>
      <w:pPr>
        <w:spacing w:after="120" w:line="276"/>
        <w:jc w:val="both"/>
      </w:pPr>
      <w:r>
        <w:rPr>
          <w:rFonts w:ascii="Barlow Semi Condensed" w:cs="Barlow Semi Condensed" w:eastAsia="Barlow Semi Condensed" w:hAnsi="Barlow Semi Condensed"/>
          <w:b/>
          <w:bCs/>
          <w:sz w:val="24"/>
          <w:szCs w:val="24"/>
        </w:rPr>
        <w:t xml:space="preserve">sette su otto obiettivi</w:t>
      </w:r>
      <w:r>
        <w:rPr>
          <w:rFonts w:ascii="Barlow Semi Condensed" w:cs="Barlow Semi Condensed" w:eastAsia="Barlow Semi Condensed" w:hAnsi="Barlow Semi Condensed"/>
          <w:sz w:val="24"/>
          <w:szCs w:val="24"/>
        </w:rPr>
        <w:t xml:space="preserve">, e li dichiara come acquisizione anziché come</w:t>
      </w:r>
    </w:p>
    <w:p>
      <w:pPr>
        <w:spacing w:after="120" w:line="276"/>
        <w:jc w:val="both"/>
      </w:pPr>
      <w:r>
        <w:rPr>
          <w:rFonts w:ascii="Barlow Semi Condensed" w:cs="Barlow Semi Condensed" w:eastAsia="Barlow Semi Condensed" w:hAnsi="Barlow Semi Condensed"/>
          <w:sz w:val="24"/>
          <w:szCs w:val="24"/>
        </w:rPr>
        <w:t xml:space="preserve">fallimento.</w:t>
      </w:r>
    </w:p>
    <w:p>
      <w:pPr>
        <w:spacing w:after="120" w:line="276"/>
        <w:jc w:val="both"/>
      </w:pPr>
      <w:r>
        <w:rPr>
          <w:rFonts w:ascii="Barlow Semi Condensed" w:cs="Barlow Semi Condensed" w:eastAsia="Barlow Semi Condensed" w:hAnsi="Barlow Semi Condensed"/>
          <w:sz w:val="24"/>
          <w:szCs w:val="24"/>
        </w:rPr>
        <w:t xml:space="preserve">Va segnalato in particolare **l'ottavo grado, che la tredicesima ricognizione</w:t>
      </w:r>
    </w:p>
    <w:p>
      <w:pPr>
        <w:spacing w:after="120" w:line="276"/>
        <w:jc w:val="both"/>
      </w:pPr>
      <w:r>
        <w:rPr>
          <w:rFonts w:ascii="Barlow Semi Condensed" w:cs="Barlow Semi Condensed" w:eastAsia="Barlow Semi Condensed" w:hAnsi="Barlow Semi Condensed"/>
          <w:sz w:val="24"/>
          <w:szCs w:val="24"/>
        </w:rPr>
        <w:t xml:space="preserve">qualifica come falso positivo**. È il caso metodologicamente più istruttivo del</w:t>
      </w:r>
    </w:p>
    <w:p>
      <w:pPr>
        <w:spacing w:after="120" w:line="276"/>
        <w:jc w:val="both"/>
      </w:pPr>
      <w:r>
        <w:rPr>
          <w:rFonts w:ascii="Barlow Semi Condensed" w:cs="Barlow Semi Condensed" w:eastAsia="Barlow Semi Condensed" w:hAnsi="Barlow Semi Condensed"/>
          <w:sz w:val="24"/>
          <w:szCs w:val="24"/>
        </w:rPr>
        <w:t xml:space="preserve">lotto: un esito che ha l'apparenza del ritrovamento e non lo è. Un corpus che</w:t>
      </w:r>
    </w:p>
    <w:p>
      <w:pPr>
        <w:spacing w:after="120" w:line="276"/>
        <w:jc w:val="both"/>
      </w:pPr>
      <w:r>
        <w:rPr>
          <w:rFonts w:ascii="Barlow Semi Condensed" w:cs="Barlow Semi Condensed" w:eastAsia="Barlow Semi Condensed" w:hAnsi="Barlow Semi Condensed"/>
          <w:sz w:val="24"/>
          <w:szCs w:val="24"/>
        </w:rPr>
        <w:t xml:space="preserve">gradua gli Stati Zero deve poter graduare anche i positivi, e questo è il primo</w:t>
      </w:r>
    </w:p>
    <w:p>
      <w:pPr>
        <w:spacing w:after="120" w:line="276"/>
        <w:jc w:val="both"/>
      </w:pPr>
      <w:r>
        <w:rPr>
          <w:rFonts w:ascii="Barlow Semi Condensed" w:cs="Barlow Semi Condensed" w:eastAsia="Barlow Semi Condensed" w:hAnsi="Barlow Semi Condensed"/>
          <w:sz w:val="24"/>
          <w:szCs w:val="24"/>
        </w:rPr>
        <w:t xml:space="preserve">caso in cui lo fa.</w:t>
      </w:r>
    </w:p>
    <w:p>
      <w:pPr>
        <w:spacing w:after="120" w:line="276"/>
        <w:jc w:val="both"/>
      </w:pPr>
      <w:r>
        <w:rPr>
          <w:rFonts w:ascii="Barlow Semi Condensed" w:cs="Barlow Semi Condensed" w:eastAsia="Barlow Semi Condensed" w:hAnsi="Barlow Semi Condensed"/>
          <w:sz w:val="24"/>
          <w:szCs w:val="24"/>
        </w:rPr>
        <w:t xml:space="preserve">La diciottesima ricognizione registra inoltre uno Stato Zero **di natura non</w:t>
      </w:r>
    </w:p>
    <w:p>
      <w:pPr>
        <w:spacing w:after="120" w:line="276"/>
        <w:jc w:val="both"/>
      </w:pPr>
      <w:r>
        <w:rPr>
          <w:rFonts w:ascii="Barlow Semi Condensed" w:cs="Barlow Semi Condensed" w:eastAsia="Barlow Semi Condensed" w:hAnsi="Barlow Semi Condensed"/>
          <w:sz w:val="24"/>
          <w:szCs w:val="24"/>
        </w:rPr>
        <w:t xml:space="preserve">archivistica**: il documento è pubblico, catalogato, indicizzato e ha un</w:t>
      </w:r>
    </w:p>
    <w:p>
      <w:pPr>
        <w:spacing w:after="120" w:line="276"/>
        <w:jc w:val="both"/>
      </w:pPr>
      <w:r>
        <w:rPr>
          <w:rFonts w:ascii="Barlow Semi Condensed" w:cs="Barlow Semi Condensed" w:eastAsia="Barlow Semi Condensed" w:hAnsi="Barlow Semi Condensed"/>
          <w:sz w:val="24"/>
          <w:szCs w:val="24"/>
        </w:rPr>
        <w:t xml:space="preserve">indirizzo di reperimento, ma «il server documentale delle Nazioni Unite ha</w:t>
      </w:r>
    </w:p>
    <w:p>
      <w:pPr>
        <w:spacing w:after="120" w:line="276"/>
        <w:jc w:val="both"/>
      </w:pPr>
      <w:r>
        <w:rPr>
          <w:rFonts w:ascii="Barlow Semi Condensed" w:cs="Barlow Semi Condensed" w:eastAsia="Barlow Semi Condensed" w:hAnsi="Barlow Semi Condensed"/>
          <w:sz w:val="24"/>
          <w:szCs w:val="24"/>
        </w:rPr>
        <w:t xml:space="preserve">respinto ogni tentativo di recupero automatizzato dei file, per rilevamento</w:t>
      </w:r>
    </w:p>
    <w:p>
      <w:pPr>
        <w:spacing w:after="120" w:line="276"/>
        <w:jc w:val="both"/>
      </w:pPr>
      <w:r>
        <w:rPr>
          <w:rFonts w:ascii="Barlow Semi Condensed" w:cs="Barlow Semi Condensed" w:eastAsia="Barlow Semi Condensed" w:hAnsi="Barlow Semi Condensed"/>
          <w:sz w:val="24"/>
          <w:szCs w:val="24"/>
        </w:rPr>
        <w:t xml:space="preserve">anti-robot». </w:t>
      </w:r>
      <w:r>
        <w:rPr>
          <w:rFonts w:ascii="Barlow Semi Condensed" w:cs="Barlow Semi Condensed" w:eastAsia="Barlow Semi Condensed" w:hAnsi="Barlow Semi Condensed"/>
          <w:b/>
          <w:bCs/>
          <w:sz w:val="24"/>
          <w:szCs w:val="24"/>
        </w:rPr>
        <w:t xml:space="preserve">L'ostacolo è tecnico, non documentale</w:t>
      </w:r>
      <w:r>
        <w:rPr>
          <w:rFonts w:ascii="Barlow Semi Condensed" w:cs="Barlow Semi Condensed" w:eastAsia="Barlow Semi Condensed" w:hAnsi="Barlow Semi Condensed"/>
          <w:sz w:val="24"/>
          <w:szCs w:val="24"/>
        </w:rPr>
        <w:t xml:space="preserve">, e va scritto così: è</w:t>
      </w:r>
    </w:p>
    <w:p>
      <w:pPr>
        <w:spacing w:after="120" w:line="276"/>
        <w:jc w:val="both"/>
      </w:pPr>
      <w:r>
        <w:rPr>
          <w:rFonts w:ascii="Barlow Semi Condensed" w:cs="Barlow Semi Condensed" w:eastAsia="Barlow Semi Condensed" w:hAnsi="Barlow Semi Condensed"/>
          <w:sz w:val="24"/>
          <w:szCs w:val="24"/>
        </w:rPr>
        <w:t xml:space="preserve">una sede raggiungibile da una persona e non da una macchina, il che cambia</w:t>
      </w:r>
    </w:p>
    <w:p>
      <w:pPr>
        <w:spacing w:after="120" w:line="276"/>
        <w:jc w:val="both"/>
      </w:pPr>
      <w:r>
        <w:rPr>
          <w:rFonts w:ascii="Barlow Semi Condensed" w:cs="Barlow Semi Condensed" w:eastAsia="Barlow Semi Condensed" w:hAnsi="Barlow Semi Condensed"/>
          <w:sz w:val="24"/>
          <w:szCs w:val="24"/>
        </w:rPr>
        <w:t xml:space="preserve">completamente che cosa se ne debba concludere.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Le anti-triangolazioni</w:t>
      </w:r>
    </w:p>
    <w:p>
      <w:pPr>
        <w:spacing w:after="120" w:line="276"/>
        <w:jc w:val="both"/>
      </w:pPr>
      <w:r>
        <w:rPr>
          <w:rFonts w:ascii="Barlow Semi Condensed" w:cs="Barlow Semi Condensed" w:eastAsia="Barlow Semi Condensed" w:hAnsi="Barlow Semi Condensed"/>
          <w:sz w:val="24"/>
          <w:szCs w:val="24"/>
        </w:rPr>
        <w:t xml:space="preserve">Vanno dette con la stessa cura delle triangolazioni, perché la loro assenza è</w:t>
      </w:r>
    </w:p>
    <w:p>
      <w:pPr>
        <w:spacing w:after="120" w:line="276"/>
        <w:jc w:val="both"/>
      </w:pPr>
      <w:r>
        <w:rPr>
          <w:rFonts w:ascii="Barlow Semi Condensed" w:cs="Barlow Semi Condensed" w:eastAsia="Barlow Semi Condensed" w:hAnsi="Barlow Semi Condensed"/>
          <w:sz w:val="24"/>
          <w:szCs w:val="24"/>
        </w:rPr>
        <w:t xml:space="preserve">ciò che distingue un raccordo da una suggestione.</w:t>
      </w:r>
    </w:p>
    <w:p>
      <w:pPr>
        <w:spacing w:after="120" w:line="276"/>
        <w:jc w:val="both"/>
      </w:pPr>
      <w:r>
        <w:rPr>
          <w:rFonts w:ascii="Barlow Semi Condensed" w:cs="Barlow Semi Condensed" w:eastAsia="Barlow Semi Condensed" w:hAnsi="Barlow Semi Condensed"/>
          <w:sz w:val="24"/>
          <w:szCs w:val="24"/>
        </w:rPr>
        <w:t xml:space="preserve">**Nessun documento della campagna collega il caso Moro del 1978 ai teatri</w:t>
      </w:r>
    </w:p>
    <w:p>
      <w:pPr>
        <w:spacing w:after="120" w:line="276"/>
        <w:jc w:val="both"/>
      </w:pPr>
      <w:r>
        <w:rPr>
          <w:rFonts w:ascii="Barlow Semi Condensed" w:cs="Barlow Semi Condensed" w:eastAsia="Barlow Semi Condensed" w:hAnsi="Barlow Semi Condensed"/>
          <w:sz w:val="24"/>
          <w:szCs w:val="24"/>
        </w:rPr>
        <w:t xml:space="preserve">australi.</w:t>
      </w:r>
      <w:r>
        <w:rPr>
          <w:rFonts w:ascii="Barlow Semi Condensed" w:cs="Barlow Semi Condensed" w:eastAsia="Barlow Semi Condensed" w:hAnsi="Barlow Semi Condensed"/>
          <w:b/>
          <w:bCs/>
          <w:sz w:val="24"/>
          <w:szCs w:val="24"/>
        </w:rPr>
        <w:t xml:space="preserve"> Il raccordo con il Libro quattordicesimo è </w:t>
      </w:r>
      <w:r>
        <w:rPr>
          <w:rFonts w:ascii="Barlow Semi Condensed" w:cs="Barlow Semi Condensed" w:eastAsia="Barlow Semi Condensed" w:hAnsi="Barlow Semi Condensed"/>
          <w:sz w:val="24"/>
          <w:szCs w:val="24"/>
        </w:rPr>
        <w:t xml:space="preserve">tematico e non</w:t>
      </w:r>
    </w:p>
    <w:p>
      <w:pPr>
        <w:spacing w:after="120" w:line="276"/>
        <w:jc w:val="both"/>
      </w:pPr>
      <w:r>
        <w:rPr>
          <w:rFonts w:ascii="Barlow Semi Condensed" w:cs="Barlow Semi Condensed" w:eastAsia="Barlow Semi Condensed" w:hAnsi="Barlow Semi Condensed"/>
          <w:sz w:val="24"/>
          <w:szCs w:val="24"/>
        </w:rPr>
        <w:t xml:space="preserve">documentale**, esattamente come già dichiarato per il Sud Africa: la lente è</w:t>
      </w:r>
    </w:p>
    <w:p>
      <w:pPr>
        <w:spacing w:after="120" w:line="276"/>
        <w:jc w:val="both"/>
      </w:pPr>
      <w:r>
        <w:rPr>
          <w:rFonts w:ascii="Barlow Semi Condensed" w:cs="Barlow Semi Condensed" w:eastAsia="Barlow Semi Condensed" w:hAnsi="Barlow Semi Condensed"/>
          <w:sz w:val="24"/>
          <w:szCs w:val="24"/>
        </w:rPr>
        <w:t xml:space="preserve">condivisa, i documenti no.</w:t>
      </w:r>
    </w:p>
    <w:p>
      <w:pPr>
        <w:spacing w:after="120" w:line="276"/>
        <w:jc w:val="both"/>
      </w:pPr>
      <w:r>
        <w:rPr>
          <w:rFonts w:ascii="Barlow Semi Condensed" w:cs="Barlow Semi Condensed" w:eastAsia="Barlow Semi Condensed" w:hAnsi="Barlow Semi Condensed"/>
          <w:b/>
          <w:bCs/>
          <w:sz w:val="24"/>
          <w:szCs w:val="24"/>
        </w:rPr>
        <w:t xml:space="preserve">Nessun documento della campagna nomina la loggia P2.</w:t>
      </w:r>
      <w:r>
        <w:rPr>
          <w:rFonts w:ascii="Barlow Semi Condensed" w:cs="Barlow Semi Condensed" w:eastAsia="Barlow Semi Condensed" w:hAnsi="Barlow Semi Condensed"/>
          <w:sz w:val="24"/>
          <w:szCs w:val="24"/>
        </w:rPr>
        <w:t xml:space="preserve"> La convergenza col</w:t>
      </w:r>
    </w:p>
    <w:p>
      <w:pPr>
        <w:spacing w:after="120" w:line="276"/>
        <w:jc w:val="both"/>
      </w:pPr>
      <w:r>
        <w:rPr>
          <w:rFonts w:ascii="Barlow Semi Condensed" w:cs="Barlow Semi Condensed" w:eastAsia="Barlow Semi Condensed" w:hAnsi="Barlow Semi Condensed"/>
          <w:sz w:val="24"/>
          <w:szCs w:val="24"/>
        </w:rPr>
        <w:t xml:space="preserve">lotto dei trentatré nomi, esposta al §III, è </w:t>
      </w:r>
      <w:r>
        <w:rPr>
          <w:rFonts w:ascii="Barlow Semi Condensed" w:cs="Barlow Semi Condensed" w:eastAsia="Barlow Semi Condensed" w:hAnsi="Barlow Semi Condensed"/>
          <w:b/>
          <w:bCs/>
          <w:sz w:val="24"/>
          <w:szCs w:val="24"/>
        </w:rPr>
        <w:t xml:space="preserve">metodologica e non fattuale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riguarda una regola di valutazione, non una connessione fra oggetti.</w:t>
      </w:r>
    </w:p>
    <w:p>
      <w:pPr>
        <w:spacing w:after="120" w:line="276"/>
        <w:jc w:val="both"/>
      </w:pPr>
      <w:r>
        <w:rPr>
          <w:rFonts w:ascii="Barlow Semi Condensed" w:cs="Barlow Semi Condensed" w:eastAsia="Barlow Semi Condensed" w:hAnsi="Barlow Semi Condensed"/>
          <w:sz w:val="24"/>
          <w:szCs w:val="24"/>
        </w:rPr>
        <w:t xml:space="preserve">**La contaminazione per prossimità è un rischio anche per questa</w:t>
      </w:r>
    </w:p>
    <w:p>
      <w:pPr>
        <w:spacing w:after="120" w:line="276"/>
        <w:jc w:val="both"/>
      </w:pPr>
      <w:r>
        <w:rPr>
          <w:rFonts w:ascii="Barlow Semi Condensed" w:cs="Barlow Semi Condensed" w:eastAsia="Barlow Semi Condensed" w:hAnsi="Barlow Semi Condensed"/>
          <w:sz w:val="24"/>
          <w:szCs w:val="24"/>
        </w:rPr>
        <w:t xml:space="preserve">triangolazione.** Averla nominata non ne immunizza: sta a chi legge contare, per</w:t>
      </w:r>
    </w:p>
    <w:p>
      <w:pPr>
        <w:spacing w:after="120" w:line="276"/>
        <w:jc w:val="both"/>
      </w:pPr>
      <w:r>
        <w:rPr>
          <w:rFonts w:ascii="Barlow Semi Condensed" w:cs="Barlow Semi Condensed" w:eastAsia="Barlow Semi Condensed" w:hAnsi="Barlow Semi Condensed"/>
          <w:sz w:val="24"/>
          <w:szCs w:val="24"/>
        </w:rPr>
        <w:t xml:space="preserve">ciascuna delle acquisizioni qui riassunte, quanti soggetti indipendenti ne</w:t>
      </w:r>
    </w:p>
    <w:p>
      <w:pPr>
        <w:spacing w:after="120" w:line="276"/>
        <w:jc w:val="both"/>
      </w:pPr>
      <w:r>
        <w:rPr>
          <w:rFonts w:ascii="Barlow Semi Condensed" w:cs="Barlow Semi Condensed" w:eastAsia="Barlow Semi Condensed" w:hAnsi="Barlow Semi Condensed"/>
          <w:sz w:val="24"/>
          <w:szCs w:val="24"/>
        </w:rPr>
        <w:t xml:space="preserve">abbiano lasciato traccia.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Un documento che si esclude da sé</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memorandum operativo per la riapertura delle verifiche</w:t>
      </w:r>
      <w:r>
        <w:rPr>
          <w:rFonts w:ascii="Barlow Semi Condensed" w:cs="Barlow Semi Condensed" w:eastAsia="Barlow Semi Condensed" w:hAnsi="Barlow Semi Condensed"/>
          <w:sz w:val="24"/>
          <w:szCs w:val="24"/>
        </w:rPr>
        <w:t xml:space="preserve"> — diciannove</w:t>
      </w:r>
    </w:p>
    <w:p>
      <w:pPr>
        <w:spacing w:after="120" w:line="276"/>
        <w:jc w:val="both"/>
      </w:pPr>
      <w:r>
        <w:rPr>
          <w:rFonts w:ascii="Barlow Semi Condensed" w:cs="Barlow Semi Condensed" w:eastAsia="Barlow Semi Condensed" w:hAnsi="Barlow Semi Condensed"/>
          <w:sz w:val="24"/>
          <w:szCs w:val="24"/>
        </w:rPr>
        <w:t xml:space="preserve">schede di ricerca archivistica — dichiara in apertura, con parole proprie, di</w:t>
      </w:r>
    </w:p>
    <w:p>
      <w:pPr>
        <w:spacing w:after="120" w:line="276"/>
        <w:jc w:val="both"/>
      </w:pPr>
      <w:r>
        <w:rPr>
          <w:rFonts w:ascii="Barlow Semi Condensed" w:cs="Barlow Semi Condensed" w:eastAsia="Barlow Semi Condensed" w:hAnsi="Barlow Semi Condensed"/>
          <w:sz w:val="24"/>
          <w:szCs w:val="24"/>
        </w:rPr>
        <w:t xml:space="preserve">non dover entrare nel Registro: «Questo documento non appartiene al Registro</w:t>
      </w:r>
    </w:p>
    <w:p>
      <w:pPr>
        <w:spacing w:after="120" w:line="276"/>
        <w:jc w:val="both"/>
      </w:pPr>
      <w:r>
        <w:rPr>
          <w:rFonts w:ascii="Barlow Semi Condensed" w:cs="Barlow Semi Condensed" w:eastAsia="Barlow Semi Condensed" w:hAnsi="Barlow Semi Condensed"/>
          <w:sz w:val="24"/>
          <w:szCs w:val="24"/>
        </w:rPr>
        <w:t xml:space="preserve">Analitico e non vi entrerà. Esso non contiene accertamenti, non assegna gradi.»</w:t>
      </w:r>
    </w:p>
    <w:p>
      <w:pPr>
        <w:spacing w:after="120" w:line="276"/>
        <w:jc w:val="both"/>
      </w:pPr>
      <w:r>
        <w:rPr>
          <w:rFonts w:ascii="Barlow Semi Condensed" w:cs="Barlow Semi Condensed" w:eastAsia="Barlow Semi Condensed" w:hAnsi="Barlow Semi Condensed"/>
          <w:sz w:val="24"/>
          <w:szCs w:val="24"/>
        </w:rPr>
        <w:t xml:space="preserve">Aggiunge che «le percentuali che vi compaiono non sono misure» ma «propensioni</w:t>
      </w:r>
    </w:p>
    <w:p>
      <w:pPr>
        <w:spacing w:after="120" w:line="276"/>
        <w:jc w:val="both"/>
      </w:pPr>
      <w:r>
        <w:rPr>
          <w:rFonts w:ascii="Barlow Semi Condensed" w:cs="Barlow Semi Condensed" w:eastAsia="Barlow Semi Condensed" w:hAnsi="Barlow Semi Condensed"/>
          <w:sz w:val="24"/>
          <w:szCs w:val="24"/>
        </w:rPr>
        <w:t xml:space="preserve">soggettive di chi scrive», e si qualifica come *uso interno, non citabile come</w:t>
      </w:r>
    </w:p>
    <w:p>
      <w:pPr>
        <w:spacing w:after="120" w:line="276"/>
        <w:jc w:val="both"/>
      </w:pPr>
      <w:r>
        <w:rPr>
          <w:rFonts w:ascii="Barlow Semi Condensed" w:cs="Barlow Semi Condensed" w:eastAsia="Barlow Semi Condensed" w:hAnsi="Barlow Semi Condensed"/>
          <w:sz w:val="24"/>
          <w:szCs w:val="24"/>
        </w:rPr>
        <w:t xml:space="preserve">accertamento*.</w:t>
      </w:r>
    </w:p>
    <w:p>
      <w:pPr>
        <w:spacing w:after="120" w:line="276"/>
        <w:jc w:val="both"/>
      </w:pPr>
      <w:r>
        <w:rPr>
          <w:rFonts w:ascii="Barlow Semi Condensed" w:cs="Barlow Semi Condensed" w:eastAsia="Barlow Semi Condensed" w:hAnsi="Barlow Semi Condensed"/>
          <w:b/>
          <w:bCs/>
          <w:sz w:val="24"/>
          <w:szCs w:val="24"/>
        </w:rPr>
        <w:t xml:space="preserve">È stato archiviato nel repository e tenuto fuori dal volume rilegato.</w:t>
      </w:r>
    </w:p>
    <w:p>
      <w:pPr>
        <w:spacing w:after="120" w:line="276"/>
        <w:jc w:val="both"/>
      </w:pPr>
      <w:r>
        <w:rPr>
          <w:rFonts w:ascii="Barlow Semi Condensed" w:cs="Barlow Semi Condensed" w:eastAsia="Barlow Semi Condensed" w:hAnsi="Barlow Semi Condensed"/>
          <w:sz w:val="24"/>
          <w:szCs w:val="24"/>
        </w:rPr>
        <w:t xml:space="preserve">Rilegarlo lo farebbe leggere come ciò che esso nega di essere: chi legge</w:t>
      </w:r>
    </w:p>
    <w:p>
      <w:pPr>
        <w:spacing w:after="120" w:line="276"/>
        <w:jc w:val="both"/>
      </w:pPr>
      <w:r>
        <w:rPr>
          <w:rFonts w:ascii="Barlow Semi Condensed" w:cs="Barlow Semi Condensed" w:eastAsia="Barlow Semi Condensed" w:hAnsi="Barlow Semi Condensed"/>
          <w:sz w:val="24"/>
          <w:szCs w:val="24"/>
        </w:rPr>
        <w:t xml:space="preserve">l'opera non lo incontra come accertamento, chi lo cerca lo trova. La scelta è</w:t>
      </w:r>
    </w:p>
    <w:p>
      <w:pPr>
        <w:spacing w:after="120" w:line="276"/>
        <w:jc w:val="both"/>
      </w:pPr>
      <w:r>
        <w:rPr>
          <w:rFonts w:ascii="Barlow Semi Condensed" w:cs="Barlow Semi Condensed" w:eastAsia="Barlow Semi Condensed" w:hAnsi="Barlow Semi Condensed"/>
          <w:sz w:val="24"/>
          <w:szCs w:val="24"/>
        </w:rPr>
        <w:t xml:space="preserve">dell'esecutore, è reversibile, e sta all'autore revocarla — ma una esclusione</w:t>
      </w:r>
    </w:p>
    <w:p>
      <w:pPr>
        <w:spacing w:after="120" w:line="276"/>
        <w:jc w:val="both"/>
      </w:pPr>
      <w:r>
        <w:rPr>
          <w:rFonts w:ascii="Barlow Semi Condensed" w:cs="Barlow Semi Condensed" w:eastAsia="Barlow Semi Condensed" w:hAnsi="Barlow Semi Condensed"/>
          <w:sz w:val="24"/>
          <w:szCs w:val="24"/>
        </w:rPr>
        <w:t xml:space="preserve">taciuta varrebbe meno di zero, e per questo è scritta qui e in testa al</w:t>
      </w:r>
    </w:p>
    <w:p>
      <w:pPr>
        <w:spacing w:after="120" w:line="276"/>
        <w:jc w:val="both"/>
      </w:pPr>
      <w:r>
        <w:rPr>
          <w:rFonts w:ascii="Barlow Semi Condensed" w:cs="Barlow Semi Condensed" w:eastAsia="Barlow Semi Condensed" w:hAnsi="Barlow Semi Condensed"/>
          <w:sz w:val="24"/>
          <w:szCs w:val="24"/>
        </w:rPr>
        <w:t xml:space="preserve">documento.</w:t>
      </w:r>
    </w:p>
    <w:p>
      <w:pPr>
        <w:spacing w:after="120" w:line="276"/>
        <w:jc w:val="both"/>
      </w:pPr>
      <w:r>
        <w:rPr>
          <w:rFonts w:ascii="Barlow Semi Condensed" w:cs="Barlow Semi Condensed" w:eastAsia="Barlow Semi Condensed" w:hAnsi="Barlow Semi Condensed"/>
          <w:sz w:val="24"/>
          <w:szCs w:val="24"/>
        </w:rPr>
        <w:t xml:space="preserve">Va detto anche che cosa il memorandum è: le sue diciannove schede sono</w:t>
      </w:r>
    </w:p>
    <w:p>
      <w:pPr>
        <w:spacing w:after="120" w:line="276"/>
        <w:jc w:val="both"/>
      </w:pPr>
      <w:r>
        <w:rPr>
          <w:rFonts w:ascii="Barlow Semi Condensed" w:cs="Barlow Semi Condensed" w:eastAsia="Barlow Semi Condensed" w:hAnsi="Barlow Semi Condensed"/>
          <w:b/>
          <w:bCs/>
          <w:sz w:val="24"/>
          <w:szCs w:val="24"/>
        </w:rPr>
        <w:t xml:space="preserve">domande d'archivio con la sede indicata</w:t>
      </w:r>
      <w:r>
        <w:rPr>
          <w:rFonts w:ascii="Barlow Semi Condensed" w:cs="Barlow Semi Condensed" w:eastAsia="Barlow Semi Condensed" w:hAnsi="Barlow Semi Condensed"/>
          <w:sz w:val="24"/>
          <w:szCs w:val="24"/>
        </w:rPr>
        <w:t xml:space="preserve">, cioè esattamente la forma che</w:t>
      </w:r>
    </w:p>
    <w:p>
      <w:pPr>
        <w:spacing w:after="120" w:line="276"/>
        <w:jc w:val="both"/>
      </w:pPr>
      <w:r>
        <w:rPr>
          <w:rFonts w:ascii="Barlow Semi Condensed" w:cs="Barlow Semi Condensed" w:eastAsia="Barlow Semi Condensed" w:hAnsi="Barlow Semi Condensed"/>
          <w:sz w:val="24"/>
          <w:szCs w:val="24"/>
        </w:rPr>
        <w:t xml:space="preserve">l'opera chiama bersaglio di ricerca. È utile a chi andrà in archivio, non a chi</w:t>
      </w:r>
    </w:p>
    <w:p>
      <w:pPr>
        <w:spacing w:after="120" w:line="276"/>
        <w:jc w:val="both"/>
      </w:pPr>
      <w:r>
        <w:rPr>
          <w:rFonts w:ascii="Barlow Semi Condensed" w:cs="Barlow Semi Condensed" w:eastAsia="Barlow Semi Condensed" w:hAnsi="Barlow Semi Condensed"/>
          <w:sz w:val="24"/>
          <w:szCs w:val="24"/>
        </w:rPr>
        <w:t xml:space="preserve">cerca conclusioni.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alcun nesso fra la politica estera di Moro e il sequestro</w:t>
      </w:r>
    </w:p>
    <w:p>
      <w:pPr>
        <w:spacing w:after="120" w:line="276"/>
        <w:jc w:val="both"/>
      </w:pPr>
      <w:r>
        <w:rPr>
          <w:rFonts w:ascii="Barlow Semi Condensed" w:cs="Barlow Semi Condensed" w:eastAsia="Barlow Semi Condensed" w:hAnsi="Barlow Semi Condensed"/>
          <w:sz w:val="24"/>
          <w:szCs w:val="24"/>
        </w:rPr>
        <w:t xml:space="preserve">  del 1978. Non lo cercava, e non lo insinua.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responsabilità personali di alcuno. Le persone vi compaiono</w:t>
      </w:r>
    </w:p>
    <w:p>
      <w:pPr>
        <w:spacing w:after="120" w:line="276"/>
        <w:jc w:val="both"/>
      </w:pPr>
      <w:r>
        <w:rPr>
          <w:rFonts w:ascii="Barlow Semi Condensed" w:cs="Barlow Semi Condensed" w:eastAsia="Barlow Semi Condensed" w:hAnsi="Barlow Semi Condensed"/>
          <w:sz w:val="24"/>
          <w:szCs w:val="24"/>
        </w:rPr>
        <w:t xml:space="preserve">  con la carica ricoperta e con la data, e nient'altro.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l'Opus Dei avesse un modello di insediamento: al</w:t>
      </w:r>
    </w:p>
    <w:p>
      <w:pPr>
        <w:spacing w:after="120" w:line="276"/>
        <w:jc w:val="both"/>
      </w:pPr>
      <w:r>
        <w:rPr>
          <w:rFonts w:ascii="Barlow Semi Condensed" w:cs="Barlow Semi Condensed" w:eastAsia="Barlow Semi Condensed" w:hAnsi="Barlow Semi Condensed"/>
          <w:sz w:val="24"/>
          <w:szCs w:val="24"/>
        </w:rPr>
        <w:t xml:space="preserve">  contrario, **ha falsificato due volte il modello che essa stessa aveva</w:t>
      </w:r>
    </w:p>
    <w:p>
      <w:pPr>
        <w:spacing w:after="120" w:line="276"/>
        <w:jc w:val="both"/>
      </w:pPr>
      <w:r>
        <w:rPr>
          <w:rFonts w:ascii="Barlow Semi Condensed" w:cs="Barlow Semi Condensed" w:eastAsia="Barlow Semi Condensed" w:hAnsi="Barlow Semi Condensed"/>
          <w:sz w:val="24"/>
          <w:szCs w:val="24"/>
        </w:rPr>
        <w:t xml:space="preserve">  proposto**, e ne ha lasciato in piedi soltanto la parte che le fonti reggono.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l'Italia avesse una linea coerente nei teatri australi:</w:t>
      </w:r>
    </w:p>
    <w:p>
      <w:pPr>
        <w:spacing w:after="120" w:line="276"/>
        <w:jc w:val="both"/>
      </w:pPr>
      <w:r>
        <w:rPr>
          <w:rFonts w:ascii="Barlow Semi Condensed" w:cs="Barlow Semi Condensed" w:eastAsia="Barlow Semi Condensed" w:hAnsi="Barlow Semi Condensed"/>
          <w:sz w:val="24"/>
          <w:szCs w:val="24"/>
        </w:rPr>
        <w:t xml:space="preserve">  la sedicesima ricognizione conclude che **nessuna delle due condotte fu</w:t>
      </w:r>
    </w:p>
    <w:p>
      <w:pPr>
        <w:spacing w:after="120" w:line="276"/>
        <w:jc w:val="both"/>
      </w:pPr>
      <w:r>
        <w:rPr>
          <w:rFonts w:ascii="Barlow Semi Condensed" w:cs="Barlow Semi Condensed" w:eastAsia="Barlow Semi Condensed" w:hAnsi="Barlow Semi Condensed"/>
          <w:sz w:val="24"/>
          <w:szCs w:val="24"/>
        </w:rPr>
        <w:t xml:space="preserve">  lineare**.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Un lotto che porta quattro confutazioni delle proprie ipotesi, cinque</w:t>
      </w:r>
    </w:p>
    <w:p>
      <w:pPr>
        <w:spacing w:after="120" w:line="276"/>
        <w:jc w:val="both"/>
      </w:pPr>
      <w:r>
        <w:rPr>
          <w:rFonts w:ascii="Barlow Semi Condensed" w:cs="Barlow Semi Condensed" w:eastAsia="Barlow Semi Condensed" w:hAnsi="Barlow Semi Condensed"/>
          <w:sz w:val="24"/>
          <w:szCs w:val="24"/>
        </w:rPr>
        <w:t xml:space="preserve">correzioni al corpus, un concetto di metodo nuovo e un documento che si esclude</w:t>
      </w:r>
    </w:p>
    <w:p>
      <w:pPr>
        <w:spacing w:after="120" w:line="276"/>
        <w:jc w:val="both"/>
      </w:pPr>
      <w:r>
        <w:rPr>
          <w:rFonts w:ascii="Barlow Semi Condensed" w:cs="Barlow Semi Condensed" w:eastAsia="Barlow Semi Condensed" w:hAnsi="Barlow Semi Condensed"/>
          <w:sz w:val="24"/>
          <w:szCs w:val="24"/>
        </w:rPr>
        <w:t xml:space="preserve">da sé vale, per l'opera, più di un lotto che confermasse tutto. La disciplina non chiede di avere ragione: chiede</w:t>
      </w:r>
    </w:p>
    <w:p>
      <w:pPr>
        <w:spacing w:after="120" w:line="276"/>
        <w:jc w:val="both"/>
      </w:pPr>
      <w:r>
        <w:rPr>
          <w:rFonts w:ascii="Barlow Semi Condensed" w:cs="Barlow Semi Condensed" w:eastAsia="Barlow Semi Condensed" w:hAnsi="Barlow Semi Condensed"/>
          <w:sz w:val="24"/>
          <w:szCs w:val="24"/>
        </w:rPr>
        <w:t xml:space="preserve">di scrivere quando si ha torto, con la stessa precisione con cui si scriverebbe</w:t>
      </w:r>
    </w:p>
    <w:p>
      <w:pPr>
        <w:spacing w:after="120" w:line="276"/>
        <w:jc w:val="both"/>
      </w:pPr>
      <w:r>
        <w:rPr>
          <w:rFonts w:ascii="Barlow Semi Condensed" w:cs="Barlow Semi Condensed" w:eastAsia="Barlow Semi Condensed" w:hAnsi="Barlow Semi Condensed"/>
          <w:sz w:val="24"/>
          <w:szCs w:val="24"/>
        </w:rPr>
        <w:t xml:space="preserve">il contrario.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r>
        <w:rPr>
          <w:rFonts w:ascii="Barlow Semi Condensed" w:cs="Barlow Semi Condensed" w:eastAsia="Barlow Semi Condensed" w:hAnsi="Barlow Semi Condensed"/>
          <w:i w:val="false"/>
          <w:iCs w:val="false"/>
          <w:sz w:val="24"/>
          <w:szCs w:val="24"/>
        </w:rPr>
        <w:t xml:space="preserve"> Vale qui come ovunque, e in una campagna che tratta di ordini religiosi, di servizi e di agenzie di stampa vale due volte.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XXVIII · La triangolazione della terza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1.858 parole in 9 sezioni; la più ampia è §9 Altre sezioni, con 381.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51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programma e le graduatorie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3.680 parole in 8 sezioni; la più ampia è §6 Capitolo III, con 1.122.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13 indirizzi di fonte citati, addensati in 2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piste di testa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1.885 parole in 7 sezioni; la più ampia è §3 Scheda PN, con 406.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10 indirizzi di fonte citati, addensati in 3 sezioni su 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dodicesimo):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entità</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5.428 parole in 8 sezioni; la più ampia è §5 Scheda PE, con 922.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28 indirizzi di fonte citati, addensati in 6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sforzo nazionale e la sua quota romana: le perquisizioni domiciliari sono la sola voce in cui Roma pesa oltre un decimo.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stesso spiegamento diviso per i giorni che durò: la misura dello sforzo quotidiano, non del suo esito.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manuale del nuovo Caso Moro (400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15.479 parole in 9 sezioni; la più ampia è §9 Altre sezioni, con 6.744.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422 paragrafi in 9 sezioni, 47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L'agenda di ricerca (300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17.923 parole in 9 sezioni; la più ampia è §9 Altre sezioni, con 7.786.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329 paragrafi in 9 sezioni, 37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 nove cantieri (1.000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54.152 parole in 9 sezioni; la più ampia è §9 Altre sezioni, con 13.404.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codice e la sua trasmissione (4.999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370.419 parole in 9 sezioni; la più ampia è §9 Altre sezioni, con 328.500.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5.232 paragrafi in 9 sezioni, 581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quattordicesimo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anni di Pace» (che dal 27 agosto 2026 sostituisce «Ottanta anni senza Pace», a sua volta subentrato il 26 agosto a «La Seconda Guerra Mondiale non ha mai avuto fine»; i tre titoli si succedono con la stessa disciplina — lente e non sentenza — e la successione si registra invece di essere cancellata).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 Libro quattordicesimo · Il meridiano e la valle: dal Sud Africa dell'apartheid all</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76.414 parole in 9 sezioni; la più ampia è §9 Altre sezioni, con 35.541.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quattordicesimo: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quattordicesimo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quindicesimo — Il Registro dei cinquantacinque giorni, opera seconda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Opera seconda avviata dal Registro V77, in sette Fasi e settanta Capitoli, acquisita il 27 agosto 2026. Non sostituisce il volume anteriore, e lo dichiara essa stessa in apertura: «Il volume anteriore non è sostituito. Esso resta nel Registro, integro e leggibile, come strato della propria epoca.»  Il lotto conteneva anche una versione priva dell'Appendice alla Fase settima e due estratti della sola Fase settima. Misurati sugli 8-grammi, sono </w:t>
      </w:r>
      <w:r>
        <w:rPr>
          <w:rFonts w:ascii="Barlow Semi Condensed" w:cs="Barlow Semi Condensed" w:eastAsia="Barlow Semi Condensed" w:hAnsi="Barlow Semi Condensed"/>
          <w:b/>
          <w:bCs/>
          <w:i w:val="false"/>
          <w:iCs w:val="false"/>
          <w:sz w:val="24"/>
          <w:szCs w:val="24"/>
        </w:rPr>
        <w:t xml:space="preserve">contenuti in questo volume rispettivamente al 100, al 98,3 e al 98,7 per cento</w:t>
      </w:r>
      <w:r>
        <w:rPr>
          <w:rFonts w:ascii="Barlow Semi Condensed" w:cs="Barlow Semi Condensed" w:eastAsia="Barlow Semi Condensed" w:hAnsi="Barlow Semi Condensed"/>
          <w:i w:val="false"/>
          <w:iCs w:val="false"/>
          <w:sz w:val="24"/>
          <w:szCs w:val="24"/>
        </w:rPr>
        <w:t xml:space="preserve">: non sono stati archiviati a parte, perché sarebbero duplicati. Resta archiviata a parte la sola </w:t>
      </w:r>
      <w:r>
        <w:rPr>
          <w:rFonts w:ascii="Barlow Semi Condensed" w:cs="Barlow Semi Condensed" w:eastAsia="Barlow Semi Condensed" w:hAnsi="Barlow Semi Condensed"/>
          <w:b/>
          <w:bCs/>
          <w:i w:val="false"/>
          <w:iCs w:val="false"/>
          <w:sz w:val="24"/>
          <w:szCs w:val="24"/>
        </w:rPr>
        <w:t xml:space="preserve">Appendice quindicesima</w:t>
      </w:r>
      <w:r>
        <w:rPr>
          <w:rFonts w:ascii="Barlow Semi Condensed" w:cs="Barlow Semi Condensed" w:eastAsia="Barlow Semi Condensed" w:hAnsi="Barlow Semi Condensed"/>
          <w:i w:val="false"/>
          <w:iCs w:val="false"/>
          <w:sz w:val="24"/>
          <w:szCs w:val="24"/>
        </w:rPr>
        <w:t xml:space="preserve">, che di questo volume non fa parte (0,9 per cento).</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Volume unico completo</w:t>
      </w:r>
    </w:p>
    <w:p>
      <w:pPr>
        <w:pStyle w:val="Heading2"/>
        <w:spacing w:after="100" w:before="200"/>
      </w:pPr>
      <w:r>
        <w:rPr>
          <w:rFonts w:ascii="Barlow Semi Condensed" w:cs="Barlow Semi Condensed" w:eastAsia="Barlow Semi Condensed" w:hAnsi="Barlow Semi Condensed"/>
          <w:sz w:val="24"/>
          <w:szCs w:val="24"/>
        </w:rPr>
        <w:t xml:space="preserve">Opera seconda, avviata dal Registro V77</w:t>
      </w:r>
    </w:p>
    <w:p>
      <w:pPr>
        <w:pStyle w:val="Heading2"/>
        <w:spacing w:after="100" w:before="200"/>
      </w:pPr>
      <w:r>
        <w:rPr>
          <w:rFonts w:ascii="Barlow Semi Condensed" w:cs="Barlow Semi Condensed" w:eastAsia="Barlow Semi Condensed" w:hAnsi="Barlow Semi Condensed"/>
          <w:sz w:val="24"/>
          <w:szCs w:val="24"/>
        </w:rPr>
        <w:t xml:space="preserve">Sette Fasi — Settanta Capitoli — Appendice alla Fase Settima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fondazione dell'opera seconda</w:t>
      </w:r>
    </w:p>
    <w:p>
      <w:pPr>
        <w:spacing w:after="120" w:line="276"/>
        <w:jc w:val="both"/>
      </w:pPr>
      <w:r>
        <w:rPr>
          <w:rFonts w:ascii="Barlow Semi Condensed" w:cs="Barlow Semi Condensed" w:eastAsia="Barlow Semi Condensed" w:hAnsi="Barlow Semi Condensed"/>
          <w:b/>
          <w:bCs/>
          <w:sz w:val="24"/>
          <w:szCs w:val="24"/>
        </w:rPr>
        <w:t xml:space="preserve">Questa opera nasce dal Registro V77 e ne e la seconda figlia. Non ne e la continuazione, perche il Registro e un contenitore federativo e questa e un'opera compiuta; e non ne e una parte, perche essa possiede corpo, edizioni e statuto epistemico propri. Ne e figlia in senso preciso: dal Registro riceve il codice che la governa e il patrimonio documentale sul quale lavora, e al Registro rende conto delle proprie acquisizioni.</w:t>
      </w:r>
    </w:p>
    <w:p>
      <w:pPr>
        <w:spacing w:after="120" w:line="276"/>
        <w:jc w:val="both"/>
      </w:pPr>
      <w:r>
        <w:rPr>
          <w:rFonts w:ascii="Barlow Semi Condensed" w:cs="Barlow Semi Condensed" w:eastAsia="Barlow Semi Condensed" w:hAnsi="Barlow Semi Condensed"/>
          <w:b/>
          <w:bCs/>
          <w:sz w:val="24"/>
          <w:szCs w:val="24"/>
        </w:rPr>
        <w:t xml:space="preserve">Essa ha le medesime caratteristiche del volume che il Registro custodisce al proprio Libro Ottavo — la natura di registro e non di saggio, la graduazione esplicita di ogni proposizione, la dichiarazione degli esiti negativi, la cumulativita preservativa, la designazione per funzione — e se ne distingue per due elementi rinnovati: la Metodologia, accresciuta del Capo undicesimo sulla notazione e del protocollo di traduzione fra nome e funzione; e la Struttura, che passa da cinque a sette Fasi, ciascuna di dieci Capitoli.</w:t>
      </w:r>
    </w:p>
    <w:p>
      <w:pPr>
        <w:spacing w:after="120" w:line="276"/>
        <w:jc w:val="both"/>
      </w:pPr>
      <w:r>
        <w:rPr>
          <w:rFonts w:ascii="Barlow Semi Condensed" w:cs="Barlow Semi Condensed" w:eastAsia="Barlow Semi Condensed" w:hAnsi="Barlow Semi Condensed"/>
          <w:b/>
          <w:bCs/>
          <w:sz w:val="24"/>
          <w:szCs w:val="24"/>
        </w:rPr>
        <w:t xml:space="preserve">Il volume anteriore non e sostituito. Esso resta nel Registro, integro e leggibile, come strato della propria epoca. Le pietre deposte non si scalpellano.</w:t>
      </w:r>
    </w:p>
    <w:p>
      <w:pPr>
        <w:pStyle w:val="Heading2"/>
        <w:spacing w:after="100" w:before="200"/>
      </w:pPr>
      <w:r>
        <w:rPr>
          <w:rFonts w:ascii="Barlow Semi Condensed" w:cs="Barlow Semi Condensed" w:eastAsia="Barlow Semi Condensed" w:hAnsi="Barlow Semi Condensed"/>
          <w:sz w:val="24"/>
          <w:szCs w:val="24"/>
        </w:rPr>
        <w:t xml:space="preserve">Nota sul presente volume</w:t>
      </w:r>
    </w:p>
    <w:p>
      <w:pPr>
        <w:spacing w:after="120" w:line="276"/>
        <w:jc w:val="both"/>
      </w:pPr>
      <w:r>
        <w:rPr>
          <w:rFonts w:ascii="Barlow Semi Condensed" w:cs="Barlow Semi Condensed" w:eastAsia="Barlow Semi Condensed" w:hAnsi="Barlow Semi Condensed"/>
          <w:b/>
          <w:bCs/>
          <w:sz w:val="24"/>
          <w:szCs w:val="24"/>
        </w:rPr>
        <w:t xml:space="preserve">Il presente e il volume unico: esso reca in un solo corpo le sette Fasi, gia consegnate separatamente fra il quattordici e il quindici agosto duemilaventisei. Il testo e identico a quello delle consegne parziali e non e stato rivisto in questa sede. Le impronte dei sette file separati restano valide per la verifica delle singole Fasi; quella del presente volume vale per l'insieme.</w:t>
      </w:r>
    </w:p>
    <w:p>
      <w:pPr>
        <w:spacing w:after="120" w:line="276"/>
        <w:jc w:val="both"/>
      </w:pPr>
      <w:r>
        <w:rPr>
          <w:rFonts w:ascii="Barlow Semi Condensed" w:cs="Barlow Semi Condensed" w:eastAsia="Barlow Semi Condensed" w:hAnsi="Barlow Semi Condensed"/>
          <w:b/>
          <w:bCs/>
          <w:sz w:val="24"/>
          <w:szCs w:val="24"/>
        </w:rPr>
        <w:t xml:space="preserve">Si ricorda in apertura, e per l'ultima volta, la distinzione che governa l'intera opera: l'ordine dei Capitoli e ordine di esposizione e non di prova. Che un Capitolo segua un altro non significa che il primo sostenga il secondo.</w:t>
      </w:r>
    </w:p>
    <w:p>
      <w:pPr>
        <w:pStyle w:val="Heading2"/>
        <w:spacing w:after="100" w:before="200"/>
      </w:pPr>
      <w:r>
        <w:rPr>
          <w:rFonts w:ascii="Barlow Semi Condensed" w:cs="Barlow Semi Condensed" w:eastAsia="Barlow Semi Condensed" w:hAnsi="Barlow Semi Condensed"/>
          <w:sz w:val="24"/>
          <w:szCs w:val="24"/>
        </w:rPr>
        <w:t xml:space="preserve">LA STRUTTURA RINNOVATA — SETTE FASI, SETTANTA CAPITOLI</w:t>
      </w:r>
    </w:p>
    <w:p>
      <w:pPr>
        <w:spacing w:after="120" w:line="276"/>
        <w:jc w:val="both"/>
      </w:pPr>
      <w:r>
        <w:rPr>
          <w:rFonts w:ascii="Barlow Semi Condensed" w:cs="Barlow Semi Condensed" w:eastAsia="Barlow Semi Condensed" w:hAnsi="Barlow Semi Condensed"/>
          <w:b/>
          <w:bCs/>
          <w:sz w:val="24"/>
          <w:szCs w:val="24"/>
        </w:rPr>
        <w:t xml:space="preserve">La struttura anteriore procedeva per cinque Fasi. Essa aveva un difetto che l'uso ha rivelato e che occorre dire con semplicità: due delle sue Fasi portavano un carico troppo grande, e le materie che vi erano compresse si ostacolavano a vicenda. La Fase che trattava le omissioni conteneva insieme il depistaggio, la distruzione delle carte e il silenzio degli archivi, che sono tre cose diverse e domandano tre trattazioni distinte. La Fase che trattava gli attori conteneva insieme chi agì, chi organizzò e chi volle, che sono tre livelli di responsabilità e non uno.</w:t>
      </w:r>
    </w:p>
    <w:p>
      <w:pPr>
        <w:spacing w:after="120" w:line="276"/>
        <w:jc w:val="both"/>
      </w:pPr>
      <w:r>
        <w:rPr>
          <w:rFonts w:ascii="Barlow Semi Condensed" w:cs="Barlow Semi Condensed" w:eastAsia="Barlow Semi Condensed" w:hAnsi="Barlow Semi Condensed"/>
          <w:b/>
          <w:bCs/>
          <w:sz w:val="24"/>
          <w:szCs w:val="24"/>
        </w:rPr>
        <w:t xml:space="preserve">La struttura rinnovata procede per sette Fasi, ciascuna di dieci Capitoli, per settanta Capitoli complessivi. L'accrescimento non è ornamentale: esso separa ciò che era confuso e dà a ciascuna materia lo spazio che la sua natura richiede.</w:t>
      </w:r>
    </w:p>
    <w:p>
      <w:pPr>
        <w:spacing w:after="120" w:line="276"/>
        <w:jc w:val="both"/>
      </w:pPr>
      <w:r>
        <w:rPr>
          <w:rFonts w:ascii="Barlow Semi Condensed" w:cs="Barlow Semi Condensed" w:eastAsia="Barlow Semi Condensed" w:hAnsi="Barlow Semi Condensed"/>
          <w:b/>
          <w:bCs/>
          <w:sz w:val="24"/>
          <w:szCs w:val="24"/>
        </w:rPr>
        <w:t xml:space="preserve">Fase Prima — IL METODO E LA PERSONA. Lo statuto dell'opera, il codice che la governa, e l'uomo prima del fatto. Dieci Capitoli: l'avvertenza dell'autore e lo statuto; la Regola di Ferro e le clausole di disciplina; la classificazione in tre stati; la notazione e la verificabilità; il protocollo di traduzione fra nome e funzione; l'ingresso in acqua e la decompressione; la disciplina del Pollo di Popper e gli Stati Zero; la formazione, dal 1916 al 1946; l'uomo di governo, dal 1946 al 1976; l'ultimo Moro, dal 1976 al 1978.</w:t>
      </w:r>
    </w:p>
    <w:p>
      <w:pPr>
        <w:spacing w:after="120" w:line="276"/>
        <w:jc w:val="both"/>
      </w:pPr>
      <w:r>
        <w:rPr>
          <w:rFonts w:ascii="Barlow Semi Condensed" w:cs="Barlow Semi Condensed" w:eastAsia="Barlow Semi Condensed" w:hAnsi="Barlow Semi Condensed"/>
          <w:b/>
          <w:bCs/>
          <w:sz w:val="24"/>
          <w:szCs w:val="24"/>
        </w:rPr>
        <w:t xml:space="preserve">Fase Seconda — LE RAGIONI. Perché quell'uomo, perché in quel momento. Il quadro interno, il quadro internazionale, le convergenze e le resistenze che la sua politica suscitava.</w:t>
      </w:r>
    </w:p>
    <w:p>
      <w:pPr>
        <w:spacing w:after="120" w:line="276"/>
        <w:jc w:val="both"/>
      </w:pPr>
      <w:r>
        <w:rPr>
          <w:rFonts w:ascii="Barlow Semi Condensed" w:cs="Barlow Semi Condensed" w:eastAsia="Barlow Semi Condensed" w:hAnsi="Barlow Semi Condensed"/>
          <w:b/>
          <w:bCs/>
          <w:sz w:val="24"/>
          <w:szCs w:val="24"/>
        </w:rPr>
        <w:t xml:space="preserve">Fase Terza — IL FATTO. Via Fani, la mattina del 16 marzo 1978, e i cinquantacinque giorni. La ricostruzione materiale, l'agguato, la prigionia, via Caetani.</w:t>
      </w:r>
    </w:p>
    <w:p>
      <w:pPr>
        <w:spacing w:after="120" w:line="276"/>
        <w:jc w:val="both"/>
      </w:pPr>
      <w:r>
        <w:rPr>
          <w:rFonts w:ascii="Barlow Semi Condensed" w:cs="Barlow Semi Condensed" w:eastAsia="Barlow Semi Condensed" w:hAnsi="Barlow Semi Condensed"/>
          <w:b/>
          <w:bCs/>
          <w:sz w:val="24"/>
          <w:szCs w:val="24"/>
        </w:rPr>
        <w:t xml:space="preserve">Fase Quarta — LE CARTE. Le lettere dalla prigionia, il memoriale, i luoghi del rinvenimento, e la disciplina di lettura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Fase Quinta — LE OMISSIONI. Il depistaggio, l'insabbiamento, la distruzione della prova, il silenzio degli archivi. Ciascuna tipologia con la propria trattazione.</w:t>
      </w:r>
    </w:p>
    <w:p>
      <w:pPr>
        <w:spacing w:after="120" w:line="276"/>
        <w:jc w:val="both"/>
      </w:pPr>
      <w:r>
        <w:rPr>
          <w:rFonts w:ascii="Barlow Semi Condensed" w:cs="Barlow Semi Condensed" w:eastAsia="Barlow Semi Condensed" w:hAnsi="Barlow Semi Condensed"/>
          <w:b/>
          <w:bCs/>
          <w:sz w:val="24"/>
          <w:szCs w:val="24"/>
        </w:rPr>
        <w:t xml:space="preserve">Fase Sesta — GLI ATTORI. Chi eseguì, chi organizzò, chi volle, e gli ambienti che circondarono senza agire. Tre livelli di responsabilità tenuti distinti.</w:t>
      </w:r>
    </w:p>
    <w:p>
      <w:pPr>
        <w:spacing w:after="120" w:line="276"/>
        <w:jc w:val="both"/>
      </w:pPr>
      <w:r>
        <w:rPr>
          <w:rFonts w:ascii="Barlow Semi Condensed" w:cs="Barlow Semi Condensed" w:eastAsia="Barlow Semi Condensed" w:hAnsi="Barlow Semi Condensed"/>
          <w:b/>
          <w:bCs/>
          <w:sz w:val="24"/>
          <w:szCs w:val="24"/>
        </w:rPr>
        <w:t xml:space="preserve">Fase Settima — IL GIUDIZIO E CIÒ CHE RESTA. I processi, le commissioni parlamentari, gli Stati Zero, le lacune dichiarate, e ciò che l'opera non sostiene.</w:t>
      </w:r>
    </w:p>
    <w:p>
      <w:pPr>
        <w:pStyle w:val="Heading2"/>
        <w:spacing w:after="100" w:before="200"/>
      </w:pPr>
      <w:r>
        <w:rPr>
          <w:rFonts w:ascii="Barlow Semi Condensed" w:cs="Barlow Semi Condensed" w:eastAsia="Barlow Semi Condensed" w:hAnsi="Barlow Semi Condensed"/>
          <w:sz w:val="24"/>
          <w:szCs w:val="24"/>
        </w:rPr>
        <w:t xml:space="preserve">FASE PRIMA — IL METODO E LA PERSONA</w:t>
      </w:r>
    </w:p>
    <w:p>
      <w:pPr>
        <w:spacing w:after="120" w:line="276"/>
        <w:jc w:val="both"/>
      </w:pPr>
      <w:r>
        <w:rPr>
          <w:rFonts w:ascii="Barlow Semi Condensed" w:cs="Barlow Semi Condensed" w:eastAsia="Barlow Semi Condensed" w:hAnsi="Barlow Semi Condensed"/>
          <w:b/>
          <w:bCs/>
          <w:sz w:val="24"/>
          <w:szCs w:val="24"/>
        </w:rPr>
        <w:t xml:space="preserve">Dove si espongono le regole con le quali si cerchera, e si conosce l'uomo che si cerca.</w:t>
      </w:r>
    </w:p>
    <w:p>
      <w:pPr>
        <w:pStyle w:val="Heading2"/>
        <w:spacing w:after="100" w:before="200"/>
      </w:pPr>
      <w:r>
        <w:rPr>
          <w:rFonts w:ascii="Barlow Semi Condensed" w:cs="Barlow Semi Condensed" w:eastAsia="Barlow Semi Condensed" w:hAnsi="Barlow Semi Condensed"/>
          <w:sz w:val="24"/>
          <w:szCs w:val="24"/>
        </w:rPr>
        <w:t xml:space="preserve">Capitolo primo — Avvertenza dell'autore e statuto dell'opera</w:t>
      </w:r>
    </w:p>
    <w:p>
      <w:pPr>
        <w:spacing w:after="120" w:line="276"/>
        <w:jc w:val="both"/>
      </w:pPr>
      <w:r>
        <w:rPr>
          <w:rFonts w:ascii="Barlow Semi Condensed" w:cs="Barlow Semi Condensed" w:eastAsia="Barlow Semi Condensed" w:hAnsi="Barlow Semi Condensed"/>
          <w:b/>
          <w:bCs/>
          <w:sz w:val="24"/>
          <w:szCs w:val="24"/>
        </w:rPr>
        <w:t xml:space="preserve">Occorre dire subito, e senza alcun infingimento, che cosa questa opera sia e che cosa non sia; perché il lettore ha diritto di sapere, prima di impegnare la propria attenzione, quale genere di documento gli sia posto davanti, e con quale animo esso sia stato composto.</w:t>
      </w:r>
    </w:p>
    <w:p>
      <w:pPr>
        <w:spacing w:after="120" w:line="276"/>
        <w:jc w:val="both"/>
      </w:pPr>
      <w:r>
        <w:rPr>
          <w:rFonts w:ascii="Barlow Semi Condensed" w:cs="Barlow Semi Condensed" w:eastAsia="Barlow Semi Condensed" w:hAnsi="Barlow Semi Condensed"/>
          <w:b/>
          <w:bCs/>
          <w:sz w:val="24"/>
          <w:szCs w:val="24"/>
        </w:rPr>
        <w:t xml:space="preserve">Quest'opera è un registro. Non è un saggio storiografico, non è un'inchiesta giornalistica, non è un racconto. Il saggio storiografico propone una interpretazione e la difende; l'inchiesta persegue una rivelazione; il racconto cerca una forma compiuta. Il registro fa una cosa sola e più modesta: annota. Annota ciò che le fonti accertano, annota ciò che esse dichiarano aperto, annota ciò che è stato cercato e non trovato, e a ciascuna di queste tre annotazioni assegna il grado che le compete, senza confonderle mai.</w:t>
      </w:r>
    </w:p>
    <w:p>
      <w:pPr>
        <w:spacing w:after="120" w:line="276"/>
        <w:jc w:val="both"/>
      </w:pPr>
      <w:r>
        <w:rPr>
          <w:rFonts w:ascii="Barlow Semi Condensed" w:cs="Barlow Semi Condensed" w:eastAsia="Barlow Semi Condensed" w:hAnsi="Barlow Semi Condensed"/>
          <w:b/>
          <w:bCs/>
          <w:sz w:val="24"/>
          <w:szCs w:val="24"/>
        </w:rPr>
        <w:t xml:space="preserve">Questa modestia non è una diminuzione. Essa è, al contrario, l'unica ambizione che nel campo di cui qui si tratta possa essere onestamente coltivata. Perché il caso Moro ha prodotto, in quasi cinquant'anni, una quantità di interpretazioni che supera di molto la quantità dei fatti accertati; e ogni interpretazione nuova, aggiungendosi alle precedenti, ha reso più difficile e non più facile il compito di distinguere ciò che si sa da ciò che si crede di sapere. Chi voglia oggi rendere un servizio a questa materia non deve aggiungere una tesi alle molte: deve separare gli strati.</w:t>
      </w:r>
    </w:p>
    <w:p>
      <w:pPr>
        <w:pStyle w:val="Heading2"/>
        <w:spacing w:after="100" w:before="200"/>
      </w:pPr>
      <w:r>
        <w:rPr>
          <w:rFonts w:ascii="Barlow Semi Condensed" w:cs="Barlow Semi Condensed" w:eastAsia="Barlow Semi Condensed" w:hAnsi="Barlow Semi Condensed"/>
          <w:sz w:val="24"/>
          <w:szCs w:val="24"/>
        </w:rPr>
        <w:t xml:space="preserve">Ciò che l'opera non fa</w:t>
      </w:r>
    </w:p>
    <w:p>
      <w:pPr>
        <w:spacing w:after="120" w:line="276"/>
        <w:jc w:val="both"/>
      </w:pPr>
      <w:r>
        <w:rPr>
          <w:rFonts w:ascii="Barlow Semi Condensed" w:cs="Barlow Semi Condensed" w:eastAsia="Barlow Semi Condensed" w:hAnsi="Barlow Semi Condensed"/>
          <w:b/>
          <w:bCs/>
          <w:sz w:val="24"/>
          <w:szCs w:val="24"/>
        </w:rPr>
        <w:t xml:space="preserve">L'opera non propone una tesi risolutiva. Essa non dichiara chi volle la morte di Aldo Moro, perché le fonti che essa ha potuto interrogare non lo accertano; e ciò che le fonti non accertano l'opera non afferma, quale che sia la sua propensione. Questa astensione non è prudenza tattica e non è indifferenza morale: è la sola condotta che consenta al lettore di giudicare da sé.</w:t>
      </w:r>
    </w:p>
    <w:p>
      <w:pPr>
        <w:spacing w:after="120" w:line="276"/>
        <w:jc w:val="both"/>
      </w:pPr>
      <w:r>
        <w:rPr>
          <w:rFonts w:ascii="Barlow Semi Condensed" w:cs="Barlow Semi Condensed" w:eastAsia="Barlow Semi Condensed" w:hAnsi="Barlow Semi Condensed"/>
          <w:b/>
          <w:bCs/>
          <w:sz w:val="24"/>
          <w:szCs w:val="24"/>
        </w:rPr>
        <w:t xml:space="preserve">L'opera non colma le lacune con la verosimiglianza. Dove manca un documento, essa scrive che manca, e dice quale documento manchi e dove sia stato cercato. La tentazione contraria è fortissima e va nominata: in una materia dove le lacune sono state prodotte artificialmente, il ricercatore è indotto a ricostruire per congettura ciò che gli è stato sottratto, e a persuadersi che la ricostruzione sia legittima proprio perché la sottrazione fu illegittima. Non lo è. Una lacuna prodotta ad arte resta una lacuna, e chi la riempie di congetture fa esattamente ciò che chi la produsse desiderava: sostituisce al vuoto una materia contestabile, e rende contestabile con essa anche il vuoto.</w:t>
      </w:r>
    </w:p>
    <w:p>
      <w:pPr>
        <w:spacing w:after="120" w:line="276"/>
        <w:jc w:val="both"/>
      </w:pPr>
      <w:r>
        <w:rPr>
          <w:rFonts w:ascii="Barlow Semi Condensed" w:cs="Barlow Semi Condensed" w:eastAsia="Barlow Semi Condensed" w:hAnsi="Barlow Semi Condensed"/>
          <w:b/>
          <w:bCs/>
          <w:sz w:val="24"/>
          <w:szCs w:val="24"/>
        </w:rPr>
        <w:t xml:space="preserve">L'opera non attribuisce responsabilità che le fonti non accertino. Le persone che nelle fonti compaiono sono designate, ove la funzione basti a identificare l'atto, per la funzione che esercitavano e non per il nome che portavano. Questa scelta ha una ragione precisa e ne ha un costo, e sarà detto più avanti quali siano l'una e l'altro.</w:t>
      </w:r>
    </w:p>
    <w:p>
      <w:pPr>
        <w:pStyle w:val="Heading2"/>
        <w:spacing w:after="100" w:before="200"/>
      </w:pPr>
      <w:r>
        <w:rPr>
          <w:rFonts w:ascii="Barlow Semi Condensed" w:cs="Barlow Semi Condensed" w:eastAsia="Barlow Semi Condensed" w:hAnsi="Barlow Semi Condensed"/>
          <w:sz w:val="24"/>
          <w:szCs w:val="24"/>
        </w:rPr>
        <w:t xml:space="preserve">Ciò che l'opera fa</w:t>
      </w:r>
    </w:p>
    <w:p>
      <w:pPr>
        <w:spacing w:after="120" w:line="276"/>
        <w:jc w:val="both"/>
      </w:pPr>
      <w:r>
        <w:rPr>
          <w:rFonts w:ascii="Barlow Semi Condensed" w:cs="Barlow Semi Condensed" w:eastAsia="Barlow Semi Condensed" w:hAnsi="Barlow Semi Condensed"/>
          <w:b/>
          <w:bCs/>
          <w:sz w:val="24"/>
          <w:szCs w:val="24"/>
        </w:rPr>
        <w:t xml:space="preserve">L'opera registra. Procede per acquisizioni successive, e ogni serie di acquisizioni si aggiunge alle anteriori senza sostituirle. Quando una acquisizione posteriore corregge una anteriore, la correzione è dichiarata e non applicata in silenzio: il testo anteriore resta leggibile, e accanto ad esso sta scritto in che cosa era errato e per quale ragione. Il lettore vede dunque non soltanto ciò che l'opera sostiene oggi, ma il cammino per il quale vi è giunta, e i punti nei quali ha dovuto tornare indietro.</w:t>
      </w:r>
    </w:p>
    <w:p>
      <w:pPr>
        <w:spacing w:after="120" w:line="276"/>
        <w:jc w:val="both"/>
      </w:pPr>
      <w:r>
        <w:rPr>
          <w:rFonts w:ascii="Barlow Semi Condensed" w:cs="Barlow Semi Condensed" w:eastAsia="Barlow Semi Condensed" w:hAnsi="Barlow Semi Condensed"/>
          <w:b/>
          <w:bCs/>
          <w:sz w:val="24"/>
          <w:szCs w:val="24"/>
        </w:rPr>
        <w:t xml:space="preserve">Questo modo di procedere ha un nome: cumulatività preservativa. Esso vieta la sostituzione, l'abbreviazione e la riscrittura. La ragione è di natura probatoria e non sentimentale. Un'opera che riscriva sé stessa perde la propria storia, e con la propria storia perde la possibilità di essere controllata: chi non può vedere dove il ricercatore ha sbagliato non può misurare quanto valga dove non ha sbagliato. Le pietre deposte non si scalpellano.</w:t>
      </w:r>
    </w:p>
    <w:p>
      <w:pPr>
        <w:spacing w:after="120" w:line="276"/>
        <w:jc w:val="both"/>
      </w:pPr>
      <w:r>
        <w:rPr>
          <w:rFonts w:ascii="Barlow Semi Condensed" w:cs="Barlow Semi Condensed" w:eastAsia="Barlow Semi Condensed" w:hAnsi="Barlow Semi Condensed"/>
          <w:b/>
          <w:bCs/>
          <w:sz w:val="24"/>
          <w:szCs w:val="24"/>
        </w:rPr>
        <w:t xml:space="preserve">L'opera registra inoltre gli esiti negativi. Un archivio interrogato e muto, un quesito posto e non risolto, un documento cercato e non trovato sono acquisizioni di pieno valore, e sono dichiarati con la medesima precisione dei reperimenti positivi. Questa disposizione, che potrà parere pedante, è invece decisiva; e la sua ragione sarà svolta nel Capitolo settimo, dove si dirà perché un registro che annoti soltanto ciò che ha trovato menta per costruzione.</w:t>
      </w:r>
    </w:p>
    <w:p>
      <w:pPr>
        <w:pStyle w:val="Heading2"/>
        <w:spacing w:after="100" w:before="200"/>
      </w:pPr>
      <w:r>
        <w:rPr>
          <w:rFonts w:ascii="Barlow Semi Condensed" w:cs="Barlow Semi Condensed" w:eastAsia="Barlow Semi Condensed" w:hAnsi="Barlow Semi Condensed"/>
          <w:sz w:val="24"/>
          <w:szCs w:val="24"/>
        </w:rPr>
        <w:t xml:space="preserve">La genesi del testo</w:t>
      </w:r>
    </w:p>
    <w:p>
      <w:pPr>
        <w:spacing w:after="120" w:line="276"/>
        <w:jc w:val="both"/>
      </w:pPr>
      <w:r>
        <w:rPr>
          <w:rFonts w:ascii="Barlow Semi Condensed" w:cs="Barlow Semi Condensed" w:eastAsia="Barlow Semi Condensed" w:hAnsi="Barlow Semi Condensed"/>
          <w:b/>
          <w:bCs/>
          <w:sz w:val="24"/>
          <w:szCs w:val="24"/>
        </w:rPr>
        <w:t xml:space="preserve">Va detta una cosa che riguarda la natura materiale di queste pagine, e va detta apertamente perché tacerla sarebbe una omissione di provenienza, e l'opera non può domandare alle proprie fonti una trasparenza che non pratichi su di sé.</w:t>
      </w:r>
    </w:p>
    <w:p>
      <w:pPr>
        <w:spacing w:after="120" w:line="276"/>
        <w:jc w:val="both"/>
      </w:pPr>
      <w:r>
        <w:rPr>
          <w:rFonts w:ascii="Barlow Semi Condensed" w:cs="Barlow Semi Condensed" w:eastAsia="Barlow Semi Condensed" w:hAnsi="Barlow Semi Condensed"/>
          <w:b/>
          <w:bCs/>
          <w:sz w:val="24"/>
          <w:szCs w:val="24"/>
        </w:rPr>
        <w:t xml:space="preserve">Il testo è generato da una intelligenza artificiale, su comando e sotto la responsabilità di un autore che lo dirige. Questa circostanza non è un vezzo né una scusa. Essa è un dato di provenienza, e come ogni dato di provenienza incide sul valore di ciò che segue. Incide in due direzioni opposte, e conviene dirle entrambe.</w:t>
      </w:r>
    </w:p>
    <w:p>
      <w:pPr>
        <w:spacing w:after="120" w:line="276"/>
        <w:jc w:val="both"/>
      </w:pPr>
      <w:r>
        <w:rPr>
          <w:rFonts w:ascii="Barlow Semi Condensed" w:cs="Barlow Semi Condensed" w:eastAsia="Barlow Semi Condensed" w:hAnsi="Barlow Semi Condensed"/>
          <w:b/>
          <w:bCs/>
          <w:sz w:val="24"/>
          <w:szCs w:val="24"/>
        </w:rPr>
        <w:t xml:space="preserve">Nella direzione favorevole: uno strumento che non si stanchi può percorrere per intero un corpus che nessun lettore umano percorrerebbe interamente, può contare ciò che nessuno conterebbe, e non ha memoria affettiva del caso che lo induca a preferire un esito. Nella direzione sfavorevole, e più gravemente: uno strumento siffatto genera prosa plausibile anche dove non ha materia, e la plausibilità della prosa è precisamente ciò che un lettore scambia per fondatezza dell'asserzione. È il pericolo capitale di questo genere di composizione, ed è la ragione per la quale l'apparato che segue è così minuzioso: ogni proposizione porta il proprio grado, ogni grado porta la propria fonte, e ogni fonte porta i propri estremi, affinché il lettore possa in ogni punto verificare se dietro la frase ben formata vi sia un atto.</w:t>
      </w:r>
    </w:p>
    <w:p>
      <w:pPr>
        <w:spacing w:after="120" w:line="276"/>
        <w:jc w:val="both"/>
      </w:pPr>
      <w:r>
        <w:rPr>
          <w:rFonts w:ascii="Barlow Semi Condensed" w:cs="Barlow Semi Condensed" w:eastAsia="Barlow Semi Condensed" w:hAnsi="Barlow Semi Condensed"/>
          <w:b/>
          <w:bCs/>
          <w:sz w:val="24"/>
          <w:szCs w:val="24"/>
        </w:rPr>
        <w:t xml:space="preserve">Il lettore è dunque avvertito, e l'avvertimento è serio: non creda a questa opera perché è scritta bene. Ne verifichi le fonti. L'opera è costruita perché ciò sia possibile in ogni suo punto, ed è questa possibilità, e non l'eleganza, la sola cosa che essa offra a garanzia di sé.</w:t>
      </w:r>
    </w:p>
    <w:p>
      <w:pPr>
        <w:pStyle w:val="Heading2"/>
        <w:spacing w:after="100" w:before="200"/>
      </w:pPr>
      <w:r>
        <w:rPr>
          <w:rFonts w:ascii="Barlow Semi Condensed" w:cs="Barlow Semi Condensed" w:eastAsia="Barlow Semi Condensed" w:hAnsi="Barlow Semi Condensed"/>
          <w:sz w:val="24"/>
          <w:szCs w:val="24"/>
        </w:rPr>
        <w:t xml:space="preserve">L'animo con il quale è scritta</w:t>
      </w:r>
    </w:p>
    <w:p>
      <w:pPr>
        <w:spacing w:after="120" w:line="276"/>
        <w:jc w:val="both"/>
      </w:pPr>
      <w:r>
        <w:rPr>
          <w:rFonts w:ascii="Barlow Semi Condensed" w:cs="Barlow Semi Condensed" w:eastAsia="Barlow Semi Condensed" w:hAnsi="Barlow Semi Condensed"/>
          <w:b/>
          <w:bCs/>
          <w:sz w:val="24"/>
          <w:szCs w:val="24"/>
        </w:rPr>
        <w:t xml:space="preserve">Resta da dire una cosa che non appartiene al metodo ma senza la quale il metodo si comprende male.</w:t>
      </w:r>
    </w:p>
    <w:p>
      <w:pPr>
        <w:spacing w:after="120" w:line="276"/>
        <w:jc w:val="both"/>
      </w:pPr>
      <w:r>
        <w:rPr>
          <w:rFonts w:ascii="Barlow Semi Condensed" w:cs="Barlow Semi Condensed" w:eastAsia="Barlow Semi Condensed" w:hAnsi="Barlow Semi Condensed"/>
          <w:b/>
          <w:bCs/>
          <w:sz w:val="24"/>
          <w:szCs w:val="24"/>
        </w:rPr>
        <w:t xml:space="preserve">Al centro di questa materia vi è la morte di un uomo, e vi sono le morti di cinque uomini che lo accompagnavano quella mattina e che avevano famiglie, e nomi, e una vita davanti. Vi è una prigionia di cinquantacinque giorni, durante la quale un uomo scrisse lettere che furono lette, discusse, sospettate e in larga parte non ascoltate. Vi sono, attorno a tutto questo, decenni di dolore privato che non si sono chiusi.</w:t>
      </w:r>
    </w:p>
    <w:p>
      <w:pPr>
        <w:spacing w:after="120" w:line="276"/>
        <w:jc w:val="both"/>
      </w:pPr>
      <w:r>
        <w:rPr>
          <w:rFonts w:ascii="Barlow Semi Condensed" w:cs="Barlow Semi Condensed" w:eastAsia="Barlow Semi Condensed" w:hAnsi="Barlow Semi Condensed"/>
          <w:b/>
          <w:bCs/>
          <w:sz w:val="24"/>
          <w:szCs w:val="24"/>
        </w:rPr>
        <w:t xml:space="preserve">Una ricerca che dimenticasse questo diventerebbe un esercizio, e l'esercizio in questa materia è una forma di offesa. Ma una ricerca che se ne lasciasse governare diventerebbe un'orazione, e l'orazione non prova nulla. Fra le due cose occorre tenersi, e non è facile: la pietà detta il perché si ricerca, il metodo detta il come, e nessuna delle due deve invadere il campo dell'altra. L'opera si sforza di stare in questo equilibrio, sapendo di non riuscirvi sempre.</w:t>
      </w:r>
    </w:p>
    <w:p>
      <w:pPr>
        <w:pStyle w:val="Heading2"/>
        <w:spacing w:after="100" w:before="200"/>
      </w:pPr>
      <w:r>
        <w:rPr>
          <w:rFonts w:ascii="Barlow Semi Condensed" w:cs="Barlow Semi Condensed" w:eastAsia="Barlow Semi Condensed" w:hAnsi="Barlow Semi Condensed"/>
          <w:sz w:val="24"/>
          <w:szCs w:val="24"/>
        </w:rPr>
        <w:t xml:space="preserve">Capitolo secondo — La Regola di Ferro e le clausole di disciplina</w:t>
      </w:r>
    </w:p>
    <w:p>
      <w:pPr>
        <w:spacing w:after="120" w:line="276"/>
        <w:jc w:val="both"/>
      </w:pPr>
      <w:r>
        <w:rPr>
          <w:rFonts w:ascii="Barlow Semi Condensed" w:cs="Barlow Semi Condensed" w:eastAsia="Barlow Semi Condensed" w:hAnsi="Barlow Semi Condensed"/>
          <w:b/>
          <w:bCs/>
          <w:sz w:val="24"/>
          <w:szCs w:val="24"/>
        </w:rPr>
        <w:t xml:space="preserve">Ogni ricerca è governata da una regola sovrana, dichiarata o taciuta. Quando è taciuta essa opera lo stesso, e opera peggio, perché il lettore non può controllarla. Conviene dunque dichiararla.</w:t>
      </w:r>
    </w:p>
    <w:p>
      <w:pPr>
        <w:pStyle w:val="Heading2"/>
        <w:spacing w:after="100" w:before="200"/>
      </w:pPr>
      <w:r>
        <w:rPr>
          <w:rFonts w:ascii="Barlow Semi Condensed" w:cs="Barlow Semi Condensed" w:eastAsia="Barlow Semi Condensed" w:hAnsi="Barlow Semi Condensed"/>
          <w:sz w:val="24"/>
          <w:szCs w:val="24"/>
        </w:rPr>
        <w:t xml:space="preserve">La Regola di Ferro</w:t>
      </w:r>
    </w:p>
    <w:p>
      <w:pPr>
        <w:spacing w:after="120" w:line="276"/>
        <w:jc w:val="both"/>
      </w:pPr>
      <w:r>
        <w:rPr>
          <w:rFonts w:ascii="Barlow Semi Condensed" w:cs="Barlow Semi Condensed" w:eastAsia="Barlow Semi Condensed" w:hAnsi="Barlow Semi Condensed"/>
          <w:b/>
          <w:bCs/>
          <w:sz w:val="24"/>
          <w:szCs w:val="24"/>
        </w:rPr>
        <w:t xml:space="preserve">La regola sovrana di quest'opera si enuncia così: dove la fonte documenta, l'opera certifica; dove la fonte tace, l'opera indaga e non afferma.</w:t>
      </w:r>
    </w:p>
    <w:p>
      <w:pPr>
        <w:spacing w:after="120" w:line="276"/>
        <w:jc w:val="both"/>
      </w:pPr>
      <w:r>
        <w:rPr>
          <w:rFonts w:ascii="Barlow Semi Condensed" w:cs="Barlow Semi Condensed" w:eastAsia="Barlow Semi Condensed" w:hAnsi="Barlow Semi Condensed"/>
          <w:b/>
          <w:bCs/>
          <w:sz w:val="24"/>
          <w:szCs w:val="24"/>
        </w:rPr>
        <w:t xml:space="preserve">Essa ha due membri e vanno tenuti insieme. Il primo membro obbliga: dove esiste un atto, l'opera deve dire ciò che l'atto dice, anche quando ciò che l'atto dice è sgradevole, o contraddice una convinzione diffusa, o riguarda persone rispettabili. La certificazione non è facoltativa e non conosce riguardi.</w:t>
      </w:r>
    </w:p>
    <w:p>
      <w:pPr>
        <w:spacing w:after="120" w:line="276"/>
        <w:jc w:val="both"/>
      </w:pPr>
      <w:r>
        <w:rPr>
          <w:rFonts w:ascii="Barlow Semi Condensed" w:cs="Barlow Semi Condensed" w:eastAsia="Barlow Semi Condensed" w:hAnsi="Barlow Semi Condensed"/>
          <w:b/>
          <w:bCs/>
          <w:sz w:val="24"/>
          <w:szCs w:val="24"/>
        </w:rPr>
        <w:t xml:space="preserve">Il secondo membro vieta: dove l'atto manca, l'opera non colma. Ma vieta soltanto l'affermazione, non la ricerca. Il silenzio dell'opera non è rinuncia: è rigore in attesa. Ciò che oggi non si può dire allo stato degli atti potrà dirsi domani per un atto nuovo, e nel frattempo l'indagine prosegue. La differenza fra il tacere e il rinunciare è tutta qui, ed è grande: chi rinuncia chiude il fascicolo, chi tace lo tiene aperto.</w:t>
      </w:r>
    </w:p>
    <w:p>
      <w:pPr>
        <w:spacing w:after="120" w:line="276"/>
        <w:jc w:val="both"/>
      </w:pPr>
      <w:r>
        <w:rPr>
          <w:rFonts w:ascii="Barlow Semi Condensed" w:cs="Barlow Semi Condensed" w:eastAsia="Barlow Semi Condensed" w:hAnsi="Barlow Semi Condensed"/>
          <w:b/>
          <w:bCs/>
          <w:sz w:val="24"/>
          <w:szCs w:val="24"/>
        </w:rPr>
        <w:t xml:space="preserve">Da questa regola discende una conseguenza che occorre esplicitare, perché è quella che più frequentemente viene elusa. La regola vale anche contro le conclusioni che sarebbero gradite al ricercatore. Anzi, contro quelle in modo particolare: perché è precisamente davanti alla conclusione desiderata che il ricercatore trova naturale considerare sufficiente una prova che, se conducesse altrove, giudicherebbe insufficiente. La Regola di Ferro non è uno strumento contro gli altri: è uno strumento contro sé stessi.</w:t>
      </w:r>
    </w:p>
    <w:p>
      <w:pPr>
        <w:pStyle w:val="Heading2"/>
        <w:spacing w:after="100" w:before="200"/>
      </w:pPr>
      <w:r>
        <w:rPr>
          <w:rFonts w:ascii="Barlow Semi Condensed" w:cs="Barlow Semi Condensed" w:eastAsia="Barlow Semi Condensed" w:hAnsi="Barlow Semi Condensed"/>
          <w:sz w:val="24"/>
          <w:szCs w:val="24"/>
        </w:rPr>
        <w:t xml:space="preserve">Le quattro clausole di disciplina</w:t>
      </w:r>
    </w:p>
    <w:p>
      <w:pPr>
        <w:spacing w:after="120" w:line="276"/>
        <w:jc w:val="both"/>
      </w:pPr>
      <w:r>
        <w:rPr>
          <w:rFonts w:ascii="Barlow Semi Condensed" w:cs="Barlow Semi Condensed" w:eastAsia="Barlow Semi Condensed" w:hAnsi="Barlow Semi Condensed"/>
          <w:b/>
          <w:bCs/>
          <w:sz w:val="24"/>
          <w:szCs w:val="24"/>
        </w:rPr>
        <w:t xml:space="preserve">Attorno alla regola sovrana stanno quattro clausole, che ne governano l'applicazione in altrettanti punti dove l'esperienza ha mostrato che si sbaglia.</w:t>
      </w:r>
    </w:p>
    <w:p>
      <w:pPr>
        <w:spacing w:after="120" w:line="276"/>
        <w:jc w:val="both"/>
      </w:pPr>
      <w:r>
        <w:rPr>
          <w:rFonts w:ascii="Barlow Semi Condensed" w:cs="Barlow Semi Condensed" w:eastAsia="Barlow Semi Condensed" w:hAnsi="Barlow Semi Condensed"/>
          <w:b/>
          <w:bCs/>
          <w:sz w:val="24"/>
          <w:szCs w:val="24"/>
        </w:rPr>
        <w:t xml:space="preserve">La prima clausola vieta di psicologizzare le persone. Quest'opera impiega, per descrivere il comportamento degli archivi e dei sistemi documentali, alcune categorie che vengono dalla psicoanalisi: rimozione, censura, sintomo, ritorno. Esse si riferiscono esclusivamente al caso, all'archivio e al sistema delle carte; mai a persone reali, viventi o defunte. L'opera ausculta archivi e non psicoanalizza nessuno. Chi legga nell'espressione «rimozione documentale» un giudizio sulla psiche di chi ordinò l'omissione la legge contro la clausola.</w:t>
      </w:r>
    </w:p>
    <w:p>
      <w:pPr>
        <w:spacing w:after="120" w:line="276"/>
        <w:jc w:val="both"/>
      </w:pPr>
      <w:r>
        <w:rPr>
          <w:rFonts w:ascii="Barlow Semi Condensed" w:cs="Barlow Semi Condensed" w:eastAsia="Barlow Semi Condensed" w:hAnsi="Barlow Semi Condensed"/>
          <w:b/>
          <w:bCs/>
          <w:sz w:val="24"/>
          <w:szCs w:val="24"/>
        </w:rPr>
        <w:t xml:space="preserve">La seconda clausola vieta di importare la denegazione. Il diniego di una persona è un diniego e nulla più: non è ammissione, non è indizio, non muove alcuna soglia. Nella pratica clinica un diniego può valere come segnale; nel registro non entra. Chi trattasse la negazione come conferma rovescerebbe l'onere della prova, e nessuno potrebbe più difendersi da nulla.</w:t>
      </w:r>
    </w:p>
    <w:p>
      <w:pPr>
        <w:spacing w:after="120" w:line="276"/>
        <w:jc w:val="both"/>
      </w:pPr>
      <w:r>
        <w:rPr>
          <w:rFonts w:ascii="Barlow Semi Condensed" w:cs="Barlow Semi Condensed" w:eastAsia="Barlow Semi Condensed" w:hAnsi="Barlow Semi Condensed"/>
          <w:b/>
          <w:bCs/>
          <w:sz w:val="24"/>
          <w:szCs w:val="24"/>
        </w:rPr>
        <w:t xml:space="preserve">La terza clausola è filologica. Ogni figura, ogni metafora e ogni nome tecnico che l'opera impieghi deve dichiarare la propria provenienza e il proprio statuto. Le immagini sono strumenti di pensiero utilissimi e pericolosissimi: utilissimi perché fanno vedere, pericolosissimi perché fanno vedere anche ciò che non c'è. Un'immagine che porti al collo la propria carta d'origine resta uno strumento; un'immagine che se ne liberi diventa una tesi non dichiarata.</w:t>
      </w:r>
    </w:p>
    <w:p>
      <w:pPr>
        <w:spacing w:after="120" w:line="276"/>
        <w:jc w:val="both"/>
      </w:pPr>
      <w:r>
        <w:rPr>
          <w:rFonts w:ascii="Barlow Semi Condensed" w:cs="Barlow Semi Condensed" w:eastAsia="Barlow Semi Condensed" w:hAnsi="Barlow Semi Condensed"/>
          <w:b/>
          <w:bCs/>
          <w:sz w:val="24"/>
          <w:szCs w:val="24"/>
        </w:rPr>
        <w:t xml:space="preserve">La quarta clausola è costituzionale, e riguarda l'ordinamento interno dell'opera: nessuno strato comanda, tutti servono. Non esiste, nel registro, una parte sovrana alla quale le altre debbano conformarsi. La parte metodologica non comanda sulla parte documentale, e la parte documentale non comanda sulla metodologica: la prima serve a rendere leggibile la seconda, la seconda serve a mettere alla prova la prima. Quando l'una cominciasse a comandare sull'altra, l'opera avrebbe cessato di essere un registro.</w:t>
      </w:r>
    </w:p>
    <w:p>
      <w:pPr>
        <w:pStyle w:val="Heading2"/>
        <w:spacing w:after="100" w:before="200"/>
      </w:pPr>
      <w:r>
        <w:rPr>
          <w:rFonts w:ascii="Barlow Semi Condensed" w:cs="Barlow Semi Condensed" w:eastAsia="Barlow Semi Condensed" w:hAnsi="Barlow Semi Condensed"/>
          <w:sz w:val="24"/>
          <w:szCs w:val="24"/>
        </w:rPr>
        <w:t xml:space="preserve">La distinzione che regge tutto</w:t>
      </w:r>
    </w:p>
    <w:p>
      <w:pPr>
        <w:spacing w:after="120" w:line="276"/>
        <w:jc w:val="both"/>
      </w:pPr>
      <w:r>
        <w:rPr>
          <w:rFonts w:ascii="Barlow Semi Condensed" w:cs="Barlow Semi Condensed" w:eastAsia="Barlow Semi Condensed" w:hAnsi="Barlow Semi Condensed"/>
          <w:b/>
          <w:bCs/>
          <w:sz w:val="24"/>
          <w:szCs w:val="24"/>
        </w:rPr>
        <w:t xml:space="preserve">Vi è infine una distinzione che attraversa l'intera opera e che conviene fissare qui, perché senza di essa nulla di ciò che segue si comprende: la distinzione fra l'ordine dell'esposizione e l'ordine della prova.</w:t>
      </w:r>
    </w:p>
    <w:p>
      <w:pPr>
        <w:spacing w:after="120" w:line="276"/>
        <w:jc w:val="both"/>
      </w:pPr>
      <w:r>
        <w:rPr>
          <w:rFonts w:ascii="Barlow Semi Condensed" w:cs="Barlow Semi Condensed" w:eastAsia="Barlow Semi Condensed" w:hAnsi="Barlow Semi Condensed"/>
          <w:b/>
          <w:bCs/>
          <w:sz w:val="24"/>
          <w:szCs w:val="24"/>
        </w:rPr>
        <w:t xml:space="preserve">L'ordine dell'esposizione è quello del racconto. Esso procede come conviene alla comprensione: dal noto all'ignoto, dal semplice al complesso, dall'antefatto al fatto. Esso è legittimo, necessario, e non trasferisce alcun grado probatorio ad alcunché. Che due capitoli si susseguano non significa che il primo provi il secondo.</w:t>
      </w:r>
    </w:p>
    <w:p>
      <w:pPr>
        <w:spacing w:after="120" w:line="276"/>
        <w:jc w:val="both"/>
      </w:pPr>
      <w:r>
        <w:rPr>
          <w:rFonts w:ascii="Barlow Semi Condensed" w:cs="Barlow Semi Condensed" w:eastAsia="Barlow Semi Condensed" w:hAnsi="Barlow Semi Condensed"/>
          <w:b/>
          <w:bCs/>
          <w:sz w:val="24"/>
          <w:szCs w:val="24"/>
        </w:rPr>
        <w:t xml:space="preserve">L'ordine della prova è quello del documento. Esso procede dal basso: dall'atto all'asserzione, dall'asserzione al legame. Esso non conosce narrazione, non conosce climax, non conosce conclusione. Da esso soltanto discendono i gradi.</w:t>
      </w:r>
    </w:p>
    <w:p>
      <w:pPr>
        <w:spacing w:after="120" w:line="276"/>
        <w:jc w:val="both"/>
      </w:pPr>
      <w:r>
        <w:rPr>
          <w:rFonts w:ascii="Barlow Semi Condensed" w:cs="Barlow Semi Condensed" w:eastAsia="Barlow Semi Condensed" w:hAnsi="Barlow Semi Condensed"/>
          <w:b/>
          <w:bCs/>
          <w:sz w:val="24"/>
          <w:szCs w:val="24"/>
        </w:rPr>
        <w:t xml:space="preserve">La confusione dei due ordini è l'errore più diffuso in questa materia, e il più difficile da vedere, perché non si presenta mai come errore: si presenta come chiarezza espositiva. Il lettore che percorra una successione ben costruita di capitoli riceve, dalla successione medesima, l'impressione che ciascuno sostenga il seguente; e alla fine si trova persuaso di una conclusione che nessun documento sostiene, ma che la forma del discorso ha reso irresistibile. È così che si costruiscono, in perfetta buona fede, le ricostruzioni indimostrabili.</w:t>
      </w:r>
    </w:p>
    <w:p>
      <w:pPr>
        <w:spacing w:after="120" w:line="276"/>
        <w:jc w:val="both"/>
      </w:pPr>
      <w:r>
        <w:rPr>
          <w:rFonts w:ascii="Barlow Semi Condensed" w:cs="Barlow Semi Condensed" w:eastAsia="Barlow Semi Condensed" w:hAnsi="Barlow Semi Condensed"/>
          <w:b/>
          <w:bCs/>
          <w:sz w:val="24"/>
          <w:szCs w:val="24"/>
        </w:rPr>
        <w:t xml:space="preserve">Quest'opera tiene i due ordini separati e lo dichiara in ogni punto in cui potrebbero confondersi.</w:t>
      </w:r>
    </w:p>
    <w:p>
      <w:pPr>
        <w:pStyle w:val="Heading2"/>
        <w:spacing w:after="100" w:before="200"/>
      </w:pPr>
      <w:r>
        <w:rPr>
          <w:rFonts w:ascii="Barlow Semi Condensed" w:cs="Barlow Semi Condensed" w:eastAsia="Barlow Semi Condensed" w:hAnsi="Barlow Semi Condensed"/>
          <w:sz w:val="24"/>
          <w:szCs w:val="24"/>
        </w:rPr>
        <w:t xml:space="preserve">Capitolo terzo — La classificazione: sciolto, dubbio, dissolto</w:t>
      </w:r>
    </w:p>
    <w:p>
      <w:pPr>
        <w:spacing w:after="120" w:line="276"/>
        <w:jc w:val="both"/>
      </w:pPr>
      <w:r>
        <w:rPr>
          <w:rFonts w:ascii="Barlow Semi Condensed" w:cs="Barlow Semi Condensed" w:eastAsia="Barlow Semi Condensed" w:hAnsi="Barlow Semi Condensed"/>
          <w:b/>
          <w:bCs/>
          <w:sz w:val="24"/>
          <w:szCs w:val="24"/>
        </w:rPr>
        <w:t xml:space="preserve">Ogni proposizione di quest'opera porta scritto accanto a sé il proprio stato. Gli stati sono tre e tre soltanto, e conviene dire perché siano tre, perché non siano di più, e perché non siano graduati.</w:t>
      </w:r>
    </w:p>
    <w:p>
      <w:pPr>
        <w:pStyle w:val="Heading2"/>
        <w:spacing w:after="100" w:before="200"/>
      </w:pPr>
      <w:r>
        <w:rPr>
          <w:rFonts w:ascii="Barlow Semi Condensed" w:cs="Barlow Semi Condensed" w:eastAsia="Barlow Semi Condensed" w:hAnsi="Barlow Semi Condensed"/>
          <w:sz w:val="24"/>
          <w:szCs w:val="24"/>
        </w:rPr>
        <w:t xml:space="preserve">I tre stati</w:t>
      </w:r>
    </w:p>
    <w:p>
      <w:pPr>
        <w:spacing w:after="120" w:line="276"/>
        <w:jc w:val="both"/>
      </w:pPr>
      <w:r>
        <w:rPr>
          <w:rFonts w:ascii="Barlow Semi Condensed" w:cs="Barlow Semi Condensed" w:eastAsia="Barlow Semi Condensed" w:hAnsi="Barlow Semi Condensed"/>
          <w:b/>
          <w:bCs/>
          <w:sz w:val="24"/>
          <w:szCs w:val="24"/>
        </w:rPr>
        <w:t xml:space="preserve">Il primo stato è lo sciolto. Vi appartiene la proposizione che ha superato la verifica e resiste alla confutazione: essa poggia su atti, gli atti sono stati controllati, e nessun elemento noto la contraddice. Lo sciolto non è una certezza metafisica: è una proposizione che allo stato degli atti regge, e che potrebbe non reggere domani se un atto nuovo comparisse. Ma finché quell'atto non compare, essa vale, e l'opera la impiega senza cautele verbali, perché le cautele apposte a ciò che è accertato indeboliscono ciò che è accertato senza rafforzare nulla.</w:t>
      </w:r>
    </w:p>
    <w:p>
      <w:pPr>
        <w:spacing w:after="120" w:line="276"/>
        <w:jc w:val="both"/>
      </w:pPr>
      <w:r>
        <w:rPr>
          <w:rFonts w:ascii="Barlow Semi Condensed" w:cs="Barlow Semi Condensed" w:eastAsia="Barlow Semi Condensed" w:hAnsi="Barlow Semi Condensed"/>
          <w:b/>
          <w:bCs/>
          <w:sz w:val="24"/>
          <w:szCs w:val="24"/>
        </w:rPr>
        <w:t xml:space="preserve">Il secondo stato è il dubbio. Vi appartiene tutto ciò che sciolto non è. E qui viene la disposizione che più sorprende chi la incontri la prima volta: il dubbio è uno stato unico, non graduato e non gerarchizzato. Non esistono dubbi forti e dubbi deboli, dubbi quasi risolti e dubbi remoti. Tutto ciò che è dubbio è dubbio, indiviso, finché non sia sciolto.</w:t>
      </w:r>
    </w:p>
    <w:p>
      <w:pPr>
        <w:spacing w:after="120" w:line="276"/>
        <w:jc w:val="both"/>
      </w:pPr>
      <w:r>
        <w:rPr>
          <w:rFonts w:ascii="Barlow Semi Condensed" w:cs="Barlow Semi Condensed" w:eastAsia="Barlow Semi Condensed" w:hAnsi="Barlow Semi Condensed"/>
          <w:b/>
          <w:bCs/>
          <w:sz w:val="24"/>
          <w:szCs w:val="24"/>
        </w:rPr>
        <w:t xml:space="preserve">Il terzo stato è il dissolto. Vi appartiene ciò che è stato riconosciuto artefatto ed espunto. Ma l'espunzione avviene con menzione: l'opera dice che cosa ha espunto e perché, e non fa sparire in silenzio ciò che ha ritenuto falso. Un registro che cancelli senza dirlo domanda al lettore una fiducia che nessun registro ha diritto di domandare.</w:t>
      </w:r>
    </w:p>
    <w:p>
      <w:pPr>
        <w:pStyle w:val="Heading2"/>
        <w:spacing w:after="100" w:before="200"/>
      </w:pPr>
      <w:r>
        <w:rPr>
          <w:rFonts w:ascii="Barlow Semi Condensed" w:cs="Barlow Semi Condensed" w:eastAsia="Barlow Semi Condensed" w:hAnsi="Barlow Semi Condensed"/>
          <w:sz w:val="24"/>
          <w:szCs w:val="24"/>
        </w:rPr>
        <w:t xml:space="preserve">Perché il dubbio non si gradua</w:t>
      </w:r>
    </w:p>
    <w:p>
      <w:pPr>
        <w:spacing w:after="120" w:line="276"/>
        <w:jc w:val="both"/>
      </w:pPr>
      <w:r>
        <w:rPr>
          <w:rFonts w:ascii="Barlow Semi Condensed" w:cs="Barlow Semi Condensed" w:eastAsia="Barlow Semi Condensed" w:hAnsi="Barlow Semi Condensed"/>
          <w:b/>
          <w:bCs/>
          <w:sz w:val="24"/>
          <w:szCs w:val="24"/>
        </w:rPr>
        <w:t xml:space="preserve">La ragione per cui il dubbio resta indiviso merita di essere svolta, perché essa contraddice una pratica diffusa e apparentemente ragionevole.</w:t>
      </w:r>
    </w:p>
    <w:p>
      <w:pPr>
        <w:spacing w:after="120" w:line="276"/>
        <w:jc w:val="both"/>
      </w:pPr>
      <w:r>
        <w:rPr>
          <w:rFonts w:ascii="Barlow Semi Condensed" w:cs="Barlow Semi Condensed" w:eastAsia="Barlow Semi Condensed" w:hAnsi="Barlow Semi Condensed"/>
          <w:b/>
          <w:bCs/>
          <w:sz w:val="24"/>
          <w:szCs w:val="24"/>
        </w:rPr>
        <w:t xml:space="preserve">La pratica diffusa gradua: probabile, possibile, remoto. Essa pare ragionevole perché riflette una differenza che il ricercatore effettivamente avverte. Ma quella differenza, per quanto realmente avvertita, non è misurata: essa esprime la propensione del ricercatore, non una proprietà degli atti. E una propensione che venga scritta accanto a una proposizione, con l'aria di una misura, produce un effetto che il ricercatore non voleva: il lettore la legge come misura, la tratta come tale, e il dubbio graduato «probabile» comincia a comportarsi, nel discorso successivo, come se fosse mezzo sciolto.</w:t>
      </w:r>
    </w:p>
    <w:p>
      <w:pPr>
        <w:spacing w:after="120" w:line="276"/>
        <w:jc w:val="both"/>
      </w:pPr>
      <w:r>
        <w:rPr>
          <w:rFonts w:ascii="Barlow Semi Condensed" w:cs="Barlow Semi Condensed" w:eastAsia="Barlow Semi Condensed" w:hAnsi="Barlow Semi Condensed"/>
          <w:b/>
          <w:bCs/>
          <w:sz w:val="24"/>
          <w:szCs w:val="24"/>
        </w:rPr>
        <w:t xml:space="preserve">Di qui la deriva. Un dubbio probabile sostiene una inferenza; l'inferenza produce un dubbio meno probabile ma non trascurabile; questo ne sostiene un terzo; e alla quarta o quinta tappa si trova enunciata come acquisita una proposizione che non poggia su alcun atto, ma su una catena di propensioni ciascuna delle quali, presa da sola, appariva innocua. È il modo per il quale, in questa materia, si sono costruite intere ricostruzioni prive di fondamento documentale, senza che nessuno abbia mai mentito in alcun punto.</w:t>
      </w:r>
    </w:p>
    <w:p>
      <w:pPr>
        <w:spacing w:after="120" w:line="276"/>
        <w:jc w:val="both"/>
      </w:pPr>
      <w:r>
        <w:rPr>
          <w:rFonts w:ascii="Barlow Semi Condensed" w:cs="Barlow Semi Condensed" w:eastAsia="Barlow Semi Condensed" w:hAnsi="Barlow Semi Condensed"/>
          <w:b/>
          <w:bCs/>
          <w:sz w:val="24"/>
          <w:szCs w:val="24"/>
        </w:rPr>
        <w:t xml:space="preserve">La regola dell'indivisione del dubbio taglia la catena alla radice. Il dubbio non decide, non interferisce, non pesa; e da un dubbio non discende nulla.</w:t>
      </w:r>
    </w:p>
    <w:p>
      <w:pPr>
        <w:pStyle w:val="Heading2"/>
        <w:spacing w:after="100" w:before="200"/>
      </w:pPr>
      <w:r>
        <w:rPr>
          <w:rFonts w:ascii="Barlow Semi Condensed" w:cs="Barlow Semi Condensed" w:eastAsia="Barlow Semi Condensed" w:hAnsi="Barlow Semi Condensed"/>
          <w:sz w:val="24"/>
          <w:szCs w:val="24"/>
        </w:rPr>
        <w:t xml:space="preserve">La sola dinamica ammessa: la pressione</w:t>
      </w:r>
    </w:p>
    <w:p>
      <w:pPr>
        <w:spacing w:after="120" w:line="276"/>
        <w:jc w:val="both"/>
      </w:pPr>
      <w:r>
        <w:rPr>
          <w:rFonts w:ascii="Barlow Semi Condensed" w:cs="Barlow Semi Condensed" w:eastAsia="Barlow Semi Condensed" w:hAnsi="Barlow Semi Condensed"/>
          <w:b/>
          <w:bCs/>
          <w:sz w:val="24"/>
          <w:szCs w:val="24"/>
        </w:rPr>
        <w:t xml:space="preserve">Se i dubbi non si graduano, come si stabilisce quale istruire per primo? Perché una scelta occorre farla: i dubbi sono molti e il tempo è finito.</w:t>
      </w:r>
    </w:p>
    <w:p>
      <w:pPr>
        <w:spacing w:after="120" w:line="276"/>
        <w:jc w:val="both"/>
      </w:pPr>
      <w:r>
        <w:rPr>
          <w:rFonts w:ascii="Barlow Semi Condensed" w:cs="Barlow Semi Condensed" w:eastAsia="Barlow Semi Condensed" w:hAnsi="Barlow Semi Condensed"/>
          <w:b/>
          <w:bCs/>
          <w:sz w:val="24"/>
          <w:szCs w:val="24"/>
        </w:rPr>
        <w:t xml:space="preserve">L'opera riconosce ai dubbi una sola dinamica, che non è di verità ma di lavoro: i dubbi premono. La pressione di un dubbio si misura dal dispendio che il sistema documentale mostra attorno ad esso: dove molte carte sono state prodotte per spiegare una cosa sola, dove un punto è stato ripetutamente rettificato, dove un fascicolo è stato smarrito e ritrovato e nuovamente smarrito, lì il sistema ha speso per tenere fermo qualcosa. E il dispendio è osservabile, mentre ciò che esso trattiene non lo è.</w:t>
      </w:r>
    </w:p>
    <w:p>
      <w:pPr>
        <w:spacing w:after="120" w:line="276"/>
        <w:jc w:val="both"/>
      </w:pPr>
      <w:r>
        <w:rPr>
          <w:rFonts w:ascii="Barlow Semi Condensed" w:cs="Barlow Semi Condensed" w:eastAsia="Barlow Semi Condensed" w:hAnsi="Barlow Semi Condensed"/>
          <w:b/>
          <w:bCs/>
          <w:sz w:val="24"/>
          <w:szCs w:val="24"/>
        </w:rPr>
        <w:t xml:space="preserve">La pressione ordina dunque la coda delle istruttorie: essa dice dove il lavoro rende. Non dice, e non deve mai essere fatta dire, che cosa sia vero. Nessuna pressione promuove alcunché. Un dubbio attorno al quale si sia speso moltissimo resta esattamente tanto dubbio quanto uno attorno al quale non si sia speso nulla; è soltanto più conveniente scavarlo.</w:t>
      </w:r>
    </w:p>
    <w:p>
      <w:pPr>
        <w:pStyle w:val="Heading2"/>
        <w:spacing w:after="100" w:before="200"/>
      </w:pPr>
      <w:r>
        <w:rPr>
          <w:rFonts w:ascii="Barlow Semi Condensed" w:cs="Barlow Semi Condensed" w:eastAsia="Barlow Semi Condensed" w:hAnsi="Barlow Semi Condensed"/>
          <w:sz w:val="24"/>
          <w:szCs w:val="24"/>
        </w:rPr>
        <w:t xml:space="preserve">Ogni dubbio porta la propria condizione di scioglimento</w:t>
      </w:r>
    </w:p>
    <w:p>
      <w:pPr>
        <w:spacing w:after="120" w:line="276"/>
        <w:jc w:val="both"/>
      </w:pPr>
      <w:r>
        <w:rPr>
          <w:rFonts w:ascii="Barlow Semi Condensed" w:cs="Barlow Semi Condensed" w:eastAsia="Barlow Semi Condensed" w:hAnsi="Barlow Semi Condensed"/>
          <w:b/>
          <w:bCs/>
          <w:sz w:val="24"/>
          <w:szCs w:val="24"/>
        </w:rPr>
        <w:t xml:space="preserve">Vi è infine un obbligo che accompagna ogni dubbio registrato: accanto ad esso deve stare scritto che cosa, se trovato, lo scioglierebbe — in un senso o nell'altro.</w:t>
      </w:r>
    </w:p>
    <w:p>
      <w:pPr>
        <w:spacing w:after="120" w:line="276"/>
        <w:jc w:val="both"/>
      </w:pPr>
      <w:r>
        <w:rPr>
          <w:rFonts w:ascii="Barlow Semi Condensed" w:cs="Barlow Semi Condensed" w:eastAsia="Barlow Semi Condensed" w:hAnsi="Barlow Semi Condensed"/>
          <w:b/>
          <w:bCs/>
          <w:sz w:val="24"/>
          <w:szCs w:val="24"/>
        </w:rPr>
        <w:t xml:space="preserve">Questo obbligo è la parte più esigente dell'apparato e la più utile. Esigente, perché costringe il ricercatore a dichiarare in anticipo che cosa accetterebbe come smentita, e dunque gli impedisce di riconoscere retrospettivamente come confermativo qualunque esito. Utile, perché trasforma il registro in uno strumento di lavoro: chi voglia proseguire la ricerca trova scritto, per ciascun punto aperto, quale documento cercare e dove.</w:t>
      </w:r>
    </w:p>
    <w:p>
      <w:pPr>
        <w:spacing w:after="120" w:line="276"/>
        <w:jc w:val="both"/>
      </w:pPr>
      <w:r>
        <w:rPr>
          <w:rFonts w:ascii="Barlow Semi Condensed" w:cs="Barlow Semi Condensed" w:eastAsia="Barlow Semi Condensed" w:hAnsi="Barlow Semi Condensed"/>
          <w:b/>
          <w:bCs/>
          <w:sz w:val="24"/>
          <w:szCs w:val="24"/>
        </w:rPr>
        <w:t xml:space="preserve">Un dubbio senza condizione di scioglimento non è un dubbio: è una insinuazione che ha preso la forma grammaticale della prudenza. L'opera non ne registra.</w:t>
      </w:r>
    </w:p>
    <w:p>
      <w:pPr>
        <w:pStyle w:val="Heading2"/>
        <w:spacing w:after="100" w:before="200"/>
      </w:pPr>
      <w:r>
        <w:rPr>
          <w:rFonts w:ascii="Barlow Semi Condensed" w:cs="Barlow Semi Condensed" w:eastAsia="Barlow Semi Condensed" w:hAnsi="Barlow Semi Condensed"/>
          <w:sz w:val="24"/>
          <w:szCs w:val="24"/>
        </w:rPr>
        <w:t xml:space="preserve">Nota sulla scala anteriore</w:t>
      </w:r>
    </w:p>
    <w:p>
      <w:pPr>
        <w:spacing w:after="120" w:line="276"/>
        <w:jc w:val="both"/>
      </w:pPr>
      <w:r>
        <w:rPr>
          <w:rFonts w:ascii="Barlow Semi Condensed" w:cs="Barlow Semi Condensed" w:eastAsia="Barlow Semi Condensed" w:hAnsi="Barlow Semi Condensed"/>
          <w:b/>
          <w:bCs/>
          <w:sz w:val="24"/>
          <w:szCs w:val="24"/>
        </w:rPr>
        <w:t xml:space="preserve">L'opera ha impiegato, in una fase anteriore del proprio lavoro, una scala a tre livelli di derivazione criminologica, che distingueva il fatto documentato da fonte diretta, la ricostruzione di organo qualificato, e l'ipotesi dichiarata. Quella scala non è rinnegata: essa resta leggibile negli strati che la portano, ed è onorata come primo ordinamento dell'opera.</w:t>
      </w:r>
    </w:p>
    <w:p>
      <w:pPr>
        <w:spacing w:after="120" w:line="276"/>
        <w:jc w:val="both"/>
      </w:pPr>
      <w:r>
        <w:rPr>
          <w:rFonts w:ascii="Barlow Semi Condensed" w:cs="Barlow Semi Condensed" w:eastAsia="Barlow Semi Condensed" w:hAnsi="Barlow Semi Condensed"/>
          <w:b/>
          <w:bCs/>
          <w:sz w:val="24"/>
          <w:szCs w:val="24"/>
        </w:rPr>
        <w:t xml:space="preserve">Ma essa non governa più. Il suo statuto attuale è consultivo: si consulta come si consulta una carta nautica anteriore, per vedere come il fondale fu rilevato una volta, e non per governare la rotta di oggi. La ragione del mutamento è semplice e sarà detta senza reticenza: una scala a tre livelli graduati, applicata a un corpus vasto, tende a essere applicata per abitudine, e l'abitudine produce una distribuzione nella quale quasi tutto riceve il grado massimo. Quando ciò accade, la scala ha cessato di misurare e ha cominciato a decorare. La scala è sostanziale o non è nulla.</w:t>
      </w:r>
    </w:p>
    <w:p>
      <w:pPr>
        <w:pStyle w:val="Heading2"/>
        <w:spacing w:after="100" w:before="200"/>
      </w:pPr>
      <w:r>
        <w:rPr>
          <w:rFonts w:ascii="Barlow Semi Condensed" w:cs="Barlow Semi Condensed" w:eastAsia="Barlow Semi Condensed" w:hAnsi="Barlow Semi Condensed"/>
          <w:sz w:val="24"/>
          <w:szCs w:val="24"/>
        </w:rPr>
        <w:t xml:space="preserve">Capitolo quarto — La notazione e la verificabilità</w:t>
      </w:r>
    </w:p>
    <w:p>
      <w:pPr>
        <w:spacing w:after="120" w:line="276"/>
        <w:jc w:val="both"/>
      </w:pPr>
      <w:r>
        <w:rPr>
          <w:rFonts w:ascii="Barlow Semi Condensed" w:cs="Barlow Semi Condensed" w:eastAsia="Barlow Semi Condensed" w:hAnsi="Barlow Semi Condensed"/>
          <w:b/>
          <w:bCs/>
          <w:sz w:val="24"/>
          <w:szCs w:val="24"/>
        </w:rPr>
        <w:t xml:space="preserve">Vi è una questione che pare minuta e che minuta non è: quando un numero si scriva in lettere e quando in cifre. Essa fu sollevata nel corso del lavoro, e la risposta che le fu data ha modificato l'apparato in un punto che tocca direttamente la Regola di Ferro.</w:t>
      </w:r>
    </w:p>
    <w:p>
      <w:pPr>
        <w:pStyle w:val="Heading2"/>
        <w:spacing w:after="100" w:before="200"/>
      </w:pPr>
      <w:r>
        <w:rPr>
          <w:rFonts w:ascii="Barlow Semi Condensed" w:cs="Barlow Semi Condensed" w:eastAsia="Barlow Semi Condensed" w:hAnsi="Barlow Semi Condensed"/>
          <w:sz w:val="24"/>
          <w:szCs w:val="24"/>
        </w:rPr>
        <w:t xml:space="preserve">Il criterio</w:t>
      </w:r>
    </w:p>
    <w:p>
      <w:pPr>
        <w:spacing w:after="120" w:line="276"/>
        <w:jc w:val="both"/>
      </w:pPr>
      <w:r>
        <w:rPr>
          <w:rFonts w:ascii="Barlow Semi Condensed" w:cs="Barlow Semi Condensed" w:eastAsia="Barlow Semi Condensed" w:hAnsi="Barlow Semi Condensed"/>
          <w:b/>
          <w:bCs/>
          <w:sz w:val="24"/>
          <w:szCs w:val="24"/>
        </w:rPr>
        <w:t xml:space="preserve">Il criterio non è di gusto e non è di registro: è funzionale, e si enuncia in una proposizione. Il numero che serve a ritrovare non si traduce; il numero che serve a contare si scrive in lettere.</w:t>
      </w:r>
    </w:p>
    <w:p>
      <w:pPr>
        <w:spacing w:after="120" w:line="276"/>
        <w:jc w:val="both"/>
      </w:pPr>
      <w:r>
        <w:rPr>
          <w:rFonts w:ascii="Barlow Semi Condensed" w:cs="Barlow Semi Condensed" w:eastAsia="Barlow Semi Condensed" w:hAnsi="Barlow Semi Condensed"/>
          <w:b/>
          <w:bCs/>
          <w:sz w:val="24"/>
          <w:szCs w:val="24"/>
        </w:rPr>
        <w:t xml:space="preserve">Vi sono infatti due nature del numero, e la lingua comune le confonde perché le scrive nello stesso modo.</w:t>
      </w:r>
    </w:p>
    <w:p>
      <w:pPr>
        <w:spacing w:after="120" w:line="276"/>
        <w:jc w:val="both"/>
      </w:pPr>
      <w:r>
        <w:rPr>
          <w:rFonts w:ascii="Barlow Semi Condensed" w:cs="Barlow Semi Condensed" w:eastAsia="Barlow Semi Condensed" w:hAnsi="Barlow Semi Condensed"/>
          <w:b/>
          <w:bCs/>
          <w:sz w:val="24"/>
          <w:szCs w:val="24"/>
        </w:rPr>
        <w:t xml:space="preserve">Il numero che designa non misura nulla. Esso è una chiave: la sua funzione è consentire a un terzo di ritornare alla fonte. Un numero di protocollo, una segnatura archivistica, l'articolo di una legge, il numero di una sentenza, la data di un atto: nessuno di questi dice quanto. Ciascuno dice dove.</w:t>
      </w:r>
    </w:p>
    <w:p>
      <w:pPr>
        <w:spacing w:after="120" w:line="276"/>
        <w:jc w:val="both"/>
      </w:pPr>
      <w:r>
        <w:rPr>
          <w:rFonts w:ascii="Barlow Semi Condensed" w:cs="Barlow Semi Condensed" w:eastAsia="Barlow Semi Condensed" w:hAnsi="Barlow Semi Condensed"/>
          <w:b/>
          <w:bCs/>
          <w:sz w:val="24"/>
          <w:szCs w:val="24"/>
        </w:rPr>
        <w:t xml:space="preserve">Il numero che misura non designa nulla. Esso dice quanto: quanti capitoli, quante fonti, quanti anni durò una legislatura. Nessuno userà quel numero per raggiungere alcunché.</w:t>
      </w:r>
    </w:p>
    <w:p>
      <w:pPr>
        <w:pStyle w:val="Heading2"/>
        <w:spacing w:after="100" w:before="200"/>
      </w:pPr>
      <w:r>
        <w:rPr>
          <w:rFonts w:ascii="Barlow Semi Condensed" w:cs="Barlow Semi Condensed" w:eastAsia="Barlow Semi Condensed" w:hAnsi="Barlow Semi Condensed"/>
          <w:sz w:val="24"/>
          <w:szCs w:val="24"/>
        </w:rPr>
        <w:t xml:space="preserve">Perché la distinzione è probatoria e non tipografica</w:t>
      </w:r>
    </w:p>
    <w:p>
      <w:pPr>
        <w:spacing w:after="120" w:line="276"/>
        <w:jc w:val="both"/>
      </w:pPr>
      <w:r>
        <w:rPr>
          <w:rFonts w:ascii="Barlow Semi Condensed" w:cs="Barlow Semi Condensed" w:eastAsia="Barlow Semi Condensed" w:hAnsi="Barlow Semi Condensed"/>
          <w:b/>
          <w:bCs/>
          <w:sz w:val="24"/>
          <w:szCs w:val="24"/>
        </w:rPr>
        <w:t xml:space="preserve">Un protocollo trascritto in lettere è un protocollo distrutto. Nessun indice lo reperisce, nessun catalogo lo restituisce, nessuna ricerca testuale lo trova. Il lettore che volesse verificare l'atto si troverebbe davanti una parola che non è una chiave, e dovrebbe ritradurla per tentativi.</w:t>
      </w:r>
    </w:p>
    <w:p>
      <w:pPr>
        <w:spacing w:after="120" w:line="276"/>
        <w:jc w:val="both"/>
      </w:pPr>
      <w:r>
        <w:rPr>
          <w:rFonts w:ascii="Barlow Semi Condensed" w:cs="Barlow Semi Condensed" w:eastAsia="Barlow Semi Condensed" w:hAnsi="Barlow Semi Condensed"/>
          <w:b/>
          <w:bCs/>
          <w:sz w:val="24"/>
          <w:szCs w:val="24"/>
        </w:rPr>
        <w:t xml:space="preserve">Ne segue che la trascrizione in lettere di un numero di reperimento produce lo stesso effetto pratico di una omissione di fonte. Non lo produce per intenzione: lo produce per conseguenza. E l'opera è giudicata sulle conseguenze dei propri atti, non sulle intenzioni con le quali li ha compiuti.</w:t>
      </w:r>
    </w:p>
    <w:p>
      <w:pPr>
        <w:spacing w:after="120" w:line="276"/>
        <w:jc w:val="both"/>
      </w:pPr>
      <w:r>
        <w:rPr>
          <w:rFonts w:ascii="Barlow Semi Condensed" w:cs="Barlow Semi Condensed" w:eastAsia="Barlow Semi Condensed" w:hAnsi="Barlow Semi Condensed"/>
          <w:b/>
          <w:bCs/>
          <w:sz w:val="24"/>
          <w:szCs w:val="24"/>
        </w:rPr>
        <w:t xml:space="preserve">Di qui il carattere della prescrizione: essa non è fluida ma ferrea, perché non discende dallo stile ma dalla Regola di Ferro. Uno stile che renda inverificabile ciò che l'opera dichiara verificabile non è uno stile: è un difetto probatorio in veste elegante.</w:t>
      </w:r>
    </w:p>
    <w:p>
      <w:pPr>
        <w:pStyle w:val="Heading2"/>
        <w:spacing w:after="100" w:before="200"/>
      </w:pPr>
      <w:r>
        <w:rPr>
          <w:rFonts w:ascii="Barlow Semi Condensed" w:cs="Barlow Semi Condensed" w:eastAsia="Barlow Semi Condensed" w:hAnsi="Barlow Semi Condensed"/>
          <w:sz w:val="24"/>
          <w:szCs w:val="24"/>
        </w:rPr>
        <w:t xml:space="preserve">I due repertori</w:t>
      </w:r>
    </w:p>
    <w:p>
      <w:pPr>
        <w:spacing w:after="120" w:line="276"/>
        <w:jc w:val="both"/>
      </w:pPr>
      <w:r>
        <w:rPr>
          <w:rFonts w:ascii="Barlow Semi Condensed" w:cs="Barlow Semi Condensed" w:eastAsia="Barlow Semi Condensed" w:hAnsi="Barlow Semi Condensed"/>
          <w:b/>
          <w:bCs/>
          <w:sz w:val="24"/>
          <w:szCs w:val="24"/>
        </w:rPr>
        <w:t xml:space="preserve">Si scrivono in cifre: i protocolli e le segnature; gli atti normativi con numero, data, articolo e comma; le sentenze e i procedimenti; le date e gli anni, che sono chiavi di reperimento archivistico prima che quantità; le pagine, i volumi, i tomi e i documenti parlamentari; gli identificativi stabili; le versioni; le impronte e ogni stringa alfanumerica; gli standard e i formati; i parametri tecnici; i valori statistici, le soglie e le percentuali con decimale; le misure di collaudo.</w:t>
      </w:r>
    </w:p>
    <w:p>
      <w:pPr>
        <w:spacing w:after="120" w:line="276"/>
        <w:jc w:val="both"/>
      </w:pPr>
      <w:r>
        <w:rPr>
          <w:rFonts w:ascii="Barlow Semi Condensed" w:cs="Barlow Semi Condensed" w:eastAsia="Barlow Semi Condensed" w:hAnsi="Barlow Semi Condensed"/>
          <w:b/>
          <w:bCs/>
          <w:sz w:val="24"/>
          <w:szCs w:val="24"/>
        </w:rPr>
        <w:t xml:space="preserve">Si scrivono in lettere: i conteggi enunciati in prosa; gli ordinali delle partizioni dell'opera, quali Fase, Capitolo, Sezione; le quantità approssimate; i numeri inferiori alla decina nel discorso corrente; le percentuali intere enunciate narrativamente.</w:t>
      </w:r>
    </w:p>
    <w:p>
      <w:pPr>
        <w:pStyle w:val="Heading2"/>
        <w:spacing w:after="100" w:before="200"/>
      </w:pPr>
      <w:r>
        <w:rPr>
          <w:rFonts w:ascii="Barlow Semi Condensed" w:cs="Barlow Semi Condensed" w:eastAsia="Barlow Semi Condensed" w:hAnsi="Barlow Semi Condensed"/>
          <w:sz w:val="24"/>
          <w:szCs w:val="24"/>
        </w:rPr>
        <w:t xml:space="preserve">Le due salvaguardie e la prova del terzo</w:t>
      </w:r>
    </w:p>
    <w:p>
      <w:pPr>
        <w:spacing w:after="120" w:line="276"/>
        <w:jc w:val="both"/>
      </w:pPr>
      <w:r>
        <w:rPr>
          <w:rFonts w:ascii="Barlow Semi Condensed" w:cs="Barlow Semi Condensed" w:eastAsia="Barlow Semi Condensed" w:hAnsi="Barlow Semi Condensed"/>
          <w:b/>
          <w:bCs/>
          <w:sz w:val="24"/>
          <w:szCs w:val="24"/>
        </w:rPr>
        <w:t xml:space="preserve">La prima salvaguardia riguarda le citazioni. Il numero che compare dentro una citazione si riproduce nella forma in cui la fonte lo reca, quale che sia la convenzione dell'opera. Convertire la notazione di una fonte è emendarla in silenzio, e l'emendamento silenzioso di una fonte è precisamente ciò che quest'opera esiste per non fare.</w:t>
      </w:r>
    </w:p>
    <w:p>
      <w:pPr>
        <w:spacing w:after="120" w:line="276"/>
        <w:jc w:val="both"/>
      </w:pPr>
      <w:r>
        <w:rPr>
          <w:rFonts w:ascii="Barlow Semi Condensed" w:cs="Barlow Semi Condensed" w:eastAsia="Barlow Semi Condensed" w:hAnsi="Barlow Semi Condensed"/>
          <w:b/>
          <w:bCs/>
          <w:sz w:val="24"/>
          <w:szCs w:val="24"/>
        </w:rPr>
        <w:t xml:space="preserve">La seconda salvaguardia riguarda il passato. Gli strati già deposti non si riscrivono per adeguarli alla norma nuova. Ove in essi un numero di reperimento figuri in lettere, si intenda il medesimo numero che oggi si scriverebbe in cifre: la difformità è testimone della propria epoca e non errore da correggere.</w:t>
      </w:r>
    </w:p>
    <w:p>
      <w:pPr>
        <w:spacing w:after="120" w:line="276"/>
        <w:jc w:val="both"/>
      </w:pPr>
      <w:r>
        <w:rPr>
          <w:rFonts w:ascii="Barlow Semi Condensed" w:cs="Barlow Semi Condensed" w:eastAsia="Barlow Semi Condensed" w:hAnsi="Barlow Semi Condensed"/>
          <w:b/>
          <w:bCs/>
          <w:sz w:val="24"/>
          <w:szCs w:val="24"/>
        </w:rPr>
        <w:t xml:space="preserve">Nei casi dubbi vale la prova del terzo. Ci si domandi se un lettore che non conosca l'opera debba potersi servire di quel numero per raggiungere una fonte. Se sì, il numero designa e va in cifre; se no, misura e va in lettere. La prova si esegue e non si presume.</w:t>
      </w:r>
    </w:p>
    <w:p>
      <w:pPr>
        <w:pStyle w:val="Heading2"/>
        <w:spacing w:after="100" w:before="200"/>
      </w:pPr>
      <w:r>
        <w:rPr>
          <w:rFonts w:ascii="Barlow Semi Condensed" w:cs="Barlow Semi Condensed" w:eastAsia="Barlow Semi Condensed" w:hAnsi="Barlow Semi Condensed"/>
          <w:sz w:val="24"/>
          <w:szCs w:val="24"/>
        </w:rPr>
        <w:t xml:space="preserve">Una osservazione più generale</w:t>
      </w:r>
    </w:p>
    <w:p>
      <w:pPr>
        <w:spacing w:after="120" w:line="276"/>
        <w:jc w:val="both"/>
      </w:pPr>
      <w:r>
        <w:rPr>
          <w:rFonts w:ascii="Barlow Semi Condensed" w:cs="Barlow Semi Condensed" w:eastAsia="Barlow Semi Condensed" w:hAnsi="Barlow Semi Condensed"/>
          <w:b/>
          <w:bCs/>
          <w:sz w:val="24"/>
          <w:szCs w:val="24"/>
        </w:rPr>
        <w:t xml:space="preserve">Questa norma minuta insegna una cosa che vale oltre di sé. Le convenzioni formali di un'opera non sono neutre rispetto alla sua sostanza probatoria. Una regola tipografica applicata senza distinzione, per il solo desiderio di uniformità, può sopprimere silenziosamente la verificabilità di centinaia di riferimenti, senza che nessuno se ne accorga e senza che una sola affermazione falsa sia stata scritta.</w:t>
      </w:r>
    </w:p>
    <w:p>
      <w:pPr>
        <w:spacing w:after="120" w:line="276"/>
        <w:jc w:val="both"/>
      </w:pPr>
      <w:r>
        <w:rPr>
          <w:rFonts w:ascii="Barlow Semi Condensed" w:cs="Barlow Semi Condensed" w:eastAsia="Barlow Semi Condensed" w:hAnsi="Barlow Semi Condensed"/>
          <w:b/>
          <w:bCs/>
          <w:sz w:val="24"/>
          <w:szCs w:val="24"/>
        </w:rPr>
        <w:t xml:space="preserve">È il modo per il quale un'opera perde rigore senza perdere una virgola di correttezza: non sbagliando, ma uniformando dove avrebbe dovuto distinguere.</w:t>
      </w:r>
    </w:p>
    <w:p>
      <w:pPr>
        <w:pStyle w:val="Heading2"/>
        <w:spacing w:after="100" w:before="200"/>
      </w:pPr>
      <w:r>
        <w:rPr>
          <w:rFonts w:ascii="Barlow Semi Condensed" w:cs="Barlow Semi Condensed" w:eastAsia="Barlow Semi Condensed" w:hAnsi="Barlow Semi Condensed"/>
          <w:sz w:val="24"/>
          <w:szCs w:val="24"/>
        </w:rPr>
        <w:t xml:space="preserve">Capitolo quinto — Il protocollo di traduzione: il nome e la funzione</w:t>
      </w:r>
    </w:p>
    <w:p>
      <w:pPr>
        <w:spacing w:after="120" w:line="276"/>
        <w:jc w:val="both"/>
      </w:pPr>
      <w:r>
        <w:rPr>
          <w:rFonts w:ascii="Barlow Semi Condensed" w:cs="Barlow Semi Condensed" w:eastAsia="Barlow Semi Condensed" w:hAnsi="Barlow Semi Condensed"/>
          <w:b/>
          <w:bCs/>
          <w:sz w:val="24"/>
          <w:szCs w:val="24"/>
        </w:rPr>
        <w:t xml:space="preserve">Questa opera designa le persone, ove la funzione basti a identificare l'atto, per la funzione che esercitavano e non per il nome che portavano. Scrive dunque il capo del servizio informativo, il magistrato inquirente, il presidente della commissione, e non i nomi corrispondenti.</w:t>
      </w:r>
    </w:p>
    <w:p>
      <w:pPr>
        <w:spacing w:after="120" w:line="276"/>
        <w:jc w:val="both"/>
      </w:pPr>
      <w:r>
        <w:rPr>
          <w:rFonts w:ascii="Barlow Semi Condensed" w:cs="Barlow Semi Condensed" w:eastAsia="Barlow Semi Condensed" w:hAnsi="Barlow Semi Condensed"/>
          <w:b/>
          <w:bCs/>
          <w:sz w:val="24"/>
          <w:szCs w:val="24"/>
        </w:rPr>
        <w:t xml:space="preserve">La scelta ha ragioni serie. Ha anche un costo, che si è manifestato in modo imprevisto e istruttivo, e che qui va raccontato per intero, perché è uno dei casi in cui l'opera ha imparato qualcosa dal proprio stesso errore.</w:t>
      </w:r>
    </w:p>
    <w:p>
      <w:pPr>
        <w:pStyle w:val="Heading2"/>
        <w:spacing w:after="100" w:before="200"/>
      </w:pPr>
      <w:r>
        <w:rPr>
          <w:rFonts w:ascii="Barlow Semi Condensed" w:cs="Barlow Semi Condensed" w:eastAsia="Barlow Semi Condensed" w:hAnsi="Barlow Semi Condensed"/>
          <w:sz w:val="24"/>
          <w:szCs w:val="24"/>
        </w:rPr>
        <w:t xml:space="preserve">Le ragioni della designazione funzionale</w:t>
      </w:r>
    </w:p>
    <w:p>
      <w:pPr>
        <w:spacing w:after="120" w:line="276"/>
        <w:jc w:val="both"/>
      </w:pPr>
      <w:r>
        <w:rPr>
          <w:rFonts w:ascii="Barlow Semi Condensed" w:cs="Barlow Semi Condensed" w:eastAsia="Barlow Semi Condensed" w:hAnsi="Barlow Semi Condensed"/>
          <w:b/>
          <w:bCs/>
          <w:sz w:val="24"/>
          <w:szCs w:val="24"/>
        </w:rPr>
        <w:t xml:space="preserve">La prima ragione è di giustizia verso le persone. In una materia dove la maggior parte delle proposizioni resta in stato di dubbio, l'accostamento ripetuto di un nome proprio a un contesto sospetto produce, sul lettore, un effetto che nessuna cautela verbale corregge. Il nome si carica del contesto. Chi sia stato nominato cento volte accanto a una omissione finisce per essere ricordato come chi la compì, anche se l'opera avrà scritto cento volte che l'omissione non gli è attribuita.</w:t>
      </w:r>
    </w:p>
    <w:p>
      <w:pPr>
        <w:spacing w:after="120" w:line="276"/>
        <w:jc w:val="both"/>
      </w:pPr>
      <w:r>
        <w:rPr>
          <w:rFonts w:ascii="Barlow Semi Condensed" w:cs="Barlow Semi Condensed" w:eastAsia="Barlow Semi Condensed" w:hAnsi="Barlow Semi Condensed"/>
          <w:b/>
          <w:bCs/>
          <w:sz w:val="24"/>
          <w:szCs w:val="24"/>
        </w:rPr>
        <w:t xml:space="preserve">La seconda ragione è probatoria, ed è la più forte. Ciò che l'atto documenta, quasi sempre, è un atto d'ufficio: una comunicazione non trasmessa, un ordine impartito, un verbale redatto. Il documento attesta che quella funzione compì quell'atto. Che la persona fisica che allora la esercitava sia responsabile di ciò che l'atto significa è una proposizione ulteriore, che domanda una prova ulteriore. Designare per funzione mantiene la proposizione dentro il perimetro che il documento sostiene; designare per nome la fa uscire, silenziosamente, in un perimetro dove il documento non arriva.</w:t>
      </w:r>
    </w:p>
    <w:p>
      <w:pPr>
        <w:pStyle w:val="Heading2"/>
        <w:spacing w:after="100" w:before="200"/>
      </w:pPr>
      <w:r>
        <w:rPr>
          <w:rFonts w:ascii="Barlow Semi Condensed" w:cs="Barlow Semi Condensed" w:eastAsia="Barlow Semi Condensed" w:hAnsi="Barlow Semi Condensed"/>
          <w:sz w:val="24"/>
          <w:szCs w:val="24"/>
        </w:rPr>
        <w:t xml:space="preserve">Il costo: una assenza che sembrava un fatto</w:t>
      </w:r>
    </w:p>
    <w:p>
      <w:pPr>
        <w:spacing w:after="120" w:line="276"/>
        <w:jc w:val="both"/>
      </w:pPr>
      <w:r>
        <w:rPr>
          <w:rFonts w:ascii="Barlow Semi Condensed" w:cs="Barlow Semi Condensed" w:eastAsia="Barlow Semi Condensed" w:hAnsi="Barlow Semi Condensed"/>
          <w:b/>
          <w:bCs/>
          <w:sz w:val="24"/>
          <w:szCs w:val="24"/>
        </w:rPr>
        <w:t xml:space="preserve">Nel corso della federazione di questa opera con il corpus maggiore al quale essa appartiene, si è condotta una verifica di convergenza: quali fra i nodi censiti nel corpus maggiore comparissero anche qui.</w:t>
      </w:r>
    </w:p>
    <w:p>
      <w:pPr>
        <w:spacing w:after="120" w:line="276"/>
        <w:jc w:val="both"/>
      </w:pPr>
      <w:r>
        <w:rPr>
          <w:rFonts w:ascii="Barlow Semi Condensed" w:cs="Barlow Semi Condensed" w:eastAsia="Barlow Semi Condensed" w:hAnsi="Barlow Semi Condensed"/>
          <w:b/>
          <w:bCs/>
          <w:sz w:val="24"/>
          <w:szCs w:val="24"/>
        </w:rPr>
        <w:t xml:space="preserve">L'esito fu impressionante e pareva significativo. Su duecentoundici nodi verificati, ventidue soltanto risultavano presenti. Centottantanove risultavano assenti, e fra gli assenti figuravano quelli di maggiore peso: le organizzazioni criminali, i grandi nomi della loggia e della finanza, i magistrati, gli apparati informativi. Si sarebbe potuto trarne una conclusione forte, e la conclusione si presentava da sé: quest'opera trascura la dimensione che il corpus maggiore documenta.</w:t>
      </w:r>
    </w:p>
    <w:p>
      <w:pPr>
        <w:spacing w:after="120" w:line="276"/>
        <w:jc w:val="both"/>
      </w:pPr>
      <w:r>
        <w:rPr>
          <w:rFonts w:ascii="Barlow Semi Condensed" w:cs="Barlow Semi Condensed" w:eastAsia="Barlow Semi Condensed" w:hAnsi="Barlow Semi Condensed"/>
          <w:b/>
          <w:bCs/>
          <w:sz w:val="24"/>
          <w:szCs w:val="24"/>
        </w:rPr>
        <w:t xml:space="preserve">La conclusione era falsa, e la sua falsità fu accertata sottoponendo l'assenza a istruttoria anziché a interpretazione. Si cercò, per ciascun nodo assente, non il nome ma la locuzione di funzione che lo designerebbe. Al nome della loggia, zero occorrenze, corrisponde il termine loggia con trentatré. Ai nomi degli apparati informativi, zero occorrenze, corrispondono le locuzioni servizio informativo e apparati informativi con sedici complessive. Al nome del magistrato, zero occorrenze, corrispondono magistratura e Procura con novantotto. Alla struttura clandestina, una sola occorrenza per nome, corrispondono diciassette per locuzione. Al pontefice, zero per nome, sedici per funzione.</w:t>
      </w:r>
    </w:p>
    <w:p>
      <w:pPr>
        <w:spacing w:after="120" w:line="276"/>
        <w:jc w:val="both"/>
      </w:pPr>
      <w:r>
        <w:rPr>
          <w:rFonts w:ascii="Barlow Semi Condensed" w:cs="Barlow Semi Condensed" w:eastAsia="Barlow Semi Condensed" w:hAnsi="Barlow Semi Condensed"/>
          <w:b/>
          <w:bCs/>
          <w:sz w:val="24"/>
          <w:szCs w:val="24"/>
        </w:rPr>
        <w:t xml:space="preserve">L'assenza era artefatto dello strumento. Una ricerca condotta per nomi propri contro un corpus che designa per funzione non può restituire altro che assenza, e l'assenza che essa restituisce non dice nulla del corpus: dice tutto dello strumento.</w:t>
      </w:r>
    </w:p>
    <w:p>
      <w:pPr>
        <w:pStyle w:val="Heading2"/>
        <w:spacing w:after="100" w:before="200"/>
      </w:pPr>
      <w:r>
        <w:rPr>
          <w:rFonts w:ascii="Barlow Semi Condensed" w:cs="Barlow Semi Condensed" w:eastAsia="Barlow Semi Condensed" w:hAnsi="Barlow Semi Condensed"/>
          <w:sz w:val="24"/>
          <w:szCs w:val="24"/>
        </w:rPr>
        <w:t xml:space="preserve">Che cosa insegna l'episodio</w:t>
      </w:r>
    </w:p>
    <w:p>
      <w:pPr>
        <w:spacing w:after="120" w:line="276"/>
        <w:jc w:val="both"/>
      </w:pPr>
      <w:r>
        <w:rPr>
          <w:rFonts w:ascii="Barlow Semi Condensed" w:cs="Barlow Semi Condensed" w:eastAsia="Barlow Semi Condensed" w:hAnsi="Barlow Semi Condensed"/>
          <w:b/>
          <w:bCs/>
          <w:sz w:val="24"/>
          <w:szCs w:val="24"/>
        </w:rPr>
        <w:t xml:space="preserve">Insegna tre cose, e la terza è la più importante.</w:t>
      </w:r>
    </w:p>
    <w:p>
      <w:pPr>
        <w:spacing w:after="120" w:line="276"/>
        <w:jc w:val="both"/>
      </w:pPr>
      <w:r>
        <w:rPr>
          <w:rFonts w:ascii="Barlow Semi Condensed" w:cs="Barlow Semi Condensed" w:eastAsia="Barlow Semi Condensed" w:hAnsi="Barlow Semi Condensed"/>
          <w:b/>
          <w:bCs/>
          <w:sz w:val="24"/>
          <w:szCs w:val="24"/>
        </w:rPr>
        <w:t xml:space="preserve">La prima: il silenzio di una fonte non si interpreta prima di essere istruito. Occorre sempre domandarsi se esso appartenga alla fonte o allo strumento con cui la si interroga, e la domanda va posta prima e non dopo aver formulato l'ipotesi che il silenzio suggerisce.</w:t>
      </w:r>
    </w:p>
    <w:p>
      <w:pPr>
        <w:spacing w:after="120" w:line="276"/>
        <w:jc w:val="both"/>
      </w:pPr>
      <w:r>
        <w:rPr>
          <w:rFonts w:ascii="Barlow Semi Condensed" w:cs="Barlow Semi Condensed" w:eastAsia="Barlow Semi Condensed" w:hAnsi="Barlow Semi Condensed"/>
          <w:b/>
          <w:bCs/>
          <w:sz w:val="24"/>
          <w:szCs w:val="24"/>
        </w:rPr>
        <w:t xml:space="preserve">La seconda: la conclusione che si presenta da sé è quella che va sospettata per prima. L'assenza dei nodi maggiori era una scoperta pronta all'uso, elegante, e sarebbe stata pubblicata volentieri. Le scoperte che non costano nulla costano quasi sempre moltissimo.</w:t>
      </w:r>
    </w:p>
    <w:p>
      <w:pPr>
        <w:spacing w:after="120" w:line="276"/>
        <w:jc w:val="both"/>
      </w:pPr>
      <w:r>
        <w:rPr>
          <w:rFonts w:ascii="Barlow Semi Condensed" w:cs="Barlow Semi Condensed" w:eastAsia="Barlow Semi Condensed" w:hAnsi="Barlow Semi Condensed"/>
          <w:b/>
          <w:bCs/>
          <w:sz w:val="24"/>
          <w:szCs w:val="24"/>
        </w:rPr>
        <w:t xml:space="preserve">La terza, e più generale: ogni corpus parla una lingua, e la lingua è parte del corpus. Un atto giudiziario, un elaborato parlamentare, un telegramma cifrato, una audizione tarda non dicono le medesime cose nei medesimi modi, e ciò che in uno è detto per nome in un altro è detto per funzione, per perifrasi o per allusione d'ufficio. Chi interroghi corpora diversi con un unico vocabolario misura la propria uniformità, non la loro convergenza.</w:t>
      </w:r>
    </w:p>
    <w:p>
      <w:pPr>
        <w:pStyle w:val="Heading2"/>
        <w:spacing w:after="100" w:before="200"/>
      </w:pPr>
      <w:r>
        <w:rPr>
          <w:rFonts w:ascii="Barlow Semi Condensed" w:cs="Barlow Semi Condensed" w:eastAsia="Barlow Semi Condensed" w:hAnsi="Barlow Semi Condensed"/>
          <w:sz w:val="24"/>
          <w:szCs w:val="24"/>
        </w:rPr>
        <w:t xml:space="preserve">Il protocollo</w:t>
      </w:r>
    </w:p>
    <w:p>
      <w:pPr>
        <w:spacing w:after="120" w:line="276"/>
        <w:jc w:val="both"/>
      </w:pPr>
      <w:r>
        <w:rPr>
          <w:rFonts w:ascii="Barlow Semi Condensed" w:cs="Barlow Semi Condensed" w:eastAsia="Barlow Semi Condensed" w:hAnsi="Barlow Semi Condensed"/>
          <w:b/>
          <w:bCs/>
          <w:sz w:val="24"/>
          <w:szCs w:val="24"/>
        </w:rPr>
        <w:t xml:space="preserve">Di qui il protocollo che l'opera adotta e che le parti successive osserveranno.</w:t>
      </w:r>
    </w:p>
    <w:p>
      <w:pPr>
        <w:spacing w:after="120" w:line="276"/>
        <w:jc w:val="both"/>
      </w:pPr>
      <w:r>
        <w:rPr>
          <w:rFonts w:ascii="Barlow Semi Condensed" w:cs="Barlow Semi Condensed" w:eastAsia="Barlow Semi Condensed" w:hAnsi="Barlow Semi Condensed"/>
          <w:b/>
          <w:bCs/>
          <w:sz w:val="24"/>
          <w:szCs w:val="24"/>
        </w:rPr>
        <w:t xml:space="preserve">Nessuna triangolazione fra corpora si esegue per sola ricerca di nomi propri, se non dopo aver accertato la politica di designazione di ciascun corpus. La politica si accerta anzitutto sulle dichiarazioni che il corpus fa di sé, e in mancanza per sonde funzionali su un campione di nodi noti. Ogni triangolazione dichiara la propria copertura, cioè quanta parte dei nodi cercati sia stata cercata anche nella forma funzionale, perché una triangolazione che non lo dichiari sovrastima sistematicamente l'assenza.</w:t>
      </w:r>
    </w:p>
    <w:p>
      <w:pPr>
        <w:spacing w:after="120" w:line="276"/>
        <w:jc w:val="both"/>
      </w:pPr>
      <w:r>
        <w:rPr>
          <w:rFonts w:ascii="Barlow Semi Condensed" w:cs="Barlow Semi Condensed" w:eastAsia="Barlow Semi Condensed" w:hAnsi="Barlow Semi Condensed"/>
          <w:b/>
          <w:bCs/>
          <w:sz w:val="24"/>
          <w:szCs w:val="24"/>
        </w:rPr>
        <w:t xml:space="preserve">E le assenze si distinguono in tre classi, che non vanno mai confuse: l'assenza artefatta, imputabile allo strumento; l'assenza reale non spiegata, che genera ipotesi concorrenti e non conclusioni; l'assenza reale spiegata, che genera una risultanza.</w:t>
      </w:r>
    </w:p>
    <w:p>
      <w:pPr>
        <w:pStyle w:val="Heading2"/>
        <w:spacing w:after="100" w:before="200"/>
      </w:pPr>
      <w:r>
        <w:rPr>
          <w:rFonts w:ascii="Barlow Semi Condensed" w:cs="Barlow Semi Condensed" w:eastAsia="Barlow Semi Condensed" w:hAnsi="Barlow Semi Condensed"/>
          <w:sz w:val="24"/>
          <w:szCs w:val="24"/>
        </w:rPr>
        <w:t xml:space="preserve">L'assenza che è rimasta reale</w:t>
      </w:r>
    </w:p>
    <w:p>
      <w:pPr>
        <w:spacing w:after="120" w:line="276"/>
        <w:jc w:val="both"/>
      </w:pPr>
      <w:r>
        <w:rPr>
          <w:rFonts w:ascii="Barlow Semi Condensed" w:cs="Barlow Semi Condensed" w:eastAsia="Barlow Semi Condensed" w:hAnsi="Barlow Semi Condensed"/>
          <w:b/>
          <w:bCs/>
          <w:sz w:val="24"/>
          <w:szCs w:val="24"/>
        </w:rPr>
        <w:t xml:space="preserve">Ritirata la parte artefatta, una assenza è rimasta e va dichiarata per quello che è. Alle sonde relative alla criminalità organizzata quest'opera risponde con quattro occorrenze in tutto, e nessuna locuzione di funzione supplisce.</w:t>
      </w:r>
    </w:p>
    <w:p>
      <w:pPr>
        <w:spacing w:after="120" w:line="276"/>
        <w:jc w:val="both"/>
      </w:pPr>
      <w:r>
        <w:rPr>
          <w:rFonts w:ascii="Barlow Semi Condensed" w:cs="Barlow Semi Condensed" w:eastAsia="Barlow Semi Condensed" w:hAnsi="Barlow Semi Condensed"/>
          <w:b/>
          <w:bCs/>
          <w:sz w:val="24"/>
          <w:szCs w:val="24"/>
        </w:rPr>
        <w:t xml:space="preserve">L'opera non decide che cosa ciò significhi, e formula tre ipotesi che tiene aperte. Che la dimensione non sia attestata dalle fonti sulle quali l'opera è costruita, e la sua assenza sia disciplina. Che sia attestata e non sia stata scavata, e l'assenza sia lacuna. Che sia trattata sotto locuzioni che le sonde non hanno previsto, e l'assenza sia residuo di artefatto.</w:t>
      </w:r>
    </w:p>
    <w:p>
      <w:pPr>
        <w:spacing w:after="120" w:line="276"/>
        <w:jc w:val="both"/>
      </w:pPr>
      <w:r>
        <w:rPr>
          <w:rFonts w:ascii="Barlow Semi Condensed" w:cs="Barlow Semi Condensed" w:eastAsia="Barlow Semi Condensed" w:hAnsi="Barlow Semi Condensed"/>
          <w:b/>
          <w:bCs/>
          <w:sz w:val="24"/>
          <w:szCs w:val="24"/>
        </w:rPr>
        <w:t xml:space="preserve">L'evidenza che discriminerebbe fra le tre è nota e si indica: il confronto fra il repertorio delle fonti di quest'opera e gli atti che nel corpus maggiore attestano quella dimensione del caso. Il confronto non è stato eseguito. Sta in tavola come prima voce.</w:t>
      </w:r>
    </w:p>
    <w:p>
      <w:pPr>
        <w:pStyle w:val="Heading2"/>
        <w:spacing w:after="100" w:before="200"/>
      </w:pPr>
      <w:r>
        <w:rPr>
          <w:rFonts w:ascii="Barlow Semi Condensed" w:cs="Barlow Semi Condensed" w:eastAsia="Barlow Semi Condensed" w:hAnsi="Barlow Semi Condensed"/>
          <w:sz w:val="24"/>
          <w:szCs w:val="24"/>
        </w:rPr>
        <w:t xml:space="preserve">Capitolo sesto — L'ingresso in acqua e la decompressione</w:t>
      </w:r>
    </w:p>
    <w:p>
      <w:pPr>
        <w:spacing w:after="120" w:line="276"/>
        <w:jc w:val="both"/>
      </w:pPr>
      <w:r>
        <w:rPr>
          <w:rFonts w:ascii="Barlow Semi Condensed" w:cs="Barlow Semi Condensed" w:eastAsia="Barlow Semi Condensed" w:hAnsi="Barlow Semi Condensed"/>
          <w:b/>
          <w:bCs/>
          <w:sz w:val="24"/>
          <w:szCs w:val="24"/>
        </w:rPr>
        <w:t xml:space="preserve">Due regole governano il modo in cui un elemento nuovo entra nell'opera e il modo in cui una risultanza sale verso la certificazione. Esse hanno nomi figurati che vanno spiegati, perché la figura serve a ricordare la regola e non a sostituirla.</w:t>
      </w:r>
    </w:p>
    <w:p>
      <w:pPr>
        <w:pStyle w:val="Heading2"/>
        <w:spacing w:after="100" w:before="200"/>
      </w:pPr>
      <w:r>
        <w:rPr>
          <w:rFonts w:ascii="Barlow Semi Condensed" w:cs="Barlow Semi Condensed" w:eastAsia="Barlow Semi Condensed" w:hAnsi="Barlow Semi Condensed"/>
          <w:sz w:val="24"/>
          <w:szCs w:val="24"/>
        </w:rPr>
        <w:t xml:space="preserve">L'ingresso in acqua</w:t>
      </w:r>
    </w:p>
    <w:p>
      <w:pPr>
        <w:spacing w:after="120" w:line="276"/>
        <w:jc w:val="both"/>
      </w:pPr>
      <w:r>
        <w:rPr>
          <w:rFonts w:ascii="Barlow Semi Condensed" w:cs="Barlow Semi Condensed" w:eastAsia="Barlow Semi Condensed" w:hAnsi="Barlow Semi Condensed"/>
          <w:b/>
          <w:bCs/>
          <w:sz w:val="24"/>
          <w:szCs w:val="24"/>
        </w:rPr>
        <w:t xml:space="preserve">La ricerca su un caso di questa natura procede per anelli. Si parte dai nodi accertati, e da essi si estraggono i nodi che vi sono legati; da questi i successivi; e così si scende.</w:t>
      </w:r>
    </w:p>
    <w:p>
      <w:pPr>
        <w:spacing w:after="120" w:line="276"/>
        <w:jc w:val="both"/>
      </w:pPr>
      <w:r>
        <w:rPr>
          <w:rFonts w:ascii="Barlow Semi Condensed" w:cs="Barlow Semi Condensed" w:eastAsia="Barlow Semi Condensed" w:hAnsi="Barlow Semi Condensed"/>
          <w:b/>
          <w:bCs/>
          <w:sz w:val="24"/>
          <w:szCs w:val="24"/>
        </w:rPr>
        <w:t xml:space="preserve">Il pericolo di questo procedimento è noto e ha un carattere matematico prima che morale. In una rete sociale sufficientemente estesa, due individui qualsiasi risultano collegati attraverso un piccolo numero di intermediari. Ne segue che, scendendo di anello in anello, si può raggiungere chiunque partendo da chiunque; e che la constatazione «esiste un percorso che collega A a B» non ha, di per sé, alcun valore informativo, perché è vera quasi sempre.</w:t>
      </w:r>
    </w:p>
    <w:p>
      <w:pPr>
        <w:spacing w:after="120" w:line="276"/>
        <w:jc w:val="both"/>
      </w:pPr>
      <w:r>
        <w:rPr>
          <w:rFonts w:ascii="Barlow Semi Condensed" w:cs="Barlow Semi Condensed" w:eastAsia="Barlow Semi Condensed" w:hAnsi="Barlow Semi Condensed"/>
          <w:b/>
          <w:bCs/>
          <w:sz w:val="24"/>
          <w:szCs w:val="24"/>
        </w:rPr>
        <w:t xml:space="preserve">Chi ignori questo costruisce, in perfetta buona fede, catene di collegamenti impressionanti e prive di significato: il tale conosceva il talaltro, che frequentava il terzo, che sedeva nel consiglio dove sedeva il quarto. Ogni anello è documentato. La catena non prova nulla.</w:t>
      </w:r>
    </w:p>
    <w:p>
      <w:pPr>
        <w:spacing w:after="120" w:line="276"/>
        <w:jc w:val="both"/>
      </w:pPr>
      <w:r>
        <w:rPr>
          <w:rFonts w:ascii="Barlow Semi Condensed" w:cs="Barlow Semi Condensed" w:eastAsia="Barlow Semi Condensed" w:hAnsi="Barlow Semi Condensed"/>
          <w:b/>
          <w:bCs/>
          <w:sz w:val="24"/>
          <w:szCs w:val="24"/>
        </w:rPr>
        <w:t xml:space="preserve">La regola dell'ingresso in acqua taglia questo pericolo. Un nodo profondo è ammesso nell'opera soltanto se un arco diretto e indipendente lo lega al nucleo del caso. Non basta che vi si arrivi per percorso: occorre che vi sia legato direttamente, e che il legame sia attestato da fonte indipendente da quelle che hanno prodotto il percorso.</w:t>
      </w:r>
    </w:p>
    <w:p>
      <w:pPr>
        <w:spacing w:after="120" w:line="276"/>
        <w:jc w:val="both"/>
      </w:pPr>
      <w:r>
        <w:rPr>
          <w:rFonts w:ascii="Barlow Semi Condensed" w:cs="Barlow Semi Condensed" w:eastAsia="Barlow Semi Condensed" w:hAnsi="Barlow Semi Condensed"/>
          <w:b/>
          <w:bCs/>
          <w:sz w:val="24"/>
          <w:szCs w:val="24"/>
        </w:rPr>
        <w:t xml:space="preserve">La regola è severa e comporta un costo: essa lascia fuori materiale suggestivo. Il costo si accetta, perché l'alternativa è un'opera nella quale tutto è collegato a tutto, e nella quale, per conseguenza, nulla significa più nulla.</w:t>
      </w:r>
    </w:p>
    <w:p>
      <w:pPr>
        <w:pStyle w:val="Heading2"/>
        <w:spacing w:after="100" w:before="200"/>
      </w:pPr>
      <w:r>
        <w:rPr>
          <w:rFonts w:ascii="Barlow Semi Condensed" w:cs="Barlow Semi Condensed" w:eastAsia="Barlow Semi Condensed" w:hAnsi="Barlow Semi Condensed"/>
          <w:sz w:val="24"/>
          <w:szCs w:val="24"/>
        </w:rPr>
        <w:t xml:space="preserve">La decompressione</w:t>
      </w:r>
    </w:p>
    <w:p>
      <w:pPr>
        <w:spacing w:after="120" w:line="276"/>
        <w:jc w:val="both"/>
      </w:pPr>
      <w:r>
        <w:rPr>
          <w:rFonts w:ascii="Barlow Semi Condensed" w:cs="Barlow Semi Condensed" w:eastAsia="Barlow Semi Condensed" w:hAnsi="Barlow Semi Condensed"/>
          <w:b/>
          <w:bCs/>
          <w:sz w:val="24"/>
          <w:szCs w:val="24"/>
        </w:rPr>
        <w:t xml:space="preserve">La seconda regola riguarda la risalita.</w:t>
      </w:r>
    </w:p>
    <w:p>
      <w:pPr>
        <w:spacing w:after="120" w:line="276"/>
        <w:jc w:val="both"/>
      </w:pPr>
      <w:r>
        <w:rPr>
          <w:rFonts w:ascii="Barlow Semi Condensed" w:cs="Barlow Semi Condensed" w:eastAsia="Barlow Semi Condensed" w:hAnsi="Barlow Semi Condensed"/>
          <w:b/>
          <w:bCs/>
          <w:sz w:val="24"/>
          <w:szCs w:val="24"/>
        </w:rPr>
        <w:t xml:space="preserve">Nulla, in quest'opera, passa direttamente dal fondo alla certificazione. Ogni risultanza sale per tappe obbligate: dubbio, istruttoria, verifica, scioglimento. Nessuna tappa si salta, per quanto la conclusione appaia evidente e per quanto il ricercatore sia persuaso.</w:t>
      </w:r>
    </w:p>
    <w:p>
      <w:pPr>
        <w:spacing w:after="120" w:line="276"/>
        <w:jc w:val="both"/>
      </w:pPr>
      <w:r>
        <w:rPr>
          <w:rFonts w:ascii="Barlow Semi Condensed" w:cs="Barlow Semi Condensed" w:eastAsia="Barlow Semi Condensed" w:hAnsi="Barlow Semi Condensed"/>
          <w:b/>
          <w:bCs/>
          <w:sz w:val="24"/>
          <w:szCs w:val="24"/>
        </w:rPr>
        <w:t xml:space="preserve">La ragione è tratta dall'esperienza di chi risale dalle profondità marine, e la figura è esatta. Chi risalga troppo rapidamente porta in superficie, disciolto nel sangue, un gas che alla pressione del fondo era stabile e che alla pressione dell'aria si libera in bolle. Il danno non nasce dalla profondità: nasce dalla velocità della risalita.</w:t>
      </w:r>
    </w:p>
    <w:p>
      <w:pPr>
        <w:spacing w:after="120" w:line="276"/>
        <w:jc w:val="both"/>
      </w:pPr>
      <w:r>
        <w:rPr>
          <w:rFonts w:ascii="Barlow Semi Condensed" w:cs="Barlow Semi Condensed" w:eastAsia="Barlow Semi Condensed" w:hAnsi="Barlow Semi Condensed"/>
          <w:b/>
          <w:bCs/>
          <w:sz w:val="24"/>
          <w:szCs w:val="24"/>
        </w:rPr>
        <w:t xml:space="preserve">Così le connessioni. Una connessione che alla pressione del fondo — cioè dentro il contesto denso di ipotesi, coincidenze e prossimità nel quale è stata concepita — appare salda, si dissolve alla pressione dell'aria, cioè quando venga enunciata da sola, davanti a un lettore che non abbia percorso il ragionamento che l'ha generata. La tappa dell'istruttoria e quella della verifica servono precisamente a questo: a sottoporre la connessione, prima della certificazione, alla pressione alla quale dovrà reggere.</w:t>
      </w:r>
    </w:p>
    <w:p>
      <w:pPr>
        <w:pStyle w:val="Heading2"/>
        <w:spacing w:after="100" w:before="200"/>
      </w:pPr>
      <w:r>
        <w:rPr>
          <w:rFonts w:ascii="Barlow Semi Condensed" w:cs="Barlow Semi Condensed" w:eastAsia="Barlow Semi Condensed" w:hAnsi="Barlow Semi Condensed"/>
          <w:sz w:val="24"/>
          <w:szCs w:val="24"/>
        </w:rPr>
        <w:t xml:space="preserve">La conseguenza che entrambe hanno in comune</w:t>
      </w:r>
    </w:p>
    <w:p>
      <w:pPr>
        <w:spacing w:after="120" w:line="276"/>
        <w:jc w:val="both"/>
      </w:pPr>
      <w:r>
        <w:rPr>
          <w:rFonts w:ascii="Barlow Semi Condensed" w:cs="Barlow Semi Condensed" w:eastAsia="Barlow Semi Condensed" w:hAnsi="Barlow Semi Condensed"/>
          <w:b/>
          <w:bCs/>
          <w:sz w:val="24"/>
          <w:szCs w:val="24"/>
        </w:rPr>
        <w:t xml:space="preserve">Le due regole hanno un effetto congiunto che occorre dire, perché è quello che dà a quest'opera il suo carattere e insieme il suo limite: esse riducono la quantità di ciò che l'opera afferma e aumentano la solidità di ciò che afferma.</w:t>
      </w:r>
    </w:p>
    <w:p>
      <w:pPr>
        <w:spacing w:after="120" w:line="276"/>
        <w:jc w:val="both"/>
      </w:pPr>
      <w:r>
        <w:rPr>
          <w:rFonts w:ascii="Barlow Semi Condensed" w:cs="Barlow Semi Condensed" w:eastAsia="Barlow Semi Condensed" w:hAnsi="Barlow Semi Condensed"/>
          <w:b/>
          <w:bCs/>
          <w:sz w:val="24"/>
          <w:szCs w:val="24"/>
        </w:rPr>
        <w:t xml:space="preserve">Un'opera costruita così è meno ricca di una che non osservi queste regole. Contiene meno collegamenti, meno figure, meno scenari. Il lettore che cerchi una ricostruzione completa la troverà deludente, e avrà ragione dal proprio punto di vista.</w:t>
      </w:r>
    </w:p>
    <w:p>
      <w:pPr>
        <w:spacing w:after="120" w:line="276"/>
        <w:jc w:val="both"/>
      </w:pPr>
      <w:r>
        <w:rPr>
          <w:rFonts w:ascii="Barlow Semi Condensed" w:cs="Barlow Semi Condensed" w:eastAsia="Barlow Semi Condensed" w:hAnsi="Barlow Semi Condensed"/>
          <w:b/>
          <w:bCs/>
          <w:sz w:val="24"/>
          <w:szCs w:val="24"/>
        </w:rPr>
        <w:t xml:space="preserve">Ma la ricchezza, in questa materia, è il segno che qualcosa non va. Un caso nel quale sono state distrutte prove, eliminati testimoni e occultati archivi non può produrre, se onestamente ricostruito, un quadro completo. Un quadro completo, in un caso siffatto, è la prova che il ricercatore ha colmato con la propria immaginazione le lacune che gli erano state preparate. La proporzione dichiarata è onestà, non sconfitta: una parte che regge vale più di nove parti che suggestionano.</w:t>
      </w:r>
    </w:p>
    <w:p>
      <w:pPr>
        <w:pStyle w:val="Heading2"/>
        <w:spacing w:after="100" w:before="200"/>
      </w:pPr>
      <w:r>
        <w:rPr>
          <w:rFonts w:ascii="Barlow Semi Condensed" w:cs="Barlow Semi Condensed" w:eastAsia="Barlow Semi Condensed" w:hAnsi="Barlow Semi Condensed"/>
          <w:sz w:val="24"/>
          <w:szCs w:val="24"/>
        </w:rPr>
        <w:t xml:space="preserve">Capitolo settimo — La disciplina del Pollo di Popper e gli Stati Zero</w:t>
      </w:r>
    </w:p>
    <w:p>
      <w:pPr>
        <w:spacing w:after="120" w:line="276"/>
        <w:jc w:val="both"/>
      </w:pPr>
      <w:r>
        <w:rPr>
          <w:rFonts w:ascii="Barlow Semi Condensed" w:cs="Barlow Semi Condensed" w:eastAsia="Barlow Semi Condensed" w:hAnsi="Barlow Semi Condensed"/>
          <w:b/>
          <w:bCs/>
          <w:sz w:val="24"/>
          <w:szCs w:val="24"/>
        </w:rPr>
        <w:t xml:space="preserve">Restano da esporre due disposizioni che stanno l'una accanto all'altra, perché rispondono al medesimo pericolo da due lati opposti: la prima impedisce di trovare soltanto conferme, la seconda impedisce di registrare soltanto ritrovamenti.</w:t>
      </w:r>
    </w:p>
    <w:p>
      <w:pPr>
        <w:pStyle w:val="Heading2"/>
        <w:spacing w:after="100" w:before="200"/>
      </w:pPr>
      <w:r>
        <w:rPr>
          <w:rFonts w:ascii="Barlow Semi Condensed" w:cs="Barlow Semi Condensed" w:eastAsia="Barlow Semi Condensed" w:hAnsi="Barlow Semi Condensed"/>
          <w:sz w:val="24"/>
          <w:szCs w:val="24"/>
        </w:rPr>
        <w:t xml:space="preserve">Il pericolo della conferma</w:t>
      </w:r>
    </w:p>
    <w:p>
      <w:pPr>
        <w:spacing w:after="120" w:line="276"/>
        <w:jc w:val="both"/>
      </w:pPr>
      <w:r>
        <w:rPr>
          <w:rFonts w:ascii="Barlow Semi Condensed" w:cs="Barlow Semi Condensed" w:eastAsia="Barlow Semi Condensed" w:hAnsi="Barlow Semi Condensed"/>
          <w:b/>
          <w:bCs/>
          <w:sz w:val="24"/>
          <w:szCs w:val="24"/>
        </w:rPr>
        <w:t xml:space="preserve">Un pollo, ogni mattina, vede il contadino portargli il cibo. Al centesimo giorno ha raccolto cento conferme, e conclude che il contadino esiste per nutrirlo. La conclusione è sostenuta da tutte le osservazioni disponibili, non è contraddetta da alcuna, ed è falsa. Al centunesimo giorno il contadino gli tira il collo.</w:t>
      </w:r>
    </w:p>
    <w:p>
      <w:pPr>
        <w:spacing w:after="120" w:line="276"/>
        <w:jc w:val="both"/>
      </w:pPr>
      <w:r>
        <w:rPr>
          <w:rFonts w:ascii="Barlow Semi Condensed" w:cs="Barlow Semi Condensed" w:eastAsia="Barlow Semi Condensed" w:hAnsi="Barlow Semi Condensed"/>
          <w:b/>
          <w:bCs/>
          <w:sz w:val="24"/>
          <w:szCs w:val="24"/>
        </w:rPr>
        <w:t xml:space="preserve">La favola, che si deve alla riflessione sul problema dell'induzione, dice una cosa esatta e sgradevole: l'accumulo di conferme non prova. Non prova perché le conferme si accumulano anche attorno alle proposizioni false, e con la medesima abbondanza; e la sensazione di solidità che il loro numero produce nel ricercatore non è una misura della verità della proposizione, ma della struttura della sua ricerca.</w:t>
      </w:r>
    </w:p>
    <w:p>
      <w:pPr>
        <w:spacing w:after="120" w:line="276"/>
        <w:jc w:val="both"/>
      </w:pPr>
      <w:r>
        <w:rPr>
          <w:rFonts w:ascii="Barlow Semi Condensed" w:cs="Barlow Semi Condensed" w:eastAsia="Barlow Semi Condensed" w:hAnsi="Barlow Semi Condensed"/>
          <w:b/>
          <w:bCs/>
          <w:sz w:val="24"/>
          <w:szCs w:val="24"/>
        </w:rPr>
        <w:t xml:space="preserve">Il pericolo diventa acuto quando la ricerca è organizzata attorno a una tesi. Se si dispone il materiale in cerchi che si irradiano da un centro interpretativo, ogni dato che entri nell'opera vi entra già collocato rispetto alla tesi, e dunque tende a confermarla per effetto della disposizione e non per forza propria. Il ricercatore che proceda così accumula conferme senza mai mettersi nella condizione di ricevere una smentita: è nella posizione esatta del pollo.</w:t>
      </w:r>
    </w:p>
    <w:p>
      <w:pPr>
        <w:pStyle w:val="Heading2"/>
        <w:spacing w:after="100" w:before="200"/>
      </w:pPr>
      <w:r>
        <w:rPr>
          <w:rFonts w:ascii="Barlow Semi Condensed" w:cs="Barlow Semi Condensed" w:eastAsia="Barlow Semi Condensed" w:hAnsi="Barlow Semi Condensed"/>
          <w:sz w:val="24"/>
          <w:szCs w:val="24"/>
        </w:rPr>
        <w:t xml:space="preserve">La disciplina</w:t>
      </w:r>
    </w:p>
    <w:p>
      <w:pPr>
        <w:spacing w:after="120" w:line="276"/>
        <w:jc w:val="both"/>
      </w:pPr>
      <w:r>
        <w:rPr>
          <w:rFonts w:ascii="Barlow Semi Condensed" w:cs="Barlow Semi Condensed" w:eastAsia="Barlow Semi Condensed" w:hAnsi="Barlow Semi Condensed"/>
          <w:b/>
          <w:bCs/>
          <w:sz w:val="24"/>
          <w:szCs w:val="24"/>
        </w:rPr>
        <w:t xml:space="preserve">La disciplina che ne discende ha tre prescrizioni.</w:t>
      </w:r>
    </w:p>
    <w:p>
      <w:pPr>
        <w:spacing w:after="120" w:line="276"/>
        <w:jc w:val="both"/>
      </w:pPr>
      <w:r>
        <w:rPr>
          <w:rFonts w:ascii="Barlow Semi Condensed" w:cs="Barlow Semi Condensed" w:eastAsia="Barlow Semi Condensed" w:hAnsi="Barlow Semi Condensed"/>
          <w:b/>
          <w:bCs/>
          <w:sz w:val="24"/>
          <w:szCs w:val="24"/>
        </w:rPr>
        <w:t xml:space="preserve">La prima: le ipotesi non si confermano, si sottopongono a confutazione. Per ogni proposizione l'opera si domanda che cosa la smentirebbe, e cerca quello, non il contrario.</w:t>
      </w:r>
    </w:p>
    <w:p>
      <w:pPr>
        <w:spacing w:after="120" w:line="276"/>
        <w:jc w:val="both"/>
      </w:pPr>
      <w:r>
        <w:rPr>
          <w:rFonts w:ascii="Barlow Semi Condensed" w:cs="Barlow Semi Condensed" w:eastAsia="Barlow Semi Condensed" w:hAnsi="Barlow Semi Condensed"/>
          <w:b/>
          <w:bCs/>
          <w:sz w:val="24"/>
          <w:szCs w:val="24"/>
        </w:rPr>
        <w:t xml:space="preserve">La seconda: per ogni osservazione si formulano almeno tre ipotesi alternative, e la valutazione non guarda quale sia più sostenuta — perché tutte tendono ad accumulare sostegni — ma quale sia meno contraddetta. È la contraddizione, non il sostegno, che discrimina.</w:t>
      </w:r>
    </w:p>
    <w:p>
      <w:pPr>
        <w:spacing w:after="120" w:line="276"/>
        <w:jc w:val="both"/>
      </w:pPr>
      <w:r>
        <w:rPr>
          <w:rFonts w:ascii="Barlow Semi Condensed" w:cs="Barlow Semi Condensed" w:eastAsia="Barlow Semi Condensed" w:hAnsi="Barlow Semi Condensed"/>
          <w:b/>
          <w:bCs/>
          <w:sz w:val="24"/>
          <w:szCs w:val="24"/>
        </w:rPr>
        <w:t xml:space="preserve">La terza, che è di architettura: l'opera non si organizza attorno a una tesi, ma attorno alle fonti. L'ordine dei capitoli è ordine di racconto e non ordine di prova, come già si è detto; e nessun capitolo eredita autorevolezza dalla propria collocazione.</w:t>
      </w:r>
    </w:p>
    <w:p>
      <w:pPr>
        <w:spacing w:after="120" w:line="276"/>
        <w:jc w:val="both"/>
      </w:pPr>
      <w:r>
        <w:rPr>
          <w:rFonts w:ascii="Barlow Semi Condensed" w:cs="Barlow Semi Condensed" w:eastAsia="Barlow Semi Condensed" w:hAnsi="Barlow Semi Condensed"/>
          <w:b/>
          <w:bCs/>
          <w:sz w:val="24"/>
          <w:szCs w:val="24"/>
        </w:rPr>
        <w:t xml:space="preserve">Vi è un corollario archeologico che merita di essere aggiunto, perché rende la cosa visibile. Chi scavi guidato dalla convinzione di trovare una determinata città, scava una trincea diretta verso di essa e distrugge, attraversandoli, gli strati che la contraddicono. Non mente: distrugge. E ciò che distrugge non potrà più essere esaminato da nessuno. È il modo per il quale una ricerca condotta con passione produce un danno che una ricerca condotta senza passione non avrebbe prodotto.</w:t>
      </w:r>
    </w:p>
    <w:p>
      <w:pPr>
        <w:spacing w:after="120" w:line="276"/>
        <w:jc w:val="both"/>
      </w:pPr>
      <w:r>
        <w:rPr>
          <w:rFonts w:ascii="Barlow Semi Condensed" w:cs="Barlow Semi Condensed" w:eastAsia="Barlow Semi Condensed" w:hAnsi="Barlow Semi Condensed"/>
          <w:b/>
          <w:bCs/>
          <w:sz w:val="24"/>
          <w:szCs w:val="24"/>
        </w:rPr>
        <w:t xml:space="preserve">La risposta è lo scavo per quadranti, con i testimoni in piedi: si lasciano in sede porzioni non scavate, perché chi verrà dopo possa controllare. Quest'opera pratica lo stesso: ciò che non entra nella sua architettura non viene soppresso, viene conservato in disparte e dichiarato.</w:t>
      </w:r>
    </w:p>
    <w:p>
      <w:pPr>
        <w:pStyle w:val="Heading2"/>
        <w:spacing w:after="100" w:before="200"/>
      </w:pPr>
      <w:r>
        <w:rPr>
          <w:rFonts w:ascii="Barlow Semi Condensed" w:cs="Barlow Semi Condensed" w:eastAsia="Barlow Semi Condensed" w:hAnsi="Barlow Semi Condensed"/>
          <w:sz w:val="24"/>
          <w:szCs w:val="24"/>
        </w:rPr>
        <w:t xml:space="preserve">Gli Stati Zero</w:t>
      </w:r>
    </w:p>
    <w:p>
      <w:pPr>
        <w:spacing w:after="120" w:line="276"/>
        <w:jc w:val="both"/>
      </w:pPr>
      <w:r>
        <w:rPr>
          <w:rFonts w:ascii="Barlow Semi Condensed" w:cs="Barlow Semi Condensed" w:eastAsia="Barlow Semi Condensed" w:hAnsi="Barlow Semi Condensed"/>
          <w:b/>
          <w:bCs/>
          <w:sz w:val="24"/>
          <w:szCs w:val="24"/>
        </w:rPr>
        <w:t xml:space="preserve">La seconda disposizione riguarda il lato opposto.</w:t>
      </w:r>
    </w:p>
    <w:p>
      <w:pPr>
        <w:spacing w:after="120" w:line="276"/>
        <w:jc w:val="both"/>
      </w:pPr>
      <w:r>
        <w:rPr>
          <w:rFonts w:ascii="Barlow Semi Condensed" w:cs="Barlow Semi Condensed" w:eastAsia="Barlow Semi Condensed" w:hAnsi="Barlow Semi Condensed"/>
          <w:b/>
          <w:bCs/>
          <w:sz w:val="24"/>
          <w:szCs w:val="24"/>
        </w:rPr>
        <w:t xml:space="preserve">Un registro che annoti soltanto ciò che ha trovato mente per costruzione. Non mente in alcuna delle sue proposizioni, che possono essere tutte vere: mente nel quadro che l'insieme produce. Il lettore che percorra un elenco di reperimenti positivi riceve l'impressione che la ricerca abbia trovato ciò che cercava, mentre in realtà egli sta leggendo la sola parte fortunata di un lavoro del quale ignora l'estensione.</w:t>
      </w:r>
    </w:p>
    <w:p>
      <w:pPr>
        <w:spacing w:after="120" w:line="276"/>
        <w:jc w:val="both"/>
      </w:pPr>
      <w:r>
        <w:rPr>
          <w:rFonts w:ascii="Barlow Semi Condensed" w:cs="Barlow Semi Condensed" w:eastAsia="Barlow Semi Condensed" w:hAnsi="Barlow Semi Condensed"/>
          <w:b/>
          <w:bCs/>
          <w:sz w:val="24"/>
          <w:szCs w:val="24"/>
        </w:rPr>
        <w:t xml:space="preserve">Perciò quest'opera registra come acquisizioni di pieno valore le ricerche condotte e concluse senza reperimento. Un archivio interrogato e muto è un dato. Un quesito posto e non risolto è un dato. Un documento cercato secondo estremi precisi e non trovato è un dato, e va scritto con la stessa precisione con cui si scriverebbe se fosse stato trovato: quale documento, presso quale sede, con quale procedura, con quale esito.</w:t>
      </w:r>
    </w:p>
    <w:p>
      <w:pPr>
        <w:spacing w:after="120" w:line="276"/>
        <w:jc w:val="both"/>
      </w:pPr>
      <w:r>
        <w:rPr>
          <w:rFonts w:ascii="Barlow Semi Condensed" w:cs="Barlow Semi Condensed" w:eastAsia="Barlow Semi Condensed" w:hAnsi="Barlow Semi Condensed"/>
          <w:b/>
          <w:bCs/>
          <w:sz w:val="24"/>
          <w:szCs w:val="24"/>
        </w:rPr>
        <w:t xml:space="preserve">Questa disposizione ha un valore che eccede l'onestà contabile. In un caso nel quale le lacune sono state prodotte, la mappa delle lacune è essa stessa una fonte. Sapere quali archivi tacciono, e su che cosa, e da quando, è conoscenza; e talvolta è la conoscenza più significativa disponibile, perché il silenzio, a differenza della parola, non può essere costruito senza che qualcuno lo costruisca.</w:t>
      </w:r>
    </w:p>
    <w:p>
      <w:pPr>
        <w:pStyle w:val="Heading2"/>
        <w:spacing w:after="100" w:before="200"/>
      </w:pPr>
      <w:r>
        <w:rPr>
          <w:rFonts w:ascii="Barlow Semi Condensed" w:cs="Barlow Semi Condensed" w:eastAsia="Barlow Semi Condensed" w:hAnsi="Barlow Semi Condensed"/>
          <w:sz w:val="24"/>
          <w:szCs w:val="24"/>
        </w:rPr>
        <w:t xml:space="preserve">Le due disposizioni insieme</w:t>
      </w:r>
    </w:p>
    <w:p>
      <w:pPr>
        <w:spacing w:after="120" w:line="276"/>
        <w:jc w:val="both"/>
      </w:pPr>
      <w:r>
        <w:rPr>
          <w:rFonts w:ascii="Barlow Semi Condensed" w:cs="Barlow Semi Condensed" w:eastAsia="Barlow Semi Condensed" w:hAnsi="Barlow Semi Condensed"/>
          <w:b/>
          <w:bCs/>
          <w:sz w:val="24"/>
          <w:szCs w:val="24"/>
        </w:rPr>
        <w:t xml:space="preserve">Le due disposizioni si tengono. La prima impedisce che l'opera trovi ovunque ciò che cerca; la seconda impedisce che essa mostri soltanto dove ha trovato. Insieme producono un registro nel quale il rapporto fra ciò che si sa e ciò che non si sa è dichiarato, e nel quale il lettore può misurare, oltre alle conclusioni, la loro copertura.</w:t>
      </w:r>
    </w:p>
    <w:p>
      <w:pPr>
        <w:spacing w:after="120" w:line="276"/>
        <w:jc w:val="both"/>
      </w:pPr>
      <w:r>
        <w:rPr>
          <w:rFonts w:ascii="Barlow Semi Condensed" w:cs="Barlow Semi Condensed" w:eastAsia="Barlow Semi Condensed" w:hAnsi="Barlow Semi Condensed"/>
          <w:b/>
          <w:bCs/>
          <w:sz w:val="24"/>
          <w:szCs w:val="24"/>
        </w:rPr>
        <w:t xml:space="preserve">Un'opera che dichiari la propria copertura può essere giudicata. Un'opera che non la dichiari domanda fiducia. Fra le due cose corre la differenza che passa fra un documento e una testimonianza personale, e quest'opera vuole essere della prima specie.</w:t>
      </w:r>
    </w:p>
    <w:p>
      <w:pPr>
        <w:pStyle w:val="Heading2"/>
        <w:spacing w:after="100" w:before="200"/>
      </w:pPr>
      <w:r>
        <w:rPr>
          <w:rFonts w:ascii="Barlow Semi Condensed" w:cs="Barlow Semi Condensed" w:eastAsia="Barlow Semi Condensed" w:hAnsi="Barlow Semi Condensed"/>
          <w:sz w:val="24"/>
          <w:szCs w:val="24"/>
        </w:rPr>
        <w:t xml:space="preserve">Capitolo ottavo — La formazione, dal 1916 al 1946</w:t>
      </w:r>
    </w:p>
    <w:p>
      <w:pPr>
        <w:spacing w:after="120" w:line="276"/>
        <w:jc w:val="both"/>
      </w:pPr>
      <w:r>
        <w:rPr>
          <w:rFonts w:ascii="Barlow Semi Condensed" w:cs="Barlow Semi Condensed" w:eastAsia="Barlow Semi Condensed" w:hAnsi="Barlow Semi Condensed"/>
          <w:b/>
          <w:bCs/>
          <w:sz w:val="24"/>
          <w:szCs w:val="24"/>
        </w:rPr>
        <w:t xml:space="preserve">Occorre ora lasciare il metodo e venire alla persona. E conviene dire perché una Fase dedicata al metodo si chiuda con tre Capitoli dedicati a un uomo.</w:t>
      </w:r>
    </w:p>
    <w:p>
      <w:pPr>
        <w:spacing w:after="120" w:line="276"/>
        <w:jc w:val="both"/>
      </w:pPr>
      <w:r>
        <w:rPr>
          <w:rFonts w:ascii="Barlow Semi Condensed" w:cs="Barlow Semi Condensed" w:eastAsia="Barlow Semi Condensed" w:hAnsi="Barlow Semi Condensed"/>
          <w:b/>
          <w:bCs/>
          <w:sz w:val="24"/>
          <w:szCs w:val="24"/>
        </w:rPr>
        <w:t xml:space="preserve">La ragione non è di cortesia biografica. È che il caso del quale quest'opera tratta è, prima di ogni altra cosa, la soppressione di una persona determinata in un momento determinato; e che nessuna delle domande che l'opera dovrà porre nelle Fasi successive — perché allora, perché lui, perché in quel modo — è formulabile senza sapere chi fosse quell'uomo e che cosa stesse facendo. La biografia, qui, non è contorno: è la definizione dell'oggetto.</w:t>
      </w:r>
    </w:p>
    <w:p>
      <w:pPr>
        <w:pStyle w:val="Heading2"/>
        <w:spacing w:after="100" w:before="200"/>
      </w:pPr>
      <w:r>
        <w:rPr>
          <w:rFonts w:ascii="Barlow Semi Condensed" w:cs="Barlow Semi Condensed" w:eastAsia="Barlow Semi Condensed" w:hAnsi="Barlow Semi Condensed"/>
          <w:sz w:val="24"/>
          <w:szCs w:val="24"/>
        </w:rPr>
        <w:t xml:space="preserve">Gli anni pugliesi</w:t>
      </w:r>
    </w:p>
    <w:p>
      <w:pPr>
        <w:spacing w:after="120" w:line="276"/>
        <w:jc w:val="both"/>
      </w:pPr>
      <w:r>
        <w:rPr>
          <w:rFonts w:ascii="Barlow Semi Condensed" w:cs="Barlow Semi Condensed" w:eastAsia="Barlow Semi Condensed" w:hAnsi="Barlow Semi Condensed"/>
          <w:b/>
          <w:bCs/>
          <w:sz w:val="24"/>
          <w:szCs w:val="24"/>
        </w:rPr>
        <w:t xml:space="preserve">Aldo Moro nacque a Maglie, in provincia di Lecce, il 23 settembre 1916, in una famiglia della piccola borghesia colta meridionale: il padre ispettore scolastico, la madre maestra. La circostanza non è un dettaglio d'anagrafe. Essa colloca la formazione di quest'uomo in un ambiente nel quale l'istruzione era insieme mestiere e valore, e nel quale lo Stato era conosciuto non come potenza remota ma come amministrazione quotidiana, con i suoi uffici, le sue carte e i suoi doveri.</w:t>
      </w:r>
    </w:p>
    <w:p>
      <w:pPr>
        <w:spacing w:after="120" w:line="276"/>
        <w:jc w:val="both"/>
      </w:pPr>
      <w:r>
        <w:rPr>
          <w:rFonts w:ascii="Barlow Semi Condensed" w:cs="Barlow Semi Condensed" w:eastAsia="Barlow Semi Condensed" w:hAnsi="Barlow Semi Condensed"/>
          <w:b/>
          <w:bCs/>
          <w:sz w:val="24"/>
          <w:szCs w:val="24"/>
        </w:rPr>
        <w:t xml:space="preserve">La famiglia si trasferì a Bari, e a Bari egli compì gli studi, laureandosi in giurisprudenza. Vi rimase come studioso: la filosofia del diritto e il diritto penale furono i suoi campi, e all'insegnamento universitario egli non rinunciò mai, neppure negli anni di maggiore impegno di governo. È una fedeltà che conviene notare, perché dice qualcosa del suo modo di pensare: un uomo che continua a insegnare mentre governa conserva l'abitudine di dover rendere ragione delle proprie affermazioni davanti a chi può chiedere perché.</w:t>
      </w:r>
    </w:p>
    <w:p>
      <w:pPr>
        <w:pStyle w:val="Heading2"/>
        <w:spacing w:after="100" w:before="200"/>
      </w:pPr>
      <w:r>
        <w:rPr>
          <w:rFonts w:ascii="Barlow Semi Condensed" w:cs="Barlow Semi Condensed" w:eastAsia="Barlow Semi Condensed" w:hAnsi="Barlow Semi Condensed"/>
          <w:sz w:val="24"/>
          <w:szCs w:val="24"/>
        </w:rPr>
        <w:t xml:space="preserve">La FUCI e la formazione cattolica</w:t>
      </w:r>
    </w:p>
    <w:p>
      <w:pPr>
        <w:spacing w:after="120" w:line="276"/>
        <w:jc w:val="both"/>
      </w:pPr>
      <w:r>
        <w:rPr>
          <w:rFonts w:ascii="Barlow Semi Condensed" w:cs="Barlow Semi Condensed" w:eastAsia="Barlow Semi Condensed" w:hAnsi="Barlow Semi Condensed"/>
          <w:b/>
          <w:bCs/>
          <w:sz w:val="24"/>
          <w:szCs w:val="24"/>
        </w:rPr>
        <w:t xml:space="preserve">L'esperienza decisiva di quegli anni fu l'associazionismo cattolico universitario. Moro fu presidente della Federazione Universitaria Cattolica Italiana fra il 1939 e il 1942, e più tardi fu tra i dirigenti del Movimento Laureati di Azione Cattolica.</w:t>
      </w:r>
    </w:p>
    <w:p>
      <w:pPr>
        <w:spacing w:after="120" w:line="276"/>
        <w:jc w:val="both"/>
      </w:pPr>
      <w:r>
        <w:rPr>
          <w:rFonts w:ascii="Barlow Semi Condensed" w:cs="Barlow Semi Condensed" w:eastAsia="Barlow Semi Condensed" w:hAnsi="Barlow Semi Condensed"/>
          <w:b/>
          <w:bCs/>
          <w:sz w:val="24"/>
          <w:szCs w:val="24"/>
        </w:rPr>
        <w:t xml:space="preserve">Occorre intendere che cosa questo significasse in quegli anni. La FUCI era, nell'Italia del regime, uno dei pochissimi luoghi nei quali giovani intellettuali potessero incontrarsi, discutere e formarsi sotto una autorità che non fosse quella dello Stato fascista. Non era un luogo di opposizione dichiarata — sarebbe anacronistico e falso descriverlo così — ma era un luogo di autonomia relativa, e in un sistema che non tollerava autonomie l'autonomia relativa è già una posizione.</w:t>
      </w:r>
    </w:p>
    <w:p>
      <w:pPr>
        <w:spacing w:after="120" w:line="276"/>
        <w:jc w:val="both"/>
      </w:pPr>
      <w:r>
        <w:rPr>
          <w:rFonts w:ascii="Barlow Semi Condensed" w:cs="Barlow Semi Condensed" w:eastAsia="Barlow Semi Condensed" w:hAnsi="Barlow Semi Condensed"/>
          <w:b/>
          <w:bCs/>
          <w:sz w:val="24"/>
          <w:szCs w:val="24"/>
        </w:rPr>
        <w:t xml:space="preserve">Da quell'ambiente uscì una parte considerevole della classe dirigente cattolica del dopoguerra. Vi si formò un modo di concepire la politica che conviene descrivere perché resterà il suo per tutta la vita: la politica come mediazione fra istanze legittime e diverse, non come affermazione di una parte sull'altra; il tempo come strumento di governo e non come ostacolo; la persuasione preferita alla forza, e la trattativa preferita alla rottura.</w:t>
      </w:r>
    </w:p>
    <w:p>
      <w:pPr>
        <w:spacing w:after="120" w:line="276"/>
        <w:jc w:val="both"/>
      </w:pPr>
      <w:r>
        <w:rPr>
          <w:rFonts w:ascii="Barlow Semi Condensed" w:cs="Barlow Semi Condensed" w:eastAsia="Barlow Semi Condensed" w:hAnsi="Barlow Semi Condensed"/>
          <w:b/>
          <w:bCs/>
          <w:sz w:val="24"/>
          <w:szCs w:val="24"/>
        </w:rPr>
        <w:t xml:space="preserve">Questo modo di concepire la politica ha una virtù e ha un difetto, ed entrambi peseranno. La virtù è che consente di tenere insieme ciò che altrimenti si spezzerebbe, e in un paese diviso come l'Italia repubblicana questa fu una funzione capitale. Il difetto è che appare, a chi lo osservi dall'esterno e con impazienza, indistinguibile dal temporeggiamento; e che chi lo pratichi risulta, agli occhi degli avversari e talvolta degli alleati, sempre in procinto di cedere qualcosa a qualcuno.</w:t>
      </w:r>
    </w:p>
    <w:p>
      <w:pPr>
        <w:pStyle w:val="Heading2"/>
        <w:spacing w:after="100" w:before="200"/>
      </w:pPr>
      <w:r>
        <w:rPr>
          <w:rFonts w:ascii="Barlow Semi Condensed" w:cs="Barlow Semi Condensed" w:eastAsia="Barlow Semi Condensed" w:hAnsi="Barlow Semi Condensed"/>
          <w:sz w:val="24"/>
          <w:szCs w:val="24"/>
        </w:rPr>
        <w:t xml:space="preserve">Dalla guerra alla Costituente</w:t>
      </w:r>
    </w:p>
    <w:p>
      <w:pPr>
        <w:spacing w:after="120" w:line="276"/>
        <w:jc w:val="both"/>
      </w:pPr>
      <w:r>
        <w:rPr>
          <w:rFonts w:ascii="Barlow Semi Condensed" w:cs="Barlow Semi Condensed" w:eastAsia="Barlow Semi Condensed" w:hAnsi="Barlow Semi Condensed"/>
          <w:b/>
          <w:bCs/>
          <w:sz w:val="24"/>
          <w:szCs w:val="24"/>
        </w:rPr>
        <w:t xml:space="preserve">Gli anni della guerra e della caduta del regime lo trovarono impegnato nell'ambiente cattolico, e dalla ricomposizione delle forze politiche del dopoguerra egli uscì fra i dirigenti giovani della Democrazia Cristiana.</w:t>
      </w:r>
    </w:p>
    <w:p>
      <w:pPr>
        <w:spacing w:after="120" w:line="276"/>
        <w:jc w:val="both"/>
      </w:pPr>
      <w:r>
        <w:rPr>
          <w:rFonts w:ascii="Barlow Semi Condensed" w:cs="Barlow Semi Condensed" w:eastAsia="Barlow Semi Condensed" w:hAnsi="Barlow Semi Condensed"/>
          <w:b/>
          <w:bCs/>
          <w:sz w:val="24"/>
          <w:szCs w:val="24"/>
        </w:rPr>
        <w:t xml:space="preserve">Nel 1946 fu eletto all'Assemblea Costituente, e vi assunse il ruolo che più di ogni altro segna il suo ingresso nella vita pubblica: fece parte della Commissione dei Settantacinque, incaricata di redigere il progetto di Costituzione. Aveva trent'anni.</w:t>
      </w:r>
    </w:p>
    <w:p>
      <w:pPr>
        <w:spacing w:after="120" w:line="276"/>
        <w:jc w:val="both"/>
      </w:pPr>
      <w:r>
        <w:rPr>
          <w:rFonts w:ascii="Barlow Semi Condensed" w:cs="Barlow Semi Condensed" w:eastAsia="Barlow Semi Condensed" w:hAnsi="Barlow Semi Condensed"/>
          <w:b/>
          <w:bCs/>
          <w:sz w:val="24"/>
          <w:szCs w:val="24"/>
        </w:rPr>
        <w:t xml:space="preserve">Occorre soffermarsi su questo, perché è il punto dal quale si comprende tutto il resto. Un uomo che a trent'anni partecipa alla scrittura della carta fondamentale del proprio paese acquisisce un rapporto con le istituzioni che non è quello del funzionario né quello del militante: è quello di chi le ha fatte. Le istituzioni della Repubblica non furono, per lui, un ambiente dato nel quale operare: furono un manufatto al quale aveva messo mano, del quale conosceva le giunture, e verso il quale sentiva la responsabilità particolare di chi ha contribuito a costruire.</w:t>
      </w:r>
    </w:p>
    <w:p>
      <w:pPr>
        <w:spacing w:after="120" w:line="276"/>
        <w:jc w:val="both"/>
      </w:pPr>
      <w:r>
        <w:rPr>
          <w:rFonts w:ascii="Barlow Semi Condensed" w:cs="Barlow Semi Condensed" w:eastAsia="Barlow Semi Condensed" w:hAnsi="Barlow Semi Condensed"/>
          <w:b/>
          <w:bCs/>
          <w:sz w:val="24"/>
          <w:szCs w:val="24"/>
        </w:rPr>
        <w:t xml:space="preserve">Questo spiega, meglio di ogni considerazione caratteriale, la sua costante riluttanza alle soluzioni che comportassero forzature dell'ordinamento, e la sua costante preferenza per le soluzioni che comportassero l'allargamento del consenso dentro l'ordinamento. Non era timidezza. Era la convinzione, coltivata da chi aveva partecipato alla costruzione, che l'ordinamento fosse la sola cosa che tenesse insieme un paese che nella propria storia recente si era spezzato due volte.</w:t>
      </w:r>
    </w:p>
    <w:p>
      <w:pPr>
        <w:pStyle w:val="Heading2"/>
        <w:spacing w:after="100" w:before="200"/>
      </w:pPr>
      <w:r>
        <w:rPr>
          <w:rFonts w:ascii="Barlow Semi Condensed" w:cs="Barlow Semi Condensed" w:eastAsia="Barlow Semi Condensed" w:hAnsi="Barlow Semi Condensed"/>
          <w:sz w:val="24"/>
          <w:szCs w:val="24"/>
        </w:rPr>
        <w:t xml:space="preserve">Nota di grado e di metodo</w:t>
      </w:r>
    </w:p>
    <w:p>
      <w:pPr>
        <w:spacing w:after="120" w:line="276"/>
        <w:jc w:val="both"/>
      </w:pPr>
      <w:r>
        <w:rPr>
          <w:rFonts w:ascii="Barlow Semi Condensed" w:cs="Barlow Semi Condensed" w:eastAsia="Barlow Semi Condensed" w:hAnsi="Barlow Semi Condensed"/>
          <w:b/>
          <w:bCs/>
          <w:sz w:val="24"/>
          <w:szCs w:val="24"/>
        </w:rPr>
        <w:t xml:space="preserve">Le circostanze qui esposte — la data e il luogo di nascita, gli studi, le cariche associative, l'elezione alla Costituente, la partecipazione alla Commissione dei Settantacinque — appartengono agli atti pubblici e alla documentazione parlamentare e non sono controverse.</w:t>
      </w:r>
    </w:p>
    <w:p>
      <w:pPr>
        <w:spacing w:after="120" w:line="276"/>
        <w:jc w:val="both"/>
      </w:pPr>
      <w:r>
        <w:rPr>
          <w:rFonts w:ascii="Barlow Semi Condensed" w:cs="Barlow Semi Condensed" w:eastAsia="Barlow Semi Condensed" w:hAnsi="Barlow Semi Condensed"/>
          <w:b/>
          <w:bCs/>
          <w:sz w:val="24"/>
          <w:szCs w:val="24"/>
        </w:rPr>
        <w:t xml:space="preserve">Le considerazioni sul modo di concepire la politica sono di natura diversa: esse sono interpretazione dell'autore, formulata a partire dagli atti, e sono dichiarate come tali. Non sono, e non vanno lette come, proposizioni sciolte. Il lettore le tratti per quello che sono: una lettura possibile, esposta perché serve a comprendere ciò che segue, e non perché sia provata.</w:t>
      </w:r>
    </w:p>
    <w:p>
      <w:pPr>
        <w:pStyle w:val="Heading2"/>
        <w:spacing w:after="100" w:before="200"/>
      </w:pPr>
      <w:r>
        <w:rPr>
          <w:rFonts w:ascii="Barlow Semi Condensed" w:cs="Barlow Semi Condensed" w:eastAsia="Barlow Semi Condensed" w:hAnsi="Barlow Semi Condensed"/>
          <w:sz w:val="24"/>
          <w:szCs w:val="24"/>
        </w:rPr>
        <w:t xml:space="preserve">Capitolo nono — L'uomo di governo, dal 1946 al 1976</w:t>
      </w:r>
    </w:p>
    <w:p>
      <w:pPr>
        <w:spacing w:after="120" w:line="276"/>
        <w:jc w:val="both"/>
      </w:pPr>
      <w:r>
        <w:rPr>
          <w:rFonts w:ascii="Barlow Semi Condensed" w:cs="Barlow Semi Condensed" w:eastAsia="Barlow Semi Condensed" w:hAnsi="Barlow Semi Condensed"/>
          <w:b/>
          <w:bCs/>
          <w:sz w:val="24"/>
          <w:szCs w:val="24"/>
        </w:rPr>
        <w:t xml:space="preserve">Trent'anni di vita pubblica non si riassumono in un capitolo. Se ne possono però isolare le linee che occorrono a comprendere il fatto del quale l'opera tratta, e sono poche.</w:t>
      </w:r>
    </w:p>
    <w:p>
      <w:pPr>
        <w:pStyle w:val="Heading2"/>
        <w:spacing w:after="100" w:before="200"/>
      </w:pPr>
      <w:r>
        <w:rPr>
          <w:rFonts w:ascii="Barlow Semi Condensed" w:cs="Barlow Semi Condensed" w:eastAsia="Barlow Semi Condensed" w:hAnsi="Barlow Semi Condensed"/>
          <w:sz w:val="24"/>
          <w:szCs w:val="24"/>
        </w:rPr>
        <w:t xml:space="preserve">Le cariche</w:t>
      </w:r>
    </w:p>
    <w:p>
      <w:pPr>
        <w:spacing w:after="120" w:line="276"/>
        <w:jc w:val="both"/>
      </w:pPr>
      <w:r>
        <w:rPr>
          <w:rFonts w:ascii="Barlow Semi Condensed" w:cs="Barlow Semi Condensed" w:eastAsia="Barlow Semi Condensed" w:hAnsi="Barlow Semi Condensed"/>
          <w:b/>
          <w:bCs/>
          <w:sz w:val="24"/>
          <w:szCs w:val="24"/>
        </w:rPr>
        <w:t xml:space="preserve">Moro fu deputato ininterrottamente dalla Costituente in poi. Fu ministro di Grazia e Giustizia, poi della Pubblica Istruzione, negli anni Cinquanta. Fu segretario politico della Democrazia Cristiana dal 1959 al 1964. Fu presidente del Consiglio dei ministri per cinque governi, in due periodi distinti: fra il 1963 e il 1968, e fra il 1974 e il 1976. Fu ministro degli Affari Esteri in più occasioni fra la fine degli anni Sessanta e la metà degli anni Settanta. Dal 1976 fu presidente della Democrazia Cristiana.</w:t>
      </w:r>
    </w:p>
    <w:p>
      <w:pPr>
        <w:spacing w:after="120" w:line="276"/>
        <w:jc w:val="both"/>
      </w:pPr>
      <w:r>
        <w:rPr>
          <w:rFonts w:ascii="Barlow Semi Condensed" w:cs="Barlow Semi Condensed" w:eastAsia="Barlow Semi Condensed" w:hAnsi="Barlow Semi Condensed"/>
          <w:b/>
          <w:bCs/>
          <w:sz w:val="24"/>
          <w:szCs w:val="24"/>
        </w:rPr>
        <w:t xml:space="preserve">Questa successione di cariche dice una cosa che va detta espressamente: per quasi tutta la storia della Repubblica, quest'uomo si trovò in uno dei tre o quattro luoghi dai quali le decisioni maggiori venivano prese. Non fu una figura laterale che divenne importante alla fine. Fu, per trent'anni, uno dei pochissimi che sapessero come le cose funzionavano davvero.</w:t>
      </w:r>
    </w:p>
    <w:p>
      <w:pPr>
        <w:pStyle w:val="Heading2"/>
        <w:spacing w:after="100" w:before="200"/>
      </w:pPr>
      <w:r>
        <w:rPr>
          <w:rFonts w:ascii="Barlow Semi Condensed" w:cs="Barlow Semi Condensed" w:eastAsia="Barlow Semi Condensed" w:hAnsi="Barlow Semi Condensed"/>
          <w:sz w:val="24"/>
          <w:szCs w:val="24"/>
        </w:rPr>
        <w:t xml:space="preserve">Il centro-sinistra</w:t>
      </w:r>
    </w:p>
    <w:p>
      <w:pPr>
        <w:spacing w:after="120" w:line="276"/>
        <w:jc w:val="both"/>
      </w:pPr>
      <w:r>
        <w:rPr>
          <w:rFonts w:ascii="Barlow Semi Condensed" w:cs="Barlow Semi Condensed" w:eastAsia="Barlow Semi Condensed" w:hAnsi="Barlow Semi Condensed"/>
          <w:b/>
          <w:bCs/>
          <w:sz w:val="24"/>
          <w:szCs w:val="24"/>
        </w:rPr>
        <w:t xml:space="preserve">La prima operazione politica che porta il suo nome è l'apertura al Partito Socialista Italiano, condotta fra la fine degli anni Cinquanta e il 1963, quando egli formò il primo governo che comprendesse i socialisti.</w:t>
      </w:r>
    </w:p>
    <w:p>
      <w:pPr>
        <w:spacing w:after="120" w:line="276"/>
        <w:jc w:val="both"/>
      </w:pPr>
      <w:r>
        <w:rPr>
          <w:rFonts w:ascii="Barlow Semi Condensed" w:cs="Barlow Semi Condensed" w:eastAsia="Barlow Semi Condensed" w:hAnsi="Barlow Semi Condensed"/>
          <w:b/>
          <w:bCs/>
          <w:sz w:val="24"/>
          <w:szCs w:val="24"/>
        </w:rPr>
        <w:t xml:space="preserve">L'operazione fu lunga, contrastata e condotta con una lentezza che i contemporanei giudicarono esasperante. Essa incontrò resistenze da tre lati: dall'ala conservatrice del proprio partito, che vi vedeva una apertura verso sinistra pericolosa; da settori dell'alleanza atlantica, che consideravano il Partito Socialista non ancora sufficientemente distante dal Partito Comunista; e da settori dello stesso Partito Socialista, per i quali il prezzo dell'ingresso al governo era troppo alto.</w:t>
      </w:r>
    </w:p>
    <w:p>
      <w:pPr>
        <w:spacing w:after="120" w:line="276"/>
        <w:jc w:val="both"/>
      </w:pPr>
      <w:r>
        <w:rPr>
          <w:rFonts w:ascii="Barlow Semi Condensed" w:cs="Barlow Semi Condensed" w:eastAsia="Barlow Semi Condensed" w:hAnsi="Barlow Semi Condensed"/>
          <w:b/>
          <w:bCs/>
          <w:sz w:val="24"/>
          <w:szCs w:val="24"/>
        </w:rPr>
        <w:t xml:space="preserve">Il metodo con il quale Moro condusse l'operazione è quello che gli si attribuisce per tutta la vita: preparare a lungo, ridurre progressivamente la distanza fra le posizioni, non forzare mai il momento della decisione prima che la decisione sia già maturata nei fatti. Alla formula con la quale egli descrisse la convergenza di forze che restavano distinte — l'immagine delle linee che convergono pur non incontrandosi — si è attribuito, da allora, un valore emblematico del suo intero modo di procedere.</w:t>
      </w:r>
    </w:p>
    <w:p>
      <w:pPr>
        <w:spacing w:after="120" w:line="276"/>
        <w:jc w:val="both"/>
      </w:pPr>
      <w:r>
        <w:rPr>
          <w:rFonts w:ascii="Barlow Semi Condensed" w:cs="Barlow Semi Condensed" w:eastAsia="Barlow Semi Condensed" w:hAnsi="Barlow Semi Condensed"/>
          <w:b/>
          <w:bCs/>
          <w:sz w:val="24"/>
          <w:szCs w:val="24"/>
        </w:rPr>
        <w:t xml:space="preserve">Occorre segnalare che, negli anni immediatamente precedenti e seguenti quella apertura, si collocano alcuni degli episodi sui quali le commissioni parlamentari d'inchiesta hanno più lungamente lavorato, e che riguardano la predisposizione di misure di emergenza da parte di apparati dello Stato. Quest'opera non tratta qui quegli episodi, che appartengono alla Fase Seconda; li segnala perché il lettore sappia che il periodo nel quale l'apertura a sinistra maturò non fu, per le istituzioni, un periodo tranquillo.</w:t>
      </w:r>
    </w:p>
    <w:p>
      <w:pPr>
        <w:pStyle w:val="Heading2"/>
        <w:spacing w:after="100" w:before="200"/>
      </w:pPr>
      <w:r>
        <w:rPr>
          <w:rFonts w:ascii="Barlow Semi Condensed" w:cs="Barlow Semi Condensed" w:eastAsia="Barlow Semi Condensed" w:hAnsi="Barlow Semi Condensed"/>
          <w:sz w:val="24"/>
          <w:szCs w:val="24"/>
        </w:rPr>
        <w:t xml:space="preserve">Gli anni Settanta e la crisi</w:t>
      </w:r>
    </w:p>
    <w:p>
      <w:pPr>
        <w:spacing w:after="120" w:line="276"/>
        <w:jc w:val="both"/>
      </w:pPr>
      <w:r>
        <w:rPr>
          <w:rFonts w:ascii="Barlow Semi Condensed" w:cs="Barlow Semi Condensed" w:eastAsia="Barlow Semi Condensed" w:hAnsi="Barlow Semi Condensed"/>
          <w:b/>
          <w:bCs/>
          <w:sz w:val="24"/>
          <w:szCs w:val="24"/>
        </w:rPr>
        <w:t xml:space="preserve">Il secondo periodo di governo, fra il 1974 e il 1976, si colloca in una fase diversa e assai più dura: crisi economica seguita allo shock petrolifero, terrorismo in crescita, tensione sociale acuta, e un sistema politico nel quale il Partito Comunista cresceva elettoralmente fino a rendere aritmeticamente difficile ogni maggioranza che lo escludesse.</w:t>
      </w:r>
    </w:p>
    <w:p>
      <w:pPr>
        <w:spacing w:after="120" w:line="276"/>
        <w:jc w:val="both"/>
      </w:pPr>
      <w:r>
        <w:rPr>
          <w:rFonts w:ascii="Barlow Semi Condensed" w:cs="Barlow Semi Condensed" w:eastAsia="Barlow Semi Condensed" w:hAnsi="Barlow Semi Condensed"/>
          <w:b/>
          <w:bCs/>
          <w:sz w:val="24"/>
          <w:szCs w:val="24"/>
        </w:rPr>
        <w:t xml:space="preserve">È in questa fase che matura la posizione dell'ultimo Moro, della quale si dirà nel Capitolo seguente. Qui basti fissare il dato che la rende comprensibile: alla metà degli anni Settanta il sistema politico italiano si trovava davanti a un problema che nessuna delle sue regole scritte risolveva. Il partito di maggioranza relativa non aveva più i numeri per governare con i soli alleati tradizionali; il secondo partito del paese era escluso dal governo per una ragione internazionale prima che nazionale; e l'esclusione permanente di un terzo abbondante dell'elettorato dalla responsabilità di governo costituiva, per un ordinamento democratico, una anomalia che durava da trent'anni.</w:t>
      </w:r>
    </w:p>
    <w:p>
      <w:pPr>
        <w:spacing w:after="120" w:line="276"/>
        <w:jc w:val="both"/>
      </w:pPr>
      <w:r>
        <w:rPr>
          <w:rFonts w:ascii="Barlow Semi Condensed" w:cs="Barlow Semi Condensed" w:eastAsia="Barlow Semi Condensed" w:hAnsi="Barlow Semi Condensed"/>
          <w:b/>
          <w:bCs/>
          <w:sz w:val="24"/>
          <w:szCs w:val="24"/>
        </w:rPr>
        <w:t xml:space="preserve">Su questo problema non vi era, e non vi è tuttora, accordo. Vi era chi lo considerava un dato di fatto da amministrare indefinitamente; chi lo considerava una anomalia da superare; e chi lo considerava una condizione necessaria della collocazione internazionale del paese, e dunque non modificabile senza modificare quella collocazione.</w:t>
      </w:r>
    </w:p>
    <w:p>
      <w:pPr>
        <w:pStyle w:val="Heading2"/>
        <w:spacing w:after="100" w:before="200"/>
      </w:pPr>
      <w:r>
        <w:rPr>
          <w:rFonts w:ascii="Barlow Semi Condensed" w:cs="Barlow Semi Condensed" w:eastAsia="Barlow Semi Condensed" w:hAnsi="Barlow Semi Condensed"/>
          <w:sz w:val="24"/>
          <w:szCs w:val="24"/>
        </w:rPr>
        <w:t xml:space="preserve">Che cosa questo significa per l'oggetto dell'opera</w:t>
      </w:r>
    </w:p>
    <w:p>
      <w:pPr>
        <w:spacing w:after="120" w:line="276"/>
        <w:jc w:val="both"/>
      </w:pPr>
      <w:r>
        <w:rPr>
          <w:rFonts w:ascii="Barlow Semi Condensed" w:cs="Barlow Semi Condensed" w:eastAsia="Barlow Semi Condensed" w:hAnsi="Barlow Semi Condensed"/>
          <w:b/>
          <w:bCs/>
          <w:sz w:val="24"/>
          <w:szCs w:val="24"/>
        </w:rPr>
        <w:t xml:space="preserve">Il lettore deve trarre da questo Capitolo un solo dato, e conviene enunciarlo senza ornamenti.</w:t>
      </w:r>
    </w:p>
    <w:p>
      <w:pPr>
        <w:spacing w:after="120" w:line="276"/>
        <w:jc w:val="both"/>
      </w:pPr>
      <w:r>
        <w:rPr>
          <w:rFonts w:ascii="Barlow Semi Condensed" w:cs="Barlow Semi Condensed" w:eastAsia="Barlow Semi Condensed" w:hAnsi="Barlow Semi Condensed"/>
          <w:b/>
          <w:bCs/>
          <w:sz w:val="24"/>
          <w:szCs w:val="24"/>
        </w:rPr>
        <w:t xml:space="preserve">L'uomo che sarà rapito il 16 marzo 1978 non era un simbolo, né una figura morale isolata dalla politica concreta. Era il politico italiano che da più lungo tempo e con maggiore continuità aveva operato sul punto di maggiore tensione del sistema: il rapporto fra la maggioranza di governo e la sinistra esclusa dal governo. Su quel punto si era misurato negli anni Sessanta con i socialisti, e vi si stava misurando negli anni Settanta con i comunisti.</w:t>
      </w:r>
    </w:p>
    <w:p>
      <w:pPr>
        <w:spacing w:after="120" w:line="276"/>
        <w:jc w:val="both"/>
      </w:pPr>
      <w:r>
        <w:rPr>
          <w:rFonts w:ascii="Barlow Semi Condensed" w:cs="Barlow Semi Condensed" w:eastAsia="Barlow Semi Condensed" w:hAnsi="Barlow Semi Condensed"/>
          <w:b/>
          <w:bCs/>
          <w:sz w:val="24"/>
          <w:szCs w:val="24"/>
        </w:rPr>
        <w:t xml:space="preserve">Chi voglia comprendere perché egli, e non altri, sia stato colpito, dovrà partire di qui. Ma partire di qui non è concludere di qui: che egli operasse su quel punto è un fatto documentato; che sia stato colpito per questo è una proposizione ulteriore, che le Fasi successive esamineranno e che allo stato degli atti resta in stato di dubbio.</w:t>
      </w:r>
    </w:p>
    <w:p>
      <w:pPr>
        <w:pStyle w:val="Heading2"/>
        <w:spacing w:after="100" w:before="200"/>
      </w:pPr>
      <w:r>
        <w:rPr>
          <w:rFonts w:ascii="Barlow Semi Condensed" w:cs="Barlow Semi Condensed" w:eastAsia="Barlow Semi Condensed" w:hAnsi="Barlow Semi Condensed"/>
          <w:sz w:val="24"/>
          <w:szCs w:val="24"/>
        </w:rPr>
        <w:t xml:space="preserve">Capitolo decimo — L'ultimo Moro, dal 1976 al 1978</w:t>
      </w:r>
    </w:p>
    <w:p>
      <w:pPr>
        <w:spacing w:after="120" w:line="276"/>
        <w:jc w:val="both"/>
      </w:pPr>
      <w:r>
        <w:rPr>
          <w:rFonts w:ascii="Barlow Semi Condensed" w:cs="Barlow Semi Condensed" w:eastAsia="Barlow Semi Condensed" w:hAnsi="Barlow Semi Condensed"/>
          <w:b/>
          <w:bCs/>
          <w:sz w:val="24"/>
          <w:szCs w:val="24"/>
        </w:rPr>
        <w:t xml:space="preserve">Restano i due anni che precedono il fatto. Sono i più densi e i più discussi, e occorre esporli con particolare cautela, perché è su di essi che si esercitano con maggiore intensità le interpretazioni retrospettive.</w:t>
      </w:r>
    </w:p>
    <w:p>
      <w:pPr>
        <w:pStyle w:val="Heading2"/>
        <w:spacing w:after="100" w:before="200"/>
      </w:pPr>
      <w:r>
        <w:rPr>
          <w:rFonts w:ascii="Barlow Semi Condensed" w:cs="Barlow Semi Condensed" w:eastAsia="Barlow Semi Condensed" w:hAnsi="Barlow Semi Condensed"/>
          <w:sz w:val="24"/>
          <w:szCs w:val="24"/>
        </w:rPr>
        <w:t xml:space="preserve">La solidarietà nazionale</w:t>
      </w:r>
    </w:p>
    <w:p>
      <w:pPr>
        <w:spacing w:after="120" w:line="276"/>
        <w:jc w:val="both"/>
      </w:pPr>
      <w:r>
        <w:rPr>
          <w:rFonts w:ascii="Barlow Semi Condensed" w:cs="Barlow Semi Condensed" w:eastAsia="Barlow Semi Condensed" w:hAnsi="Barlow Semi Condensed"/>
          <w:b/>
          <w:bCs/>
          <w:sz w:val="24"/>
          <w:szCs w:val="24"/>
        </w:rPr>
        <w:t xml:space="preserve">Dopo le elezioni politiche del 1976, che confermarono la crescita del Partito Comunista, si aprì la fase che prese il nome di solidarietà nazionale: una successione di governi che, pur non comprendendo ministri comunisti, poggiavano su maggioranze parlamentari nelle quali il Partito Comunista era compreso, dapprima con l'astensione e poi con il voto favorevole.</w:t>
      </w:r>
    </w:p>
    <w:p>
      <w:pPr>
        <w:spacing w:after="120" w:line="276"/>
        <w:jc w:val="both"/>
      </w:pPr>
      <w:r>
        <w:rPr>
          <w:rFonts w:ascii="Barlow Semi Condensed" w:cs="Barlow Semi Condensed" w:eastAsia="Barlow Semi Condensed" w:hAnsi="Barlow Semi Condensed"/>
          <w:b/>
          <w:bCs/>
          <w:sz w:val="24"/>
          <w:szCs w:val="24"/>
        </w:rPr>
        <w:t xml:space="preserve">Moro, divenuto presidente della Democrazia Cristiana, fu l'artefice principale di questa costruzione dalla parte democristiana, come il segretario del Partito Comunista lo fu dalla propria. La costruzione era, dal punto di vista delle regole parlamentari, ordinaria; dal punto di vista degli equilibri consolidati dal 1947, era invece un mutamento di grande portata, e fu percepita come tale sia in Italia sia fuori.</w:t>
      </w:r>
    </w:p>
    <w:p>
      <w:pPr>
        <w:spacing w:after="120" w:line="276"/>
        <w:jc w:val="both"/>
      </w:pPr>
      <w:r>
        <w:rPr>
          <w:rFonts w:ascii="Barlow Semi Condensed" w:cs="Barlow Semi Condensed" w:eastAsia="Barlow Semi Condensed" w:hAnsi="Barlow Semi Condensed"/>
          <w:b/>
          <w:bCs/>
          <w:sz w:val="24"/>
          <w:szCs w:val="24"/>
        </w:rPr>
        <w:t xml:space="preserve">Occorre essere precisi su ciò che essa era e su ciò che non era. Non era l'ingresso del Partito Comunista al governo, che non avvenne. Non era una alleanza organica, e i due partiti restavano avversari. Era l'inclusione del secondo partito del paese nella responsabilità parlamentare della maggioranza: un passaggio intermedio, deliberatamente intermedio, e concepito da Moro come tale.</w:t>
      </w:r>
    </w:p>
    <w:p>
      <w:pPr>
        <w:pStyle w:val="Heading2"/>
        <w:spacing w:after="100" w:before="200"/>
      </w:pPr>
      <w:r>
        <w:rPr>
          <w:rFonts w:ascii="Barlow Semi Condensed" w:cs="Barlow Semi Condensed" w:eastAsia="Barlow Semi Condensed" w:hAnsi="Barlow Semi Condensed"/>
          <w:sz w:val="24"/>
          <w:szCs w:val="24"/>
        </w:rPr>
        <w:t xml:space="preserve">La linea di Moro e le sue ragioni</w:t>
      </w:r>
    </w:p>
    <w:p>
      <w:pPr>
        <w:spacing w:after="120" w:line="276"/>
        <w:jc w:val="both"/>
      </w:pPr>
      <w:r>
        <w:rPr>
          <w:rFonts w:ascii="Barlow Semi Condensed" w:cs="Barlow Semi Condensed" w:eastAsia="Barlow Semi Condensed" w:hAnsi="Barlow Semi Condensed"/>
          <w:b/>
          <w:bCs/>
          <w:sz w:val="24"/>
          <w:szCs w:val="24"/>
        </w:rPr>
        <w:t xml:space="preserve">La posizione che Moro sostenne in quegli anni può essere riassunta senza tradirla in questi termini: un sistema democratico nel quale un terzo dell'elettorato sia stabilmente escluso dalla possibilità di governare è un sistema fragile, perché quella esclusione, protraendosi, delegittima le istituzioni presso una parte consistente dei cittadini; l'inclusione va dunque perseguita, ma gradualmente, per tappe verificabili, e senza mutamenti bruschi della collocazione internazionale del paese.</w:t>
      </w:r>
    </w:p>
    <w:p>
      <w:pPr>
        <w:spacing w:after="120" w:line="276"/>
        <w:jc w:val="both"/>
      </w:pPr>
      <w:r>
        <w:rPr>
          <w:rFonts w:ascii="Barlow Semi Condensed" w:cs="Barlow Semi Condensed" w:eastAsia="Barlow Semi Condensed" w:hAnsi="Barlow Semi Condensed"/>
          <w:b/>
          <w:bCs/>
          <w:sz w:val="24"/>
          <w:szCs w:val="24"/>
        </w:rPr>
        <w:t xml:space="preserve">Questa posizione fu contrastata da più parti, e le opposizioni erano di natura diversa fra loro.</w:t>
      </w:r>
    </w:p>
    <w:p>
      <w:pPr>
        <w:spacing w:after="120" w:line="276"/>
        <w:jc w:val="both"/>
      </w:pPr>
      <w:r>
        <w:rPr>
          <w:rFonts w:ascii="Barlow Semi Condensed" w:cs="Barlow Semi Condensed" w:eastAsia="Barlow Semi Condensed" w:hAnsi="Barlow Semi Condensed"/>
          <w:b/>
          <w:bCs/>
          <w:sz w:val="24"/>
          <w:szCs w:val="24"/>
        </w:rPr>
        <w:t xml:space="preserve">Vi era una opposizione interna alla Democrazia Cristiana, che temeva la perdita di identità del partito e la sua subalternità. Vi era una opposizione della sinistra estrema e dei gruppi armati, per i quali la solidarietà nazionale era la prova che il Partito Comunista si era integrato nel sistema e aveva tradito. Vi era, infine, una opposizione internazionale: la collocazione atlantica dell'Italia rendeva la vicenda oggetto di attenzione da parte degli alleati, e tale attenzione è documentata.</w:t>
      </w:r>
    </w:p>
    <w:p>
      <w:pPr>
        <w:spacing w:after="120" w:line="276"/>
        <w:jc w:val="both"/>
      </w:pPr>
      <w:r>
        <w:rPr>
          <w:rFonts w:ascii="Barlow Semi Condensed" w:cs="Barlow Semi Condensed" w:eastAsia="Barlow Semi Condensed" w:hAnsi="Barlow Semi Condensed"/>
          <w:b/>
          <w:bCs/>
          <w:sz w:val="24"/>
          <w:szCs w:val="24"/>
        </w:rPr>
        <w:t xml:space="preserve">Su questo terzo punto occorre la massima precisione, perché è quello sul quale la letteratura ha costruito di più. Che vi fosse preoccupazione internazionale per l'evoluzione italiana è documentato. Che tale preoccupazione si sia tradotta in atti diretti contro la persona di Aldo Moro è proposizione diversa, che domanda prova diversa, e che allo stato degli atti quest'opera non certifica. Il passaggio dall'una all'altra proposizione è precisamente il salto che l'apparato esposto nei Capitoli precedenti vieta di compiere in silenzio.</w:t>
      </w:r>
    </w:p>
    <w:p>
      <w:pPr>
        <w:pStyle w:val="Heading2"/>
        <w:spacing w:after="100" w:before="200"/>
      </w:pPr>
      <w:r>
        <w:rPr>
          <w:rFonts w:ascii="Barlow Semi Condensed" w:cs="Barlow Semi Condensed" w:eastAsia="Barlow Semi Condensed" w:hAnsi="Barlow Semi Condensed"/>
          <w:sz w:val="24"/>
          <w:szCs w:val="24"/>
        </w:rPr>
        <w:t xml:space="preserve">La mattina del 16 marzo 1978</w:t>
      </w:r>
    </w:p>
    <w:p>
      <w:pPr>
        <w:spacing w:after="120" w:line="276"/>
        <w:jc w:val="both"/>
      </w:pPr>
      <w:r>
        <w:rPr>
          <w:rFonts w:ascii="Barlow Semi Condensed" w:cs="Barlow Semi Condensed" w:eastAsia="Barlow Semi Condensed" w:hAnsi="Barlow Semi Condensed"/>
          <w:b/>
          <w:bCs/>
          <w:sz w:val="24"/>
          <w:szCs w:val="24"/>
        </w:rPr>
        <w:t xml:space="preserve">Il 16 marzo 1978 era il giorno nel quale il governo presieduto da Giulio Andreotti si sarebbe presentato alla Camera dei deputati per la fiducia: il primo governo della Repubblica a poggiare su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Moro si stava recando alla Camera. In via Mario Fani, a Roma, la sua automobile e quella della scorta furono bloccate e investite da un'azione di fuoco. I cinque uomini della scorta furono uccisi: Oreste Leonardi, Domenico Ricci, Raffaele Iozzino, Giulio Rivera, Francesco Zizzi. Moro fu prelevato e condotto in luogo ignoto.</w:t>
      </w:r>
    </w:p>
    <w:p>
      <w:pPr>
        <w:spacing w:after="120" w:line="276"/>
        <w:jc w:val="both"/>
      </w:pPr>
      <w:r>
        <w:rPr>
          <w:rFonts w:ascii="Barlow Semi Condensed" w:cs="Barlow Semi Condensed" w:eastAsia="Barlow Semi Condensed" w:hAnsi="Barlow Semi Condensed"/>
          <w:b/>
          <w:bCs/>
          <w:sz w:val="24"/>
          <w:szCs w:val="24"/>
        </w:rPr>
        <w:t xml:space="preserve">Vi rimase cinquantacinque giorni. Il 9 maggio 1978 il suo corpo fu rinvenuto in una automobile in via Michelangelo Caetani, a Roma.</w:t>
      </w:r>
    </w:p>
    <w:p>
      <w:pPr>
        <w:pStyle w:val="Heading2"/>
        <w:spacing w:after="100" w:before="200"/>
      </w:pPr>
      <w:r>
        <w:rPr>
          <w:rFonts w:ascii="Barlow Semi Condensed" w:cs="Barlow Semi Condensed" w:eastAsia="Barlow Semi Condensed" w:hAnsi="Barlow Semi Condensed"/>
          <w:sz w:val="24"/>
          <w:szCs w:val="24"/>
        </w:rPr>
        <w:t xml:space="preserve">Le tre cose che occorre tenere ferme</w:t>
      </w:r>
    </w:p>
    <w:p>
      <w:pPr>
        <w:spacing w:after="120" w:line="276"/>
        <w:jc w:val="both"/>
      </w:pPr>
      <w:r>
        <w:rPr>
          <w:rFonts w:ascii="Barlow Semi Condensed" w:cs="Barlow Semi Condensed" w:eastAsia="Barlow Semi Condensed" w:hAnsi="Barlow Semi Condensed"/>
          <w:b/>
          <w:bCs/>
          <w:sz w:val="24"/>
          <w:szCs w:val="24"/>
        </w:rPr>
        <w:t xml:space="preserve">Questo Capitolo chiude la Fase Prima, e conviene fissare tre punti che governeranno la lettura delle Fasi successive.</w:t>
      </w:r>
    </w:p>
    <w:p>
      <w:pPr>
        <w:spacing w:after="120" w:line="276"/>
        <w:jc w:val="both"/>
      </w:pPr>
      <w:r>
        <w:rPr>
          <w:rFonts w:ascii="Barlow Semi Condensed" w:cs="Barlow Semi Condensed" w:eastAsia="Barlow Semi Condensed" w:hAnsi="Barlow Semi Condensed"/>
          <w:b/>
          <w:bCs/>
          <w:sz w:val="24"/>
          <w:szCs w:val="24"/>
        </w:rPr>
        <w:t xml:space="preserve">Il primo: la coincidenza fra il giorno del rapimento e il giorno del voto di fiducia è un fatto accertato e non contestato. Che tale coincidenza sia stata cercata da chi organizzò l'azione è proposizione altamente verosimile e comunemente accolta, e sarà esaminata nella sua sede; ma la verosimiglianza non è lo scioglimento, e la distinzione va mantenuta anche quando appare pedante.</w:t>
      </w:r>
    </w:p>
    <w:p>
      <w:pPr>
        <w:spacing w:after="120" w:line="276"/>
        <w:jc w:val="both"/>
      </w:pPr>
      <w:r>
        <w:rPr>
          <w:rFonts w:ascii="Barlow Semi Condensed" w:cs="Barlow Semi Condensed" w:eastAsia="Barlow Semi Condensed" w:hAnsi="Barlow Semi Condensed"/>
          <w:b/>
          <w:bCs/>
          <w:sz w:val="24"/>
          <w:szCs w:val="24"/>
        </w:rPr>
        <w:t xml:space="preserve">Il secondo: le cinque persone uccise in via Fani non sono un dettaglio della vicenda e non saranno trattate come tali. Esse hanno nome, e il nome è stato qui scritto per intero, perché l'opera designa per funzione soltanto ove la funzione basti a identificare l'atto, e nel caso delle vittime nessuna funzione basta.</w:t>
      </w:r>
    </w:p>
    <w:p>
      <w:pPr>
        <w:spacing w:after="120" w:line="276"/>
        <w:jc w:val="both"/>
      </w:pPr>
      <w:r>
        <w:rPr>
          <w:rFonts w:ascii="Barlow Semi Condensed" w:cs="Barlow Semi Condensed" w:eastAsia="Barlow Semi Condensed" w:hAnsi="Barlow Semi Condensed"/>
          <w:b/>
          <w:bCs/>
          <w:sz w:val="24"/>
          <w:szCs w:val="24"/>
        </w:rPr>
        <w:t xml:space="preserve">Il terzo, e più importante per ciò che segue: nulla di quanto è stato esposto in questa Fase costituisce prova di alcunché circa il fatto. La Fase Prima ha esposto il metodo e ha descritto la persona. Essa non ha stabilito perché quell'uomo sia stato ucciso, né da chi al di là di chi materialmente agì, né a quale fine. Queste sono le domande delle Fasi successive, e vi si arriverà per la via che l'apparato prescrive: dal documento all'asserzione, e dall'asserzione al legame, senza saltare tappe e senza colmare vuoti.</w:t>
      </w:r>
    </w:p>
    <w:p>
      <w:pPr>
        <w:spacing w:after="120" w:line="276"/>
        <w:jc w:val="both"/>
      </w:pPr>
      <w:r>
        <w:rPr>
          <w:rFonts w:ascii="Barlow Semi Condensed" w:cs="Barlow Semi Condensed" w:eastAsia="Barlow Semi Condensed" w:hAnsi="Barlow Semi Condensed"/>
          <w:b/>
          <w:bCs/>
          <w:sz w:val="24"/>
          <w:szCs w:val="24"/>
        </w:rPr>
        <w:t xml:space="preserve">Chi abbia letto fin qui sappia dunque che non ha ancora letto nulla di conclusivo. Ha letto le regole con le quali si cercherà, e ha conosciuto l'uomo che si cerca. È poco, ed è tutto ciò che a questo punto si può onestamente offrire.</w:t>
      </w:r>
    </w:p>
    <w:p>
      <w:pPr>
        <w:pStyle w:val="Heading2"/>
        <w:spacing w:after="100" w:before="200"/>
      </w:pPr>
      <w:r>
        <w:rPr>
          <w:rFonts w:ascii="Barlow Semi Condensed" w:cs="Barlow Semi Condensed" w:eastAsia="Barlow Semi Condensed" w:hAnsi="Barlow Semi Condensed"/>
          <w:sz w:val="24"/>
          <w:szCs w:val="24"/>
        </w:rPr>
        <w:t xml:space="preserve">FASE SECONDA — LE RAGIONI</w:t>
      </w:r>
    </w:p>
    <w:p>
      <w:pPr>
        <w:spacing w:after="120" w:line="276"/>
        <w:jc w:val="both"/>
      </w:pPr>
      <w:r>
        <w:rPr>
          <w:rFonts w:ascii="Barlow Semi Condensed" w:cs="Barlow Semi Condensed" w:eastAsia="Barlow Semi Condensed" w:hAnsi="Barlow Semi Condensed"/>
          <w:b/>
          <w:bCs/>
          <w:sz w:val="24"/>
          <w:szCs w:val="24"/>
        </w:rPr>
        <w:t xml:space="preserve">Dove si espone il contesto documentato, si censiscono le ragioni dichiarate e quelle attribuite, e si costruisce la matrice delle ipotesi concorrenti.</w:t>
      </w:r>
    </w:p>
    <w:p>
      <w:pPr>
        <w:pStyle w:val="Heading2"/>
        <w:spacing w:after="100" w:before="200"/>
      </w:pPr>
      <w:r>
        <w:rPr>
          <w:rFonts w:ascii="Barlow Semi Condensed" w:cs="Barlow Semi Condensed" w:eastAsia="Barlow Semi Condensed" w:hAnsi="Barlow Semi Condensed"/>
          <w:sz w:val="24"/>
          <w:szCs w:val="24"/>
        </w:rPr>
        <w:t xml:space="preserve">Capitolo undicesimo — L'oggetto della Fase e il divieto che la governa</w:t>
      </w:r>
    </w:p>
    <w:p>
      <w:pPr>
        <w:spacing w:after="120" w:line="276"/>
        <w:jc w:val="both"/>
      </w:pPr>
      <w:r>
        <w:rPr>
          <w:rFonts w:ascii="Barlow Semi Condensed" w:cs="Barlow Semi Condensed" w:eastAsia="Barlow Semi Condensed" w:hAnsi="Barlow Semi Condensed"/>
          <w:b/>
          <w:bCs/>
          <w:sz w:val="24"/>
          <w:szCs w:val="24"/>
        </w:rPr>
        <w:t xml:space="preserve">Questa Fase tratta le ragioni: perché quell'uomo, perché in quel momento. Ed è la più pericolosa delle sette, per un motivo che occorre esporre prima di ogni altra cosa, perché da esso dipende il modo in cui tutto ciò che segue va letto.</w:t>
      </w:r>
    </w:p>
    <w:p>
      <w:pPr>
        <w:pStyle w:val="Heading2"/>
        <w:spacing w:after="100" w:before="200"/>
      </w:pPr>
      <w:r>
        <w:rPr>
          <w:rFonts w:ascii="Barlow Semi Condensed" w:cs="Barlow Semi Condensed" w:eastAsia="Barlow Semi Condensed" w:hAnsi="Barlow Semi Condensed"/>
          <w:sz w:val="24"/>
          <w:szCs w:val="24"/>
        </w:rPr>
        <w:t xml:space="preserve">Perché il movente è il luogo del pericolo</w:t>
      </w:r>
    </w:p>
    <w:p>
      <w:pPr>
        <w:spacing w:after="120" w:line="276"/>
        <w:jc w:val="both"/>
      </w:pPr>
      <w:r>
        <w:rPr>
          <w:rFonts w:ascii="Barlow Semi Condensed" w:cs="Barlow Semi Condensed" w:eastAsia="Barlow Semi Condensed" w:hAnsi="Barlow Semi Condensed"/>
          <w:b/>
          <w:bCs/>
          <w:sz w:val="24"/>
          <w:szCs w:val="24"/>
        </w:rPr>
        <w:t xml:space="preserve">Nelle Fasi che trattano il fatto, la prova è materiale: un'automobile, una traiettoria, un bossolo, una perizia, un verbale. Vi si può sbagliare, e vi si è sbagliato; ma l'errore è controllabile, perché l'oggetto è controllabile.</w:t>
      </w:r>
    </w:p>
    <w:p>
      <w:pPr>
        <w:spacing w:after="120" w:line="276"/>
        <w:jc w:val="both"/>
      </w:pPr>
      <w:r>
        <w:rPr>
          <w:rFonts w:ascii="Barlow Semi Condensed" w:cs="Barlow Semi Condensed" w:eastAsia="Barlow Semi Condensed" w:hAnsi="Barlow Semi Condensed"/>
          <w:b/>
          <w:bCs/>
          <w:sz w:val="24"/>
          <w:szCs w:val="24"/>
        </w:rPr>
        <w:t xml:space="preserve">Nella Fase che tratta le ragioni l'oggetto non è materiale. Il movente non lascia bossoli. Esso si inferisce, e si inferisce da ciò che accadde prima e da ciò che accadde dopo; ed è precisamente per questo che il movente è il luogo dove la congettura entra nell'opera travestita da spiegazione.</w:t>
      </w:r>
    </w:p>
    <w:p>
      <w:pPr>
        <w:spacing w:after="120" w:line="276"/>
        <w:jc w:val="both"/>
      </w:pPr>
      <w:r>
        <w:rPr>
          <w:rFonts w:ascii="Barlow Semi Condensed" w:cs="Barlow Semi Condensed" w:eastAsia="Barlow Semi Condensed" w:hAnsi="Barlow Semi Condensed"/>
          <w:b/>
          <w:bCs/>
          <w:sz w:val="24"/>
          <w:szCs w:val="24"/>
        </w:rPr>
        <w:t xml:space="preserve">Il meccanismo è semplice e va nominato. Un fatto accade. Chi lo studia si domanda a chi giovasse. Individua una parte alla quale, in astratto, esso giovava. E il passaggio successivo — dal giovamento all'intenzione, e dall'intenzione all'atto — si compie con una facilità che nessun documento autorizza. Quel passaggio non è una deduzione: è un salto. Ma non appare come un salto, perché è coperto da una domanda che sembra di buon senso, e che di buon senso non è: a chi giova?</w:t>
      </w:r>
    </w:p>
    <w:p>
      <w:pPr>
        <w:spacing w:after="120" w:line="276"/>
        <w:jc w:val="both"/>
      </w:pPr>
      <w:r>
        <w:rPr>
          <w:rFonts w:ascii="Barlow Semi Condensed" w:cs="Barlow Semi Condensed" w:eastAsia="Barlow Semi Condensed" w:hAnsi="Barlow Semi Condensed"/>
          <w:b/>
          <w:bCs/>
          <w:sz w:val="24"/>
          <w:szCs w:val="24"/>
        </w:rPr>
        <w:t xml:space="preserve">Occorre dire perché quella domanda non è di buon senso in questa materia. Essa presuppone che gli eventi storici abbiano un beneficiario intenzionale, e che il beneficiario sia individuabile a partire dal beneficio. Nessuna delle due cose è vera in generale. Molti eventi giovano a più parti simultaneamente e per ragioni opposte; molti giovano a chi non li ha voluti; e alcuni non giovano a nessuno, essendo il prodotto di calcoli sbagliati. Un sistema complesso non ha un autore.</w:t>
      </w:r>
    </w:p>
    <w:p>
      <w:pPr>
        <w:pStyle w:val="Heading2"/>
        <w:spacing w:after="100" w:before="200"/>
      </w:pPr>
      <w:r>
        <w:rPr>
          <w:rFonts w:ascii="Barlow Semi Condensed" w:cs="Barlow Semi Condensed" w:eastAsia="Barlow Semi Condensed" w:hAnsi="Barlow Semi Condensed"/>
          <w:sz w:val="24"/>
          <w:szCs w:val="24"/>
        </w:rPr>
        <w:t xml:space="preserve">Il divieto</w:t>
      </w:r>
    </w:p>
    <w:p>
      <w:pPr>
        <w:spacing w:after="120" w:line="276"/>
        <w:jc w:val="both"/>
      </w:pPr>
      <w:r>
        <w:rPr>
          <w:rFonts w:ascii="Barlow Semi Condensed" w:cs="Barlow Semi Condensed" w:eastAsia="Barlow Semi Condensed" w:hAnsi="Barlow Semi Condensed"/>
          <w:b/>
          <w:bCs/>
          <w:sz w:val="24"/>
          <w:szCs w:val="24"/>
        </w:rPr>
        <w:t xml:space="preserve">Di qui il divieto che governa l'intera Fase, e che si enuncia così: nessuna ragione, per quanto plausibile, entra in stato di sciolto se non è attestata da un atto.</w:t>
      </w:r>
    </w:p>
    <w:p>
      <w:pPr>
        <w:spacing w:after="120" w:line="276"/>
        <w:jc w:val="both"/>
      </w:pPr>
      <w:r>
        <w:rPr>
          <w:rFonts w:ascii="Barlow Semi Condensed" w:cs="Barlow Semi Condensed" w:eastAsia="Barlow Semi Condensed" w:hAnsi="Barlow Semi Condensed"/>
          <w:b/>
          <w:bCs/>
          <w:sz w:val="24"/>
          <w:szCs w:val="24"/>
        </w:rPr>
        <w:t xml:space="preserve">Il divieto ha tre applicazioni concrete che conviene esplicitare, perché sono i tre punti nei quali in questa materia si è più spesso sbagliato.</w:t>
      </w:r>
    </w:p>
    <w:p>
      <w:pPr>
        <w:spacing w:after="120" w:line="276"/>
        <w:jc w:val="both"/>
      </w:pPr>
      <w:r>
        <w:rPr>
          <w:rFonts w:ascii="Barlow Semi Condensed" w:cs="Barlow Semi Condensed" w:eastAsia="Barlow Semi Condensed" w:hAnsi="Barlow Semi Condensed"/>
          <w:b/>
          <w:bCs/>
          <w:sz w:val="24"/>
          <w:szCs w:val="24"/>
        </w:rPr>
        <w:t xml:space="preserve">Prima applicazione: la convenienza non è prova di volontà. Che un esito sia giovato a una parte è, quando accertato, un fatto; che quella parte lo abbia voluto è proposizione ulteriore.</w:t>
      </w:r>
    </w:p>
    <w:p>
      <w:pPr>
        <w:spacing w:after="120" w:line="276"/>
        <w:jc w:val="both"/>
      </w:pPr>
      <w:r>
        <w:rPr>
          <w:rFonts w:ascii="Barlow Semi Condensed" w:cs="Barlow Semi Condensed" w:eastAsia="Barlow Semi Condensed" w:hAnsi="Barlow Semi Condensed"/>
          <w:b/>
          <w:bCs/>
          <w:sz w:val="24"/>
          <w:szCs w:val="24"/>
        </w:rPr>
        <w:t xml:space="preserve">Seconda applicazione: la coincidenza temporale non è prova di relazione. Che due eventi siano prossimi nel tempo è, quando accertato, un fatto; che l'uno abbia determinato l'altro è proposizione ulteriore. La sincronia chiama lo sguardo e non stabilisce mai un legame.</w:t>
      </w:r>
    </w:p>
    <w:p>
      <w:pPr>
        <w:spacing w:after="120" w:line="276"/>
        <w:jc w:val="both"/>
      </w:pPr>
      <w:r>
        <w:rPr>
          <w:rFonts w:ascii="Barlow Semi Condensed" w:cs="Barlow Semi Condensed" w:eastAsia="Barlow Semi Condensed" w:hAnsi="Barlow Semi Condensed"/>
          <w:b/>
          <w:bCs/>
          <w:sz w:val="24"/>
          <w:szCs w:val="24"/>
        </w:rPr>
        <w:t xml:space="preserve">Terza applicazione: l'ostilità dichiarata non è prova dell'atto. Che una parte avversasse la politica di quell'uomo è, quando documentato, un fatto — e in questa Fase se ne documenteranno parecchie; che l'abbia fatto uccidere è proposizione che domanda prova propria e indipendente. Gli avversari di Aldo Moro erano molti, in Italia e fuori, e la maggior parte di essi non lo uccise.</w:t>
      </w:r>
    </w:p>
    <w:p>
      <w:pPr>
        <w:pStyle w:val="Heading2"/>
        <w:spacing w:after="100" w:before="200"/>
      </w:pPr>
      <w:r>
        <w:rPr>
          <w:rFonts w:ascii="Barlow Semi Condensed" w:cs="Barlow Semi Condensed" w:eastAsia="Barlow Semi Condensed" w:hAnsi="Barlow Semi Condensed"/>
          <w:sz w:val="24"/>
          <w:szCs w:val="24"/>
        </w:rPr>
        <w:t xml:space="preserve">Che cosa dunque questa Fase può fare</w:t>
      </w:r>
    </w:p>
    <w:p>
      <w:pPr>
        <w:spacing w:after="120" w:line="276"/>
        <w:jc w:val="both"/>
      </w:pPr>
      <w:r>
        <w:rPr>
          <w:rFonts w:ascii="Barlow Semi Condensed" w:cs="Barlow Semi Condensed" w:eastAsia="Barlow Semi Condensed" w:hAnsi="Barlow Semi Condensed"/>
          <w:b/>
          <w:bCs/>
          <w:sz w:val="24"/>
          <w:szCs w:val="24"/>
        </w:rPr>
        <w:t xml:space="preserve">Se il divieto è così stringente, si domanderà a che serva la Fase.</w:t>
      </w:r>
    </w:p>
    <w:p>
      <w:pPr>
        <w:spacing w:after="120" w:line="276"/>
        <w:jc w:val="both"/>
      </w:pPr>
      <w:r>
        <w:rPr>
          <w:rFonts w:ascii="Barlow Semi Condensed" w:cs="Barlow Semi Condensed" w:eastAsia="Barlow Semi Condensed" w:hAnsi="Barlow Semi Condensed"/>
          <w:b/>
          <w:bCs/>
          <w:sz w:val="24"/>
          <w:szCs w:val="24"/>
        </w:rPr>
        <w:t xml:space="preserve">Serve a tre cose, e sono tutte necessarie.</w:t>
      </w:r>
    </w:p>
    <w:p>
      <w:pPr>
        <w:spacing w:after="120" w:line="276"/>
        <w:jc w:val="both"/>
      </w:pPr>
      <w:r>
        <w:rPr>
          <w:rFonts w:ascii="Barlow Semi Condensed" w:cs="Barlow Semi Condensed" w:eastAsia="Barlow Semi Condensed" w:hAnsi="Barlow Semi Condensed"/>
          <w:b/>
          <w:bCs/>
          <w:sz w:val="24"/>
          <w:szCs w:val="24"/>
        </w:rPr>
        <w:t xml:space="preserve">Serve a stabilire il contesto documentato: quali fossero, allo stato degli atti, le tensioni effettive del sistema politico italiano in quegli anni, e quali di esse tocchino direttamente la persona e la politica di quell'uomo. Questo è materia di documenti, e sarà trattato come tale.</w:t>
      </w:r>
    </w:p>
    <w:p>
      <w:pPr>
        <w:spacing w:after="120" w:line="276"/>
        <w:jc w:val="both"/>
      </w:pPr>
      <w:r>
        <w:rPr>
          <w:rFonts w:ascii="Barlow Semi Condensed" w:cs="Barlow Semi Condensed" w:eastAsia="Barlow Semi Condensed" w:hAnsi="Barlow Semi Condensed"/>
          <w:b/>
          <w:bCs/>
          <w:sz w:val="24"/>
          <w:szCs w:val="24"/>
        </w:rPr>
        <w:t xml:space="preserve">Serve a censire le ragioni dichiarate da chi compì l'azione. Chi rapì e uccise Aldo Moro ha esposto pubblicamente, in una serie di documenti diffusi durante i cinquantacinque giorni, le proprie ragioni. Quei documenti esistono, e ciò che essi dicono è accertato; che ciò che dicono sia la ragione vera è cosa diversa, e sarà tenuta distinta.</w:t>
      </w:r>
    </w:p>
    <w:p>
      <w:pPr>
        <w:spacing w:after="120" w:line="276"/>
        <w:jc w:val="both"/>
      </w:pPr>
      <w:r>
        <w:rPr>
          <w:rFonts w:ascii="Barlow Semi Condensed" w:cs="Barlow Semi Condensed" w:eastAsia="Barlow Semi Condensed" w:hAnsi="Barlow Semi Condensed"/>
          <w:b/>
          <w:bCs/>
          <w:sz w:val="24"/>
          <w:szCs w:val="24"/>
        </w:rPr>
        <w:t xml:space="preserve">Serve infine a censire le ragioni attribuite da altri: le ipotesi formulate in quasi cinquant'anni da inquirenti, commissioni parlamentari, studiosi e testimoni. Esse sono riportate con la qualificazione che i loro autori vi hanno apposta, e non con una qualificazione migliore.</w:t>
      </w:r>
    </w:p>
    <w:p>
      <w:pPr>
        <w:pStyle w:val="Heading2"/>
        <w:spacing w:after="100" w:before="200"/>
      </w:pPr>
      <w:r>
        <w:rPr>
          <w:rFonts w:ascii="Barlow Semi Condensed" w:cs="Barlow Semi Condensed" w:eastAsia="Barlow Semi Condensed" w:hAnsi="Barlow Semi Condensed"/>
          <w:sz w:val="24"/>
          <w:szCs w:val="24"/>
        </w:rPr>
        <w:t xml:space="preserve">Il metodo delle ipotesi concorrenti</w:t>
      </w:r>
    </w:p>
    <w:p>
      <w:pPr>
        <w:spacing w:after="120" w:line="276"/>
        <w:jc w:val="both"/>
      </w:pPr>
      <w:r>
        <w:rPr>
          <w:rFonts w:ascii="Barlow Semi Condensed" w:cs="Barlow Semi Condensed" w:eastAsia="Barlow Semi Condensed" w:hAnsi="Barlow Semi Condensed"/>
          <w:b/>
          <w:bCs/>
          <w:sz w:val="24"/>
          <w:szCs w:val="24"/>
        </w:rPr>
        <w:t xml:space="preserve">La Fase si chiuderà con una matrice. Per ciascuna ipotesi sul movente si elencheranno le evidenze disponibili, e per ciascuna evidenza si dirà se sia coerente, incoerente o neutra rispetto a quella ipotesi.</w:t>
      </w:r>
    </w:p>
    <w:p>
      <w:pPr>
        <w:spacing w:after="120" w:line="276"/>
        <w:jc w:val="both"/>
      </w:pPr>
      <w:r>
        <w:rPr>
          <w:rFonts w:ascii="Barlow Semi Condensed" w:cs="Barlow Semi Condensed" w:eastAsia="Barlow Semi Condensed" w:hAnsi="Barlow Semi Condensed"/>
          <w:b/>
          <w:bCs/>
          <w:sz w:val="24"/>
          <w:szCs w:val="24"/>
        </w:rPr>
        <w:t xml:space="preserve">La valutazione non guarderà quale ipotesi raccolga più sostegni. Guarderà quale sia meno contraddetta. È una differenza che pare sottile e che è decisiva: le evidenze che confermano si accumulano attorno a tutte le ipotesi, comprese le false, perché il ricercatore le riconosce come pertinenti proprio quando gli tornano; le evidenze che contraddicono discriminano, perché una sola di esse basta a escludere.</w:t>
      </w:r>
    </w:p>
    <w:p>
      <w:pPr>
        <w:spacing w:after="120" w:line="276"/>
        <w:jc w:val="both"/>
      </w:pPr>
      <w:r>
        <w:rPr>
          <w:rFonts w:ascii="Barlow Semi Condensed" w:cs="Barlow Semi Condensed" w:eastAsia="Barlow Semi Condensed" w:hAnsi="Barlow Semi Condensed"/>
          <w:b/>
          <w:bCs/>
          <w:sz w:val="24"/>
          <w:szCs w:val="24"/>
        </w:rPr>
        <w:t xml:space="preserve">Il lettore troverà, alla fine della Fase, che nessuna ipotesi risulta sciolta. Non deve trarne che la Fase sia stata inutile. Deve trarne che il movente del caso Moro, allo stato degli atti che quest'opera ha potuto interrogare, non è accertato; e che chi gli dica il contrario gli sta offrendo una convinzione, non una prova.</w:t>
      </w:r>
    </w:p>
    <w:p>
      <w:pPr>
        <w:pStyle w:val="Heading2"/>
        <w:spacing w:after="100" w:before="200"/>
      </w:pPr>
      <w:r>
        <w:rPr>
          <w:rFonts w:ascii="Barlow Semi Condensed" w:cs="Barlow Semi Condensed" w:eastAsia="Barlow Semi Condensed" w:hAnsi="Barlow Semi Condensed"/>
          <w:sz w:val="24"/>
          <w:szCs w:val="24"/>
        </w:rPr>
        <w:t xml:space="preserve">Capitolo dodicesimo — Il quadro interno: l'esclusione permanente e il suo prezzo</w:t>
      </w:r>
    </w:p>
    <w:p>
      <w:pPr>
        <w:spacing w:after="120" w:line="276"/>
        <w:jc w:val="both"/>
      </w:pPr>
      <w:r>
        <w:rPr>
          <w:rFonts w:ascii="Barlow Semi Condensed" w:cs="Barlow Semi Condensed" w:eastAsia="Barlow Semi Condensed" w:hAnsi="Barlow Semi Condensed"/>
          <w:b/>
          <w:bCs/>
          <w:sz w:val="24"/>
          <w:szCs w:val="24"/>
        </w:rPr>
        <w:t xml:space="preserve">La prima tensione documentata del sistema politico italiano, e la più duratura, è quella che riguarda l'esclusione del Partito Comunista Italiano dalla responsabilità di governo.</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Dal maggio 1947, quando i comunisti e i socialisti uscirono dal governo di unità nazionale, fino al 1978, nessun governo della Repubblica comprese ministri comunisti. Nello stesso periodo il Partito Comunista Italiano fu stabilmente il secondo partito del paese, e alle elezioni politiche del 1976 raggiunse una percentuale di voti che lo collocava a distanza ridotta dalla Democrazia Cristiana.</w:t>
      </w:r>
    </w:p>
    <w:p>
      <w:pPr>
        <w:spacing w:after="120" w:line="276"/>
        <w:jc w:val="both"/>
      </w:pPr>
      <w:r>
        <w:rPr>
          <w:rFonts w:ascii="Barlow Semi Condensed" w:cs="Barlow Semi Condensed" w:eastAsia="Barlow Semi Condensed" w:hAnsi="Barlow Semi Condensed"/>
          <w:b/>
          <w:bCs/>
          <w:sz w:val="24"/>
          <w:szCs w:val="24"/>
        </w:rPr>
        <w:t xml:space="preserve">Si ha dunque un sistema nel quale un partito che raccoglieva stabilmente circa un quarto dell'elettorato, e alla fine circa un terzo, era escluso in permanenza dalla possibilità di governare. L'esclusione non discendeva da una norma: nessun articolo della Costituzione la prevedeva, e nessuna legge la disponeva. Discendeva da un accordo politico non scritto fra le altre forze, al quale la dottrina costituzionalistica ha dato il nome di patto di esclusione.</w:t>
      </w:r>
    </w:p>
    <w:p>
      <w:pPr>
        <w:pStyle w:val="Heading2"/>
        <w:spacing w:after="100" w:before="200"/>
      </w:pPr>
      <w:r>
        <w:rPr>
          <w:rFonts w:ascii="Barlow Semi Condensed" w:cs="Barlow Semi Condensed" w:eastAsia="Barlow Semi Condensed" w:hAnsi="Barlow Semi Condensed"/>
          <w:sz w:val="24"/>
          <w:szCs w:val="24"/>
        </w:rPr>
        <w:t xml:space="preserve">Perché questo era un problema e non una semplice scelta</w:t>
      </w:r>
    </w:p>
    <w:p>
      <w:pPr>
        <w:spacing w:after="120" w:line="276"/>
        <w:jc w:val="both"/>
      </w:pPr>
      <w:r>
        <w:rPr>
          <w:rFonts w:ascii="Barlow Semi Condensed" w:cs="Barlow Semi Condensed" w:eastAsia="Barlow Semi Condensed" w:hAnsi="Barlow Semi Condensed"/>
          <w:b/>
          <w:bCs/>
          <w:sz w:val="24"/>
          <w:szCs w:val="24"/>
        </w:rPr>
        <w:t xml:space="preserve">Occorre essere esatti sulla natura del problema, perché esso è stato descritto in modi molto diversi e le descrizioni non sono equivalenti.</w:t>
      </w:r>
    </w:p>
    <w:p>
      <w:pPr>
        <w:spacing w:after="120" w:line="276"/>
        <w:jc w:val="both"/>
      </w:pPr>
      <w:r>
        <w:rPr>
          <w:rFonts w:ascii="Barlow Semi Condensed" w:cs="Barlow Semi Condensed" w:eastAsia="Barlow Semi Condensed" w:hAnsi="Barlow Semi Condensed"/>
          <w:b/>
          <w:bCs/>
          <w:sz w:val="24"/>
          <w:szCs w:val="24"/>
        </w:rPr>
        <w:t xml:space="preserve">In un ordinamento democratico l'alternanza non è un ornamento: è il meccanismo per il quale gli elettori possono cambiare il governo senza cambiare il regime. Dove l'alternanza è preclusa, il malcontento non trova sbocco istituzionale, e cerca altri sbocchi. Questo era il ragionamento sul quale poggiava la posizione dell'ultimo Moro, e occorre riconoscere che non era un ragionamento di parte: esso era condiviso, con accenti diversi, da giuristi e osservatori di varia collocazione.</w:t>
      </w:r>
    </w:p>
    <w:p>
      <w:pPr>
        <w:spacing w:after="120" w:line="276"/>
        <w:jc w:val="both"/>
      </w:pPr>
      <w:r>
        <w:rPr>
          <w:rFonts w:ascii="Barlow Semi Condensed" w:cs="Barlow Semi Condensed" w:eastAsia="Barlow Semi Condensed" w:hAnsi="Barlow Semi Condensed"/>
          <w:b/>
          <w:bCs/>
          <w:sz w:val="24"/>
          <w:szCs w:val="24"/>
        </w:rPr>
        <w:t xml:space="preserve">Vi era però un ragionamento opposto, e anch'esso serio. Esso osservava che il Partito Comunista Italiano, per quanto avesse compiuto un cammino di autonomia dalle posizioni sovietiche, apparteneva a una tradizione internazionale il cui centro era una potenza avversaria dell'alleanza alla quale l'Italia apparteneva; che l'ingresso di quel partito al governo avrebbe posto un problema di sicurezza per l'alleanza; e che dunque l'esclusione, per quanto anomala dal punto di vista interno, era la condizione della collocazione internazionale del paese.</w:t>
      </w:r>
    </w:p>
    <w:p>
      <w:pPr>
        <w:spacing w:after="120" w:line="276"/>
        <w:jc w:val="both"/>
      </w:pPr>
      <w:r>
        <w:rPr>
          <w:rFonts w:ascii="Barlow Semi Condensed" w:cs="Barlow Semi Condensed" w:eastAsia="Barlow Semi Condensed" w:hAnsi="Barlow Semi Condensed"/>
          <w:b/>
          <w:bCs/>
          <w:sz w:val="24"/>
          <w:szCs w:val="24"/>
        </w:rPr>
        <w:t xml:space="preserve">Quest'opera non decide fra i due ragionamenti, perché la scelta fra essi è politica e non documentale. Registra che entrambi erano sostenuti in buona fede, che entrambi avevano fondamento, e che il conflitto fra essi costituiva la tensione centrale del sistema italiano per trent'anni.</w:t>
      </w:r>
    </w:p>
    <w:p>
      <w:pPr>
        <w:pStyle w:val="Heading2"/>
        <w:spacing w:after="100" w:before="200"/>
      </w:pPr>
      <w:r>
        <w:rPr>
          <w:rFonts w:ascii="Barlow Semi Condensed" w:cs="Barlow Semi Condensed" w:eastAsia="Barlow Semi Condensed" w:hAnsi="Barlow Semi Condensed"/>
          <w:sz w:val="24"/>
          <w:szCs w:val="24"/>
        </w:rPr>
        <w:t xml:space="preserve">Dove Moro si collocava</w:t>
      </w:r>
    </w:p>
    <w:p>
      <w:pPr>
        <w:spacing w:after="120" w:line="276"/>
        <w:jc w:val="both"/>
      </w:pPr>
      <w:r>
        <w:rPr>
          <w:rFonts w:ascii="Barlow Semi Condensed" w:cs="Barlow Semi Condensed" w:eastAsia="Barlow Semi Condensed" w:hAnsi="Barlow Semi Condensed"/>
          <w:b/>
          <w:bCs/>
          <w:sz w:val="24"/>
          <w:szCs w:val="24"/>
        </w:rPr>
        <w:t xml:space="preserve">La posizione di Moro, quale risulta dai suoi scritti e discorsi di quegli anni, non risolveva il conflitto: cercava di scioglierlo nel tempo. Essa consisteva nel considerare l'esclusione non come una condizione permanente né come una anomalia da abolire d'un tratto, ma come una situazione da superare per tappe verificabili, ciascuna delle quali dovesse essere sostenibile sia sul piano interno sia su quello internazionale.</w:t>
      </w:r>
    </w:p>
    <w:p>
      <w:pPr>
        <w:spacing w:after="120" w:line="276"/>
        <w:jc w:val="both"/>
      </w:pPr>
      <w:r>
        <w:rPr>
          <w:rFonts w:ascii="Barlow Semi Condensed" w:cs="Barlow Semi Condensed" w:eastAsia="Barlow Semi Condensed" w:hAnsi="Barlow Semi Condensed"/>
          <w:b/>
          <w:bCs/>
          <w:sz w:val="24"/>
          <w:szCs w:val="24"/>
        </w:rPr>
        <w:t xml:space="preserve">Da qui la solidarietà nazionale come passaggio intermedio: inclusione nella responsabilità parlamentare, non ancora nel governo; verifica dell'esito; e solo dopo, eventualmente, il passaggio successivo.</w:t>
      </w:r>
    </w:p>
    <w:p>
      <w:pPr>
        <w:spacing w:after="120" w:line="276"/>
        <w:jc w:val="both"/>
      </w:pPr>
      <w:r>
        <w:rPr>
          <w:rFonts w:ascii="Barlow Semi Condensed" w:cs="Barlow Semi Condensed" w:eastAsia="Barlow Semi Condensed" w:hAnsi="Barlow Semi Condensed"/>
          <w:b/>
          <w:bCs/>
          <w:sz w:val="24"/>
          <w:szCs w:val="24"/>
        </w:rPr>
        <w:t xml:space="preserve">Questa gradualità fu il suo metodo e fu la ragione della sua impopolarità presso quasi tutti. Presso chi voleva l'esclusione permanente, perché ogni tappa era una cessione. Presso chi voleva l'inclusione immediata, perché ogni tappa era un rinvio. Presso chi non voleva né l'una né l'altra cosa ma la fine del sistema, perché la gradualità è precisamente ciò che impedisce alle crisi di maturare.</w:t>
      </w:r>
    </w:p>
    <w:p>
      <w:pPr>
        <w:pStyle w:val="Heading2"/>
        <w:spacing w:after="100" w:before="200"/>
      </w:pPr>
      <w:r>
        <w:rPr>
          <w:rFonts w:ascii="Barlow Semi Condensed" w:cs="Barlow Semi Condensed" w:eastAsia="Barlow Semi Condensed" w:hAnsi="Barlow Semi Condensed"/>
          <w:sz w:val="24"/>
          <w:szCs w:val="24"/>
        </w:rPr>
        <w:t xml:space="preserve">Un dato che occorre fissare</w:t>
      </w:r>
    </w:p>
    <w:p>
      <w:pPr>
        <w:spacing w:after="120" w:line="276"/>
        <w:jc w:val="both"/>
      </w:pPr>
      <w:r>
        <w:rPr>
          <w:rFonts w:ascii="Barlow Semi Condensed" w:cs="Barlow Semi Condensed" w:eastAsia="Barlow Semi Condensed" w:hAnsi="Barlow Semi Condensed"/>
          <w:b/>
          <w:bCs/>
          <w:sz w:val="24"/>
          <w:szCs w:val="24"/>
        </w:rPr>
        <w:t xml:space="preserve">Si fissi dunque, e con precisione, il dato che questa Fase trae dal quadro interno.</w:t>
      </w:r>
    </w:p>
    <w:p>
      <w:pPr>
        <w:spacing w:after="120" w:line="276"/>
        <w:jc w:val="both"/>
      </w:pPr>
      <w:r>
        <w:rPr>
          <w:rFonts w:ascii="Barlow Semi Condensed" w:cs="Barlow Semi Condensed" w:eastAsia="Barlow Semi Condensed" w:hAnsi="Barlow Semi Condensed"/>
          <w:b/>
          <w:bCs/>
          <w:sz w:val="24"/>
          <w:szCs w:val="24"/>
        </w:rPr>
        <w:t xml:space="preserve">Nel marzo del 1978 il sistema politico italiano stava compiendo, per la prima volta in trentun anni, un passaggio che ne modificava l'assetto fondamentale. Il passaggio era guidato, dalla parte democristiana, da Aldo Moro. Il giorno nel quale esso si sarebbe formalizzato con il voto di fiducia è il giorno nel quale Aldo Moro fu rapito.</w:t>
      </w:r>
    </w:p>
    <w:p>
      <w:pPr>
        <w:spacing w:after="120" w:line="276"/>
        <w:jc w:val="both"/>
      </w:pPr>
      <w:r>
        <w:rPr>
          <w:rFonts w:ascii="Barlow Semi Condensed" w:cs="Barlow Semi Condensed" w:eastAsia="Barlow Semi Condensed" w:hAnsi="Barlow Semi Condensed"/>
          <w:b/>
          <w:bCs/>
          <w:sz w:val="24"/>
          <w:szCs w:val="24"/>
        </w:rPr>
        <w:t xml:space="preserve">Questo è un fatto, ed è accertato. Che cosa esso significhi non lo è, e non lo sarà in questo Capitolo. Il lettore è pregato di trattenersi dalla conclusione che gli si presenta, e di ricordare l'avvertimento del Capitolo undicesimo: la coincidenza temporale chiama lo sguardo e non stabilisce alcun legame.</w:t>
      </w:r>
    </w:p>
    <w:p>
      <w:pPr>
        <w:pStyle w:val="Heading2"/>
        <w:spacing w:after="100" w:before="200"/>
      </w:pPr>
      <w:r>
        <w:rPr>
          <w:rFonts w:ascii="Barlow Semi Condensed" w:cs="Barlow Semi Condensed" w:eastAsia="Barlow Semi Condensed" w:hAnsi="Barlow Semi Condensed"/>
          <w:sz w:val="24"/>
          <w:szCs w:val="24"/>
        </w:rPr>
        <w:t xml:space="preserve">Capitolo tredicesimo — Il quadro internazionale: la collocazione e i suoi vincoli</w:t>
      </w:r>
    </w:p>
    <w:p>
      <w:pPr>
        <w:spacing w:after="120" w:line="276"/>
        <w:jc w:val="both"/>
      </w:pPr>
      <w:r>
        <w:rPr>
          <w:rFonts w:ascii="Barlow Semi Condensed" w:cs="Barlow Semi Condensed" w:eastAsia="Barlow Semi Condensed" w:hAnsi="Barlow Semi Condensed"/>
          <w:b/>
          <w:bCs/>
          <w:sz w:val="24"/>
          <w:szCs w:val="24"/>
        </w:rPr>
        <w:t xml:space="preserve">La seconda tensione documentata riguarda la collocazione internazionale del paese e i vincoli che essa comportava.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L'Italia aderì al Patto Atlantico nel 1949, e da allora fu parte dell'alleanza occidentale, con basi militari alleate sul proprio territorio e con una collocazione che nessuna delle forze di governo pose mai in discussione.</w:t>
      </w:r>
    </w:p>
    <w:p>
      <w:pPr>
        <w:spacing w:after="120" w:line="276"/>
        <w:jc w:val="both"/>
      </w:pPr>
      <w:r>
        <w:rPr>
          <w:rFonts w:ascii="Barlow Semi Condensed" w:cs="Barlow Semi Condensed" w:eastAsia="Barlow Semi Condensed" w:hAnsi="Barlow Semi Condensed"/>
          <w:b/>
          <w:bCs/>
          <w:sz w:val="24"/>
          <w:szCs w:val="24"/>
        </w:rPr>
        <w:t xml:space="preserve">Che tale collocazione comportasse una attenzione degli alleati verso l'evoluzione politica interna non è congettura: è documentato, e lo è per fonte diretta. Documenti dei servizi informativi statunitensi, resi accessibili in epoche successive per effetto della legislazione sulla libertà di informazione, attestano che la situazione politica italiana fu oggetto di analisi continuativa; che l'ipotesi di una partecipazione comunista al governo fu valutata come sfavorevole agli interessi dell'alleanza; e che furono condotte attività di sostegno alle forze politiche non comuniste.</w:t>
      </w:r>
    </w:p>
    <w:p>
      <w:pPr>
        <w:spacing w:after="120" w:line="276"/>
        <w:jc w:val="both"/>
      </w:pPr>
      <w:r>
        <w:rPr>
          <w:rFonts w:ascii="Barlow Semi Condensed" w:cs="Barlow Semi Condensed" w:eastAsia="Barlow Semi Condensed" w:hAnsi="Barlow Semi Condensed"/>
          <w:b/>
          <w:bCs/>
          <w:sz w:val="24"/>
          <w:szCs w:val="24"/>
        </w:rPr>
        <w:t xml:space="preserve">Questo è materia di documenti e va detto senza reticenze e senza enfasi. Senza reticenze, perché tacerlo sarebbe una omissione: chi ricostruisca la politica italiana del dopoguerra ignorando la dimensione dell'influenza esterna descrive un paese che non è esistito. Senza enfasi, perché la stessa cosa vale per il versante opposto, del quale si dirà nel Capitolo seguente, e perché l'esistenza documentata di una influenza non stabilisce alcunché circa un atto determinato.</w:t>
      </w:r>
    </w:p>
    <w:p>
      <w:pPr>
        <w:pStyle w:val="Heading2"/>
        <w:spacing w:after="100" w:before="200"/>
      </w:pPr>
      <w:r>
        <w:rPr>
          <w:rFonts w:ascii="Barlow Semi Condensed" w:cs="Barlow Semi Condensed" w:eastAsia="Barlow Semi Condensed" w:hAnsi="Barlow Semi Condensed"/>
          <w:sz w:val="24"/>
          <w:szCs w:val="24"/>
        </w:rPr>
        <w:t xml:space="preserve">La distinzione capitale</w:t>
      </w:r>
    </w:p>
    <w:p>
      <w:pPr>
        <w:spacing w:after="120" w:line="276"/>
        <w:jc w:val="both"/>
      </w:pPr>
      <w:r>
        <w:rPr>
          <w:rFonts w:ascii="Barlow Semi Condensed" w:cs="Barlow Semi Condensed" w:eastAsia="Barlow Semi Condensed" w:hAnsi="Barlow Semi Condensed"/>
          <w:b/>
          <w:bCs/>
          <w:sz w:val="24"/>
          <w:szCs w:val="24"/>
        </w:rPr>
        <w:t xml:space="preserve">Qui occorre operare la distinzione che regge l'intero Capitolo e sulla quale, in questa materia, si è più costantemente scivolato.</w:t>
      </w:r>
    </w:p>
    <w:p>
      <w:pPr>
        <w:spacing w:after="120" w:line="276"/>
        <w:jc w:val="both"/>
      </w:pPr>
      <w:r>
        <w:rPr>
          <w:rFonts w:ascii="Barlow Semi Condensed" w:cs="Barlow Semi Condensed" w:eastAsia="Barlow Semi Condensed" w:hAnsi="Barlow Semi Condensed"/>
          <w:b/>
          <w:bCs/>
          <w:sz w:val="24"/>
          <w:szCs w:val="24"/>
        </w:rPr>
        <w:t xml:space="preserve">Una cosa è l'influenza politica esercitata da una potenza alleata sull'evoluzione interna di un paese alleato: finanziamento di partiti, sostegno a campagne, pressione diplomatica, condizionamento economico. Essa è documentata, fu praticata da più parti, e appartiene alla fisiologia — sgradevole ma reale — dei rapporti fra Stati in un sistema bipolare.</w:t>
      </w:r>
    </w:p>
    <w:p>
      <w:pPr>
        <w:spacing w:after="120" w:line="276"/>
        <w:jc w:val="both"/>
      </w:pPr>
      <w:r>
        <w:rPr>
          <w:rFonts w:ascii="Barlow Semi Condensed" w:cs="Barlow Semi Condensed" w:eastAsia="Barlow Semi Condensed" w:hAnsi="Barlow Semi Condensed"/>
          <w:b/>
          <w:bCs/>
          <w:sz w:val="24"/>
          <w:szCs w:val="24"/>
        </w:rPr>
        <w:t xml:space="preserve">Altra cosa è la partecipazione a un delitto contro la persona di un uomo di governo di quel paese. Essa non è dello stesso genere della prima, non ne è la naturale prosecuzione, e non se ne inferisce.</w:t>
      </w:r>
    </w:p>
    <w:p>
      <w:pPr>
        <w:spacing w:after="120" w:line="276"/>
        <w:jc w:val="both"/>
      </w:pPr>
      <w:r>
        <w:rPr>
          <w:rFonts w:ascii="Barlow Semi Condensed" w:cs="Barlow Semi Condensed" w:eastAsia="Barlow Semi Condensed" w:hAnsi="Barlow Semi Condensed"/>
          <w:b/>
          <w:bCs/>
          <w:sz w:val="24"/>
          <w:szCs w:val="24"/>
        </w:rPr>
        <w:t xml:space="preserve">Il passaggio dall'una all'altra è il salto che il Capitolo undicesimo vieta. Esso viene compiuto, nella letteratura su questa materia, con una frequenza che stupisce, e quasi sempre attraverso una formula che ha l'aspetto di un ragionamento e non lo è: poiché è documentato che essi interferivano, è verosimile che abbiano interferito anche in questo. La formula sostituisce alla prova di un atto la propensione desunta da altri atti. Nessun tribunale l'accetterebbe, e nessun registro deve accettarla.</w:t>
      </w:r>
    </w:p>
    <w:p>
      <w:pPr>
        <w:pStyle w:val="Heading2"/>
        <w:spacing w:after="100" w:before="200"/>
      </w:pPr>
      <w:r>
        <w:rPr>
          <w:rFonts w:ascii="Barlow Semi Condensed" w:cs="Barlow Semi Condensed" w:eastAsia="Barlow Semi Condensed" w:hAnsi="Barlow Semi Condensed"/>
          <w:sz w:val="24"/>
          <w:szCs w:val="24"/>
        </w:rPr>
        <w:t xml:space="preserve">La macro-ipotesi e la sua verifica</w:t>
      </w:r>
    </w:p>
    <w:p>
      <w:pPr>
        <w:spacing w:after="120" w:line="276"/>
        <w:jc w:val="both"/>
      </w:pPr>
      <w:r>
        <w:rPr>
          <w:rFonts w:ascii="Barlow Semi Condensed" w:cs="Barlow Semi Condensed" w:eastAsia="Barlow Semi Condensed" w:hAnsi="Barlow Semi Condensed"/>
          <w:b/>
          <w:bCs/>
          <w:sz w:val="24"/>
          <w:szCs w:val="24"/>
        </w:rPr>
        <w:t xml:space="preserve">Vi è, nella letteratura di questo campo, una ipotesi di grande ampiezza secondo la quale le due superpotenze, pur essendo avversarie, avrebbero avuto un interesse convergente a impedire il rafforzamento politico dell'Europa, e avrebbero agito, ciascuna per la propria via, in tale direzione.</w:t>
      </w:r>
    </w:p>
    <w:p>
      <w:pPr>
        <w:spacing w:after="120" w:line="276"/>
        <w:jc w:val="both"/>
      </w:pPr>
      <w:r>
        <w:rPr>
          <w:rFonts w:ascii="Barlow Semi Condensed" w:cs="Barlow Semi Condensed" w:eastAsia="Barlow Semi Condensed" w:hAnsi="Barlow Semi Condensed"/>
          <w:b/>
          <w:bCs/>
          <w:sz w:val="24"/>
          <w:szCs w:val="24"/>
        </w:rPr>
        <w:t xml:space="preserve">L'ipotesi è suggestiva, ed è stata a lungo coltivata anche nel corpus maggiore al quale quest'opera appartiene. Essa vi è stata sottoposta a una verifica di natura statistica, il cui esito va riferito perché è istruttivo.</w:t>
      </w:r>
    </w:p>
    <w:p>
      <w:pPr>
        <w:spacing w:after="120" w:line="276"/>
        <w:jc w:val="both"/>
      </w:pPr>
      <w:r>
        <w:rPr>
          <w:rFonts w:ascii="Barlow Semi Condensed" w:cs="Barlow Semi Condensed" w:eastAsia="Barlow Semi Condensed" w:hAnsi="Barlow Semi Condensed"/>
          <w:b/>
          <w:bCs/>
          <w:sz w:val="24"/>
          <w:szCs w:val="24"/>
        </w:rPr>
        <w:t xml:space="preserve">La verifica esaminava se gli eventi stragisti italiani si addensassero attorno alle scadenze del processo di integrazione europea, come l'ipotesi predice. L'esito fu negativo a tutti i raggi temporali esaminati, con un valore di probabilità pari a 0,60, e il controllo di robustezza sulla finestra dichiarata confermò l'esito. Un valore siffatto significa che la distribuzione osservata è pienamente compatibile con il caso: nessun addensamento è stato riscontrato.</w:t>
      </w:r>
    </w:p>
    <w:p>
      <w:pPr>
        <w:spacing w:after="120" w:line="276"/>
        <w:jc w:val="both"/>
      </w:pPr>
      <w:r>
        <w:rPr>
          <w:rFonts w:ascii="Barlow Semi Condensed" w:cs="Barlow Semi Condensed" w:eastAsia="Barlow Semi Condensed" w:hAnsi="Barlow Semi Condensed"/>
          <w:b/>
          <w:bCs/>
          <w:sz w:val="24"/>
          <w:szCs w:val="24"/>
        </w:rPr>
        <w:t xml:space="preserve">La conseguenza fu tratta, ed è quella che il metodo impone: l'ipotesi nella sua formulazione originaria fu formalmente abbandonata. Essa non è stata sostituita da una ipotesi contraria — l'esito negativo non prova che nessuna influenza vi fosse — ma è stata dismessa come chiave esplicativa generale.</w:t>
      </w:r>
    </w:p>
    <w:p>
      <w:pPr>
        <w:spacing w:after="120" w:line="276"/>
        <w:jc w:val="both"/>
      </w:pPr>
      <w:r>
        <w:rPr>
          <w:rFonts w:ascii="Barlow Semi Condensed" w:cs="Barlow Semi Condensed" w:eastAsia="Barlow Semi Condensed" w:hAnsi="Barlow Semi Condensed"/>
          <w:b/>
          <w:bCs/>
          <w:sz w:val="24"/>
          <w:szCs w:val="24"/>
        </w:rPr>
        <w:t xml:space="preserve">Questo episodio è riferito qui per una ragione che eccede il suo contenuto. Esso mostra che cosa significhi, in concreto, sottoporre a confutazione una ipotesi cara: significa accettare che il risultato la smentisca, dichiararlo, e rinunciarvi. Un'ipotesi che non sia mai stata sottoposta a una prova capace di smentirla non è un'acquisizione: è una convinzione.</w:t>
      </w:r>
    </w:p>
    <w:p>
      <w:pPr>
        <w:pStyle w:val="Heading2"/>
        <w:spacing w:after="100" w:before="200"/>
      </w:pPr>
      <w:r>
        <w:rPr>
          <w:rFonts w:ascii="Barlow Semi Condensed" w:cs="Barlow Semi Condensed" w:eastAsia="Barlow Semi Condensed" w:hAnsi="Barlow Semi Condensed"/>
          <w:sz w:val="24"/>
          <w:szCs w:val="24"/>
        </w:rPr>
        <w:t xml:space="preserve">Che cosa resta accertato</w:t>
      </w:r>
    </w:p>
    <w:p>
      <w:pPr>
        <w:spacing w:after="120" w:line="276"/>
        <w:jc w:val="both"/>
      </w:pPr>
      <w:r>
        <w:rPr>
          <w:rFonts w:ascii="Barlow Semi Condensed" w:cs="Barlow Semi Condensed" w:eastAsia="Barlow Semi Condensed" w:hAnsi="Barlow Semi Condensed"/>
          <w:b/>
          <w:bCs/>
          <w:sz w:val="24"/>
          <w:szCs w:val="24"/>
        </w:rPr>
        <w:t xml:space="preserve">Resta accertato che l'Italia era collocata in una alleanza; che tale collocazione comportava vincoli sulle possibili maggioranze di governo; che gli alleati esercitarono forme documentate di influenza sulla politica interna; e che l'evoluzione politica italiana del 1976-1978 era osservata con preoccupazione.</w:t>
      </w:r>
    </w:p>
    <w:p>
      <w:pPr>
        <w:spacing w:after="120" w:line="276"/>
        <w:jc w:val="both"/>
      </w:pPr>
      <w:r>
        <w:rPr>
          <w:rFonts w:ascii="Barlow Semi Condensed" w:cs="Barlow Semi Condensed" w:eastAsia="Barlow Semi Condensed" w:hAnsi="Barlow Semi Condensed"/>
          <w:b/>
          <w:bCs/>
          <w:sz w:val="24"/>
          <w:szCs w:val="24"/>
        </w:rPr>
        <w:t xml:space="preserve">Non risulta accertato, allo stato degli atti che quest'opera ha potuto interrogare, alcun atto diretto contro la persona di Aldo Moro riconducibile a tale versante. La proposizione resta in stato di dubbio, e la sua condizione di scioglimento è indicata: un documento che attesti una decisione, una autorizzazione o una conoscenza preventiva, presso una sede identificabile e con estremi verificabili.</w:t>
      </w:r>
    </w:p>
    <w:p>
      <w:pPr>
        <w:pStyle w:val="Heading2"/>
        <w:spacing w:after="100" w:before="200"/>
      </w:pPr>
      <w:r>
        <w:rPr>
          <w:rFonts w:ascii="Barlow Semi Condensed" w:cs="Barlow Semi Condensed" w:eastAsia="Barlow Semi Condensed" w:hAnsi="Barlow Semi Condensed"/>
          <w:sz w:val="24"/>
          <w:szCs w:val="24"/>
        </w:rPr>
        <w:t xml:space="preserve">Capitolo quattordicesimo — L'altro versante</w:t>
      </w:r>
    </w:p>
    <w:p>
      <w:pPr>
        <w:spacing w:after="120" w:line="276"/>
        <w:jc w:val="both"/>
      </w:pPr>
      <w:r>
        <w:rPr>
          <w:rFonts w:ascii="Barlow Semi Condensed" w:cs="Barlow Semi Condensed" w:eastAsia="Barlow Semi Condensed" w:hAnsi="Barlow Semi Condensed"/>
          <w:b/>
          <w:bCs/>
          <w:sz w:val="24"/>
          <w:szCs w:val="24"/>
        </w:rPr>
        <w:t xml:space="preserve">La simmetria impone che ciò che si è detto di un versante si dica dell'altro, e con il medesimo metro. Un'opera che documenti l'influenza di una parte e taccia dell'altra non è imparziale a metà: non è imparziale affatto, perché il silenzio su una parte è di per sé una attribuzione all'altra.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Che l'Unione Sovietica esercitasse una influenza sulla politica italiana è documentato quanto l'influenza opposta. Il finanziamento del Partito Comunista Italiano da parte sovietica è accertato, ed è stato riconosciuto anche da protagonisti di quella vicenda; l'esistenza di attività informative sovietiche in Italia è accertata; e l'apertura, sia pur parziale e discussa, degli archivi dell'Est dopo il 1991 ha reso disponibili materiali che ne documentano l'estensione.</w:t>
      </w:r>
    </w:p>
    <w:p>
      <w:pPr>
        <w:spacing w:after="120" w:line="276"/>
        <w:jc w:val="both"/>
      </w:pPr>
      <w:r>
        <w:rPr>
          <w:rFonts w:ascii="Barlow Semi Condensed" w:cs="Barlow Semi Condensed" w:eastAsia="Barlow Semi Condensed" w:hAnsi="Barlow Semi Condensed"/>
          <w:b/>
          <w:bCs/>
          <w:sz w:val="24"/>
          <w:szCs w:val="24"/>
        </w:rPr>
        <w:t xml:space="preserve">Occorre però registrare, per esattezza, un elemento che complica il quadro e che non va omesso: negli anni ai quali questa Fase si riferisce, il Partito Comunista Italiano aveva compiuto un percorso di progressiva autonomia dalle posizioni sovietiche, che ebbe manifestazioni pubbliche e documentate, e che la dirigenza sovietica osservava con contrarietà. La solidarietà nazionale, che dal punto di vista atlantico costituiva un problema perché avvicinava i comunisti al governo, dal punto di vista sovietico ne costituiva uno diverso e opposto, perché completava l'integrazione di quel partito in un sistema politico occidentale.</w:t>
      </w:r>
    </w:p>
    <w:p>
      <w:pPr>
        <w:pStyle w:val="Heading2"/>
        <w:spacing w:after="100" w:before="200"/>
      </w:pPr>
      <w:r>
        <w:rPr>
          <w:rFonts w:ascii="Barlow Semi Condensed" w:cs="Barlow Semi Condensed" w:eastAsia="Barlow Semi Condensed" w:hAnsi="Barlow Semi Condensed"/>
          <w:sz w:val="24"/>
          <w:szCs w:val="24"/>
        </w:rPr>
        <w:t xml:space="preserve">La conseguenza metodologica</w:t>
      </w:r>
    </w:p>
    <w:p>
      <w:pPr>
        <w:spacing w:after="120" w:line="276"/>
        <w:jc w:val="both"/>
      </w:pPr>
      <w:r>
        <w:rPr>
          <w:rFonts w:ascii="Barlow Semi Condensed" w:cs="Barlow Semi Condensed" w:eastAsia="Barlow Semi Condensed" w:hAnsi="Barlow Semi Condensed"/>
          <w:b/>
          <w:bCs/>
          <w:sz w:val="24"/>
          <w:szCs w:val="24"/>
        </w:rPr>
        <w:t xml:space="preserve">Questa constatazione produce una conseguenza che occorre trarre apertamente, perché essa incide sulla ipotesi più diffusa.</w:t>
      </w:r>
    </w:p>
    <w:p>
      <w:pPr>
        <w:spacing w:after="120" w:line="276"/>
        <w:jc w:val="both"/>
      </w:pPr>
      <w:r>
        <w:rPr>
          <w:rFonts w:ascii="Barlow Semi Condensed" w:cs="Barlow Semi Condensed" w:eastAsia="Barlow Semi Condensed" w:hAnsi="Barlow Semi Condensed"/>
          <w:b/>
          <w:bCs/>
          <w:sz w:val="24"/>
          <w:szCs w:val="24"/>
        </w:rPr>
        <w:t xml:space="preserve">Se l'operazione politica in corso nel marzo 1978 era sfavorevole a entrambe le superpotenze, per ragioni opposte, allora la domanda a chi giovava non seleziona alcun sospetto: essa ne seleziona due, e li seleziona per ragioni incompatibili fra loro. Ne segue che quella domanda, in questo caso, non ha valore discriminante; e che ogni ricostruzione che la impieghi come chiave sta impiegando uno strumento che, applicato correttamente, non separa nulla.</w:t>
      </w:r>
    </w:p>
    <w:p>
      <w:pPr>
        <w:spacing w:after="120" w:line="276"/>
        <w:jc w:val="both"/>
      </w:pPr>
      <w:r>
        <w:rPr>
          <w:rFonts w:ascii="Barlow Semi Condensed" w:cs="Barlow Semi Condensed" w:eastAsia="Barlow Semi Condensed" w:hAnsi="Barlow Semi Condensed"/>
          <w:b/>
          <w:bCs/>
          <w:sz w:val="24"/>
          <w:szCs w:val="24"/>
        </w:rPr>
        <w:t xml:space="preserve">Questo è un risultato negativo, e come tutti i risultati negativi di quest'opera va registrato con la dignità che gli compete. Esso non dice chi fu: dice che una via consueta per arrivarvi non conduce da nessuna parte.</w:t>
      </w:r>
    </w:p>
    <w:p>
      <w:pPr>
        <w:pStyle w:val="Heading2"/>
        <w:spacing w:after="100" w:before="200"/>
      </w:pPr>
      <w:r>
        <w:rPr>
          <w:rFonts w:ascii="Barlow Semi Condensed" w:cs="Barlow Semi Condensed" w:eastAsia="Barlow Semi Condensed" w:hAnsi="Barlow Semi Condensed"/>
          <w:sz w:val="24"/>
          <w:szCs w:val="24"/>
        </w:rPr>
        <w:t xml:space="preserve">Ciò che resta accertato e ciò che resta dubbio</w:t>
      </w:r>
    </w:p>
    <w:p>
      <w:pPr>
        <w:spacing w:after="120" w:line="276"/>
        <w:jc w:val="both"/>
      </w:pPr>
      <w:r>
        <w:rPr>
          <w:rFonts w:ascii="Barlow Semi Condensed" w:cs="Barlow Semi Condensed" w:eastAsia="Barlow Semi Condensed" w:hAnsi="Barlow Semi Condensed"/>
          <w:b/>
          <w:bCs/>
          <w:sz w:val="24"/>
          <w:szCs w:val="24"/>
        </w:rPr>
        <w:t xml:space="preserve">Resta accertato che entrambe le superpotenze esercitavano influenza documentata sulla politica italiana; che entrambe osservavano con contrarietà, per ragioni diverse, l'operazione politica in corso; e che nessuna delle due era, per quella ragione, priva di motivo astratto di ostilità.</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colleghi tale ostilità all'atto materiale. La condizione di scioglimento è la medesima indicata nel Capitolo precedente, e vale simmetricamente per entrambi i versanti: un atto che attesti decisione, autorizzazione o conoscenza preventiva, presso sede identificabile e con estremi verificabili.</w:t>
      </w:r>
    </w:p>
    <w:p>
      <w:pPr>
        <w:spacing w:after="120" w:line="276"/>
        <w:jc w:val="both"/>
      </w:pPr>
      <w:r>
        <w:rPr>
          <w:rFonts w:ascii="Barlow Semi Condensed" w:cs="Barlow Semi Condensed" w:eastAsia="Barlow Semi Condensed" w:hAnsi="Barlow Semi Condensed"/>
          <w:b/>
          <w:bCs/>
          <w:sz w:val="24"/>
          <w:szCs w:val="24"/>
        </w:rPr>
        <w:t xml:space="preserve">Si registra infine, come Stato Zero, che la ricerca di tali atti presso gli archivi accessibili non ha prodotto reperimenti, e che tredici archivi remoti rilevanti non sono stati interrogabili con gli strumenti disponibili. Il silenzio di quegli archivi non è una conferma di alcunché: è una lacuna dichiarata, ed è iscritta in tavola come tale.</w:t>
      </w:r>
    </w:p>
    <w:p>
      <w:pPr>
        <w:pStyle w:val="Heading2"/>
        <w:spacing w:after="100" w:before="200"/>
      </w:pPr>
      <w:r>
        <w:rPr>
          <w:rFonts w:ascii="Barlow Semi Condensed" w:cs="Barlow Semi Condensed" w:eastAsia="Barlow Semi Condensed" w:hAnsi="Barlow Semi Condensed"/>
          <w:sz w:val="24"/>
          <w:szCs w:val="24"/>
        </w:rPr>
        <w:t xml:space="preserve">Capitolo quindicesimo — Il decennio della tensione: economia, terrorismo, ordine pubblico</w:t>
      </w:r>
    </w:p>
    <w:p>
      <w:pPr>
        <w:spacing w:after="120" w:line="276"/>
        <w:jc w:val="both"/>
      </w:pPr>
      <w:r>
        <w:rPr>
          <w:rFonts w:ascii="Barlow Semi Condensed" w:cs="Barlow Semi Condensed" w:eastAsia="Barlow Semi Condensed" w:hAnsi="Barlow Semi Condensed"/>
          <w:b/>
          <w:bCs/>
          <w:sz w:val="24"/>
          <w:szCs w:val="24"/>
        </w:rPr>
        <w:t xml:space="preserve">Il terzo elemento del quadro è la condizione materiale del paese negli anni che precedono il fatto. Esso è meno discusso degli altri due, e va esposto perché senza di esso le decisioni politiche di quegli anni risultano incomprensibili.</w:t>
      </w:r>
    </w:p>
    <w:p>
      <w:pPr>
        <w:pStyle w:val="Heading2"/>
        <w:spacing w:after="100" w:before="200"/>
      </w:pPr>
      <w:r>
        <w:rPr>
          <w:rFonts w:ascii="Barlow Semi Condensed" w:cs="Barlow Semi Condensed" w:eastAsia="Barlow Semi Condensed" w:hAnsi="Barlow Semi Condensed"/>
          <w:sz w:val="24"/>
          <w:szCs w:val="24"/>
        </w:rPr>
        <w:t xml:space="preserve">L'economia</w:t>
      </w:r>
    </w:p>
    <w:p>
      <w:pPr>
        <w:spacing w:after="120" w:line="276"/>
        <w:jc w:val="both"/>
      </w:pPr>
      <w:r>
        <w:rPr>
          <w:rFonts w:ascii="Barlow Semi Condensed" w:cs="Barlow Semi Condensed" w:eastAsia="Barlow Semi Condensed" w:hAnsi="Barlow Semi Condensed"/>
          <w:b/>
          <w:bCs/>
          <w:sz w:val="24"/>
          <w:szCs w:val="24"/>
        </w:rPr>
        <w:t xml:space="preserve">La crisi petrolifera del 1973 colpì l'Italia più duramente di altri paesi europei, per la sua dipendenza energetica e per la struttura del suo apparato produttivo. Ne seguirono inflazione elevata e persistente, difficoltà della bilancia dei pagamenti, tensione sui conti pubblici e ricorso al credito internazionale con le condizionalità che esso comporta.</w:t>
      </w:r>
    </w:p>
    <w:p>
      <w:pPr>
        <w:spacing w:after="120" w:line="276"/>
        <w:jc w:val="both"/>
      </w:pPr>
      <w:r>
        <w:rPr>
          <w:rFonts w:ascii="Barlow Semi Condensed" w:cs="Barlow Semi Condensed" w:eastAsia="Barlow Semi Condensed" w:hAnsi="Barlow Semi Condensed"/>
          <w:b/>
          <w:bCs/>
          <w:sz w:val="24"/>
          <w:szCs w:val="24"/>
        </w:rPr>
        <w:t xml:space="preserve">Il dato rileva per una ragione precisa. Un governo che debba imporre sacrifici ha bisogno di un consenso sociale che nessuna maggioranza parlamentare stretta gli fornisce. La solidarietà nazionale rispondeva anche a questo: includere nella responsabilità il partito che aveva maggiore radicamento nel mondo del lavoro era, oltre che una operazione istituzionale, la condizione perché una politica di risanamento potesse essere sostenuta senza rottura sociale.</w:t>
      </w:r>
    </w:p>
    <w:p>
      <w:pPr>
        <w:spacing w:after="120" w:line="276"/>
        <w:jc w:val="both"/>
      </w:pPr>
      <w:r>
        <w:rPr>
          <w:rFonts w:ascii="Barlow Semi Condensed" w:cs="Barlow Semi Condensed" w:eastAsia="Barlow Semi Condensed" w:hAnsi="Barlow Semi Condensed"/>
          <w:b/>
          <w:bCs/>
          <w:sz w:val="24"/>
          <w:szCs w:val="24"/>
        </w:rPr>
        <w:t xml:space="preserve">Chi voglia comprendere perché quella operazione fosse considerata necessaria da chi la promosse, e non semplicemente desiderabile, deve tenere presente questo. Non era un progetto ideale: era una risposta a una emergenza.</w:t>
      </w:r>
    </w:p>
    <w:p>
      <w:pPr>
        <w:pStyle w:val="Heading2"/>
        <w:spacing w:after="100" w:before="200"/>
      </w:pPr>
      <w:r>
        <w:rPr>
          <w:rFonts w:ascii="Barlow Semi Condensed" w:cs="Barlow Semi Condensed" w:eastAsia="Barlow Semi Condensed" w:hAnsi="Barlow Semi Condensed"/>
          <w:sz w:val="24"/>
          <w:szCs w:val="24"/>
        </w:rPr>
        <w:t xml:space="preserve">Il terrorismo</w:t>
      </w:r>
    </w:p>
    <w:p>
      <w:pPr>
        <w:spacing w:after="120" w:line="276"/>
        <w:jc w:val="both"/>
      </w:pPr>
      <w:r>
        <w:rPr>
          <w:rFonts w:ascii="Barlow Semi Condensed" w:cs="Barlow Semi Condensed" w:eastAsia="Barlow Semi Condensed" w:hAnsi="Barlow Semi Condensed"/>
          <w:b/>
          <w:bCs/>
          <w:sz w:val="24"/>
          <w:szCs w:val="24"/>
        </w:rPr>
        <w:t xml:space="preserve">Nella seconda metà degli anni Settanta l'attività dei gruppi armati raggiunse una intensità che non aveva precedenti nella storia repubblicana. Gli attentati contro persone si moltiplicarono; le vittime appartenevano a categorie determinate — magistrati, giornalisti, dirigenti d'azienda, appartenenti alle forze dell'ordine, uomini politici; e la frequenza degli episodi era tale da rendere l'ordine pubblico una questione permanente di governo.</w:t>
      </w:r>
    </w:p>
    <w:p>
      <w:pPr>
        <w:spacing w:after="120" w:line="276"/>
        <w:jc w:val="both"/>
      </w:pPr>
      <w:r>
        <w:rPr>
          <w:rFonts w:ascii="Barlow Semi Condensed" w:cs="Barlow Semi Condensed" w:eastAsia="Barlow Semi Condensed" w:hAnsi="Barlow Semi Condensed"/>
          <w:b/>
          <w:bCs/>
          <w:sz w:val="24"/>
          <w:szCs w:val="24"/>
        </w:rPr>
        <w:t xml:space="preserve">Vi era un terrorismo che si dichiarava di sinistra e uno che si dichiarava di destra, e le loro modalità differivano. Il primo colpiva prevalentemente persone selezionate e ne rivendicava l'uccisione con documenti argomentati; il secondo aveva praticato, nel decennio precedente, attentati contro luoghi affollati con vittime indiscriminate. La differenza di modalità non è un dettaglio: essa comporta differenze nella natura delle prove disponibili, ed è stata alla base di ricostruzioni divergenti.</w:t>
      </w:r>
    </w:p>
    <w:p>
      <w:pPr>
        <w:pStyle w:val="Heading2"/>
        <w:spacing w:after="100" w:before="200"/>
      </w:pPr>
      <w:r>
        <w:rPr>
          <w:rFonts w:ascii="Barlow Semi Condensed" w:cs="Barlow Semi Condensed" w:eastAsia="Barlow Semi Condensed" w:hAnsi="Barlow Semi Condensed"/>
          <w:sz w:val="24"/>
          <w:szCs w:val="24"/>
        </w:rPr>
        <w:t xml:space="preserve">L'ordine pubblico e gli apparati</w:t>
      </w:r>
    </w:p>
    <w:p>
      <w:pPr>
        <w:spacing w:after="120" w:line="276"/>
        <w:jc w:val="both"/>
      </w:pPr>
      <w:r>
        <w:rPr>
          <w:rFonts w:ascii="Barlow Semi Condensed" w:cs="Barlow Semi Condensed" w:eastAsia="Barlow Semi Condensed" w:hAnsi="Barlow Semi Condensed"/>
          <w:b/>
          <w:bCs/>
          <w:sz w:val="24"/>
          <w:szCs w:val="24"/>
        </w:rPr>
        <w:t xml:space="preserve">La terza componente è la condizione degli apparati di sicurezza.</w:t>
      </w:r>
    </w:p>
    <w:p>
      <w:pPr>
        <w:spacing w:after="120" w:line="276"/>
        <w:jc w:val="both"/>
      </w:pPr>
      <w:r>
        <w:rPr>
          <w:rFonts w:ascii="Barlow Semi Condensed" w:cs="Barlow Semi Condensed" w:eastAsia="Barlow Semi Condensed" w:hAnsi="Barlow Semi Condensed"/>
          <w:b/>
          <w:bCs/>
          <w:sz w:val="24"/>
          <w:szCs w:val="24"/>
        </w:rPr>
        <w:t xml:space="preserve">Negli anni immediatamente precedenti il 1978 i servizi informativi italiani erano stati oggetto di una riforma legislativa, resa necessaria da vicende che ne avevano compromesso la credibilità. Gli anni precedenti avevano visto emergere, attraverso inchieste giudiziarie e parlamentari, elementi relativi a deviazioni di apparati, a schedature illegittime, a piani di emergenza predisposti al di fuori delle sedi istituzionali.</w:t>
      </w:r>
    </w:p>
    <w:p>
      <w:pPr>
        <w:spacing w:after="120" w:line="276"/>
        <w:jc w:val="both"/>
      </w:pPr>
      <w:r>
        <w:rPr>
          <w:rFonts w:ascii="Barlow Semi Condensed" w:cs="Barlow Semi Condensed" w:eastAsia="Barlow Semi Condensed" w:hAnsi="Barlow Semi Condensed"/>
          <w:b/>
          <w:bCs/>
          <w:sz w:val="24"/>
          <w:szCs w:val="24"/>
        </w:rPr>
        <w:t xml:space="preserve">Questo è il dato che occorre fissare, e va detto con la precisione che merita: nel marzo 1978 gli apparati di sicurezza dello Stato italiano si trovavano in una fase di riorganizzazione, e la loro affidabilità era stata pubblicamente posta in questione dalle istituzioni medesime. Non si tratta di una insinuazione retrospettiva: si tratta della ragione per la quale la riforma era stata fatta.</w:t>
      </w:r>
    </w:p>
    <w:p>
      <w:pPr>
        <w:pStyle w:val="Heading2"/>
        <w:spacing w:after="100" w:before="200"/>
      </w:pPr>
      <w:r>
        <w:rPr>
          <w:rFonts w:ascii="Barlow Semi Condensed" w:cs="Barlow Semi Condensed" w:eastAsia="Barlow Semi Condensed" w:hAnsi="Barlow Semi Condensed"/>
          <w:sz w:val="24"/>
          <w:szCs w:val="24"/>
        </w:rPr>
        <w:t xml:space="preserve">La conseguenza per l'oggetto dell'opera</w:t>
      </w:r>
    </w:p>
    <w:p>
      <w:pPr>
        <w:spacing w:after="120" w:line="276"/>
        <w:jc w:val="both"/>
      </w:pPr>
      <w:r>
        <w:rPr>
          <w:rFonts w:ascii="Barlow Semi Condensed" w:cs="Barlow Semi Condensed" w:eastAsia="Barlow Semi Condensed" w:hAnsi="Barlow Semi Condensed"/>
          <w:b/>
          <w:bCs/>
          <w:sz w:val="24"/>
          <w:szCs w:val="24"/>
        </w:rPr>
        <w:t xml:space="preserve">Il quadro che ne risulta è quello di un paese sottoposto simultaneamente a tre pressioni: una crisi economica che richiedeva coesione, una violenza politica che la impediva, e apparati di sicurezza in riorganizzazione.</w:t>
      </w:r>
    </w:p>
    <w:p>
      <w:pPr>
        <w:spacing w:after="120" w:line="276"/>
        <w:jc w:val="both"/>
      </w:pPr>
      <w:r>
        <w:rPr>
          <w:rFonts w:ascii="Barlow Semi Condensed" w:cs="Barlow Semi Condensed" w:eastAsia="Barlow Semi Condensed" w:hAnsi="Barlow Semi Condensed"/>
          <w:b/>
          <w:bCs/>
          <w:sz w:val="24"/>
          <w:szCs w:val="24"/>
        </w:rPr>
        <w:t xml:space="preserve">Questo quadro non spiega il fatto. Ne costituisce la condizione di possibilità, che è cosa diversa e minore: esso rende comprensibile come una azione della complessità di quella di via Fani potesse essere concepita, e come le risposte che vi furono date potessero risultare inadeguate. Ma la condizione di possibilità di un evento non è la sua causa, e questa Fase non la tratterà come tale.</w:t>
      </w:r>
    </w:p>
    <w:p>
      <w:pPr>
        <w:pStyle w:val="Heading2"/>
        <w:spacing w:after="100" w:before="200"/>
      </w:pPr>
      <w:r>
        <w:rPr>
          <w:rFonts w:ascii="Barlow Semi Condensed" w:cs="Barlow Semi Condensed" w:eastAsia="Barlow Semi Condensed" w:hAnsi="Barlow Semi Condensed"/>
          <w:sz w:val="24"/>
          <w:szCs w:val="24"/>
        </w:rPr>
        <w:t xml:space="preserve">Capitolo sedicesimo — Ciò che le inchieste hanno accertato sugli anni precedenti</w:t>
      </w:r>
    </w:p>
    <w:p>
      <w:pPr>
        <w:spacing w:after="120" w:line="276"/>
        <w:jc w:val="both"/>
      </w:pPr>
      <w:r>
        <w:rPr>
          <w:rFonts w:ascii="Barlow Semi Condensed" w:cs="Barlow Semi Condensed" w:eastAsia="Barlow Semi Condensed" w:hAnsi="Barlow Semi Condensed"/>
          <w:b/>
          <w:bCs/>
          <w:sz w:val="24"/>
          <w:szCs w:val="24"/>
        </w:rPr>
        <w:t xml:space="preserve">Prima di venire alle ragioni dichiarate e a quelle attribuite, occorre censire ciò che le sedi istituzionali hanno accertato circa il decennio anteriore. Il censimento è necessario perché su di esso si fondano gran parte delle ipotesi che il Capitolo diciottesimo esaminerà, e perché le fonti che qui si citano sono di rango elevato: sentenze e relazioni di commissioni parlamentari d'inchiesta.</w:t>
      </w:r>
    </w:p>
    <w:p>
      <w:pPr>
        <w:pStyle w:val="Heading2"/>
        <w:spacing w:after="100" w:before="200"/>
      </w:pPr>
      <w:r>
        <w:rPr>
          <w:rFonts w:ascii="Barlow Semi Condensed" w:cs="Barlow Semi Condensed" w:eastAsia="Barlow Semi Condensed" w:hAnsi="Barlow Semi Condensed"/>
          <w:sz w:val="24"/>
          <w:szCs w:val="24"/>
        </w:rPr>
        <w:t xml:space="preserve">Le sedi</w:t>
      </w:r>
    </w:p>
    <w:p>
      <w:pPr>
        <w:spacing w:after="120" w:line="276"/>
        <w:jc w:val="both"/>
      </w:pPr>
      <w:r>
        <w:rPr>
          <w:rFonts w:ascii="Barlow Semi Condensed" w:cs="Barlow Semi Condensed" w:eastAsia="Barlow Semi Condensed" w:hAnsi="Barlow Semi Condensed"/>
          <w:b/>
          <w:bCs/>
          <w:sz w:val="24"/>
          <w:szCs w:val="24"/>
        </w:rPr>
        <w:t xml:space="preserve">Sul decennio anteriore hanno lavorato, in tempi successivi, autorità giudiziarie di più sedi e almeno tre commissioni parlamentari d'inchiesta: quella sulla loggia massonica Propaganda Due, quella sul terrorismo e sulle stragi, e da ultimo quella dedicata specificamente al rapimento e alla morte di Aldo Moro. I loro atti sono pubblici e reperibili come documenti parlamentari, e ad essi si rinvia per estremi ove il punto lo richieda.</w:t>
      </w:r>
    </w:p>
    <w:p>
      <w:pPr>
        <w:pStyle w:val="Heading2"/>
        <w:spacing w:after="100" w:before="200"/>
      </w:pPr>
      <w:r>
        <w:rPr>
          <w:rFonts w:ascii="Barlow Semi Condensed" w:cs="Barlow Semi Condensed" w:eastAsia="Barlow Semi Condensed" w:hAnsi="Barlow Semi Condensed"/>
          <w:sz w:val="24"/>
          <w:szCs w:val="24"/>
        </w:rPr>
        <w:t xml:space="preserve">Ciò che risulta accertato</w:t>
      </w:r>
    </w:p>
    <w:p>
      <w:pPr>
        <w:spacing w:after="120" w:line="276"/>
        <w:jc w:val="both"/>
      </w:pPr>
      <w:r>
        <w:rPr>
          <w:rFonts w:ascii="Barlow Semi Condensed" w:cs="Barlow Semi Condensed" w:eastAsia="Barlow Semi Condensed" w:hAnsi="Barlow Semi Condensed"/>
          <w:b/>
          <w:bCs/>
          <w:sz w:val="24"/>
          <w:szCs w:val="24"/>
        </w:rPr>
        <w:t xml:space="preserve">Risulta accertato che nel 1964 fu predisposto, nell'ambito dell'Arma dei Carabinieri, un piano di emergenza che prevedeva, in determinate ipotesi, l'enucleazione di un elevato numero di persone schedate. La vicenda fu oggetto di inchiesta parlamentare, e la sua esistenza non è controversa; la sua qualificazione — se si trattasse di ordinaria pianificazione di ordine pubblico o di predisposizione eversiva — è stata invece oggetto di valutazioni divergenti nelle diverse sedi.</w:t>
      </w:r>
    </w:p>
    <w:p>
      <w:pPr>
        <w:spacing w:after="120" w:line="276"/>
        <w:jc w:val="both"/>
      </w:pPr>
      <w:r>
        <w:rPr>
          <w:rFonts w:ascii="Barlow Semi Condensed" w:cs="Barlow Semi Condensed" w:eastAsia="Barlow Semi Condensed" w:hAnsi="Barlow Semi Condensed"/>
          <w:b/>
          <w:bCs/>
          <w:sz w:val="24"/>
          <w:szCs w:val="24"/>
        </w:rPr>
        <w:t xml:space="preserve">Risulta accertato che il 12 dicembre 1969 fu compiuto a Milano un attentato che provocò numerose vittime, e che le prime indagini furono indirizzate verso una pista risultata poi infondata. La responsabilità di ambienti dell'eversione di destra è stata affermata in sede giudiziaria, con esiti processuali articolati che non si riassumono in una formula.</w:t>
      </w:r>
    </w:p>
    <w:p>
      <w:pPr>
        <w:spacing w:after="120" w:line="276"/>
        <w:jc w:val="both"/>
      </w:pPr>
      <w:r>
        <w:rPr>
          <w:rFonts w:ascii="Barlow Semi Condensed" w:cs="Barlow Semi Condensed" w:eastAsia="Barlow Semi Condensed" w:hAnsi="Barlow Semi Condensed"/>
          <w:b/>
          <w:bCs/>
          <w:sz w:val="24"/>
          <w:szCs w:val="24"/>
        </w:rPr>
        <w:t xml:space="preserve">Risulta accertato che nella notte fra il 7 e l'8 dicembre 1970 fu tentata un'azione volta all'occupazione di sedi istituzionali, poi interrotta; e che la vicenda fu oggetto di procedimenti penali e di inchiesta parlamentare.</w:t>
      </w:r>
    </w:p>
    <w:p>
      <w:pPr>
        <w:spacing w:after="120" w:line="276"/>
        <w:jc w:val="both"/>
      </w:pPr>
      <w:r>
        <w:rPr>
          <w:rFonts w:ascii="Barlow Semi Condensed" w:cs="Barlow Semi Condensed" w:eastAsia="Barlow Semi Condensed" w:hAnsi="Barlow Semi Condensed"/>
          <w:b/>
          <w:bCs/>
          <w:sz w:val="24"/>
          <w:szCs w:val="24"/>
        </w:rPr>
        <w:t xml:space="preserve">Risulta accertato che esisteva, nell'ambito degli accordi dell'alleanza atlantica, una struttura di resistenza predisposta per l'ipotesi di occupazione del territorio nazionale, la cui esistenza fu resa pubblica nel 1990 da una comunicazione del Presidente del Consiglio dei ministri alle Camere, e che fu successivamente oggetto di inchiesta parlamentare e di accertamenti giudiziari.</w:t>
      </w:r>
    </w:p>
    <w:p>
      <w:pPr>
        <w:spacing w:after="120" w:line="276"/>
        <w:jc w:val="both"/>
      </w:pPr>
      <w:r>
        <w:rPr>
          <w:rFonts w:ascii="Barlow Semi Condensed" w:cs="Barlow Semi Condensed" w:eastAsia="Barlow Semi Condensed" w:hAnsi="Barlow Semi Condensed"/>
          <w:b/>
          <w:bCs/>
          <w:sz w:val="24"/>
          <w:szCs w:val="24"/>
        </w:rPr>
        <w:t xml:space="preserve">Risulta accertato che nel 1981 fu rinvenuto un elenco di appartenenti a una loggia massonica coperta, e che una commissione parlamentare d'inchiesta ne accertò la natura e ne descrisse la composizione, che comprendeva appartenenti agli apparati di sicurezza, alle forze armate, alla magistratura, alla politica, alla finanza e all'informazione.</w:t>
      </w:r>
    </w:p>
    <w:p>
      <w:pPr>
        <w:pStyle w:val="Heading2"/>
        <w:spacing w:after="100" w:before="200"/>
      </w:pPr>
      <w:r>
        <w:rPr>
          <w:rFonts w:ascii="Barlow Semi Condensed" w:cs="Barlow Semi Condensed" w:eastAsia="Barlow Semi Condensed" w:hAnsi="Barlow Semi Condensed"/>
          <w:sz w:val="24"/>
          <w:szCs w:val="24"/>
        </w:rPr>
        <w:t xml:space="preserve">Come questi accertamenti vanno impiegati e come no</w:t>
      </w:r>
    </w:p>
    <w:p>
      <w:pPr>
        <w:spacing w:after="120" w:line="276"/>
        <w:jc w:val="both"/>
      </w:pPr>
      <w:r>
        <w:rPr>
          <w:rFonts w:ascii="Barlow Semi Condensed" w:cs="Barlow Semi Condensed" w:eastAsia="Barlow Semi Condensed" w:hAnsi="Barlow Semi Condensed"/>
          <w:b/>
          <w:bCs/>
          <w:sz w:val="24"/>
          <w:szCs w:val="24"/>
        </w:rPr>
        <w:t xml:space="preserve">Occorre ora dire, con la massima chiarezza, che cosa questi accertamenti autorizzino e che cosa non autorizzino.</w:t>
      </w:r>
    </w:p>
    <w:p>
      <w:pPr>
        <w:spacing w:after="120" w:line="276"/>
        <w:jc w:val="both"/>
      </w:pPr>
      <w:r>
        <w:rPr>
          <w:rFonts w:ascii="Barlow Semi Condensed" w:cs="Barlow Semi Condensed" w:eastAsia="Barlow Semi Condensed" w:hAnsi="Barlow Semi Condensed"/>
          <w:b/>
          <w:bCs/>
          <w:sz w:val="24"/>
          <w:szCs w:val="24"/>
        </w:rPr>
        <w:t xml:space="preserve">Autorizzano a ritenere accertato che negli anni precedenti al 1978 si verificarono, in Italia, episodi di deviazione di apparati, predisposizioni eversive, depistaggi di indagine e strutture riservate operanti al di fuori del circuito ordinario di responsabilità. Questo è documentato da sentenze e da relazioni parlamentari, e non è materia di opinione.</w:t>
      </w:r>
    </w:p>
    <w:p>
      <w:pPr>
        <w:spacing w:after="120" w:line="276"/>
        <w:jc w:val="both"/>
      </w:pPr>
      <w:r>
        <w:rPr>
          <w:rFonts w:ascii="Barlow Semi Condensed" w:cs="Barlow Semi Condensed" w:eastAsia="Barlow Semi Condensed" w:hAnsi="Barlow Semi Condensed"/>
          <w:b/>
          <w:bCs/>
          <w:sz w:val="24"/>
          <w:szCs w:val="24"/>
        </w:rPr>
        <w:t xml:space="preserve">Non autorizzano a inferire da ciò la partecipazione di quegli apparati o di quelle strutture al fatto del 1978. La deduzione — poiché essi deviarono allora, deviarono anche in questo — è precisamente il tipo di inferenza che il Capitolo undicesimo vieta: essa sostituisce alla prova di un atto la propensione desunta da atti diversi.</w:t>
      </w:r>
    </w:p>
    <w:p>
      <w:pPr>
        <w:spacing w:after="120" w:line="276"/>
        <w:jc w:val="both"/>
      </w:pPr>
      <w:r>
        <w:rPr>
          <w:rFonts w:ascii="Barlow Semi Condensed" w:cs="Barlow Semi Condensed" w:eastAsia="Barlow Semi Condensed" w:hAnsi="Barlow Semi Condensed"/>
          <w:b/>
          <w:bCs/>
          <w:sz w:val="24"/>
          <w:szCs w:val="24"/>
        </w:rPr>
        <w:t xml:space="preserve">La distinzione è difficile da tenere, e conviene dire perché. Chi abbia accertato che un apparato commise abusi in una serie di occasioni sente come artificioso il divieto di attribuirgliene un altro della medesima specie. Il sentimento è comprensibile e va resistito, perché è precisamente il meccanismo per il quale un accertamento vero produce, per estensione non controllata, una attribuzione falsa. Un accertamento vale per il fatto sul quale è stato compiuto.</w:t>
      </w:r>
    </w:p>
    <w:p>
      <w:pPr>
        <w:pStyle w:val="Heading2"/>
        <w:spacing w:after="100" w:before="200"/>
      </w:pPr>
      <w:r>
        <w:rPr>
          <w:rFonts w:ascii="Barlow Semi Condensed" w:cs="Barlow Semi Condensed" w:eastAsia="Barlow Semi Condensed" w:hAnsi="Barlow Semi Condensed"/>
          <w:sz w:val="24"/>
          <w:szCs w:val="24"/>
        </w:rPr>
        <w:t xml:space="preserve">Il modo corretto di impiegarli</w:t>
      </w:r>
    </w:p>
    <w:p>
      <w:pPr>
        <w:spacing w:after="120" w:line="276"/>
        <w:jc w:val="both"/>
      </w:pPr>
      <w:r>
        <w:rPr>
          <w:rFonts w:ascii="Barlow Semi Condensed" w:cs="Barlow Semi Condensed" w:eastAsia="Barlow Semi Condensed" w:hAnsi="Barlow Semi Condensed"/>
          <w:b/>
          <w:bCs/>
          <w:sz w:val="24"/>
          <w:szCs w:val="24"/>
        </w:rPr>
        <w:t xml:space="preserve">Vi è però un impiego legittimo, e va indicato perché è quello che le Fasi successive faranno.</w:t>
      </w:r>
    </w:p>
    <w:p>
      <w:pPr>
        <w:spacing w:after="120" w:line="276"/>
        <w:jc w:val="both"/>
      </w:pPr>
      <w:r>
        <w:rPr>
          <w:rFonts w:ascii="Barlow Semi Condensed" w:cs="Barlow Semi Condensed" w:eastAsia="Barlow Semi Condensed" w:hAnsi="Barlow Semi Condensed"/>
          <w:b/>
          <w:bCs/>
          <w:sz w:val="24"/>
          <w:szCs w:val="24"/>
        </w:rPr>
        <w:t xml:space="preserve">Gli accertamenti sul decennio anteriore stabiliscono che determinate condotte erano possibili nel contesto italiano di quegli anni, e che determinati soggetti avevano capacità operativa per compierle. Ciò abbassa la soglia di implausibilità di talune ipotesi: rende cioè non assurdo indagarle. Ma abbassare la soglia di implausibilità non è fornire una prova; e una ipotesi non assurda resta, finché non provata, una ipotesi.</w:t>
      </w:r>
    </w:p>
    <w:p>
      <w:pPr>
        <w:spacing w:after="120" w:line="276"/>
        <w:jc w:val="both"/>
      </w:pPr>
      <w:r>
        <w:rPr>
          <w:rFonts w:ascii="Barlow Semi Condensed" w:cs="Barlow Semi Condensed" w:eastAsia="Barlow Semi Condensed" w:hAnsi="Barlow Semi Condensed"/>
          <w:b/>
          <w:bCs/>
          <w:sz w:val="24"/>
          <w:szCs w:val="24"/>
        </w:rPr>
        <w:t xml:space="preserve">La Fase Quinta di quest'opera, dedicata alle omissioni, tornerà su questa materia con metodo diverso: non per inferire dal passato, ma per esaminare, atto per atto, le omissioni verificatesi durante i cinquantacinque giorni e dopo. Quello è il terreno sul quale la questione si decide, e non questo.</w:t>
      </w:r>
    </w:p>
    <w:p>
      <w:pPr>
        <w:pStyle w:val="Heading2"/>
        <w:spacing w:after="100" w:before="200"/>
      </w:pPr>
      <w:r>
        <w:rPr>
          <w:rFonts w:ascii="Barlow Semi Condensed" w:cs="Barlow Semi Condensed" w:eastAsia="Barlow Semi Condensed" w:hAnsi="Barlow Semi Condensed"/>
          <w:sz w:val="24"/>
          <w:szCs w:val="24"/>
        </w:rPr>
        <w:t xml:space="preserve">Capitolo diciassettesimo — Le ragioni dichiarate da chi compì l'azione</w:t>
      </w:r>
    </w:p>
    <w:p>
      <w:pPr>
        <w:spacing w:after="120" w:line="276"/>
        <w:jc w:val="both"/>
      </w:pPr>
      <w:r>
        <w:rPr>
          <w:rFonts w:ascii="Barlow Semi Condensed" w:cs="Barlow Semi Condensed" w:eastAsia="Barlow Semi Condensed" w:hAnsi="Barlow Semi Condensed"/>
          <w:b/>
          <w:bCs/>
          <w:sz w:val="24"/>
          <w:szCs w:val="24"/>
        </w:rPr>
        <w:t xml:space="preserve">Durante i cinquantacinque giorni, l'organizzazione che aveva compiuto il rapimento diffuse una serie di documenti nei quali esponeva le proprie ragioni. Essi costituiscono la sola fonte diretta esistente sul movente dichiarato, e vanno esaminati come tali: con attenzione a ciò che dicono, e con eguale attenzione allo statuto di ciò che dicono.</w:t>
      </w:r>
    </w:p>
    <w:p>
      <w:pPr>
        <w:pStyle w:val="Heading2"/>
        <w:spacing w:after="100" w:before="200"/>
      </w:pPr>
      <w:r>
        <w:rPr>
          <w:rFonts w:ascii="Barlow Semi Condensed" w:cs="Barlow Semi Condensed" w:eastAsia="Barlow Semi Condensed" w:hAnsi="Barlow Semi Condensed"/>
          <w:sz w:val="24"/>
          <w:szCs w:val="24"/>
        </w:rPr>
        <w:t xml:space="preserve">Lo statuto della fonte</w:t>
      </w:r>
    </w:p>
    <w:p>
      <w:pPr>
        <w:spacing w:after="120" w:line="276"/>
        <w:jc w:val="both"/>
      </w:pPr>
      <w:r>
        <w:rPr>
          <w:rFonts w:ascii="Barlow Semi Condensed" w:cs="Barlow Semi Condensed" w:eastAsia="Barlow Semi Condensed" w:hAnsi="Barlow Semi Condensed"/>
          <w:b/>
          <w:bCs/>
          <w:sz w:val="24"/>
          <w:szCs w:val="24"/>
        </w:rPr>
        <w:t xml:space="preserve">Un documento nel quale l'autore di un atto espone le proprie ragioni è una fonte diretta sulla dichiarazione e non sul movente. La differenza è capitale.</w:t>
      </w:r>
    </w:p>
    <w:p>
      <w:pPr>
        <w:spacing w:after="120" w:line="276"/>
        <w:jc w:val="both"/>
      </w:pPr>
      <w:r>
        <w:rPr>
          <w:rFonts w:ascii="Barlow Semi Condensed" w:cs="Barlow Semi Condensed" w:eastAsia="Barlow Semi Condensed" w:hAnsi="Barlow Semi Condensed"/>
          <w:b/>
          <w:bCs/>
          <w:sz w:val="24"/>
          <w:szCs w:val="24"/>
        </w:rPr>
        <w:t xml:space="preserve">Che quei documenti dicano ciò che dicono è accertato: essi esistono, furono diffusi, il loro testo è noto. Che le ragioni ivi esposte siano le ragioni effettive dell'atto è proposizione ulteriore, e non discende dalla prima. Chi compie un atto e ne dichiara le ragioni può dichiarare il vero; può dichiarare una parte del vero; può dichiarare ciò che gli conviene sia creduto; e può ignorare esso stesso le ragioni per le quali si trova a compierlo, se l'atto è stato concepito altrove.</w:t>
      </w:r>
    </w:p>
    <w:p>
      <w:pPr>
        <w:spacing w:after="120" w:line="276"/>
        <w:jc w:val="both"/>
      </w:pPr>
      <w:r>
        <w:rPr>
          <w:rFonts w:ascii="Barlow Semi Condensed" w:cs="Barlow Semi Condensed" w:eastAsia="Barlow Semi Condensed" w:hAnsi="Barlow Semi Condensed"/>
          <w:b/>
          <w:bCs/>
          <w:sz w:val="24"/>
          <w:szCs w:val="24"/>
        </w:rPr>
        <w:t xml:space="preserve">Questa quadruplice possibilità va tenuta aperta per tutta la trattazione, e non va chiusa né in un senso né nell'altro. Chiuderla nel senso della veridicità sarebbe ingenuo; chiuderla nel senso della falsità sarebbe altrettanto arbitrario, e produrrebbe l'effetto singolare di scartare la sola fonte diretta disponibile in nome di una ipotesi che non ha fonti dirette.</w:t>
      </w:r>
    </w:p>
    <w:p>
      <w:pPr>
        <w:pStyle w:val="Heading2"/>
        <w:spacing w:after="100" w:before="200"/>
      </w:pPr>
      <w:r>
        <w:rPr>
          <w:rFonts w:ascii="Barlow Semi Condensed" w:cs="Barlow Semi Condensed" w:eastAsia="Barlow Semi Condensed" w:hAnsi="Barlow Semi Condensed"/>
          <w:sz w:val="24"/>
          <w:szCs w:val="24"/>
        </w:rPr>
        <w:t xml:space="preserve">Il contenuto della dichiarazione</w:t>
      </w:r>
    </w:p>
    <w:p>
      <w:pPr>
        <w:spacing w:after="120" w:line="276"/>
        <w:jc w:val="both"/>
      </w:pPr>
      <w:r>
        <w:rPr>
          <w:rFonts w:ascii="Barlow Semi Condensed" w:cs="Barlow Semi Condensed" w:eastAsia="Barlow Semi Condensed" w:hAnsi="Barlow Semi Condensed"/>
          <w:b/>
          <w:bCs/>
          <w:sz w:val="24"/>
          <w:szCs w:val="24"/>
        </w:rPr>
        <w:t xml:space="preserve">Le ragioni esposte in quei documenti possono essere riassunte, senza tradirle, in tre proposizioni.</w:t>
      </w:r>
    </w:p>
    <w:p>
      <w:pPr>
        <w:spacing w:after="120" w:line="276"/>
        <w:jc w:val="both"/>
      </w:pPr>
      <w:r>
        <w:rPr>
          <w:rFonts w:ascii="Barlow Semi Condensed" w:cs="Barlow Semi Condensed" w:eastAsia="Barlow Semi Condensed" w:hAnsi="Barlow Semi Condensed"/>
          <w:b/>
          <w:bCs/>
          <w:sz w:val="24"/>
          <w:szCs w:val="24"/>
        </w:rPr>
        <w:t xml:space="preserve">La prima: che l'uomo rapito fosse individuato non come persona ma come funzione, e precisamente come il costruttore principale dell'assetto politico che si stava realizzando; l'azione era dunque diretta contro quell'assetto attraverso chi lo edificava.</w:t>
      </w:r>
    </w:p>
    <w:p>
      <w:pPr>
        <w:spacing w:after="120" w:line="276"/>
        <w:jc w:val="both"/>
      </w:pPr>
      <w:r>
        <w:rPr>
          <w:rFonts w:ascii="Barlow Semi Condensed" w:cs="Barlow Semi Condensed" w:eastAsia="Barlow Semi Condensed" w:hAnsi="Barlow Semi Condensed"/>
          <w:b/>
          <w:bCs/>
          <w:sz w:val="24"/>
          <w:szCs w:val="24"/>
        </w:rPr>
        <w:t xml:space="preserve">La seconda: che l'accordo fra il partito di maggioranza relativa e il partito comunista costituisse, agli occhi di chi scriveva, il completamento dell'integrazione di quest'ultimo nel sistema, e dunque la fine della sua funzione rivoluzionaria; l'azione era dunque diretta anche, e forse principalmente, contro il partito comunista.</w:t>
      </w:r>
    </w:p>
    <w:p>
      <w:pPr>
        <w:spacing w:after="120" w:line="276"/>
        <w:jc w:val="both"/>
      </w:pPr>
      <w:r>
        <w:rPr>
          <w:rFonts w:ascii="Barlow Semi Condensed" w:cs="Barlow Semi Condensed" w:eastAsia="Barlow Semi Condensed" w:hAnsi="Barlow Semi Condensed"/>
          <w:b/>
          <w:bCs/>
          <w:sz w:val="24"/>
          <w:szCs w:val="24"/>
        </w:rPr>
        <w:t xml:space="preserve">La terza: che l'operazione avesse carattere dimostrativo e volesse stabilire, mediante la sottrazione e il giudizio di un uomo di quel rango, che esisteva un potere alternativo a quello dello Stato.</w:t>
      </w:r>
    </w:p>
    <w:p>
      <w:pPr>
        <w:pStyle w:val="Heading2"/>
        <w:spacing w:after="100" w:before="200"/>
      </w:pPr>
      <w:r>
        <w:rPr>
          <w:rFonts w:ascii="Barlow Semi Condensed" w:cs="Barlow Semi Condensed" w:eastAsia="Barlow Semi Condensed" w:hAnsi="Barlow Semi Condensed"/>
          <w:sz w:val="24"/>
          <w:szCs w:val="24"/>
        </w:rPr>
        <w:t xml:space="preserve">La coerenza interna e il suo limite</w:t>
      </w:r>
    </w:p>
    <w:p>
      <w:pPr>
        <w:spacing w:after="120" w:line="276"/>
        <w:jc w:val="both"/>
      </w:pPr>
      <w:r>
        <w:rPr>
          <w:rFonts w:ascii="Barlow Semi Condensed" w:cs="Barlow Semi Condensed" w:eastAsia="Barlow Semi Condensed" w:hAnsi="Barlow Semi Condensed"/>
          <w:b/>
          <w:bCs/>
          <w:sz w:val="24"/>
          <w:szCs w:val="24"/>
        </w:rPr>
        <w:t xml:space="preserve">Occorre riconoscere che queste ragioni sono internamente coerenti, e che sono coerenti anche con la data prescelta. Un'azione concepita per colpire l'assetto nascente e per interrompere l'integrazione del partito comunista trova, nel giorno del voto di fiducia, il momento di massima efficacia dimostrativa.</w:t>
      </w:r>
    </w:p>
    <w:p>
      <w:pPr>
        <w:spacing w:after="120" w:line="276"/>
        <w:jc w:val="both"/>
      </w:pPr>
      <w:r>
        <w:rPr>
          <w:rFonts w:ascii="Barlow Semi Condensed" w:cs="Barlow Semi Condensed" w:eastAsia="Barlow Semi Condensed" w:hAnsi="Barlow Semi Condensed"/>
          <w:b/>
          <w:bCs/>
          <w:sz w:val="24"/>
          <w:szCs w:val="24"/>
        </w:rPr>
        <w:t xml:space="preserve">La coerenza interna è un dato e va registrato. Ma non è una prova, e conviene dire perché con esattezza. Una spiegazione coerente è una spiegazione che può essere vera; non è una spiegazione che debba esserlo. Molte spiegazioni coerenti sono state costruite sul medesimo fatto, e la coerenza non le discrimina.</w:t>
      </w:r>
    </w:p>
    <w:p>
      <w:pPr>
        <w:pStyle w:val="Heading2"/>
        <w:spacing w:after="100" w:before="200"/>
      </w:pPr>
      <w:r>
        <w:rPr>
          <w:rFonts w:ascii="Barlow Semi Condensed" w:cs="Barlow Semi Condensed" w:eastAsia="Barlow Semi Condensed" w:hAnsi="Barlow Semi Condensed"/>
          <w:sz w:val="24"/>
          <w:szCs w:val="24"/>
        </w:rPr>
        <w:t xml:space="preserve">Ciò che la dichiarazione non spiega</w:t>
      </w:r>
    </w:p>
    <w:p>
      <w:pPr>
        <w:spacing w:after="120" w:line="276"/>
        <w:jc w:val="both"/>
      </w:pPr>
      <w:r>
        <w:rPr>
          <w:rFonts w:ascii="Barlow Semi Condensed" w:cs="Barlow Semi Condensed" w:eastAsia="Barlow Semi Condensed" w:hAnsi="Barlow Semi Condensed"/>
          <w:b/>
          <w:bCs/>
          <w:sz w:val="24"/>
          <w:szCs w:val="24"/>
        </w:rPr>
        <w:t xml:space="preserve">Vi è infine una osservazione che va fatta e che appartiene alla materia di questa Fase, sebbene i suoi elementi appartengano alle Fasi successive.</w:t>
      </w:r>
    </w:p>
    <w:p>
      <w:pPr>
        <w:spacing w:after="120" w:line="276"/>
        <w:jc w:val="both"/>
      </w:pPr>
      <w:r>
        <w:rPr>
          <w:rFonts w:ascii="Barlow Semi Condensed" w:cs="Barlow Semi Condensed" w:eastAsia="Barlow Semi Condensed" w:hAnsi="Barlow Semi Condensed"/>
          <w:b/>
          <w:bCs/>
          <w:sz w:val="24"/>
          <w:szCs w:val="24"/>
        </w:rPr>
        <w:t xml:space="preserve">La dichiarazione di movente non copre tutto ciò che l'azione richiese. Essa spiega la scelta del bersaglio e la scelta del momento; non spiega, di per sé, il livello di preparazione operativa che l'azione manifestò, né alcune circostanze relative allo svolgimento e alla successiva gestione dei cinquantacinque giorni sulle quali le sedi istituzionali hanno espresso valutazioni non concordi.</w:t>
      </w:r>
    </w:p>
    <w:p>
      <w:pPr>
        <w:spacing w:after="120" w:line="276"/>
        <w:jc w:val="both"/>
      </w:pPr>
      <w:r>
        <w:rPr>
          <w:rFonts w:ascii="Barlow Semi Condensed" w:cs="Barlow Semi Condensed" w:eastAsia="Barlow Semi Condensed" w:hAnsi="Barlow Semi Condensed"/>
          <w:b/>
          <w:bCs/>
          <w:sz w:val="24"/>
          <w:szCs w:val="24"/>
        </w:rPr>
        <w:t xml:space="preserve">Su questo scarto — fra ciò che il movente dichiarato spiega e ciò che l'azione richiese — si è costruita la maggior parte delle ipotesi alternative. Lo scarto è reale e sarà misurato nelle Fasi Terza e Sesta, che ne hanno la competenza. Qui si registra la sua esistenza e non se ne traggono conseguenze, perché uno scarto è una domanda e non una risposta.</w:t>
      </w:r>
    </w:p>
    <w:p>
      <w:pPr>
        <w:pStyle w:val="Heading2"/>
        <w:spacing w:after="100" w:before="200"/>
      </w:pPr>
      <w:r>
        <w:rPr>
          <w:rFonts w:ascii="Barlow Semi Condensed" w:cs="Barlow Semi Condensed" w:eastAsia="Barlow Semi Condensed" w:hAnsi="Barlow Semi Condensed"/>
          <w:sz w:val="24"/>
          <w:szCs w:val="24"/>
        </w:rPr>
        <w:t xml:space="preserve">Capitolo diciottesimo — Le ragioni attribuite: rassegna delle ipotesi altrui</w:t>
      </w:r>
    </w:p>
    <w:p>
      <w:pPr>
        <w:spacing w:after="120" w:line="276"/>
        <w:jc w:val="both"/>
      </w:pPr>
      <w:r>
        <w:rPr>
          <w:rFonts w:ascii="Barlow Semi Condensed" w:cs="Barlow Semi Condensed" w:eastAsia="Barlow Semi Condensed" w:hAnsi="Barlow Semi Condensed"/>
          <w:b/>
          <w:bCs/>
          <w:sz w:val="24"/>
          <w:szCs w:val="24"/>
        </w:rPr>
        <w:t xml:space="preserve">Si censiscono qui le ipotesi sul movente formulate da altri in quasi cinquant'anni. Ciascuna è riportata con la qualificazione che i suoi autori vi hanno apposta, e non con una migliore. Nessuna è fatta propria dall'opera.</w:t>
      </w:r>
    </w:p>
    <w:p>
      <w:pPr>
        <w:spacing w:after="120" w:line="276"/>
        <w:jc w:val="both"/>
      </w:pPr>
      <w:r>
        <w:rPr>
          <w:rFonts w:ascii="Barlow Semi Condensed" w:cs="Barlow Semi Condensed" w:eastAsia="Barlow Semi Condensed" w:hAnsi="Barlow Semi Condensed"/>
          <w:b/>
          <w:bCs/>
          <w:sz w:val="24"/>
          <w:szCs w:val="24"/>
        </w:rPr>
        <w:t xml:space="preserve">La rassegna è ordinata per genere e non per merito, e l'ordine non esprime graduatoria.</w:t>
      </w:r>
    </w:p>
    <w:p>
      <w:pPr>
        <w:pStyle w:val="Heading2"/>
        <w:spacing w:after="100" w:before="200"/>
      </w:pPr>
      <w:r>
        <w:rPr>
          <w:rFonts w:ascii="Barlow Semi Condensed" w:cs="Barlow Semi Condensed" w:eastAsia="Barlow Semi Condensed" w:hAnsi="Barlow Semi Condensed"/>
          <w:sz w:val="24"/>
          <w:szCs w:val="24"/>
        </w:rPr>
        <w:t xml:space="preserve">Primo genere: le ipotesi che accolgono il movente dichiarato</w:t>
      </w:r>
    </w:p>
    <w:p>
      <w:pPr>
        <w:spacing w:after="120" w:line="276"/>
        <w:jc w:val="both"/>
      </w:pPr>
      <w:r>
        <w:rPr>
          <w:rFonts w:ascii="Barlow Semi Condensed" w:cs="Barlow Semi Condensed" w:eastAsia="Barlow Semi Condensed" w:hAnsi="Barlow Semi Condensed"/>
          <w:b/>
          <w:bCs/>
          <w:sz w:val="24"/>
          <w:szCs w:val="24"/>
        </w:rPr>
        <w:t xml:space="preserve">Un primo insieme di ricostruzioni accoglie sostanzialmente le ragioni esposte da chi compì l'azione, e ritiene che l'operazione sia stata concepita, decisa ed eseguita dall'organizzazione che la rivendicò, secondo le finalità che essa dichiarò.</w:t>
      </w:r>
    </w:p>
    <w:p>
      <w:pPr>
        <w:spacing w:after="120" w:line="276"/>
        <w:jc w:val="both"/>
      </w:pPr>
      <w:r>
        <w:rPr>
          <w:rFonts w:ascii="Barlow Semi Condensed" w:cs="Barlow Semi Condensed" w:eastAsia="Barlow Semi Condensed" w:hAnsi="Barlow Semi Condensed"/>
          <w:b/>
          <w:bCs/>
          <w:sz w:val="24"/>
          <w:szCs w:val="24"/>
        </w:rPr>
        <w:t xml:space="preserve">Questa posizione è quella prevalente negli esiti giudiziari: i procedimenti hanno accertato responsabilità individuali di appartenenti a quella organizzazione, e hanno ricostruito l'azione come opera di essa. Va detto con precisione che cosa ciò significhi: le sentenze accertano chi commise i fatti, e in ciò hanno autorità piena. Sul movente ultimo esse si pronunciano nella misura in cui esso rileva per l'imputazione, e non oltre; l'accertamento giudiziario non è, e non pretende di essere, una ricostruzione storica esaustiva.</w:t>
      </w:r>
    </w:p>
    <w:p>
      <w:pPr>
        <w:pStyle w:val="Heading2"/>
        <w:spacing w:after="100" w:before="200"/>
      </w:pPr>
      <w:r>
        <w:rPr>
          <w:rFonts w:ascii="Barlow Semi Condensed" w:cs="Barlow Semi Condensed" w:eastAsia="Barlow Semi Condensed" w:hAnsi="Barlow Semi Condensed"/>
          <w:sz w:val="24"/>
          <w:szCs w:val="24"/>
        </w:rPr>
        <w:t xml:space="preserve">Secondo genere: le ipotesi del concorso esterno</w:t>
      </w:r>
    </w:p>
    <w:p>
      <w:pPr>
        <w:spacing w:after="120" w:line="276"/>
        <w:jc w:val="both"/>
      </w:pPr>
      <w:r>
        <w:rPr>
          <w:rFonts w:ascii="Barlow Semi Condensed" w:cs="Barlow Semi Condensed" w:eastAsia="Barlow Semi Condensed" w:hAnsi="Barlow Semi Condensed"/>
          <w:b/>
          <w:bCs/>
          <w:sz w:val="24"/>
          <w:szCs w:val="24"/>
        </w:rPr>
        <w:t xml:space="preserve">Un secondo insieme ritiene che l'organizzazione abbia concepito ed eseguito l'azione, ma che vi sia stato, in una o più fasi, un concorso esterno: informativo, logistico, o consistente in omissioni deliberate da parte di chi avrebbe dovuto impedire o interrompere.</w:t>
      </w:r>
    </w:p>
    <w:p>
      <w:pPr>
        <w:spacing w:after="120" w:line="276"/>
        <w:jc w:val="both"/>
      </w:pPr>
      <w:r>
        <w:rPr>
          <w:rFonts w:ascii="Barlow Semi Condensed" w:cs="Barlow Semi Condensed" w:eastAsia="Barlow Semi Condensed" w:hAnsi="Barlow Semi Condensed"/>
          <w:b/>
          <w:bCs/>
          <w:sz w:val="24"/>
          <w:szCs w:val="24"/>
        </w:rPr>
        <w:t xml:space="preserve">Questo genere si distingue in due sottospecie che è essenziale non confondere. La prima ipotizza un concorso attivo: qualcuno fornì. La seconda ipotizza un concorso omissivo: qualcuno non fece ciò che doveva. Le due proposizioni hanno statuti probatori diversissimi. La prima richiede la prova di una condotta positiva ed è la più difficile da dimostrare. La seconda richiede la prova che un dovere esistesse, che non fu adempiuto, e che l'inadempimento non sia spiegabile con l'errore o l'inefficienza; ed è, per la sua natura, più accessibile alla documentazione, perché le omissioni lasciano tracce negli atti d'ufficio.</w:t>
      </w:r>
    </w:p>
    <w:p>
      <w:pPr>
        <w:spacing w:after="120" w:line="276"/>
        <w:jc w:val="both"/>
      </w:pPr>
      <w:r>
        <w:rPr>
          <w:rFonts w:ascii="Barlow Semi Condensed" w:cs="Barlow Semi Condensed" w:eastAsia="Barlow Semi Condensed" w:hAnsi="Barlow Semi Condensed"/>
          <w:b/>
          <w:bCs/>
          <w:sz w:val="24"/>
          <w:szCs w:val="24"/>
        </w:rPr>
        <w:t xml:space="preserve">Su questo secondo terreno si sono concentrate le commissioni parlamentari, e in particolare l'ultima, che ha dichiarato aperte alcune linee di indagine relative a comportamenti di apparati durante i cinquantacinque giorni. La materia appartiene alla Fase Quinta e vi sarà trattata analiticamente.</w:t>
      </w:r>
    </w:p>
    <w:p>
      <w:pPr>
        <w:pStyle w:val="Heading2"/>
        <w:spacing w:after="100" w:before="200"/>
      </w:pPr>
      <w:r>
        <w:rPr>
          <w:rFonts w:ascii="Barlow Semi Condensed" w:cs="Barlow Semi Condensed" w:eastAsia="Barlow Semi Condensed" w:hAnsi="Barlow Semi Condensed"/>
          <w:sz w:val="24"/>
          <w:szCs w:val="24"/>
        </w:rPr>
        <w:t xml:space="preserve">Terzo genere: le ipotesi della regia esterna</w:t>
      </w:r>
    </w:p>
    <w:p>
      <w:pPr>
        <w:spacing w:after="120" w:line="276"/>
        <w:jc w:val="both"/>
      </w:pPr>
      <w:r>
        <w:rPr>
          <w:rFonts w:ascii="Barlow Semi Condensed" w:cs="Barlow Semi Condensed" w:eastAsia="Barlow Semi Condensed" w:hAnsi="Barlow Semi Condensed"/>
          <w:b/>
          <w:bCs/>
          <w:sz w:val="24"/>
          <w:szCs w:val="24"/>
        </w:rPr>
        <w:t xml:space="preserve">Un terzo insieme ritiene che l'organizzazione sia stata, in tutto o in parte e con o senza consapevolezza dei suoi militanti, strumento di una volontà esterna: di apparati nazionali, di servizi stranieri dell'uno o dell'altro blocco, o di combinazioni fra essi.</w:t>
      </w:r>
    </w:p>
    <w:p>
      <w:pPr>
        <w:spacing w:after="120" w:line="276"/>
        <w:jc w:val="both"/>
      </w:pPr>
      <w:r>
        <w:rPr>
          <w:rFonts w:ascii="Barlow Semi Condensed" w:cs="Barlow Semi Condensed" w:eastAsia="Barlow Semi Condensed" w:hAnsi="Barlow Semi Condensed"/>
          <w:b/>
          <w:bCs/>
          <w:sz w:val="24"/>
          <w:szCs w:val="24"/>
        </w:rPr>
        <w:t xml:space="preserve">Queste ipotesi sono numerose e differiscono fra loro per il soggetto indicato. Esse condividono una struttura argomentativa comune, che conviene descrivere perché è la medesima e ne consente una valutazione unitaria: partono dallo scarto segnalato alla fine del Capitolo diciassettesimo — l'azione richiese più di quanto il movente dichiarato spieghi — e colmano lo scarto con un soggetto ulteriore.</w:t>
      </w:r>
    </w:p>
    <w:p>
      <w:pPr>
        <w:spacing w:after="120" w:line="276"/>
        <w:jc w:val="both"/>
      </w:pPr>
      <w:r>
        <w:rPr>
          <w:rFonts w:ascii="Barlow Semi Condensed" w:cs="Barlow Semi Condensed" w:eastAsia="Barlow Semi Condensed" w:hAnsi="Barlow Semi Condensed"/>
          <w:b/>
          <w:bCs/>
          <w:sz w:val="24"/>
          <w:szCs w:val="24"/>
        </w:rPr>
        <w:t xml:space="preserve">La struttura ha una debolezza intrinseca che va nominata senza acrimonia, perché non riguarda la buona fede di chi la impiega. Lo scarto è reale, ma uno scarto non seleziona il proprio riempimento: qualunque soggetto sufficientemente capace può colmarlo, e la scelta fra i candidati non viene dallo scarto ma da altrove — quasi sempre dalla convinzione politica di chi ricostruisce. Ne segue che ricostruzioni con soggetti opposti risultano ugualmente compatibili con lo stesso scarto, il che è il segno che lo scarto non discrimina.</w:t>
      </w:r>
    </w:p>
    <w:p>
      <w:pPr>
        <w:spacing w:after="120" w:line="276"/>
        <w:jc w:val="both"/>
      </w:pPr>
      <w:r>
        <w:rPr>
          <w:rFonts w:ascii="Barlow Semi Condensed" w:cs="Barlow Semi Condensed" w:eastAsia="Barlow Semi Condensed" w:hAnsi="Barlow Semi Condensed"/>
          <w:b/>
          <w:bCs/>
          <w:sz w:val="24"/>
          <w:szCs w:val="24"/>
        </w:rPr>
        <w:t xml:space="preserve">Ciò non le rende false. Le rende non provate dallo scarto, che è cosa diversa. Ciascuna di esse dovrà essere provata, se lo sarà, da atti propri e indipendenti.</w:t>
      </w:r>
    </w:p>
    <w:p>
      <w:pPr>
        <w:pStyle w:val="Heading2"/>
        <w:spacing w:after="100" w:before="200"/>
      </w:pPr>
      <w:r>
        <w:rPr>
          <w:rFonts w:ascii="Barlow Semi Condensed" w:cs="Barlow Semi Condensed" w:eastAsia="Barlow Semi Condensed" w:hAnsi="Barlow Semi Condensed"/>
          <w:sz w:val="24"/>
          <w:szCs w:val="24"/>
        </w:rPr>
        <w:t xml:space="preserve">Quarto genere: le ipotesi del non impedimento consapevole</w:t>
      </w:r>
    </w:p>
    <w:p>
      <w:pPr>
        <w:spacing w:after="120" w:line="276"/>
        <w:jc w:val="both"/>
      </w:pPr>
      <w:r>
        <w:rPr>
          <w:rFonts w:ascii="Barlow Semi Condensed" w:cs="Barlow Semi Condensed" w:eastAsia="Barlow Semi Condensed" w:hAnsi="Barlow Semi Condensed"/>
          <w:b/>
          <w:bCs/>
          <w:sz w:val="24"/>
          <w:szCs w:val="24"/>
        </w:rPr>
        <w:t xml:space="preserve">Un quarto insieme, distinto dal secondo per grado e non per natura, ritiene che l'azione sia stata dell'organizzazione, che nessun concorso vi sia stato nella sua esecuzione, ma che, una volta avviata, taluni ne abbiano consapevolmente favorito l'esito lasciando che si compisse.</w:t>
      </w:r>
    </w:p>
    <w:p>
      <w:pPr>
        <w:spacing w:after="120" w:line="276"/>
        <w:jc w:val="both"/>
      </w:pPr>
      <w:r>
        <w:rPr>
          <w:rFonts w:ascii="Barlow Semi Condensed" w:cs="Barlow Semi Condensed" w:eastAsia="Barlow Semi Condensed" w:hAnsi="Barlow Semi Condensed"/>
          <w:b/>
          <w:bCs/>
          <w:sz w:val="24"/>
          <w:szCs w:val="24"/>
        </w:rPr>
        <w:t xml:space="preserve">Questa ipotesi ha il pregio, dal punto di vista probatorio, di essere verificabile su documenti: essa predice omissioni determinate in momenti determinati, e le omissioni sono documentabili. È dunque, fra tutte, quella che più si presta all'istruttoria; ed è quella sulla quale la Fase Quinta concentrerà il lavoro.</w:t>
      </w:r>
    </w:p>
    <w:p>
      <w:pPr>
        <w:pStyle w:val="Heading2"/>
        <w:spacing w:after="100" w:before="200"/>
      </w:pPr>
      <w:r>
        <w:rPr>
          <w:rFonts w:ascii="Barlow Semi Condensed" w:cs="Barlow Semi Condensed" w:eastAsia="Barlow Semi Condensed" w:hAnsi="Barlow Semi Condensed"/>
          <w:sz w:val="24"/>
          <w:szCs w:val="24"/>
        </w:rPr>
        <w:t xml:space="preserve">Avvertenza sulla rassegna</w:t>
      </w:r>
    </w:p>
    <w:p>
      <w:pPr>
        <w:spacing w:after="120" w:line="276"/>
        <w:jc w:val="both"/>
      </w:pPr>
      <w:r>
        <w:rPr>
          <w:rFonts w:ascii="Barlow Semi Condensed" w:cs="Barlow Semi Condensed" w:eastAsia="Barlow Semi Condensed" w:hAnsi="Barlow Semi Condensed"/>
          <w:b/>
          <w:bCs/>
          <w:sz w:val="24"/>
          <w:szCs w:val="24"/>
        </w:rPr>
        <w:t xml:space="preserve">Si avverte che questa rassegna è ordinata per genere e non pretende completezza nominale. Le ricostruzioni pubblicate su questa materia si contano a centinaia, e molte differiscono fra loro per dettagli che non modificano il genere di appartenenza. L'opera si riserva di censire analiticamente, nella Fase Settima, le singole ricostruzioni con i loro autori e i loro estremi.</w:t>
      </w:r>
    </w:p>
    <w:p>
      <w:pPr>
        <w:spacing w:after="120" w:line="276"/>
        <w:jc w:val="both"/>
      </w:pPr>
      <w:r>
        <w:rPr>
          <w:rFonts w:ascii="Barlow Semi Condensed" w:cs="Barlow Semi Condensed" w:eastAsia="Barlow Semi Condensed" w:hAnsi="Barlow Semi Condensed"/>
          <w:b/>
          <w:bCs/>
          <w:sz w:val="24"/>
          <w:szCs w:val="24"/>
        </w:rPr>
        <w:t xml:space="preserve">Si avverte inoltre che nessuna delle ipotesi qui censite è fatta propria, e che il loro censimento non è una graduatoria di verosimiglianza. Censire una ipotesi significa registrare che è stata formulata: nulla di più.</w:t>
      </w:r>
    </w:p>
    <w:p>
      <w:pPr>
        <w:pStyle w:val="Heading2"/>
        <w:spacing w:after="100" w:before="200"/>
      </w:pPr>
      <w:r>
        <w:rPr>
          <w:rFonts w:ascii="Barlow Semi Condensed" w:cs="Barlow Semi Condensed" w:eastAsia="Barlow Semi Condensed" w:hAnsi="Barlow Semi Condensed"/>
          <w:sz w:val="24"/>
          <w:szCs w:val="24"/>
        </w:rPr>
        <w:t xml:space="preserve">Capitolo diciannovesimo — La matrice delle ipotesi concorrenti</w:t>
      </w:r>
    </w:p>
    <w:p>
      <w:pPr>
        <w:spacing w:after="120" w:line="276"/>
        <w:jc w:val="both"/>
      </w:pPr>
      <w:r>
        <w:rPr>
          <w:rFonts w:ascii="Barlow Semi Condensed" w:cs="Barlow Semi Condensed" w:eastAsia="Barlow Semi Condensed" w:hAnsi="Barlow Semi Condensed"/>
          <w:b/>
          <w:bCs/>
          <w:sz w:val="24"/>
          <w:szCs w:val="24"/>
        </w:rPr>
        <w:t xml:space="preserve">Si costruisce qui la matrice prescritta dal metodo. Per ciascuno dei quattro generi di ipotesi si valuta il rapporto con le evidenze disponibili, e per ciascuna evidenza si dice se essa sia coerente, incoerente o neutra rispetto a quel genere.</w:t>
      </w:r>
    </w:p>
    <w:p>
      <w:pPr>
        <w:spacing w:after="120" w:line="276"/>
        <w:jc w:val="both"/>
      </w:pPr>
      <w:r>
        <w:rPr>
          <w:rFonts w:ascii="Barlow Semi Condensed" w:cs="Barlow Semi Condensed" w:eastAsia="Barlow Semi Condensed" w:hAnsi="Barlow Semi Condensed"/>
          <w:b/>
          <w:bCs/>
          <w:sz w:val="24"/>
          <w:szCs w:val="24"/>
        </w:rPr>
        <w:t xml:space="preserve">Si ricorda la regola: non vince l'ipotesi più sostenuta, ma quella meno contraddetta.</w:t>
      </w:r>
    </w:p>
    <w:p>
      <w:pPr>
        <w:pStyle w:val="Heading2"/>
        <w:spacing w:after="100" w:before="200"/>
      </w:pPr>
      <w:r>
        <w:rPr>
          <w:rFonts w:ascii="Barlow Semi Condensed" w:cs="Barlow Semi Condensed" w:eastAsia="Barlow Semi Condensed" w:hAnsi="Barlow Semi Condensed"/>
          <w:sz w:val="24"/>
          <w:szCs w:val="24"/>
        </w:rPr>
        <w:t xml:space="preserve">Le evidenze impiegate</w:t>
      </w:r>
    </w:p>
    <w:p>
      <w:pPr>
        <w:spacing w:after="120" w:line="276"/>
        <w:jc w:val="both"/>
      </w:pPr>
      <w:r>
        <w:rPr>
          <w:rFonts w:ascii="Barlow Semi Condensed" w:cs="Barlow Semi Condensed" w:eastAsia="Barlow Semi Condensed" w:hAnsi="Barlow Semi Condensed"/>
          <w:b/>
          <w:bCs/>
          <w:sz w:val="24"/>
          <w:szCs w:val="24"/>
        </w:rPr>
        <w:t xml:space="preserve">Si impiegano sette evidenze, tutte accertate e nessuna controversa quanto alla propria esistenza.</w:t>
      </w:r>
    </w:p>
    <w:p>
      <w:pPr>
        <w:spacing w:after="120" w:line="276"/>
        <w:jc w:val="both"/>
      </w:pPr>
      <w:r>
        <w:rPr>
          <w:rFonts w:ascii="Barlow Semi Condensed" w:cs="Barlow Semi Condensed" w:eastAsia="Barlow Semi Condensed" w:hAnsi="Barlow Semi Condensed"/>
          <w:b/>
          <w:bCs/>
          <w:sz w:val="24"/>
          <w:szCs w:val="24"/>
        </w:rPr>
        <w:t xml:space="preserve">Prima: l'esistenza e il contenuto dei documenti diffusi dall'organizzazione durante i cinquantacinque giorni.</w:t>
      </w:r>
    </w:p>
    <w:p>
      <w:pPr>
        <w:spacing w:after="120" w:line="276"/>
        <w:jc w:val="both"/>
      </w:pPr>
      <w:r>
        <w:rPr>
          <w:rFonts w:ascii="Barlow Semi Condensed" w:cs="Barlow Semi Condensed" w:eastAsia="Barlow Semi Condensed" w:hAnsi="Barlow Semi Condensed"/>
          <w:b/>
          <w:bCs/>
          <w:sz w:val="24"/>
          <w:szCs w:val="24"/>
        </w:rPr>
        <w:t xml:space="preserve">Seconda: gli esiti giudiziari, che hanno accertato responsabilità individuali di appartenenti all'organizzazione.</w:t>
      </w:r>
    </w:p>
    <w:p>
      <w:pPr>
        <w:spacing w:after="120" w:line="276"/>
        <w:jc w:val="both"/>
      </w:pPr>
      <w:r>
        <w:rPr>
          <w:rFonts w:ascii="Barlow Semi Condensed" w:cs="Barlow Semi Condensed" w:eastAsia="Barlow Semi Condensed" w:hAnsi="Barlow Semi Condensed"/>
          <w:b/>
          <w:bCs/>
          <w:sz w:val="24"/>
          <w:szCs w:val="24"/>
        </w:rPr>
        <w:t xml:space="preserve">Terza: la coincidenza fra il giorno dell'azione e il giorno del voto di fiducia.</w:t>
      </w:r>
    </w:p>
    <w:p>
      <w:pPr>
        <w:spacing w:after="120" w:line="276"/>
        <w:jc w:val="both"/>
      </w:pPr>
      <w:r>
        <w:rPr>
          <w:rFonts w:ascii="Barlow Semi Condensed" w:cs="Barlow Semi Condensed" w:eastAsia="Barlow Semi Condensed" w:hAnsi="Barlow Semi Condensed"/>
          <w:b/>
          <w:bCs/>
          <w:sz w:val="24"/>
          <w:szCs w:val="24"/>
        </w:rPr>
        <w:t xml:space="preserve">Quarta: il livello di preparazione operativa manifestato dall'azione di via Fani.</w:t>
      </w:r>
    </w:p>
    <w:p>
      <w:pPr>
        <w:spacing w:after="120" w:line="276"/>
        <w:jc w:val="both"/>
      </w:pPr>
      <w:r>
        <w:rPr>
          <w:rFonts w:ascii="Barlow Semi Condensed" w:cs="Barlow Semi Condensed" w:eastAsia="Barlow Semi Condensed" w:hAnsi="Barlow Semi Condensed"/>
          <w:b/>
          <w:bCs/>
          <w:sz w:val="24"/>
          <w:szCs w:val="24"/>
        </w:rPr>
        <w:t xml:space="preserve">Quinta: le omissioni verificatesi durante i cinquantacinque giorni, per la parte in cui esse sono state accertate dalle sedi istituzionali.</w:t>
      </w:r>
    </w:p>
    <w:p>
      <w:pPr>
        <w:spacing w:after="120" w:line="276"/>
        <w:jc w:val="both"/>
      </w:pPr>
      <w:r>
        <w:rPr>
          <w:rFonts w:ascii="Barlow Semi Condensed" w:cs="Barlow Semi Condensed" w:eastAsia="Barlow Semi Condensed" w:hAnsi="Barlow Semi Condensed"/>
          <w:b/>
          <w:bCs/>
          <w:sz w:val="24"/>
          <w:szCs w:val="24"/>
        </w:rPr>
        <w:t xml:space="preserve">Sesta: gli accertamenti relativi a deviazioni di apparati nel decennio anteriore.</w:t>
      </w:r>
    </w:p>
    <w:p>
      <w:pPr>
        <w:spacing w:after="120" w:line="276"/>
        <w:jc w:val="both"/>
      </w:pPr>
      <w:r>
        <w:rPr>
          <w:rFonts w:ascii="Barlow Semi Condensed" w:cs="Barlow Semi Condensed" w:eastAsia="Barlow Semi Condensed" w:hAnsi="Barlow Semi Condensed"/>
          <w:b/>
          <w:bCs/>
          <w:sz w:val="24"/>
          <w:szCs w:val="24"/>
        </w:rPr>
        <w:t xml:space="preserve">Settima: l'esito negativo della verifica statistica sull'addensamento degli eventi attorno alle scadenze europee, riferito al Capitolo tredicesimo.</w:t>
      </w:r>
    </w:p>
    <w:p>
      <w:pPr>
        <w:pStyle w:val="Heading2"/>
        <w:spacing w:after="100" w:before="200"/>
      </w:pPr>
      <w:r>
        <w:rPr>
          <w:rFonts w:ascii="Barlow Semi Condensed" w:cs="Barlow Semi Condensed" w:eastAsia="Barlow Semi Condensed" w:hAnsi="Barlow Semi Condensed"/>
          <w:sz w:val="24"/>
          <w:szCs w:val="24"/>
        </w:rPr>
        <w:t xml:space="preserve">La valutazione</w:t>
      </w:r>
    </w:p>
    <w:p>
      <w:pPr>
        <w:spacing w:after="120" w:line="276"/>
        <w:jc w:val="both"/>
      </w:pPr>
      <w:r>
        <w:rPr>
          <w:rFonts w:ascii="Barlow Semi Condensed" w:cs="Barlow Semi Condensed" w:eastAsia="Barlow Semi Condensed" w:hAnsi="Barlow Semi Condensed"/>
          <w:b/>
          <w:bCs/>
          <w:sz w:val="24"/>
          <w:szCs w:val="24"/>
        </w:rPr>
        <w:t xml:space="preserve">Rispetto al primo genere — movente dichiarato, esecuzione autonoma — la prima e la seconda evidenza sono coerenti; la terza è coerente; la sesta e la settima sono neutre; la quarta e la quinta sono in tensione, perché il genere deve spiegarle come effetto di capacità proprie e di inefficienza altrui, e tale spiegazione è possibile ma non è dimostrata.</w:t>
      </w:r>
    </w:p>
    <w:p>
      <w:pPr>
        <w:spacing w:after="120" w:line="276"/>
        <w:jc w:val="both"/>
      </w:pPr>
      <w:r>
        <w:rPr>
          <w:rFonts w:ascii="Barlow Semi Condensed" w:cs="Barlow Semi Condensed" w:eastAsia="Barlow Semi Condensed" w:hAnsi="Barlow Semi Condensed"/>
          <w:b/>
          <w:bCs/>
          <w:sz w:val="24"/>
          <w:szCs w:val="24"/>
        </w:rPr>
        <w:t xml:space="preserve">Rispetto al secondo genere — concorso esterno — la prima, la seconda, la terza e la quarta sono coerenti; la quinta è coerente e ne costituisce il sostegno principale; la sesta è coerente in senso debole, in quanto stabilisce possibilità e non atto; la settima è neutra. Non si registrano incoerenze dirette. Il genere resta però privo di prova positiva del concorso, e la sua compatibilità con le evidenze non equivale alla sua dimostrazione.</w:t>
      </w:r>
    </w:p>
    <w:p>
      <w:pPr>
        <w:spacing w:after="120" w:line="276"/>
        <w:jc w:val="both"/>
      </w:pPr>
      <w:r>
        <w:rPr>
          <w:rFonts w:ascii="Barlow Semi Condensed" w:cs="Barlow Semi Condensed" w:eastAsia="Barlow Semi Condensed" w:hAnsi="Barlow Semi Condensed"/>
          <w:b/>
          <w:bCs/>
          <w:sz w:val="24"/>
          <w:szCs w:val="24"/>
        </w:rPr>
        <w:t xml:space="preserve">Rispetto al terzo genere — regia esterna — la quarta e la quinta sono coerenti; la sesta è coerente in senso debole; la prima è in tensione, perché il genere deve trattare i documenti dell'organizzazione come costruiti o eterodiretti, il che è possibile ma richiede prova propria; la seconda è in tensione per la medesima ragione; la settima è incoerente rispetto alla sottospecie che indica una regia sovranazionale motivata dall'ostacolo all'integrazione europea, e la contraddice.</w:t>
      </w:r>
    </w:p>
    <w:p>
      <w:pPr>
        <w:spacing w:after="120" w:line="276"/>
        <w:jc w:val="both"/>
      </w:pPr>
      <w:r>
        <w:rPr>
          <w:rFonts w:ascii="Barlow Semi Condensed" w:cs="Barlow Semi Condensed" w:eastAsia="Barlow Semi Condensed" w:hAnsi="Barlow Semi Condensed"/>
          <w:b/>
          <w:bCs/>
          <w:sz w:val="24"/>
          <w:szCs w:val="24"/>
        </w:rPr>
        <w:t xml:space="preserve">Rispetto al quarto genere — non impedimento consapevole — la prima, la seconda, la terza e la quarta sono coerenti o neutre; la quinta è coerente e ne costituisce il sostegno principale; la sesta è coerente in senso debole; la settima è neutra. Non si registrano incoerenze dirette.</w:t>
      </w:r>
    </w:p>
    <w:p>
      <w:pPr>
        <w:pStyle w:val="Heading2"/>
        <w:spacing w:after="100" w:before="200"/>
      </w:pPr>
      <w:r>
        <w:rPr>
          <w:rFonts w:ascii="Barlow Semi Condensed" w:cs="Barlow Semi Condensed" w:eastAsia="Barlow Semi Condensed" w:hAnsi="Barlow Semi Condensed"/>
          <w:sz w:val="24"/>
          <w:szCs w:val="24"/>
        </w:rPr>
        <w:t xml:space="preserve">Ciò che la matrice restituisce</w:t>
      </w:r>
    </w:p>
    <w:p>
      <w:pPr>
        <w:spacing w:after="120" w:line="276"/>
        <w:jc w:val="both"/>
      </w:pPr>
      <w:r>
        <w:rPr>
          <w:rFonts w:ascii="Barlow Semi Condensed" w:cs="Barlow Semi Condensed" w:eastAsia="Barlow Semi Condensed" w:hAnsi="Barlow Semi Condensed"/>
          <w:b/>
          <w:bCs/>
          <w:sz w:val="24"/>
          <w:szCs w:val="24"/>
        </w:rPr>
        <w:t xml:space="preserve">La matrice restituisce tre risultati, e nessuno di essi è una conclusione sul movente.</w:t>
      </w:r>
    </w:p>
    <w:p>
      <w:pPr>
        <w:spacing w:after="120" w:line="276"/>
        <w:jc w:val="both"/>
      </w:pPr>
      <w:r>
        <w:rPr>
          <w:rFonts w:ascii="Barlow Semi Condensed" w:cs="Barlow Semi Condensed" w:eastAsia="Barlow Semi Condensed" w:hAnsi="Barlow Semi Condensed"/>
          <w:b/>
          <w:bCs/>
          <w:sz w:val="24"/>
          <w:szCs w:val="24"/>
        </w:rPr>
        <w:t xml:space="preserve">Primo risultato: nessuno dei quattro generi è escluso dalle evidenze disponibili. Il caso, allo stato degli atti che quest'opera ha potuto interrogare, non è risolto sul piano del movente.</w:t>
      </w:r>
    </w:p>
    <w:p>
      <w:pPr>
        <w:spacing w:after="120" w:line="276"/>
        <w:jc w:val="both"/>
      </w:pPr>
      <w:r>
        <w:rPr>
          <w:rFonts w:ascii="Barlow Semi Condensed" w:cs="Barlow Semi Condensed" w:eastAsia="Barlow Semi Condensed" w:hAnsi="Barlow Semi Condensed"/>
          <w:b/>
          <w:bCs/>
          <w:sz w:val="24"/>
          <w:szCs w:val="24"/>
        </w:rPr>
        <w:t xml:space="preserve">Secondo risultato: la settima evidenza discrimina, ed è la sola che discrimini. Essa contraddice una sottospecie determinata del terzo genere, e la esclude. È l'unico esito escludente prodotto da questa Fase, e va registrato con la dignità che gli compete: esso è stato ottenuto per verifica statistica e non per argomentazione, il che conferma che la discriminazione fra ipotesi si ottiene con misure e non con ragionamenti.</w:t>
      </w:r>
    </w:p>
    <w:p>
      <w:pPr>
        <w:spacing w:after="120" w:line="276"/>
        <w:jc w:val="both"/>
      </w:pPr>
      <w:r>
        <w:rPr>
          <w:rFonts w:ascii="Barlow Semi Condensed" w:cs="Barlow Semi Condensed" w:eastAsia="Barlow Semi Condensed" w:hAnsi="Barlow Semi Condensed"/>
          <w:b/>
          <w:bCs/>
          <w:sz w:val="24"/>
          <w:szCs w:val="24"/>
        </w:rPr>
        <w:t xml:space="preserve">Terzo risultato, e più importante per il lavoro futuro: la quinta evidenza — le omissioni accertate — è quella che ha il maggiore potere discriminante potenziale, perché è coerente con il secondo e con il quarto genere e in tensione con il primo. Essa è dunque il terreno sul quale la ricerca rende, ed è là che il lavoro deve concentrarsi.</w:t>
      </w:r>
    </w:p>
    <w:p>
      <w:pPr>
        <w:spacing w:after="120" w:line="276"/>
        <w:jc w:val="both"/>
      </w:pPr>
      <w:r>
        <w:rPr>
          <w:rFonts w:ascii="Barlow Semi Condensed" w:cs="Barlow Semi Condensed" w:eastAsia="Barlow Semi Condensed" w:hAnsi="Barlow Semi Condensed"/>
          <w:b/>
          <w:bCs/>
          <w:sz w:val="24"/>
          <w:szCs w:val="24"/>
        </w:rPr>
        <w:t xml:space="preserve">Si osservi che questo terzo risultato non dice che le omissioni provino il concorso: dice che, fra le evidenze disponibili, esse sono quelle il cui approfondimento può modificare la matrice. La pressione indica dove il lavoro rende, mai che cosa è vero.</w:t>
      </w:r>
    </w:p>
    <w:p>
      <w:pPr>
        <w:pStyle w:val="Heading2"/>
        <w:spacing w:after="100" w:before="200"/>
      </w:pPr>
      <w:r>
        <w:rPr>
          <w:rFonts w:ascii="Barlow Semi Condensed" w:cs="Barlow Semi Condensed" w:eastAsia="Barlow Semi Condensed" w:hAnsi="Barlow Semi Condensed"/>
          <w:sz w:val="24"/>
          <w:szCs w:val="24"/>
        </w:rPr>
        <w:t xml:space="preserve">Capitolo ventesimo — Bilancio della Fase Seconda</w:t>
      </w:r>
    </w:p>
    <w:p>
      <w:pPr>
        <w:spacing w:after="120" w:line="276"/>
        <w:jc w:val="both"/>
      </w:pPr>
      <w:r>
        <w:rPr>
          <w:rFonts w:ascii="Barlow Semi Condensed" w:cs="Barlow Semi Condensed" w:eastAsia="Barlow Semi Condensed" w:hAnsi="Barlow Semi Condensed"/>
          <w:b/>
          <w:bCs/>
          <w:sz w:val="24"/>
          <w:szCs w:val="24"/>
        </w:rPr>
        <w:t xml:space="preserve">Si chiude la Fase dichiarando ciò che essa ha stabilito, ciò che ha escluso, e ciò che consegna alle Fasi successive.</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il sistema politico italiano conosceva, dal 1947, una esclusione permanente del secondo partito del paese dalla responsabilità di governo; che tale esclusione non era disposta da norma alcuna; e che nel 1978 era in corso un passaggio che la modificava per la prima volta.</w:t>
      </w:r>
    </w:p>
    <w:p>
      <w:pPr>
        <w:spacing w:after="120" w:line="276"/>
        <w:jc w:val="both"/>
      </w:pPr>
      <w:r>
        <w:rPr>
          <w:rFonts w:ascii="Barlow Semi Condensed" w:cs="Barlow Semi Condensed" w:eastAsia="Barlow Semi Condensed" w:hAnsi="Barlow Semi Condensed"/>
          <w:b/>
          <w:bCs/>
          <w:sz w:val="24"/>
          <w:szCs w:val="24"/>
        </w:rPr>
        <w:t xml:space="preserve">È accertato che Aldo Moro era, dalla parte democristiana, l'artefice principale di quel passaggio.</w:t>
      </w:r>
    </w:p>
    <w:p>
      <w:pPr>
        <w:spacing w:after="120" w:line="276"/>
        <w:jc w:val="both"/>
      </w:pPr>
      <w:r>
        <w:rPr>
          <w:rFonts w:ascii="Barlow Semi Condensed" w:cs="Barlow Semi Condensed" w:eastAsia="Barlow Semi Condensed" w:hAnsi="Barlow Semi Condensed"/>
          <w:b/>
          <w:bCs/>
          <w:sz w:val="24"/>
          <w:szCs w:val="24"/>
        </w:rPr>
        <w:t xml:space="preserve">È accertato che il giorno del rapimento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È accertato che entrambe le superpotenze esercitavano forme documentate di influenza sulla politica italiana, e che entrambe osservavano con contrarietà, per ragioni opposte fra loro, l'operazione in corso.</w:t>
      </w:r>
    </w:p>
    <w:p>
      <w:pPr>
        <w:spacing w:after="120" w:line="276"/>
        <w:jc w:val="both"/>
      </w:pPr>
      <w:r>
        <w:rPr>
          <w:rFonts w:ascii="Barlow Semi Condensed" w:cs="Barlow Semi Condensed" w:eastAsia="Barlow Semi Condensed" w:hAnsi="Barlow Semi Condensed"/>
          <w:b/>
          <w:bCs/>
          <w:sz w:val="24"/>
          <w:szCs w:val="24"/>
        </w:rPr>
        <w:t xml:space="preserve">È accertato che il decennio anteriore conobbe, in Italia, episodi documentati di deviazione di apparati, predisposizioni eversive, depistaggi e strutture riservate operanti fuori dal circuito ordinario di responsabilità, come da sentenze e da relazioni di commissioni parlamentari d'inchiesta.</w:t>
      </w:r>
    </w:p>
    <w:p>
      <w:pPr>
        <w:spacing w:after="120" w:line="276"/>
        <w:jc w:val="both"/>
      </w:pPr>
      <w:r>
        <w:rPr>
          <w:rFonts w:ascii="Barlow Semi Condensed" w:cs="Barlow Semi Condensed" w:eastAsia="Barlow Semi Condensed" w:hAnsi="Barlow Semi Condensed"/>
          <w:b/>
          <w:bCs/>
          <w:sz w:val="24"/>
          <w:szCs w:val="24"/>
        </w:rPr>
        <w:t xml:space="preserve">È accertato che l'organizzazione che compì l'azione ne dichiarò pubblicamente le ragioni, e quali esse fossero.</w:t>
      </w:r>
    </w:p>
    <w:p>
      <w:pPr>
        <w:pStyle w:val="Heading2"/>
        <w:spacing w:after="100" w:before="200"/>
      </w:pPr>
      <w:r>
        <w:rPr>
          <w:rFonts w:ascii="Barlow Semi Condensed" w:cs="Barlow Semi Condensed" w:eastAsia="Barlow Semi Condensed" w:hAnsi="Barlow Semi Condensed"/>
          <w:sz w:val="24"/>
          <w:szCs w:val="24"/>
        </w:rPr>
        <w:t xml:space="preserve">Ciò che è escluso</w:t>
      </w:r>
    </w:p>
    <w:p>
      <w:pPr>
        <w:spacing w:after="120" w:line="276"/>
        <w:jc w:val="both"/>
      </w:pPr>
      <w:r>
        <w:rPr>
          <w:rFonts w:ascii="Barlow Semi Condensed" w:cs="Barlow Semi Condensed" w:eastAsia="Barlow Semi Condensed" w:hAnsi="Barlow Semi Condensed"/>
          <w:b/>
          <w:bCs/>
          <w:sz w:val="24"/>
          <w:szCs w:val="24"/>
        </w:rPr>
        <w:t xml:space="preserve">È escluso, per esito di verifica statistica riferito al Capitolo tredicesimo, che gli eventi stragisti italiani si addensino attorno alle scadenze del processo di integrazione europea. La sottospecie di ipotesi che su tale addensamento si fondava è dismessa.</w:t>
      </w:r>
    </w:p>
    <w:p>
      <w:pPr>
        <w:spacing w:after="120" w:line="276"/>
        <w:jc w:val="both"/>
      </w:pPr>
      <w:r>
        <w:rPr>
          <w:rFonts w:ascii="Barlow Semi Condensed" w:cs="Barlow Semi Condensed" w:eastAsia="Barlow Semi Condensed" w:hAnsi="Barlow Semi Condensed"/>
          <w:b/>
          <w:bCs/>
          <w:sz w:val="24"/>
          <w:szCs w:val="24"/>
        </w:rPr>
        <w:t xml:space="preserve">È il solo esito escludente della Fase, e si registra come tale.</w:t>
      </w:r>
    </w:p>
    <w:p>
      <w:pPr>
        <w:pStyle w:val="Heading2"/>
        <w:spacing w:after="100" w:before="200"/>
      </w:pPr>
      <w:r>
        <w:rPr>
          <w:rFonts w:ascii="Barlow Semi Condensed" w:cs="Barlow Semi Condensed" w:eastAsia="Barlow Semi Condensed" w:hAnsi="Barlow Semi Condensed"/>
          <w:sz w:val="24"/>
          <w:szCs w:val="24"/>
        </w:rPr>
        <w:t xml:space="preserve">Ciò che resta in stato di dubbio</w:t>
      </w:r>
    </w:p>
    <w:p>
      <w:pPr>
        <w:spacing w:after="120" w:line="276"/>
        <w:jc w:val="both"/>
      </w:pPr>
      <w:r>
        <w:rPr>
          <w:rFonts w:ascii="Barlow Semi Condensed" w:cs="Barlow Semi Condensed" w:eastAsia="Barlow Semi Condensed" w:hAnsi="Barlow Semi Condensed"/>
          <w:b/>
          <w:bCs/>
          <w:sz w:val="24"/>
          <w:szCs w:val="24"/>
        </w:rPr>
        <w:t xml:space="preserve">Resta in stato di dubbio il movente ultimo dell'azione, in tutte e quattro le sue formulazioni generiche.</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colleghi l'influenza documentata delle potenze straniere all'atto materiale, per entrambi i versanti.</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estenda al fatto del 1978 gli accertamenti relativi alle deviazioni del decennio anteriore.</w:t>
      </w:r>
    </w:p>
    <w:p>
      <w:pPr>
        <w:spacing w:after="120" w:line="276"/>
        <w:jc w:val="both"/>
      </w:pPr>
      <w:r>
        <w:rPr>
          <w:rFonts w:ascii="Barlow Semi Condensed" w:cs="Barlow Semi Condensed" w:eastAsia="Barlow Semi Condensed" w:hAnsi="Barlow Semi Condensed"/>
          <w:b/>
          <w:bCs/>
          <w:sz w:val="24"/>
          <w:szCs w:val="24"/>
        </w:rPr>
        <w:t xml:space="preserve">Per ciascuno di questi dubbi la condizione di scioglimento è stata indicata nel Capitolo che lo espone, e non si ripete qui.</w:t>
      </w:r>
    </w:p>
    <w:p>
      <w:pPr>
        <w:pStyle w:val="Heading2"/>
        <w:spacing w:after="100" w:before="200"/>
      </w:pPr>
      <w:r>
        <w:rPr>
          <w:rFonts w:ascii="Barlow Semi Condensed" w:cs="Barlow Semi Condensed" w:eastAsia="Barlow Semi Condensed" w:hAnsi="Barlow Semi Condensed"/>
          <w:sz w:val="24"/>
          <w:szCs w:val="24"/>
        </w:rPr>
        <w:t xml:space="preserve">Ciò che si consegna alle Fasi successive</w:t>
      </w:r>
    </w:p>
    <w:p>
      <w:pPr>
        <w:spacing w:after="120" w:line="276"/>
        <w:jc w:val="both"/>
      </w:pPr>
      <w:r>
        <w:rPr>
          <w:rFonts w:ascii="Barlow Semi Condensed" w:cs="Barlow Semi Condensed" w:eastAsia="Barlow Semi Condensed" w:hAnsi="Barlow Semi Condensed"/>
          <w:b/>
          <w:bCs/>
          <w:sz w:val="24"/>
          <w:szCs w:val="24"/>
        </w:rPr>
        <w:t xml:space="preserve">Si consegna alla Fase Terza lo scarto segnalato al Capitolo diciassettesimo: la misura di quanto l'azione di via Fani richiese, da confrontare con quanto il movente dichiarato spiega. Lo scarto è una domanda, e la Fase Terza ha la competenza per misurarla.</w:t>
      </w:r>
    </w:p>
    <w:p>
      <w:pPr>
        <w:spacing w:after="120" w:line="276"/>
        <w:jc w:val="both"/>
      </w:pPr>
      <w:r>
        <w:rPr>
          <w:rFonts w:ascii="Barlow Semi Condensed" w:cs="Barlow Semi Condensed" w:eastAsia="Barlow Semi Condensed" w:hAnsi="Barlow Semi Condensed"/>
          <w:b/>
          <w:bCs/>
          <w:sz w:val="24"/>
          <w:szCs w:val="24"/>
        </w:rPr>
        <w:t xml:space="preserve">Si consegna alla Fase Quinta la quinta evidenza della matrice, che il Capitolo diciannovesimo ha indicato come quella di maggiore potere discriminante: le omissioni accertate, da esaminare una per una, nella loro sede, con i loro estremi, e distinguendo in ciascuna ciò che è errore da ciò che non lo è.</w:t>
      </w:r>
    </w:p>
    <w:p>
      <w:pPr>
        <w:spacing w:after="120" w:line="276"/>
        <w:jc w:val="both"/>
      </w:pPr>
      <w:r>
        <w:rPr>
          <w:rFonts w:ascii="Barlow Semi Condensed" w:cs="Barlow Semi Condensed" w:eastAsia="Barlow Semi Condensed" w:hAnsi="Barlow Semi Condensed"/>
          <w:b/>
          <w:bCs/>
          <w:sz w:val="24"/>
          <w:szCs w:val="24"/>
        </w:rPr>
        <w:t xml:space="preserve">Si consegna alla Fase Sesta la distinzione fra i tre livelli di responsabilità — chi eseguì, chi organizzò, chi volle — che questa Fase ha tenuti indistinti perché trattava le ragioni e non gli attori.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Seconda, le ragioni. Materia: quadro interno, quadro internazionale, condizione del paese, accertamenti sul decennio anteriore, movente dichiarato, movente attribuito, matrice delle ipotesi concorrenti. Esito: sei acquisizioni in stato di sciolto quanto al contesto; una esclusione; quattro generi di ipotesi tutti compatibili con le evidenze disponibili e nessuno provato; individuazione del terreno di massimo rendimento istruttorio nelle omissioni accertate.</w:t>
      </w:r>
    </w:p>
    <w:p>
      <w:pPr>
        <w:spacing w:after="120" w:line="276"/>
        <w:jc w:val="both"/>
      </w:pPr>
      <w:r>
        <w:rPr>
          <w:rFonts w:ascii="Barlow Semi Condensed" w:cs="Barlow Semi Condensed" w:eastAsia="Barlow Semi Condensed" w:hAnsi="Barlow Semi Condensed"/>
          <w:b/>
          <w:bCs/>
          <w:sz w:val="24"/>
          <w:szCs w:val="24"/>
        </w:rPr>
        <w:t xml:space="preserve">Riga di esito nullo. Nessun atto è stato reperito che colleghi l'influenza straniera documentata all'atto materiale, per nessuno dei due versanti. Tredici archivi remoti rilevanti restano non interrogabili con gli strumenti disponibili. Il silenzio di tali archivi non è confermativo di alcuna ipotesi ed è iscritto in tavola come lacuna dichiarata.</w:t>
      </w:r>
    </w:p>
    <w:p>
      <w:pPr>
        <w:spacing w:after="120" w:line="276"/>
        <w:jc w:val="both"/>
      </w:pPr>
      <w:r>
        <w:rPr>
          <w:rFonts w:ascii="Barlow Semi Condensed" w:cs="Barlow Semi Condensed" w:eastAsia="Barlow Semi Condensed" w:hAnsi="Barlow Semi Condensed"/>
          <w:b/>
          <w:bCs/>
          <w:sz w:val="24"/>
          <w:szCs w:val="24"/>
        </w:rPr>
        <w:t xml:space="preserve">Riga di avvertenza al lettore. Chi abbia letto questa Fase attendendosene il perché non lo ha trovato, e non lo ha trovato perché allo stato degli atti non c'è. Se ne è ricavato invece qualcosa di meno appagante e di più utile: la mappa delle ipotesi possibili, la sola esclusione che le evidenze consentano, e l'indicazione precisa del punto nel quale conviene scavare. È ciò che una Fase sulle ragioni può onestamente produrre; e chi offra di più, in questa materia, offre sé stesso e non le fonti.</w:t>
      </w:r>
    </w:p>
    <w:p>
      <w:pPr>
        <w:pStyle w:val="Heading2"/>
        <w:spacing w:after="100" w:before="200"/>
      </w:pPr>
      <w:r>
        <w:rPr>
          <w:rFonts w:ascii="Barlow Semi Condensed" w:cs="Barlow Semi Condensed" w:eastAsia="Barlow Semi Condensed" w:hAnsi="Barlow Semi Condensed"/>
          <w:sz w:val="24"/>
          <w:szCs w:val="24"/>
        </w:rPr>
        <w:t xml:space="preserve">FASE TERZA — IL FATTO</w:t>
      </w:r>
    </w:p>
    <w:p>
      <w:pPr>
        <w:spacing w:after="120" w:line="276"/>
        <w:jc w:val="both"/>
      </w:pPr>
      <w:r>
        <w:rPr>
          <w:rFonts w:ascii="Barlow Semi Condensed" w:cs="Barlow Semi Condensed" w:eastAsia="Barlow Semi Condensed" w:hAnsi="Barlow Semi Condensed"/>
          <w:b/>
          <w:bCs/>
          <w:sz w:val="24"/>
          <w:szCs w:val="24"/>
        </w:rPr>
        <w:t xml:space="preserve">Dove si ricostruisce l'agguato del 16 marzo 1978, i cinquantacinque giorni e il rinvenimento del 9 maggio 1978, distinguendo in ogni punto il rilievo materiale dalla dichiarazione.</w:t>
      </w:r>
    </w:p>
    <w:p>
      <w:pPr>
        <w:pStyle w:val="Heading2"/>
        <w:spacing w:after="100" w:before="200"/>
      </w:pPr>
      <w:r>
        <w:rPr>
          <w:rFonts w:ascii="Barlow Semi Condensed" w:cs="Barlow Semi Condensed" w:eastAsia="Barlow Semi Condensed" w:hAnsi="Barlow Semi Condensed"/>
          <w:sz w:val="24"/>
          <w:szCs w:val="24"/>
        </w:rPr>
        <w:t xml:space="preserve">Capitolo ventunesimo — L'oggetto della Fase e la disciplina della ricostruzione materiale</w:t>
      </w:r>
    </w:p>
    <w:p>
      <w:pPr>
        <w:spacing w:after="120" w:line="276"/>
        <w:jc w:val="both"/>
      </w:pPr>
      <w:r>
        <w:rPr>
          <w:rFonts w:ascii="Barlow Semi Condensed" w:cs="Barlow Semi Condensed" w:eastAsia="Barlow Semi Condensed" w:hAnsi="Barlow Semi Condensed"/>
          <w:b/>
          <w:bCs/>
          <w:sz w:val="24"/>
          <w:szCs w:val="24"/>
        </w:rPr>
        <w:t xml:space="preserve">Questa Fase tratta il fatto: l'agguato del 16 marzo 1978, i cinquantacinque giorni di prigionia, il rinvenimento del 9 maggio 1978. È la Fase del massimo carico documentale delle sette, e per questo la sua disciplina è diversa da quella della Fase precedente.</w:t>
      </w:r>
    </w:p>
    <w:p>
      <w:pPr>
        <w:pStyle w:val="Heading2"/>
        <w:spacing w:after="100" w:before="200"/>
      </w:pPr>
      <w:r>
        <w:rPr>
          <w:rFonts w:ascii="Barlow Semi Condensed" w:cs="Barlow Semi Condensed" w:eastAsia="Barlow Semi Condensed" w:hAnsi="Barlow Semi Condensed"/>
          <w:sz w:val="24"/>
          <w:szCs w:val="24"/>
        </w:rPr>
        <w:t xml:space="preserve">La differenza rispetto alla Fase Seconda</w:t>
      </w:r>
    </w:p>
    <w:p>
      <w:pPr>
        <w:spacing w:after="120" w:line="276"/>
        <w:jc w:val="both"/>
      </w:pPr>
      <w:r>
        <w:rPr>
          <w:rFonts w:ascii="Barlow Semi Condensed" w:cs="Barlow Semi Condensed" w:eastAsia="Barlow Semi Condensed" w:hAnsi="Barlow Semi Condensed"/>
          <w:b/>
          <w:bCs/>
          <w:sz w:val="24"/>
          <w:szCs w:val="24"/>
        </w:rPr>
        <w:t xml:space="preserve">Nella Fase delle ragioni il pericolo era il vuoto: mancando il documento sul movente, la congettura entrava a riempirlo. Qui il pericolo è opposto. Il documento c'è, e c'è in abbondanza: perizie balistiche, rilievi, verbali, dichiarazioni, sentenze, relazioni. La tentazione non è di colmare un vuoto, ma di far dire al documento più di quanto esso dica.</w:t>
      </w:r>
    </w:p>
    <w:p>
      <w:pPr>
        <w:spacing w:after="120" w:line="276"/>
        <w:jc w:val="both"/>
      </w:pPr>
      <w:r>
        <w:rPr>
          <w:rFonts w:ascii="Barlow Semi Condensed" w:cs="Barlow Semi Condensed" w:eastAsia="Barlow Semi Condensed" w:hAnsi="Barlow Semi Condensed"/>
          <w:b/>
          <w:bCs/>
          <w:sz w:val="24"/>
          <w:szCs w:val="24"/>
        </w:rPr>
        <w:t xml:space="preserve">Il meccanismo è questo. Una perizia stabilisce che furono esplosi un certo numero di colpi e che una parte di essi proviene da una sola arma. Il dato è preciso e verificabile. Da esso si passa, senza avvedersene, a una proposizione sul grado di addestramento di chi impugnava quell'arma; e da questa a una proposizione sulla provenienza di quell'addestramento; e da questa a una proposizione sull'ambiente che lo impartì. Nessuno di questi passaggi è documentato dalla perizia, che si limita a contare bossoli e a identificare canne. Ma ciascuno appare come una lettura del dato, e non come una aggiunta ad esso.</w:t>
      </w:r>
    </w:p>
    <w:p>
      <w:pPr>
        <w:spacing w:after="120" w:line="276"/>
        <w:jc w:val="both"/>
      </w:pPr>
      <w:r>
        <w:rPr>
          <w:rFonts w:ascii="Barlow Semi Condensed" w:cs="Barlow Semi Condensed" w:eastAsia="Barlow Semi Condensed" w:hAnsi="Barlow Semi Condensed"/>
          <w:b/>
          <w:bCs/>
          <w:sz w:val="24"/>
          <w:szCs w:val="24"/>
        </w:rPr>
        <w:t xml:space="preserve">La disciplina di questa Fase consiste dunque nel separare, per ciascun elemento, tre livelli che il discorso corrente confonde: che cosa il rilievo attesta; che cosa la perizia ne inferisce; che cosa il ricostruttore vi aggiunge.</w:t>
      </w:r>
    </w:p>
    <w:p>
      <w:pPr>
        <w:pStyle w:val="Heading2"/>
        <w:spacing w:after="100" w:before="200"/>
      </w:pPr>
      <w:r>
        <w:rPr>
          <w:rFonts w:ascii="Barlow Semi Condensed" w:cs="Barlow Semi Condensed" w:eastAsia="Barlow Semi Condensed" w:hAnsi="Barlow Semi Condensed"/>
          <w:sz w:val="24"/>
          <w:szCs w:val="24"/>
        </w:rPr>
        <w:t xml:space="preserve">Le tre domande di ogni elemento</w:t>
      </w:r>
    </w:p>
    <w:p>
      <w:pPr>
        <w:spacing w:after="120" w:line="276"/>
        <w:jc w:val="both"/>
      </w:pPr>
      <w:r>
        <w:rPr>
          <w:rFonts w:ascii="Barlow Semi Condensed" w:cs="Barlow Semi Condensed" w:eastAsia="Barlow Semi Condensed" w:hAnsi="Barlow Semi Condensed"/>
          <w:b/>
          <w:bCs/>
          <w:sz w:val="24"/>
          <w:szCs w:val="24"/>
        </w:rPr>
        <w:t xml:space="preserve">Ogni elemento materiale sarà dunque esaminato ponendo tre domande nell'ordine.</w:t>
      </w:r>
    </w:p>
    <w:p>
      <w:pPr>
        <w:spacing w:after="120" w:line="276"/>
        <w:jc w:val="both"/>
      </w:pPr>
      <w:r>
        <w:rPr>
          <w:rFonts w:ascii="Barlow Semi Condensed" w:cs="Barlow Semi Condensed" w:eastAsia="Barlow Semi Condensed" w:hAnsi="Barlow Semi Condensed"/>
          <w:b/>
          <w:bCs/>
          <w:sz w:val="24"/>
          <w:szCs w:val="24"/>
        </w:rPr>
        <w:t xml:space="preserve">Prima domanda: che cosa è stato rilevato? Un bossolo in una posizione, un foro con una direzione, un veicolo con una collocazione, un corpo con determinate lesioni. Il rilievo è il livello più solido, e anche il più povero: esso non spiega nulla, constata.</w:t>
      </w:r>
    </w:p>
    <w:p>
      <w:pPr>
        <w:spacing w:after="120" w:line="276"/>
        <w:jc w:val="both"/>
      </w:pPr>
      <w:r>
        <w:rPr>
          <w:rFonts w:ascii="Barlow Semi Condensed" w:cs="Barlow Semi Condensed" w:eastAsia="Barlow Semi Condensed" w:hAnsi="Barlow Semi Condensed"/>
          <w:b/>
          <w:bCs/>
          <w:sz w:val="24"/>
          <w:szCs w:val="24"/>
        </w:rPr>
        <w:t xml:space="preserve">Seconda domanda: che cosa ne è stato inferito in sede tecnica, e con quale grado di certezza dichiarato dal perito? Una perizia che affermi la compatibilità fra un bossolo e un'arma dice una cosa; una che affermi l'identità dice cosa diversa e più forte. La differenza è dichiarata dai periti e viene quasi sempre perduta nella divulgazione.</w:t>
      </w:r>
    </w:p>
    <w:p>
      <w:pPr>
        <w:spacing w:after="120" w:line="276"/>
        <w:jc w:val="both"/>
      </w:pPr>
      <w:r>
        <w:rPr>
          <w:rFonts w:ascii="Barlow Semi Condensed" w:cs="Barlow Semi Condensed" w:eastAsia="Barlow Semi Condensed" w:hAnsi="Barlow Semi Condensed"/>
          <w:b/>
          <w:bCs/>
          <w:sz w:val="24"/>
          <w:szCs w:val="24"/>
        </w:rPr>
        <w:t xml:space="preserve">Terza domanda: che cosa è stato aggiunto dai ricostruttori, e su quale base? Qui si colloca la maggior parte di ciò che il lettore comune ritiene accertato del caso Moro.</w:t>
      </w:r>
    </w:p>
    <w:p>
      <w:pPr>
        <w:pStyle w:val="Heading2"/>
        <w:spacing w:after="100" w:before="200"/>
      </w:pPr>
      <w:r>
        <w:rPr>
          <w:rFonts w:ascii="Barlow Semi Condensed" w:cs="Barlow Semi Condensed" w:eastAsia="Barlow Semi Condensed" w:hAnsi="Barlow Semi Condensed"/>
          <w:sz w:val="24"/>
          <w:szCs w:val="24"/>
        </w:rPr>
        <w:t xml:space="preserve">Le revisioni</w:t>
      </w:r>
    </w:p>
    <w:p>
      <w:pPr>
        <w:spacing w:after="120" w:line="276"/>
        <w:jc w:val="both"/>
      </w:pPr>
      <w:r>
        <w:rPr>
          <w:rFonts w:ascii="Barlow Semi Condensed" w:cs="Barlow Semi Condensed" w:eastAsia="Barlow Semi Condensed" w:hAnsi="Barlow Semi Condensed"/>
          <w:b/>
          <w:bCs/>
          <w:sz w:val="24"/>
          <w:szCs w:val="24"/>
        </w:rPr>
        <w:t xml:space="preserve">Occorre premettere una avvertenza che riguarda l'intera Fase e che va detta subito, perché altrimenti il lettore si sorprenderà.</w:t>
      </w:r>
    </w:p>
    <w:p>
      <w:pPr>
        <w:spacing w:after="120" w:line="276"/>
        <w:jc w:val="both"/>
      </w:pPr>
      <w:r>
        <w:rPr>
          <w:rFonts w:ascii="Barlow Semi Condensed" w:cs="Barlow Semi Condensed" w:eastAsia="Barlow Semi Condensed" w:hAnsi="Barlow Semi Condensed"/>
          <w:b/>
          <w:bCs/>
          <w:sz w:val="24"/>
          <w:szCs w:val="24"/>
        </w:rPr>
        <w:t xml:space="preserve">La ricostruzione materiale di questo caso non è stabile. Essa è stata rivista più volte, nell'arco di quasi cinquant'anni, e le revisioni non hanno riguardato dettagli marginali: hanno riguardato il numero degli agenti presenti sul luogo dell'agguato, l'identità di chi esplose i colpi, l'identità di chi custodì il prigioniero, l'identità di chi lo uccise. Alcune revisioni sono derivate da dichiarazioni successive di persone coinvolte; altre da nuove perizie; altre dal rinvenimento di documenti.</w:t>
      </w:r>
    </w:p>
    <w:p>
      <w:pPr>
        <w:spacing w:after="120" w:line="276"/>
        <w:jc w:val="both"/>
      </w:pPr>
      <w:r>
        <w:rPr>
          <w:rFonts w:ascii="Barlow Semi Condensed" w:cs="Barlow Semi Condensed" w:eastAsia="Barlow Semi Condensed" w:hAnsi="Barlow Semi Condensed"/>
          <w:b/>
          <w:bCs/>
          <w:sz w:val="24"/>
          <w:szCs w:val="24"/>
        </w:rPr>
        <w:t xml:space="preserve">Questo dato va registrato per sé stesso, prima di ogni particolare, perché ha un significato metodologico. Una ricostruzione rivista quattro volte in quarant'anni non è una ricostruzione instabile per difetto degli inquirenti: è una ricostruzione che poggia, in parte considerevole, sulle dichiarazioni di chi partecipò ai fatti, e le dichiarazioni di chi partecipò ai fatti sono fonti interessate. Ogni volta che una di esse è mutata, la ricostruzione è mutata con essa.</w:t>
      </w:r>
    </w:p>
    <w:p>
      <w:pPr>
        <w:spacing w:after="120" w:line="276"/>
        <w:jc w:val="both"/>
      </w:pPr>
      <w:r>
        <w:rPr>
          <w:rFonts w:ascii="Barlow Semi Condensed" w:cs="Barlow Semi Condensed" w:eastAsia="Barlow Semi Condensed" w:hAnsi="Barlow Semi Condensed"/>
          <w:b/>
          <w:bCs/>
          <w:sz w:val="24"/>
          <w:szCs w:val="24"/>
        </w:rPr>
        <w:t xml:space="preserve">Ne segue una regola che questa Fase osserverà: si distingue costantemente ciò che poggia su rilievo materiale da ciò che poggia su dichiarazione. Il primo non muta quando muta il dichiarante; il secondo sì.</w:t>
      </w:r>
    </w:p>
    <w:p>
      <w:pPr>
        <w:pStyle w:val="Heading2"/>
        <w:spacing w:after="100" w:before="200"/>
      </w:pPr>
      <w:r>
        <w:rPr>
          <w:rFonts w:ascii="Barlow Semi Condensed" w:cs="Barlow Semi Condensed" w:eastAsia="Barlow Semi Condensed" w:hAnsi="Barlow Semi Condensed"/>
          <w:sz w:val="24"/>
          <w:szCs w:val="24"/>
        </w:rPr>
        <w:t xml:space="preserve">Che cosa la Fase consegna</w:t>
      </w:r>
    </w:p>
    <w:p>
      <w:pPr>
        <w:spacing w:after="120" w:line="276"/>
        <w:jc w:val="both"/>
      </w:pPr>
      <w:r>
        <w:rPr>
          <w:rFonts w:ascii="Barlow Semi Condensed" w:cs="Barlow Semi Condensed" w:eastAsia="Barlow Semi Condensed" w:hAnsi="Barlow Semi Condensed"/>
          <w:b/>
          <w:bCs/>
          <w:sz w:val="24"/>
          <w:szCs w:val="24"/>
        </w:rPr>
        <w:t xml:space="preserve">La Fase Terza consegna alle successive due cose.</w:t>
      </w:r>
    </w:p>
    <w:p>
      <w:pPr>
        <w:spacing w:after="120" w:line="276"/>
        <w:jc w:val="both"/>
      </w:pPr>
      <w:r>
        <w:rPr>
          <w:rFonts w:ascii="Barlow Semi Condensed" w:cs="Barlow Semi Condensed" w:eastAsia="Barlow Semi Condensed" w:hAnsi="Barlow Semi Condensed"/>
          <w:b/>
          <w:bCs/>
          <w:sz w:val="24"/>
          <w:szCs w:val="24"/>
        </w:rPr>
        <w:t xml:space="preserve">La prima è la ricostruzione dei fatti nella misura in cui è accertata, con la distinzione dei livelli e la segnalazione dei punti rivisti.</w:t>
      </w:r>
    </w:p>
    <w:p>
      <w:pPr>
        <w:spacing w:after="120" w:line="276"/>
        <w:jc w:val="both"/>
      </w:pPr>
      <w:r>
        <w:rPr>
          <w:rFonts w:ascii="Barlow Semi Condensed" w:cs="Barlow Semi Condensed" w:eastAsia="Barlow Semi Condensed" w:hAnsi="Barlow Semi Condensed"/>
          <w:b/>
          <w:bCs/>
          <w:sz w:val="24"/>
          <w:szCs w:val="24"/>
        </w:rPr>
        <w:t xml:space="preserve">La seconda è la misura dello scarto che la Fase Seconda le ha consegnato al Capitolo diciassettesimo: quanto l'azione richiese, confrontato con quanto il movente dichiarato spiega. Lo scarto sarà misurato nel Capitolo ventiquattresimo, e sarà consegnato alle Fasi Quinta e Sesta senza essere interpretato, perché la sua interpretazione appartiene a quelle.</w:t>
      </w:r>
    </w:p>
    <w:p>
      <w:pPr>
        <w:pStyle w:val="Heading2"/>
        <w:spacing w:after="100" w:before="200"/>
      </w:pPr>
      <w:r>
        <w:rPr>
          <w:rFonts w:ascii="Barlow Semi Condensed" w:cs="Barlow Semi Condensed" w:eastAsia="Barlow Semi Condensed" w:hAnsi="Barlow Semi Condensed"/>
          <w:sz w:val="24"/>
          <w:szCs w:val="24"/>
        </w:rPr>
        <w:t xml:space="preserve">Capitolo ventiduesimo — La mattina del 16 marzo 1978: gli uomini, i veicoli, il percorso</w:t>
      </w:r>
    </w:p>
    <w:p>
      <w:pPr>
        <w:pStyle w:val="Heading2"/>
        <w:spacing w:after="100" w:before="200"/>
      </w:pPr>
      <w:r>
        <w:rPr>
          <w:rFonts w:ascii="Barlow Semi Condensed" w:cs="Barlow Semi Condensed" w:eastAsia="Barlow Semi Condensed" w:hAnsi="Barlow Semi Condensed"/>
          <w:sz w:val="24"/>
          <w:szCs w:val="24"/>
        </w:rPr>
        <w:t xml:space="preserve">Gli uomini</w:t>
      </w:r>
    </w:p>
    <w:p>
      <w:pPr>
        <w:spacing w:after="120" w:line="276"/>
        <w:jc w:val="both"/>
      </w:pPr>
      <w:r>
        <w:rPr>
          <w:rFonts w:ascii="Barlow Semi Condensed" w:cs="Barlow Semi Condensed" w:eastAsia="Barlow Semi Condensed" w:hAnsi="Barlow Semi Condensed"/>
          <w:b/>
          <w:bCs/>
          <w:sz w:val="24"/>
          <w:szCs w:val="24"/>
        </w:rPr>
        <w:t xml:space="preserve">Cinque uomini componevano il servizio di scorta e di guida quella mattina, e i loro nomi sono qui scritti per intero.</w:t>
      </w:r>
    </w:p>
    <w:p>
      <w:pPr>
        <w:spacing w:after="120" w:line="276"/>
        <w:jc w:val="both"/>
      </w:pPr>
      <w:r>
        <w:rPr>
          <w:rFonts w:ascii="Barlow Semi Condensed" w:cs="Barlow Semi Condensed" w:eastAsia="Barlow Semi Condensed" w:hAnsi="Barlow Semi Condensed"/>
          <w:b/>
          <w:bCs/>
          <w:sz w:val="24"/>
          <w:szCs w:val="24"/>
        </w:rPr>
        <w:t xml:space="preserve">Domenico Ricci, appuntato dei Carabinieri, era l'autista della vettura del Presidente. Era al servizio di Aldo Moro da lungo tempo, e conosceva i percorsi, le abitudini e le esigenze del protetto.</w:t>
      </w:r>
    </w:p>
    <w:p>
      <w:pPr>
        <w:spacing w:after="120" w:line="276"/>
        <w:jc w:val="both"/>
      </w:pPr>
      <w:r>
        <w:rPr>
          <w:rFonts w:ascii="Barlow Semi Condensed" w:cs="Barlow Semi Condensed" w:eastAsia="Barlow Semi Condensed" w:hAnsi="Barlow Semi Condensed"/>
          <w:b/>
          <w:bCs/>
          <w:sz w:val="24"/>
          <w:szCs w:val="24"/>
        </w:rPr>
        <w:t xml:space="preserve">Oreste Leonardi, maresciallo dei Carabinieri, era il capo scorta. Sedeva nella vettura del Presidente. Anch'egli era in servizio presso Moro da anni.</w:t>
      </w:r>
    </w:p>
    <w:p>
      <w:pPr>
        <w:spacing w:after="120" w:line="276"/>
        <w:jc w:val="both"/>
      </w:pPr>
      <w:r>
        <w:rPr>
          <w:rFonts w:ascii="Barlow Semi Condensed" w:cs="Barlow Semi Condensed" w:eastAsia="Barlow Semi Condensed" w:hAnsi="Barlow Semi Condensed"/>
          <w:b/>
          <w:bCs/>
          <w:sz w:val="24"/>
          <w:szCs w:val="24"/>
        </w:rPr>
        <w:t xml:space="preserve">Giulio Rivera, carabiniere, era l'autista della vettura di scorta.</w:t>
      </w:r>
    </w:p>
    <w:p>
      <w:pPr>
        <w:spacing w:after="120" w:line="276"/>
        <w:jc w:val="both"/>
      </w:pPr>
      <w:r>
        <w:rPr>
          <w:rFonts w:ascii="Barlow Semi Condensed" w:cs="Barlow Semi Condensed" w:eastAsia="Barlow Semi Condensed" w:hAnsi="Barlow Semi Condensed"/>
          <w:b/>
          <w:bCs/>
          <w:sz w:val="24"/>
          <w:szCs w:val="24"/>
        </w:rPr>
        <w:t xml:space="preserve">Raffaele Iozzino, agente di pubblica sicurezza, era nella vettura di scorta.</w:t>
      </w:r>
    </w:p>
    <w:p>
      <w:pPr>
        <w:spacing w:after="120" w:line="276"/>
        <w:jc w:val="both"/>
      </w:pPr>
      <w:r>
        <w:rPr>
          <w:rFonts w:ascii="Barlow Semi Condensed" w:cs="Barlow Semi Condensed" w:eastAsia="Barlow Semi Condensed" w:hAnsi="Barlow Semi Condensed"/>
          <w:b/>
          <w:bCs/>
          <w:sz w:val="24"/>
          <w:szCs w:val="24"/>
        </w:rPr>
        <w:t xml:space="preserve">Francesco Zizzi, vice brigadiere di pubblica sicurezza, era anch'egli nella vettura di scorta. Prestava servizio presso quella scorta da poco tempo.</w:t>
      </w:r>
    </w:p>
    <w:p>
      <w:pPr>
        <w:spacing w:after="120" w:line="276"/>
        <w:jc w:val="both"/>
      </w:pPr>
      <w:r>
        <w:rPr>
          <w:rFonts w:ascii="Barlow Semi Condensed" w:cs="Barlow Semi Condensed" w:eastAsia="Barlow Semi Condensed" w:hAnsi="Barlow Semi Condensed"/>
          <w:b/>
          <w:bCs/>
          <w:sz w:val="24"/>
          <w:szCs w:val="24"/>
        </w:rPr>
        <w:t xml:space="preserve">Quattro di essi morirono sul luogo. Zizzi, gravemente ferito, morì poco dopo in ospedale.</w:t>
      </w:r>
    </w:p>
    <w:p>
      <w:pPr>
        <w:pStyle w:val="Heading2"/>
        <w:spacing w:after="100" w:before="200"/>
      </w:pPr>
      <w:r>
        <w:rPr>
          <w:rFonts w:ascii="Barlow Semi Condensed" w:cs="Barlow Semi Condensed" w:eastAsia="Barlow Semi Condensed" w:hAnsi="Barlow Semi Condensed"/>
          <w:sz w:val="24"/>
          <w:szCs w:val="24"/>
        </w:rPr>
        <w:t xml:space="preserve">I veicoli</w:t>
      </w:r>
    </w:p>
    <w:p>
      <w:pPr>
        <w:spacing w:after="120" w:line="276"/>
        <w:jc w:val="both"/>
      </w:pPr>
      <w:r>
        <w:rPr>
          <w:rFonts w:ascii="Barlow Semi Condensed" w:cs="Barlow Semi Condensed" w:eastAsia="Barlow Semi Condensed" w:hAnsi="Barlow Semi Condensed"/>
          <w:b/>
          <w:bCs/>
          <w:sz w:val="24"/>
          <w:szCs w:val="24"/>
        </w:rPr>
        <w:t xml:space="preserve">La vettura del Presidente era una Fiat 130 di colore blu. La vettura di scorta era una Alfa Romeo Alfetta, che seguiva a breve distanza.</w:t>
      </w:r>
    </w:p>
    <w:p>
      <w:pPr>
        <w:spacing w:after="120" w:line="276"/>
        <w:jc w:val="both"/>
      </w:pPr>
      <w:r>
        <w:rPr>
          <w:rFonts w:ascii="Barlow Semi Condensed" w:cs="Barlow Semi Condensed" w:eastAsia="Barlow Semi Condensed" w:hAnsi="Barlow Semi Condensed"/>
          <w:b/>
          <w:bCs/>
          <w:sz w:val="24"/>
          <w:szCs w:val="24"/>
        </w:rPr>
        <w:t xml:space="preserve">Nessuna delle due era blindata. La circostanza è accertata ed è stata oggetto di valutazione critica in sede parlamentare, unitamente alla composizione e all'armamento del servizio di scorta.</w:t>
      </w:r>
    </w:p>
    <w:p>
      <w:pPr>
        <w:pStyle w:val="Heading2"/>
        <w:spacing w:after="100" w:before="200"/>
      </w:pPr>
      <w:r>
        <w:rPr>
          <w:rFonts w:ascii="Barlow Semi Condensed" w:cs="Barlow Semi Condensed" w:eastAsia="Barlow Semi Condensed" w:hAnsi="Barlow Semi Condensed"/>
          <w:sz w:val="24"/>
          <w:szCs w:val="24"/>
        </w:rPr>
        <w:t xml:space="preserve">Il percorso</w:t>
      </w:r>
    </w:p>
    <w:p>
      <w:pPr>
        <w:spacing w:after="120" w:line="276"/>
        <w:jc w:val="both"/>
      </w:pPr>
      <w:r>
        <w:rPr>
          <w:rFonts w:ascii="Barlow Semi Condensed" w:cs="Barlow Semi Condensed" w:eastAsia="Barlow Semi Condensed" w:hAnsi="Barlow Semi Condensed"/>
          <w:b/>
          <w:bCs/>
          <w:sz w:val="24"/>
          <w:szCs w:val="24"/>
        </w:rPr>
        <w:t xml:space="preserve">Moro risiedeva in via del Forte Trionfale, nel quartiere della Camilluccia. Il percorso di quella mattina lo avrebbe condotto verso il centro; la sua prima destinazione consueta era una chiesa del quartiere, e da lì avrebbe proseguito verso Montecitorio, dove alle ore antimeridiane era attesa la presentazione del nuovo governo alle Camere.</w:t>
      </w:r>
    </w:p>
    <w:p>
      <w:pPr>
        <w:spacing w:after="120" w:line="276"/>
        <w:jc w:val="both"/>
      </w:pPr>
      <w:r>
        <w:rPr>
          <w:rFonts w:ascii="Barlow Semi Condensed" w:cs="Barlow Semi Condensed" w:eastAsia="Barlow Semi Condensed" w:hAnsi="Barlow Semi Condensed"/>
          <w:b/>
          <w:bCs/>
          <w:sz w:val="24"/>
          <w:szCs w:val="24"/>
        </w:rPr>
        <w:t xml:space="preserve">L'itinerario passava per via Mario Fani. Il fatto che l'itinerario fosse ripetitivo è accertato, ed è uno degli elementi che le sedi istituzionali hanno valutato in ordine all'adeguatezza delle misure di protezione.</w:t>
      </w:r>
    </w:p>
    <w:p>
      <w:pPr>
        <w:pStyle w:val="Heading2"/>
        <w:spacing w:after="100" w:before="200"/>
      </w:pPr>
      <w:r>
        <w:rPr>
          <w:rFonts w:ascii="Barlow Semi Condensed" w:cs="Barlow Semi Condensed" w:eastAsia="Barlow Semi Condensed" w:hAnsi="Barlow Semi Condensed"/>
          <w:sz w:val="24"/>
          <w:szCs w:val="24"/>
        </w:rPr>
        <w:t xml:space="preserve">Che cosa è accertato e che cosa no</w:t>
      </w:r>
    </w:p>
    <w:p>
      <w:pPr>
        <w:spacing w:after="120" w:line="276"/>
        <w:jc w:val="both"/>
      </w:pPr>
      <w:r>
        <w:rPr>
          <w:rFonts w:ascii="Barlow Semi Condensed" w:cs="Barlow Semi Condensed" w:eastAsia="Barlow Semi Condensed" w:hAnsi="Barlow Semi Condensed"/>
          <w:b/>
          <w:bCs/>
          <w:sz w:val="24"/>
          <w:szCs w:val="24"/>
        </w:rPr>
        <w:t xml:space="preserve">È accertato: la composizione del servizio, l'identità dei suoi componenti, il tipo dei veicoli, l'assenza di blindatura, la destinazione della giornata, la ripetitività dell'itinerario.</w:t>
      </w:r>
    </w:p>
    <w:p>
      <w:pPr>
        <w:spacing w:after="120" w:line="276"/>
        <w:jc w:val="both"/>
      </w:pPr>
      <w:r>
        <w:rPr>
          <w:rFonts w:ascii="Barlow Semi Condensed" w:cs="Barlow Semi Condensed" w:eastAsia="Barlow Semi Condensed" w:hAnsi="Barlow Semi Condensed"/>
          <w:b/>
          <w:bCs/>
          <w:sz w:val="24"/>
          <w:szCs w:val="24"/>
        </w:rPr>
        <w:t xml:space="preserve">Non è accertato in modo pacifico, e sarà segnalato nel Capitolo seguente ove rilevi, il grado di conoscenza che gli attaccanti avevano delle abitudini del protetto, e la fonte di tale conoscenza. Su questo punto sono state formulate ipotesi che appartengono alla Fase Sesta.</w:t>
      </w:r>
    </w:p>
    <w:p>
      <w:pPr>
        <w:pStyle w:val="Heading2"/>
        <w:spacing w:after="100" w:before="200"/>
      </w:pPr>
      <w:r>
        <w:rPr>
          <w:rFonts w:ascii="Barlow Semi Condensed" w:cs="Barlow Semi Condensed" w:eastAsia="Barlow Semi Condensed" w:hAnsi="Barlow Semi Condensed"/>
          <w:sz w:val="24"/>
          <w:szCs w:val="24"/>
        </w:rPr>
        <w:t xml:space="preserve">Una nota che non è di metodo</w:t>
      </w:r>
    </w:p>
    <w:p>
      <w:pPr>
        <w:spacing w:after="120" w:line="276"/>
        <w:jc w:val="both"/>
      </w:pPr>
      <w:r>
        <w:rPr>
          <w:rFonts w:ascii="Barlow Semi Condensed" w:cs="Barlow Semi Condensed" w:eastAsia="Barlow Semi Condensed" w:hAnsi="Barlow Semi Condensed"/>
          <w:b/>
          <w:bCs/>
          <w:sz w:val="24"/>
          <w:szCs w:val="24"/>
        </w:rPr>
        <w:t xml:space="preserve">Sia consentita, in questo solo punto della Fase, una osservazione che non serve alla prova.</w:t>
      </w:r>
    </w:p>
    <w:p>
      <w:pPr>
        <w:spacing w:after="120" w:line="276"/>
        <w:jc w:val="both"/>
      </w:pPr>
      <w:r>
        <w:rPr>
          <w:rFonts w:ascii="Barlow Semi Condensed" w:cs="Barlow Semi Condensed" w:eastAsia="Barlow Semi Condensed" w:hAnsi="Barlow Semi Condensed"/>
          <w:b/>
          <w:bCs/>
          <w:sz w:val="24"/>
          <w:szCs w:val="24"/>
        </w:rPr>
        <w:t xml:space="preserve">Di questi cinque uomini si parla, nella letteratura sul caso, quasi esclusivamente come di un dato tecnico: la scorta, il suo armamento, la sua reattività, il tempo di reazione. Essi furono invece cinque persone che quella mattina andavano al lavoro, che avevano famiglie, e che morirono perché si trovavano fra chi voleva prendere un uomo e quell'uomo. Il caso porta il nome del solo rapito, ed è comprensibile che sia così; ma la sproporzione fra l'attenzione dedicata a lui e quella dedicata a loro è una sproporzione, e conviene averne coscienza mentre si conta e si misura.</w:t>
      </w:r>
    </w:p>
    <w:p>
      <w:pPr>
        <w:spacing w:after="120" w:line="276"/>
        <w:jc w:val="both"/>
      </w:pPr>
      <w:r>
        <w:rPr>
          <w:rFonts w:ascii="Barlow Semi Condensed" w:cs="Barlow Semi Condensed" w:eastAsia="Barlow Semi Condensed" w:hAnsi="Barlow Semi Condensed"/>
          <w:b/>
          <w:bCs/>
          <w:sz w:val="24"/>
          <w:szCs w:val="24"/>
        </w:rPr>
        <w:t xml:space="preserve">Fatta questa osservazione, l'opera torna al proprio ufficio, che è contare e misurare.</w:t>
      </w:r>
    </w:p>
    <w:p>
      <w:pPr>
        <w:pStyle w:val="Heading2"/>
        <w:spacing w:after="100" w:before="200"/>
      </w:pPr>
      <w:r>
        <w:rPr>
          <w:rFonts w:ascii="Barlow Semi Condensed" w:cs="Barlow Semi Condensed" w:eastAsia="Barlow Semi Condensed" w:hAnsi="Barlow Semi Condensed"/>
          <w:sz w:val="24"/>
          <w:szCs w:val="24"/>
        </w:rPr>
        <w:t xml:space="preserve">Capitolo ventitreesimo — L'agguato: la dinamica accertata</w:t>
      </w:r>
    </w:p>
    <w:p>
      <w:pPr>
        <w:pStyle w:val="Heading2"/>
        <w:spacing w:after="100" w:before="200"/>
      </w:pPr>
      <w:r>
        <w:rPr>
          <w:rFonts w:ascii="Barlow Semi Condensed" w:cs="Barlow Semi Condensed" w:eastAsia="Barlow Semi Condensed" w:hAnsi="Barlow Semi Condensed"/>
          <w:sz w:val="24"/>
          <w:szCs w:val="24"/>
        </w:rPr>
        <w:t xml:space="preserve">Il luogo</w:t>
      </w:r>
    </w:p>
    <w:p>
      <w:pPr>
        <w:spacing w:after="120" w:line="276"/>
        <w:jc w:val="both"/>
      </w:pPr>
      <w:r>
        <w:rPr>
          <w:rFonts w:ascii="Barlow Semi Condensed" w:cs="Barlow Semi Condensed" w:eastAsia="Barlow Semi Condensed" w:hAnsi="Barlow Semi Condensed"/>
          <w:b/>
          <w:bCs/>
          <w:sz w:val="24"/>
          <w:szCs w:val="24"/>
        </w:rPr>
        <w:t xml:space="preserve">L'azione si svolse all'incrocio fra via Mario Fani e via Stresa, nel quartiere Trionfale di Roma. Il luogo presenta caratteristiche che le perizie hanno considerato rilevanti: una strada in leggera discesa, un incrocio con obbligo di arresto, la presenza di siepi e di veicoli in sosta che consentivano di attendere senza essere visti.</w:t>
      </w:r>
    </w:p>
    <w:p>
      <w:pPr>
        <w:pStyle w:val="Heading2"/>
        <w:spacing w:after="100" w:before="200"/>
      </w:pPr>
      <w:r>
        <w:rPr>
          <w:rFonts w:ascii="Barlow Semi Condensed" w:cs="Barlow Semi Condensed" w:eastAsia="Barlow Semi Condensed" w:hAnsi="Barlow Semi Condensed"/>
          <w:sz w:val="24"/>
          <w:szCs w:val="24"/>
        </w:rPr>
        <w:t xml:space="preserve">La dinamica</w:t>
      </w:r>
    </w:p>
    <w:p>
      <w:pPr>
        <w:spacing w:after="120" w:line="276"/>
        <w:jc w:val="both"/>
      </w:pPr>
      <w:r>
        <w:rPr>
          <w:rFonts w:ascii="Barlow Semi Condensed" w:cs="Barlow Semi Condensed" w:eastAsia="Barlow Semi Condensed" w:hAnsi="Barlow Semi Condensed"/>
          <w:b/>
          <w:bCs/>
          <w:sz w:val="24"/>
          <w:szCs w:val="24"/>
        </w:rPr>
        <w:t xml:space="preserve">La ricostruzione accertata, nei suoi elementi non controversi, è la seguente.</w:t>
      </w:r>
    </w:p>
    <w:p>
      <w:pPr>
        <w:spacing w:after="120" w:line="276"/>
        <w:jc w:val="both"/>
      </w:pPr>
      <w:r>
        <w:rPr>
          <w:rFonts w:ascii="Barlow Semi Condensed" w:cs="Barlow Semi Condensed" w:eastAsia="Barlow Semi Condensed" w:hAnsi="Barlow Semi Condensed"/>
          <w:b/>
          <w:bCs/>
          <w:sz w:val="24"/>
          <w:szCs w:val="24"/>
        </w:rPr>
        <w:t xml:space="preserve">Una autovettura si arrestò bruscamente davanti alla Fiat 130, costringendola a fermarsi; la vettura di scorta, che seguiva a breve distanza, tamponò o comunque si arrestò immediatamente dietro. Le due vetture del corteo risultarono così bloccate in uno spazio ristretto e privo di vie di uscita immediate.</w:t>
      </w:r>
    </w:p>
    <w:p>
      <w:pPr>
        <w:spacing w:after="120" w:line="276"/>
        <w:jc w:val="both"/>
      </w:pPr>
      <w:r>
        <w:rPr>
          <w:rFonts w:ascii="Barlow Semi Condensed" w:cs="Barlow Semi Condensed" w:eastAsia="Barlow Semi Condensed" w:hAnsi="Barlow Semi Condensed"/>
          <w:b/>
          <w:bCs/>
          <w:sz w:val="24"/>
          <w:szCs w:val="24"/>
        </w:rPr>
        <w:t xml:space="preserve">Contestualmente un gruppo di persone armate, che attendeva in posizione riparata, aprì il fuoco. Il fuoco fu diretto con precisione contro gli occupanti delle due vetture di servizio.</w:t>
      </w:r>
    </w:p>
    <w:p>
      <w:pPr>
        <w:spacing w:after="120" w:line="276"/>
        <w:jc w:val="both"/>
      </w:pPr>
      <w:r>
        <w:rPr>
          <w:rFonts w:ascii="Barlow Semi Condensed" w:cs="Barlow Semi Condensed" w:eastAsia="Barlow Semi Condensed" w:hAnsi="Barlow Semi Condensed"/>
          <w:b/>
          <w:bCs/>
          <w:sz w:val="24"/>
          <w:szCs w:val="24"/>
        </w:rPr>
        <w:t xml:space="preserve">La reazione della scorta fu minima. Risulta accertato che uno solo degli agenti riuscì a uscire dalla vettura e a fare uso dell'arma, esplodendo pochi colpi, e che fu ucciso.</w:t>
      </w:r>
    </w:p>
    <w:p>
      <w:pPr>
        <w:spacing w:after="120" w:line="276"/>
        <w:jc w:val="both"/>
      </w:pPr>
      <w:r>
        <w:rPr>
          <w:rFonts w:ascii="Barlow Semi Condensed" w:cs="Barlow Semi Condensed" w:eastAsia="Barlow Semi Condensed" w:hAnsi="Barlow Semi Condensed"/>
          <w:b/>
          <w:bCs/>
          <w:sz w:val="24"/>
          <w:szCs w:val="24"/>
        </w:rPr>
        <w:t xml:space="preserve">Aldo Moro fu prelevato dalla propria vettura e trasferito su altro veicolo, che si allontanò. Il corteo dei veicoli degli attaccanti si dissolse rapidamente.</w:t>
      </w:r>
    </w:p>
    <w:p>
      <w:pPr>
        <w:pStyle w:val="Heading2"/>
        <w:spacing w:after="100" w:before="200"/>
      </w:pPr>
      <w:r>
        <w:rPr>
          <w:rFonts w:ascii="Barlow Semi Condensed" w:cs="Barlow Semi Condensed" w:eastAsia="Barlow Semi Condensed" w:hAnsi="Barlow Semi Condensed"/>
          <w:sz w:val="24"/>
          <w:szCs w:val="24"/>
        </w:rPr>
        <w:t xml:space="preserve">Le misure</w:t>
      </w:r>
    </w:p>
    <w:p>
      <w:pPr>
        <w:spacing w:after="120" w:line="276"/>
        <w:jc w:val="both"/>
      </w:pPr>
      <w:r>
        <w:rPr>
          <w:rFonts w:ascii="Barlow Semi Condensed" w:cs="Barlow Semi Condensed" w:eastAsia="Barlow Semi Condensed" w:hAnsi="Barlow Semi Condensed"/>
          <w:b/>
          <w:bCs/>
          <w:sz w:val="24"/>
          <w:szCs w:val="24"/>
        </w:rPr>
        <w:t xml:space="preserve">Sul luogo furono repertati circa 90 bossoli. La perizia balistica accertò che una porzione preponderante dei colpi proveniva da una sola arma automatica.</w:t>
      </w:r>
    </w:p>
    <w:p>
      <w:pPr>
        <w:spacing w:after="120" w:line="276"/>
        <w:jc w:val="both"/>
      </w:pPr>
      <w:r>
        <w:rPr>
          <w:rFonts w:ascii="Barlow Semi Condensed" w:cs="Barlow Semi Condensed" w:eastAsia="Barlow Semi Condensed" w:hAnsi="Barlow Semi Condensed"/>
          <w:b/>
          <w:bCs/>
          <w:sz w:val="24"/>
          <w:szCs w:val="24"/>
        </w:rPr>
        <w:t xml:space="preserve">Questi due dati — il numero complessivo dei colpi e la concentrazione su una sola arma — sono i più citati dell'intero caso, e conviene dire con precisione che cosa attestino.</w:t>
      </w:r>
    </w:p>
    <w:p>
      <w:pPr>
        <w:spacing w:after="120" w:line="276"/>
        <w:jc w:val="both"/>
      </w:pPr>
      <w:r>
        <w:rPr>
          <w:rFonts w:ascii="Barlow Semi Condensed" w:cs="Barlow Semi Condensed" w:eastAsia="Barlow Semi Condensed" w:hAnsi="Barlow Semi Condensed"/>
          <w:b/>
          <w:bCs/>
          <w:sz w:val="24"/>
          <w:szCs w:val="24"/>
        </w:rPr>
        <w:t xml:space="preserve">Attestano che furono esplosi quei colpi e che quella distribuzione fu rilevata. Attestano dunque che l'esito di fuoco fu ottenuto in prevalenza da un solo operatore, e non da un tiro collettivo distribuito.</w:t>
      </w:r>
    </w:p>
    <w:p>
      <w:pPr>
        <w:spacing w:after="120" w:line="276"/>
        <w:jc w:val="both"/>
      </w:pPr>
      <w:r>
        <w:rPr>
          <w:rFonts w:ascii="Barlow Semi Condensed" w:cs="Barlow Semi Condensed" w:eastAsia="Barlow Semi Condensed" w:hAnsi="Barlow Semi Condensed"/>
          <w:b/>
          <w:bCs/>
          <w:sz w:val="24"/>
          <w:szCs w:val="24"/>
        </w:rPr>
        <w:t xml:space="preserve">Non attestano, di per sé, il grado di addestramento di quell'operatore, né la sua provenienza, né alcuna caratteristica della sua formazione. Queste sono inferenze ulteriori, e vanno trattate come tali. Il rilievo balistico conta e localizza; non qualifica chi sparò.</w:t>
      </w:r>
    </w:p>
    <w:p>
      <w:pPr>
        <w:pStyle w:val="Heading2"/>
        <w:spacing w:after="100" w:before="200"/>
      </w:pPr>
      <w:r>
        <w:rPr>
          <w:rFonts w:ascii="Barlow Semi Condensed" w:cs="Barlow Semi Condensed" w:eastAsia="Barlow Semi Condensed" w:hAnsi="Barlow Semi Condensed"/>
          <w:sz w:val="24"/>
          <w:szCs w:val="24"/>
        </w:rPr>
        <w:t xml:space="preserve">La durata</w:t>
      </w:r>
    </w:p>
    <w:p>
      <w:pPr>
        <w:spacing w:after="120" w:line="276"/>
        <w:jc w:val="both"/>
      </w:pPr>
      <w:r>
        <w:rPr>
          <w:rFonts w:ascii="Barlow Semi Condensed" w:cs="Barlow Semi Condensed" w:eastAsia="Barlow Semi Condensed" w:hAnsi="Barlow Semi Condensed"/>
          <w:b/>
          <w:bCs/>
          <w:sz w:val="24"/>
          <w:szCs w:val="24"/>
        </w:rPr>
        <w:t xml:space="preserve">La durata dell'azione è stata oggetto di valutazioni non del tutto concordi, e le stime disponibili la collocano in un intervallo compreso fra alcune decine di secondi e pochi minuti. La discordanza deriva dalla natura delle fonti: testimonianze di persone sotto shock, per le quali la percezione del tempo è notoriamente inaffidabile, e ricostruzioni tecniche fondate sulla cadenza di tiro.</w:t>
      </w:r>
    </w:p>
    <w:p>
      <w:pPr>
        <w:spacing w:after="120" w:line="276"/>
        <w:jc w:val="both"/>
      </w:pPr>
      <w:r>
        <w:rPr>
          <w:rFonts w:ascii="Barlow Semi Condensed" w:cs="Barlow Semi Condensed" w:eastAsia="Barlow Semi Condensed" w:hAnsi="Barlow Semi Condensed"/>
          <w:b/>
          <w:bCs/>
          <w:sz w:val="24"/>
          <w:szCs w:val="24"/>
        </w:rPr>
        <w:t xml:space="preserve">Si registra dunque la durata come dato non stabilizzato, entro un intervallo, e non si impiega alcuna delle stime come se fosse accertata. È uno dei punti nei quali la divulgazione ha frequentemente adottato la cifra più suggestiva.</w:t>
      </w:r>
    </w:p>
    <w:p>
      <w:pPr>
        <w:pStyle w:val="Heading2"/>
        <w:spacing w:after="100" w:before="200"/>
      </w:pPr>
      <w:r>
        <w:rPr>
          <w:rFonts w:ascii="Barlow Semi Condensed" w:cs="Barlow Semi Condensed" w:eastAsia="Barlow Semi Condensed" w:hAnsi="Barlow Semi Condensed"/>
          <w:sz w:val="24"/>
          <w:szCs w:val="24"/>
        </w:rPr>
        <w:t xml:space="preserve">Il numero degli attaccanti</w:t>
      </w:r>
    </w:p>
    <w:p>
      <w:pPr>
        <w:spacing w:after="120" w:line="276"/>
        <w:jc w:val="both"/>
      </w:pPr>
      <w:r>
        <w:rPr>
          <w:rFonts w:ascii="Barlow Semi Condensed" w:cs="Barlow Semi Condensed" w:eastAsia="Barlow Semi Condensed" w:hAnsi="Barlow Semi Condensed"/>
          <w:b/>
          <w:bCs/>
          <w:sz w:val="24"/>
          <w:szCs w:val="24"/>
        </w:rPr>
        <w:t xml:space="preserve">Il numero delle persone presenti sul luogo per parte attaccante è uno dei punti che le revisioni successive hanno modificato. Le ricostruzioni si sono attestate su cifre diverse in tempi diversi, e la variazione è dipesa in misura determinante dalle dichiarazioni di persone coinvolte, rese in epoche successive e talvolta reciprocamente correttive.</w:t>
      </w:r>
    </w:p>
    <w:p>
      <w:pPr>
        <w:spacing w:after="120" w:line="276"/>
        <w:jc w:val="both"/>
      </w:pPr>
      <w:r>
        <w:rPr>
          <w:rFonts w:ascii="Barlow Semi Condensed" w:cs="Barlow Semi Condensed" w:eastAsia="Barlow Semi Condensed" w:hAnsi="Barlow Semi Condensed"/>
          <w:b/>
          <w:bCs/>
          <w:sz w:val="24"/>
          <w:szCs w:val="24"/>
        </w:rPr>
        <w:t xml:space="preserve">Si applica qui la regola enunciata nel Capitolo ventunesimo: si distingue ciò che poggia su rilievo materiale da ciò che poggia su dichiarazione. Il numero degli attaccanti poggia in misura prevalente su dichiarazioni. Esso è dunque, allo stato, un dato di ricostruzione e non un dato di rilievo, e come tale è iscritto: soggetto a revisione se le dichiarazioni mutano.</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b/>
          <w:bCs/>
          <w:sz w:val="24"/>
          <w:szCs w:val="24"/>
        </w:rPr>
        <w:t xml:space="preserve">Sono in stato di sciolto: il luogo; il blocco delle vetture mediante interposizione di un veicolo; l'apertura del fuoco da posizione riparata; la reazione minima della scorta; l'uccisione dei cinque uomini; il prelevamento del rapito e il suo trasferimento su altro veicolo; il numero approssimativo dei bossoli repertati; la concentrazione preponderante del fuoco su una sola arma.</w:t>
      </w:r>
    </w:p>
    <w:p>
      <w:pPr>
        <w:spacing w:after="120" w:line="276"/>
        <w:jc w:val="both"/>
      </w:pPr>
      <w:r>
        <w:rPr>
          <w:rFonts w:ascii="Barlow Semi Condensed" w:cs="Barlow Semi Condensed" w:eastAsia="Barlow Semi Condensed" w:hAnsi="Barlow Semi Condensed"/>
          <w:b/>
          <w:bCs/>
          <w:sz w:val="24"/>
          <w:szCs w:val="24"/>
        </w:rPr>
        <w:t xml:space="preserve">Sono in stato di dubbio: la durata esatta dell'azione; il numero preciso dei partecipanti; l'attribuzione individuale dei colpi oltre quanto accertato in sede giudiziaria; la fonte della conoscenza delle abitudini del protetto.</w:t>
      </w:r>
    </w:p>
    <w:p>
      <w:pPr>
        <w:pStyle w:val="Heading2"/>
        <w:spacing w:after="100" w:before="200"/>
      </w:pPr>
      <w:r>
        <w:rPr>
          <w:rFonts w:ascii="Barlow Semi Condensed" w:cs="Barlow Semi Condensed" w:eastAsia="Barlow Semi Condensed" w:hAnsi="Barlow Semi Condensed"/>
          <w:sz w:val="24"/>
          <w:szCs w:val="24"/>
        </w:rPr>
        <w:t xml:space="preserve">Capitolo ventiquattresimo — La misura dello scarto</w:t>
      </w:r>
    </w:p>
    <w:p>
      <w:pPr>
        <w:spacing w:after="120" w:line="276"/>
        <w:jc w:val="both"/>
      </w:pPr>
      <w:r>
        <w:rPr>
          <w:rFonts w:ascii="Barlow Semi Condensed" w:cs="Barlow Semi Condensed" w:eastAsia="Barlow Semi Condensed" w:hAnsi="Barlow Semi Condensed"/>
          <w:b/>
          <w:bCs/>
          <w:sz w:val="24"/>
          <w:szCs w:val="24"/>
        </w:rPr>
        <w:t xml:space="preserve">La Fase Seconda ha consegnato a questa una domanda: quanto l'azione richiese, confrontato con quanto il movente dichiarato spiega. Si misura qui lo scarto, e non lo si interpreta.</w:t>
      </w:r>
    </w:p>
    <w:p>
      <w:pPr>
        <w:pStyle w:val="Heading2"/>
        <w:spacing w:after="100" w:before="200"/>
      </w:pPr>
      <w:r>
        <w:rPr>
          <w:rFonts w:ascii="Barlow Semi Condensed" w:cs="Barlow Semi Condensed" w:eastAsia="Barlow Semi Condensed" w:hAnsi="Barlow Semi Condensed"/>
          <w:sz w:val="24"/>
          <w:szCs w:val="24"/>
        </w:rPr>
        <w:t xml:space="preserve">Che cosa significa misurare uno scarto</w:t>
      </w:r>
    </w:p>
    <w:p>
      <w:pPr>
        <w:spacing w:after="120" w:line="276"/>
        <w:jc w:val="both"/>
      </w:pPr>
      <w:r>
        <w:rPr>
          <w:rFonts w:ascii="Barlow Semi Condensed" w:cs="Barlow Semi Condensed" w:eastAsia="Barlow Semi Condensed" w:hAnsi="Barlow Semi Condensed"/>
          <w:b/>
          <w:bCs/>
          <w:sz w:val="24"/>
          <w:szCs w:val="24"/>
        </w:rPr>
        <w:t xml:space="preserve">Occorre chiarire l'operazione, perché è insolita e si presta a essere fraintesa in entrambe le direzioni.</w:t>
      </w:r>
    </w:p>
    <w:p>
      <w:pPr>
        <w:spacing w:after="120" w:line="276"/>
        <w:jc w:val="both"/>
      </w:pPr>
      <w:r>
        <w:rPr>
          <w:rFonts w:ascii="Barlow Semi Condensed" w:cs="Barlow Semi Condensed" w:eastAsia="Barlow Semi Condensed" w:hAnsi="Barlow Semi Condensed"/>
          <w:b/>
          <w:bCs/>
          <w:sz w:val="24"/>
          <w:szCs w:val="24"/>
        </w:rPr>
        <w:t xml:space="preserve">Misurare lo scarto significa elencare le capacità che l'azione manifestò, e domandarsi, per ciascuna, se la sua acquisizione sia spiegata da ciò che è documentato dell'organizzazione che la compì. Dove la risposta è affermativa non vi è scarto. Dove è negativa, vi è scarto: cioè una capacità manifestata della quale non è documentata l'acquisizione.</w:t>
      </w:r>
    </w:p>
    <w:p>
      <w:pPr>
        <w:spacing w:after="120" w:line="276"/>
        <w:jc w:val="both"/>
      </w:pPr>
      <w:r>
        <w:rPr>
          <w:rFonts w:ascii="Barlow Semi Condensed" w:cs="Barlow Semi Condensed" w:eastAsia="Barlow Semi Condensed" w:hAnsi="Barlow Semi Condensed"/>
          <w:b/>
          <w:bCs/>
          <w:sz w:val="24"/>
          <w:szCs w:val="24"/>
        </w:rPr>
        <w:t xml:space="preserve">Uno scarto non è una prova di concorso esterno. È una lacuna esplicativa, e le lacune esplicative si colmano in tre modi: con documentazione ulteriore sull'acquisizione della capacità; con la constatazione che la capacità era meno rara di quanto si supponesse; o con un soggetto ulteriore. Il terzo modo è quello che la letteratura predilige e che questo Capitolo non adotta, perché adottarlo qui significherebbe rispondere in sede di misurazione a una domanda che appartiene alle Fasi Quinta e Sesta.</w:t>
      </w:r>
    </w:p>
    <w:p>
      <w:pPr>
        <w:pStyle w:val="Heading2"/>
        <w:spacing w:after="100" w:before="200"/>
      </w:pPr>
      <w:r>
        <w:rPr>
          <w:rFonts w:ascii="Barlow Semi Condensed" w:cs="Barlow Semi Condensed" w:eastAsia="Barlow Semi Condensed" w:hAnsi="Barlow Semi Condensed"/>
          <w:sz w:val="24"/>
          <w:szCs w:val="24"/>
        </w:rPr>
        <w:t xml:space="preserve">Le capacità manifestate</w:t>
      </w:r>
    </w:p>
    <w:p>
      <w:pPr>
        <w:spacing w:after="120" w:line="276"/>
        <w:jc w:val="both"/>
      </w:pPr>
      <w:r>
        <w:rPr>
          <w:rFonts w:ascii="Barlow Semi Condensed" w:cs="Barlow Semi Condensed" w:eastAsia="Barlow Semi Condensed" w:hAnsi="Barlow Semi Condensed"/>
          <w:b/>
          <w:bCs/>
          <w:sz w:val="24"/>
          <w:szCs w:val="24"/>
        </w:rPr>
        <w:t xml:space="preserve">L'azione manifestò le capacità seguenti.</w:t>
      </w:r>
    </w:p>
    <w:p>
      <w:pPr>
        <w:spacing w:after="120" w:line="276"/>
        <w:jc w:val="both"/>
      </w:pPr>
      <w:r>
        <w:rPr>
          <w:rFonts w:ascii="Barlow Semi Condensed" w:cs="Barlow Semi Condensed" w:eastAsia="Barlow Semi Condensed" w:hAnsi="Barlow Semi Condensed"/>
          <w:b/>
          <w:bCs/>
          <w:sz w:val="24"/>
          <w:szCs w:val="24"/>
        </w:rPr>
        <w:t xml:space="preserve">Conoscenza dell'itinerario e degli orari, sufficiente a collocare un dispositivo in un punto determinato in un momento determinato.</w:t>
      </w:r>
    </w:p>
    <w:p>
      <w:pPr>
        <w:spacing w:after="120" w:line="276"/>
        <w:jc w:val="both"/>
      </w:pPr>
      <w:r>
        <w:rPr>
          <w:rFonts w:ascii="Barlow Semi Condensed" w:cs="Barlow Semi Condensed" w:eastAsia="Barlow Semi Condensed" w:hAnsi="Barlow Semi Condensed"/>
          <w:b/>
          <w:bCs/>
          <w:sz w:val="24"/>
          <w:szCs w:val="24"/>
        </w:rPr>
        <w:t xml:space="preserve">Capacità di predisporre e coordinare un dispositivo articolato su più veicoli e più operatori in uno spazio urbano ristretto.</w:t>
      </w:r>
    </w:p>
    <w:p>
      <w:pPr>
        <w:spacing w:after="120" w:line="276"/>
        <w:jc w:val="both"/>
      </w:pPr>
      <w:r>
        <w:rPr>
          <w:rFonts w:ascii="Barlow Semi Condensed" w:cs="Barlow Semi Condensed" w:eastAsia="Barlow Semi Condensed" w:hAnsi="Barlow Semi Condensed"/>
          <w:b/>
          <w:bCs/>
          <w:sz w:val="24"/>
          <w:szCs w:val="24"/>
        </w:rPr>
        <w:t xml:space="preserve">Capacità di ottenere, in tempo assai breve, un esito di fuoco letale su cinque uomini armati collocati in due veicoli distinti, con conseguimento simultaneo dell'obiettivo di preservare incolume la persona da prelevare.</w:t>
      </w:r>
    </w:p>
    <w:p>
      <w:pPr>
        <w:spacing w:after="120" w:line="276"/>
        <w:jc w:val="both"/>
      </w:pPr>
      <w:r>
        <w:rPr>
          <w:rFonts w:ascii="Barlow Semi Condensed" w:cs="Barlow Semi Condensed" w:eastAsia="Barlow Semi Condensed" w:hAnsi="Barlow Semi Condensed"/>
          <w:b/>
          <w:bCs/>
          <w:sz w:val="24"/>
          <w:szCs w:val="24"/>
        </w:rPr>
        <w:t xml:space="preserve">Capacità di trasferimento e di dissolvimento immediato del dispositivo in ambiente urbano.</w:t>
      </w:r>
    </w:p>
    <w:p>
      <w:pPr>
        <w:spacing w:after="120" w:line="276"/>
        <w:jc w:val="both"/>
      </w:pPr>
      <w:r>
        <w:rPr>
          <w:rFonts w:ascii="Barlow Semi Condensed" w:cs="Barlow Semi Condensed" w:eastAsia="Barlow Semi Condensed" w:hAnsi="Barlow Semi Condensed"/>
          <w:b/>
          <w:bCs/>
          <w:sz w:val="24"/>
          <w:szCs w:val="24"/>
        </w:rPr>
        <w:t xml:space="preserve">Capacità di occultamento prolungato di una persona per cinquantacinque giorni in ambiente urbano, con gestione delle esigenze materiali che ciò comporta.</w:t>
      </w:r>
    </w:p>
    <w:p>
      <w:pPr>
        <w:spacing w:after="120" w:line="276"/>
        <w:jc w:val="both"/>
      </w:pPr>
      <w:r>
        <w:rPr>
          <w:rFonts w:ascii="Barlow Semi Condensed" w:cs="Barlow Semi Condensed" w:eastAsia="Barlow Semi Condensed" w:hAnsi="Barlow Semi Condensed"/>
          <w:b/>
          <w:bCs/>
          <w:sz w:val="24"/>
          <w:szCs w:val="24"/>
        </w:rPr>
        <w:t xml:space="preserve">Capacità di comunicazione pubblica ripetuta durante l'intero periodo senza che l'origine dei recapiti conducesse alla localizzazione.</w:t>
      </w:r>
    </w:p>
    <w:p>
      <w:pPr>
        <w:pStyle w:val="Heading2"/>
        <w:spacing w:after="100" w:before="200"/>
      </w:pPr>
      <w:r>
        <w:rPr>
          <w:rFonts w:ascii="Barlow Semi Condensed" w:cs="Barlow Semi Condensed" w:eastAsia="Barlow Semi Condensed" w:hAnsi="Barlow Semi Condensed"/>
          <w:sz w:val="24"/>
          <w:szCs w:val="24"/>
        </w:rPr>
        <w:t xml:space="preserve">Dove lo scarto non c'è</w:t>
      </w:r>
    </w:p>
    <w:p>
      <w:pPr>
        <w:spacing w:after="120" w:line="276"/>
        <w:jc w:val="both"/>
      </w:pPr>
      <w:r>
        <w:rPr>
          <w:rFonts w:ascii="Barlow Semi Condensed" w:cs="Barlow Semi Condensed" w:eastAsia="Barlow Semi Condensed" w:hAnsi="Barlow Semi Condensed"/>
          <w:b/>
          <w:bCs/>
          <w:sz w:val="24"/>
          <w:szCs w:val="24"/>
        </w:rPr>
        <w:t xml:space="preserve">Per una parte considerevole di queste capacità lo scarto non sussiste, e va detto perché la letteratura tende a supporlo ovunque.</w:t>
      </w:r>
    </w:p>
    <w:p>
      <w:pPr>
        <w:spacing w:after="120" w:line="276"/>
        <w:jc w:val="both"/>
      </w:pPr>
      <w:r>
        <w:rPr>
          <w:rFonts w:ascii="Barlow Semi Condensed" w:cs="Barlow Semi Condensed" w:eastAsia="Barlow Semi Condensed" w:hAnsi="Barlow Semi Condensed"/>
          <w:b/>
          <w:bCs/>
          <w:sz w:val="24"/>
          <w:szCs w:val="24"/>
        </w:rPr>
        <w:t xml:space="preserve">La conoscenza di un itinerario ripetitivo si acquisisce con osservazione prolungata, e non richiede fonti privilegiate. L'itinerario era ripetitivo, la circostanza è accertata, e l'osservazione di un percorso urbano ricorrente è alla portata di chiunque disponga di tempo e di persone.</w:t>
      </w:r>
    </w:p>
    <w:p>
      <w:pPr>
        <w:spacing w:after="120" w:line="276"/>
        <w:jc w:val="both"/>
      </w:pPr>
      <w:r>
        <w:rPr>
          <w:rFonts w:ascii="Barlow Semi Condensed" w:cs="Barlow Semi Condensed" w:eastAsia="Barlow Semi Condensed" w:hAnsi="Barlow Semi Condensed"/>
          <w:b/>
          <w:bCs/>
          <w:sz w:val="24"/>
          <w:szCs w:val="24"/>
        </w:rPr>
        <w:t xml:space="preserve">La capacità di occultamento prolungato in ambiente urbano è documentata come propria di quella organizzazione, che l'aveva esercitata prima e dopo in altre occasioni.</w:t>
      </w:r>
    </w:p>
    <w:p>
      <w:pPr>
        <w:spacing w:after="120" w:line="276"/>
        <w:jc w:val="both"/>
      </w:pPr>
      <w:r>
        <w:rPr>
          <w:rFonts w:ascii="Barlow Semi Condensed" w:cs="Barlow Semi Condensed" w:eastAsia="Barlow Semi Condensed" w:hAnsi="Barlow Semi Condensed"/>
          <w:b/>
          <w:bCs/>
          <w:sz w:val="24"/>
          <w:szCs w:val="24"/>
        </w:rPr>
        <w:t xml:space="preserve">La capacità di comunicazione con recapiti non tracciabili è parimenti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Dove lo scarto sussiste</w:t>
      </w:r>
    </w:p>
    <w:p>
      <w:pPr>
        <w:spacing w:after="120" w:line="276"/>
        <w:jc w:val="both"/>
      </w:pPr>
      <w:r>
        <w:rPr>
          <w:rFonts w:ascii="Barlow Semi Condensed" w:cs="Barlow Semi Condensed" w:eastAsia="Barlow Semi Condensed" w:hAnsi="Barlow Semi Condensed"/>
          <w:b/>
          <w:bCs/>
          <w:sz w:val="24"/>
          <w:szCs w:val="24"/>
        </w:rPr>
        <w:t xml:space="preserve">Lo scarto sussiste, allo stato degli atti, su due punti.</w:t>
      </w:r>
    </w:p>
    <w:p>
      <w:pPr>
        <w:spacing w:after="120" w:line="276"/>
        <w:jc w:val="both"/>
      </w:pPr>
      <w:r>
        <w:rPr>
          <w:rFonts w:ascii="Barlow Semi Condensed" w:cs="Barlow Semi Condensed" w:eastAsia="Barlow Semi Condensed" w:hAnsi="Barlow Semi Condensed"/>
          <w:b/>
          <w:bCs/>
          <w:sz w:val="24"/>
          <w:szCs w:val="24"/>
        </w:rPr>
        <w:t xml:space="preserve">Il primo riguarda l'esito di fuoco. Ottenere, in pochi secondi e in spazio ristretto, la neutralizzazione di cinque uomini armati preservando incolume una sesta persona collocata fra loro è operazione che richiede addestramento specifico. Che l'organizzazione disponesse di persone in possesso di tale addestramento è possibile e non è documentato quanto alla via di acquisizione. Si registra dunque: capacità manifestata, via di acquisizione non documentata.</w:t>
      </w:r>
    </w:p>
    <w:p>
      <w:pPr>
        <w:spacing w:after="120" w:line="276"/>
        <w:jc w:val="both"/>
      </w:pPr>
      <w:r>
        <w:rPr>
          <w:rFonts w:ascii="Barlow Semi Condensed" w:cs="Barlow Semi Condensed" w:eastAsia="Barlow Semi Condensed" w:hAnsi="Barlow Semi Condensed"/>
          <w:b/>
          <w:bCs/>
          <w:sz w:val="24"/>
          <w:szCs w:val="24"/>
        </w:rPr>
        <w:t xml:space="preserve">Il secondo riguarda il coordinamento complessivo del dispositivo. Non è la singola capacità a costituire scarto, ma la loro composizione simultanea in un'unica operazione con margini di errore ridottissimi. Anche qui: capacità manifestata, via di acquisizione non documentata.</w:t>
      </w:r>
    </w:p>
    <w:p>
      <w:pPr>
        <w:pStyle w:val="Heading2"/>
        <w:spacing w:after="100" w:before="200"/>
      </w:pPr>
      <w:r>
        <w:rPr>
          <w:rFonts w:ascii="Barlow Semi Condensed" w:cs="Barlow Semi Condensed" w:eastAsia="Barlow Semi Condensed" w:hAnsi="Barlow Semi Condensed"/>
          <w:sz w:val="24"/>
          <w:szCs w:val="24"/>
        </w:rPr>
        <w:t xml:space="preserve">Le tre letture possibili e il divieto di sceglierne una qui</w:t>
      </w:r>
    </w:p>
    <w:p>
      <w:pPr>
        <w:spacing w:after="120" w:line="276"/>
        <w:jc w:val="both"/>
      </w:pPr>
      <w:r>
        <w:rPr>
          <w:rFonts w:ascii="Barlow Semi Condensed" w:cs="Barlow Semi Condensed" w:eastAsia="Barlow Semi Condensed" w:hAnsi="Barlow Semi Condensed"/>
          <w:b/>
          <w:bCs/>
          <w:sz w:val="24"/>
          <w:szCs w:val="24"/>
        </w:rPr>
        <w:t xml:space="preserve">Lo scarto così misurato ammette tre letture, e questo Capitolo non ne sceglie alcuna.</w:t>
      </w:r>
    </w:p>
    <w:p>
      <w:pPr>
        <w:spacing w:after="120" w:line="276"/>
        <w:jc w:val="both"/>
      </w:pPr>
      <w:r>
        <w:rPr>
          <w:rFonts w:ascii="Barlow Semi Condensed" w:cs="Barlow Semi Condensed" w:eastAsia="Barlow Semi Condensed" w:hAnsi="Barlow Semi Condensed"/>
          <w:b/>
          <w:bCs/>
          <w:sz w:val="24"/>
          <w:szCs w:val="24"/>
        </w:rPr>
        <w:t xml:space="preserve">Prima lettura: la via di acquisizione esiste ed è interna all'organizzazione, ma non è documentata perché la documentazione manca o non è stata cercata. È la lettura più economica e non è stata esclusa.</w:t>
      </w:r>
    </w:p>
    <w:p>
      <w:pPr>
        <w:spacing w:after="120" w:line="276"/>
        <w:jc w:val="both"/>
      </w:pPr>
      <w:r>
        <w:rPr>
          <w:rFonts w:ascii="Barlow Semi Condensed" w:cs="Barlow Semi Condensed" w:eastAsia="Barlow Semi Condensed" w:hAnsi="Barlow Semi Condensed"/>
          <w:b/>
          <w:bCs/>
          <w:sz w:val="24"/>
          <w:szCs w:val="24"/>
        </w:rPr>
        <w:t xml:space="preserve">Seconda lettura: la via di acquisizione è esterna e consistette in addestramento ricevuto altrove. Questa lettura non richiede necessariamente un concorso nell'atto: un addestramento ricevuto anni prima e per altri fini spiegherebbe la capacità senza implicare partecipazione.</w:t>
      </w:r>
    </w:p>
    <w:p>
      <w:pPr>
        <w:spacing w:after="120" w:line="276"/>
        <w:jc w:val="both"/>
      </w:pPr>
      <w:r>
        <w:rPr>
          <w:rFonts w:ascii="Barlow Semi Condensed" w:cs="Barlow Semi Condensed" w:eastAsia="Barlow Semi Condensed" w:hAnsi="Barlow Semi Condensed"/>
          <w:b/>
          <w:bCs/>
          <w:sz w:val="24"/>
          <w:szCs w:val="24"/>
        </w:rPr>
        <w:t xml:space="preserve">Terza lettura: vi fu concorso nell'atto.</w:t>
      </w:r>
    </w:p>
    <w:p>
      <w:pPr>
        <w:spacing w:after="120" w:line="276"/>
        <w:jc w:val="both"/>
      </w:pPr>
      <w:r>
        <w:rPr>
          <w:rFonts w:ascii="Barlow Semi Condensed" w:cs="Barlow Semi Condensed" w:eastAsia="Barlow Semi Condensed" w:hAnsi="Barlow Semi Condensed"/>
          <w:b/>
          <w:bCs/>
          <w:sz w:val="24"/>
          <w:szCs w:val="24"/>
        </w:rPr>
        <w:t xml:space="preserve">Le tre letture non sono equivalenti quanto alle conseguenze, e sono equivalenti quanto al sostegno che lo scarto fornisce a ciascuna: cioè nessuno. Uno scarto non seleziona il proprio riempimento, come già si è detto al Capitolo diciottesimo, e ripeterlo qui non è pedanteria: è il punto sul quale l'intera Fase può essere fraintesa.</w:t>
      </w:r>
    </w:p>
    <w:p>
      <w:pPr>
        <w:pStyle w:val="Heading2"/>
        <w:spacing w:after="100" w:before="200"/>
      </w:pPr>
      <w:r>
        <w:rPr>
          <w:rFonts w:ascii="Barlow Semi Condensed" w:cs="Barlow Semi Condensed" w:eastAsia="Barlow Semi Condensed" w:hAnsi="Barlow Semi Condensed"/>
          <w:sz w:val="24"/>
          <w:szCs w:val="24"/>
        </w:rPr>
        <w:t xml:space="preserve">Consegna</w:t>
      </w:r>
    </w:p>
    <w:p>
      <w:pPr>
        <w:spacing w:after="120" w:line="276"/>
        <w:jc w:val="both"/>
      </w:pPr>
      <w:r>
        <w:rPr>
          <w:rFonts w:ascii="Barlow Semi Condensed" w:cs="Barlow Semi Condensed" w:eastAsia="Barlow Semi Condensed" w:hAnsi="Barlow Semi Condensed"/>
          <w:b/>
          <w:bCs/>
          <w:sz w:val="24"/>
          <w:szCs w:val="24"/>
        </w:rPr>
        <w:t xml:space="preserve">Lo scarto misurato è consegnato alle Fasi Quinta e Sesta nei termini seguenti: due capacità manifestate con via di acquisizione non documentata; tre letture aperte; nessun elemento, in questa Fase, che discrimini fra esse.</w:t>
      </w:r>
    </w:p>
    <w:p>
      <w:pPr>
        <w:pStyle w:val="Heading2"/>
        <w:spacing w:after="100" w:before="200"/>
      </w:pPr>
      <w:r>
        <w:rPr>
          <w:rFonts w:ascii="Barlow Semi Condensed" w:cs="Barlow Semi Condensed" w:eastAsia="Barlow Semi Condensed" w:hAnsi="Barlow Semi Condensed"/>
          <w:sz w:val="24"/>
          <w:szCs w:val="24"/>
        </w:rPr>
        <w:t xml:space="preserve">Capitolo venticinquesimo — Il trasferimento e la sparizione</w:t>
      </w:r>
    </w:p>
    <w:p>
      <w:pPr>
        <w:spacing w:after="120" w:line="276"/>
        <w:jc w:val="both"/>
      </w:pPr>
      <w:r>
        <w:rPr>
          <w:rFonts w:ascii="Barlow Semi Condensed" w:cs="Barlow Semi Condensed" w:eastAsia="Barlow Semi Condensed" w:hAnsi="Barlow Semi Condensed"/>
          <w:b/>
          <w:bCs/>
          <w:sz w:val="24"/>
          <w:szCs w:val="24"/>
        </w:rPr>
        <w:t xml:space="preserve">Fra il prelevamento in via Fani e la prima comunicazione dei rapitori corre un intervallo del quale si sa poco. Questo Capitolo espone che cosa se ne sappia e, soprattutto, che cosa non se ne sappia, perché è uno dei punti nei quali la lacuna è più netta.</w:t>
      </w:r>
    </w:p>
    <w:p>
      <w:pPr>
        <w:pStyle w:val="Heading2"/>
        <w:spacing w:after="100" w:before="200"/>
      </w:pPr>
      <w:r>
        <w:rPr>
          <w:rFonts w:ascii="Barlow Semi Condensed" w:cs="Barlow Semi Condensed" w:eastAsia="Barlow Semi Condensed" w:hAnsi="Barlow Semi Condensed"/>
          <w:sz w:val="24"/>
          <w:szCs w:val="24"/>
        </w:rPr>
        <w:t xml:space="preserve">Il trasferimento immediato</w:t>
      </w:r>
    </w:p>
    <w:p>
      <w:pPr>
        <w:spacing w:after="120" w:line="276"/>
        <w:jc w:val="both"/>
      </w:pPr>
      <w:r>
        <w:rPr>
          <w:rFonts w:ascii="Barlow Semi Condensed" w:cs="Barlow Semi Condensed" w:eastAsia="Barlow Semi Condensed" w:hAnsi="Barlow Semi Condensed"/>
          <w:b/>
          <w:bCs/>
          <w:sz w:val="24"/>
          <w:szCs w:val="24"/>
        </w:rPr>
        <w:t xml:space="preserve">È accertato che Aldo Moro fu fatto salire su un veicolo che si allontanò dal luogo dell'agguato. È accertato che il dispositivo si dissolse rapidamente.</w:t>
      </w:r>
    </w:p>
    <w:p>
      <w:pPr>
        <w:spacing w:after="120" w:line="276"/>
        <w:jc w:val="both"/>
      </w:pPr>
      <w:r>
        <w:rPr>
          <w:rFonts w:ascii="Barlow Semi Condensed" w:cs="Barlow Semi Condensed" w:eastAsia="Barlow Semi Condensed" w:hAnsi="Barlow Semi Condensed"/>
          <w:b/>
          <w:bCs/>
          <w:sz w:val="24"/>
          <w:szCs w:val="24"/>
        </w:rPr>
        <w:t xml:space="preserve">Le ricostruzioni relative al percorso seguito, al numero dei trasbordi effettuati e ai luoghi intermedi poggiano in misura prevalente su dichiarazioni di persone coinvolte, rese in tempi successivi. Esse hanno conosciuto revisioni.</w:t>
      </w:r>
    </w:p>
    <w:p>
      <w:pPr>
        <w:spacing w:after="120" w:line="276"/>
        <w:jc w:val="both"/>
      </w:pPr>
      <w:r>
        <w:rPr>
          <w:rFonts w:ascii="Barlow Semi Condensed" w:cs="Barlow Semi Condensed" w:eastAsia="Barlow Semi Condensed" w:hAnsi="Barlow Semi Condensed"/>
          <w:b/>
          <w:bCs/>
          <w:sz w:val="24"/>
          <w:szCs w:val="24"/>
        </w:rPr>
        <w:t xml:space="preserve">Si applica la regola: questi elementi sono iscritti come dati di ricostruzione e non di rilievo.</w:t>
      </w:r>
    </w:p>
    <w:p>
      <w:pPr>
        <w:pStyle w:val="Heading2"/>
        <w:spacing w:after="100" w:before="200"/>
      </w:pPr>
      <w:r>
        <w:rPr>
          <w:rFonts w:ascii="Barlow Semi Condensed" w:cs="Barlow Semi Condensed" w:eastAsia="Barlow Semi Condensed" w:hAnsi="Barlow Semi Condensed"/>
          <w:sz w:val="24"/>
          <w:szCs w:val="24"/>
        </w:rPr>
        <w:t xml:space="preserve">La ricerca</w:t>
      </w:r>
    </w:p>
    <w:p>
      <w:pPr>
        <w:spacing w:after="120" w:line="276"/>
        <w:jc w:val="both"/>
      </w:pPr>
      <w:r>
        <w:rPr>
          <w:rFonts w:ascii="Barlow Semi Condensed" w:cs="Barlow Semi Condensed" w:eastAsia="Barlow Semi Condensed" w:hAnsi="Barlow Semi Condensed"/>
          <w:b/>
          <w:bCs/>
          <w:sz w:val="24"/>
          <w:szCs w:val="24"/>
        </w:rPr>
        <w:t xml:space="preserve">Nelle ore e nei giorni successivi fu disposto un dispositivo di ricerca di dimensioni senza precedenti: posti di blocco, perquisizioni, controlli. L'esito fu nullo quanto alla localizzazione del prigioniero.</w:t>
      </w:r>
    </w:p>
    <w:p>
      <w:pPr>
        <w:spacing w:after="120" w:line="276"/>
        <w:jc w:val="both"/>
      </w:pPr>
      <w:r>
        <w:rPr>
          <w:rFonts w:ascii="Barlow Semi Condensed" w:cs="Barlow Semi Condensed" w:eastAsia="Barlow Semi Condensed" w:hAnsi="Barlow Semi Condensed"/>
          <w:b/>
          <w:bCs/>
          <w:sz w:val="24"/>
          <w:szCs w:val="24"/>
        </w:rPr>
        <w:t xml:space="preserve">Questo esito nullo è un dato, ed è un dato che va registrato con la precisione che la disciplina degli Stati Zero prescrive: fu condotta una ricerca di dimensioni eccezionali, per cinquantacinque giorni, e non produsse la localizzazione.</w:t>
      </w:r>
    </w:p>
    <w:p>
      <w:pPr>
        <w:spacing w:after="120" w:line="276"/>
        <w:jc w:val="both"/>
      </w:pPr>
      <w:r>
        <w:rPr>
          <w:rFonts w:ascii="Barlow Semi Condensed" w:cs="Barlow Semi Condensed" w:eastAsia="Barlow Semi Condensed" w:hAnsi="Barlow Semi Condensed"/>
          <w:b/>
          <w:bCs/>
          <w:sz w:val="24"/>
          <w:szCs w:val="24"/>
        </w:rPr>
        <w:t xml:space="preserve">Occorre subito aggiungere ciò che tale registrazione non comporta. Un esito nullo non prova che la ricerca fosse mal condotta, né che fosse ostacolata, né che fosse simulata. Prova che non trovò. Le tre ipotesi ulteriori — inefficienza, ostacolo, simulazione — sono proposizioni distinte, ciascuna delle quali domanda prova propria, e appartengono alla Fase Quinta.</w:t>
      </w:r>
    </w:p>
    <w:p>
      <w:pPr>
        <w:spacing w:after="120" w:line="276"/>
        <w:jc w:val="both"/>
      </w:pPr>
      <w:r>
        <w:rPr>
          <w:rFonts w:ascii="Barlow Semi Condensed" w:cs="Barlow Semi Condensed" w:eastAsia="Barlow Semi Condensed" w:hAnsi="Barlow Semi Condensed"/>
          <w:b/>
          <w:bCs/>
          <w:sz w:val="24"/>
          <w:szCs w:val="24"/>
        </w:rPr>
        <w:t xml:space="preserve">Si segnala però, perché rileva per quella Fase, che l'esito nullo di una ricerca eccezionale è un fatto che chiede spiegazione; e che la sola spiegazione dell'inefficienza, per quanto possibile, deve confrontarsi con la dimensione delle risorse impiegate.</w:t>
      </w:r>
    </w:p>
    <w:p>
      <w:pPr>
        <w:pStyle w:val="Heading2"/>
        <w:spacing w:after="100" w:before="200"/>
      </w:pPr>
      <w:r>
        <w:rPr>
          <w:rFonts w:ascii="Barlow Semi Condensed" w:cs="Barlow Semi Condensed" w:eastAsia="Barlow Semi Condensed" w:hAnsi="Barlow Semi Condensed"/>
          <w:sz w:val="24"/>
          <w:szCs w:val="24"/>
        </w:rPr>
        <w:t xml:space="preserve">La lacuna centrale</w:t>
      </w:r>
    </w:p>
    <w:p>
      <w:pPr>
        <w:spacing w:after="120" w:line="276"/>
        <w:jc w:val="both"/>
      </w:pPr>
      <w:r>
        <w:rPr>
          <w:rFonts w:ascii="Barlow Semi Condensed" w:cs="Barlow Semi Condensed" w:eastAsia="Barlow Semi Condensed" w:hAnsi="Barlow Semi Condensed"/>
          <w:b/>
          <w:bCs/>
          <w:sz w:val="24"/>
          <w:szCs w:val="24"/>
        </w:rPr>
        <w:t xml:space="preserve">Vi è, in questa parte della vicenda, una lacuna che va nominata perché è quella che genera il maggior numero di ipotesi.</w:t>
      </w:r>
    </w:p>
    <w:p>
      <w:pPr>
        <w:spacing w:after="120" w:line="276"/>
        <w:jc w:val="both"/>
      </w:pPr>
      <w:r>
        <w:rPr>
          <w:rFonts w:ascii="Barlow Semi Condensed" w:cs="Barlow Semi Condensed" w:eastAsia="Barlow Semi Condensed" w:hAnsi="Barlow Semi Condensed"/>
          <w:b/>
          <w:bCs/>
          <w:sz w:val="24"/>
          <w:szCs w:val="24"/>
        </w:rPr>
        <w:t xml:space="preserve">Non è documentato, se non attraverso dichiarazioni successive di persone coinvolte, dove Aldo Moro sia stato condotto immediatamente dopo il prelevamento, e per quale via. La documentazione oggettiva — rilievi, riscontri materiali contemporanei ai fatti — è, su questo punto, assai scarsa.</w:t>
      </w:r>
    </w:p>
    <w:p>
      <w:pPr>
        <w:spacing w:after="120" w:line="276"/>
        <w:jc w:val="both"/>
      </w:pPr>
      <w:r>
        <w:rPr>
          <w:rFonts w:ascii="Barlow Semi Condensed" w:cs="Barlow Semi Condensed" w:eastAsia="Barlow Semi Condensed" w:hAnsi="Barlow Semi Condensed"/>
          <w:b/>
          <w:bCs/>
          <w:sz w:val="24"/>
          <w:szCs w:val="24"/>
        </w:rPr>
        <w:t xml:space="preserve">La lacuna è iscritta come tale. Si indicano le condizioni del suo scioglimento: rilievi materiali riferibili ai luoghi intermedi; documentazione contemporanea ai fatti relativa ai controlli effettuati nelle ore immediatamente successive e ai loro esiti; riscontri indipendenti dalle dichiarazioni delle persone coinvolte.</w:t>
      </w:r>
    </w:p>
    <w:p>
      <w:pPr>
        <w:pStyle w:val="Heading2"/>
        <w:spacing w:after="100" w:before="200"/>
      </w:pPr>
      <w:r>
        <w:rPr>
          <w:rFonts w:ascii="Barlow Semi Condensed" w:cs="Barlow Semi Condensed" w:eastAsia="Barlow Semi Condensed" w:hAnsi="Barlow Semi Condensed"/>
          <w:sz w:val="24"/>
          <w:szCs w:val="24"/>
        </w:rPr>
        <w:t xml:space="preserve">Capitolo ventiseiesimo — I luoghi della prigionia</w:t>
      </w:r>
    </w:p>
    <w:p>
      <w:pPr>
        <w:pStyle w:val="Heading2"/>
        <w:spacing w:after="100" w:before="200"/>
      </w:pPr>
      <w:r>
        <w:rPr>
          <w:rFonts w:ascii="Barlow Semi Condensed" w:cs="Barlow Semi Condensed" w:eastAsia="Barlow Semi Condensed" w:hAnsi="Barlow Semi Condensed"/>
          <w:sz w:val="24"/>
          <w:szCs w:val="24"/>
        </w:rPr>
        <w:t xml:space="preserve">Il luogo accertato</w:t>
      </w:r>
    </w:p>
    <w:p>
      <w:pPr>
        <w:spacing w:after="120" w:line="276"/>
        <w:jc w:val="both"/>
      </w:pPr>
      <w:r>
        <w:rPr>
          <w:rFonts w:ascii="Barlow Semi Condensed" w:cs="Barlow Semi Condensed" w:eastAsia="Barlow Semi Condensed" w:hAnsi="Barlow Semi Condensed"/>
          <w:b/>
          <w:bCs/>
          <w:sz w:val="24"/>
          <w:szCs w:val="24"/>
        </w:rPr>
        <w:t xml:space="preserve">È accertato che il luogo di detenzione fu un appartamento in via Camillo Montalcini, a Roma, e che vi fu allestito un vano appositamente predisposto per la custodia del prigioniero.</w:t>
      </w:r>
    </w:p>
    <w:p>
      <w:pPr>
        <w:spacing w:after="120" w:line="276"/>
        <w:jc w:val="both"/>
      </w:pPr>
      <w:r>
        <w:rPr>
          <w:rFonts w:ascii="Barlow Semi Condensed" w:cs="Barlow Semi Condensed" w:eastAsia="Barlow Semi Condensed" w:hAnsi="Barlow Semi Condensed"/>
          <w:b/>
          <w:bCs/>
          <w:sz w:val="24"/>
          <w:szCs w:val="24"/>
        </w:rPr>
        <w:t xml:space="preserve">L'accertamento non fu contemporaneo ai fatti: esso derivò da dichiarazioni rese anni dopo da persone coinvolte, e fu successivamente riscontrato. La distinzione fra il momento del fatto e il momento dell'accertamento è qui rilevante, e conviene esplicitarla: durante i cinquantacinque giorni quel luogo non fu individuato.</w:t>
      </w:r>
    </w:p>
    <w:p>
      <w:pPr>
        <w:pStyle w:val="Heading2"/>
        <w:spacing w:after="100" w:before="200"/>
      </w:pPr>
      <w:r>
        <w:rPr>
          <w:rFonts w:ascii="Barlow Semi Condensed" w:cs="Barlow Semi Condensed" w:eastAsia="Barlow Semi Condensed" w:hAnsi="Barlow Semi Condensed"/>
          <w:sz w:val="24"/>
          <w:szCs w:val="24"/>
        </w:rPr>
        <w:t xml:space="preserve">La questione degli altri luoghi</w:t>
      </w:r>
    </w:p>
    <w:p>
      <w:pPr>
        <w:spacing w:after="120" w:line="276"/>
        <w:jc w:val="both"/>
      </w:pPr>
      <w:r>
        <w:rPr>
          <w:rFonts w:ascii="Barlow Semi Condensed" w:cs="Barlow Semi Condensed" w:eastAsia="Barlow Semi Condensed" w:hAnsi="Barlow Semi Condensed"/>
          <w:b/>
          <w:bCs/>
          <w:sz w:val="24"/>
          <w:szCs w:val="24"/>
        </w:rPr>
        <w:t xml:space="preserve">È stata sostenuta, in varie sedi e da vari autori, l'ipotesi che il prigioniero sia stato detenuto anche altrove, in tutto o in parte del periodo. Le argomentazioni addotte a sostegno riguardano elementi di natura diversa: rilievi effettuati sul corpo e sugli indumenti al momento del rinvenimento; considerazioni sulla praticabilità logistica; dichiarazioni divergenti.</w:t>
      </w:r>
    </w:p>
    <w:p>
      <w:pPr>
        <w:spacing w:after="120" w:line="276"/>
        <w:jc w:val="both"/>
      </w:pPr>
      <w:r>
        <w:rPr>
          <w:rFonts w:ascii="Barlow Semi Condensed" w:cs="Barlow Semi Condensed" w:eastAsia="Barlow Semi Condensed" w:hAnsi="Barlow Semi Condensed"/>
          <w:b/>
          <w:bCs/>
          <w:sz w:val="24"/>
          <w:szCs w:val="24"/>
        </w:rPr>
        <w:t xml:space="preserve">Quest'opera registra l'ipotesi come formulata e non la fa propria. Essa non è, allo stato, esclusa; e non è, allo stato, provata. La sua condizione di scioglimento è indicabile con precisione: rilievi materiali riferibili a un luogo determinato e concomitanti al periodo, ovvero dichiarazioni riscontrate da elementi indipendenti.</w:t>
      </w:r>
    </w:p>
    <w:p>
      <w:pPr>
        <w:pStyle w:val="Heading2"/>
        <w:spacing w:after="100" w:before="200"/>
      </w:pPr>
      <w:r>
        <w:rPr>
          <w:rFonts w:ascii="Barlow Semi Condensed" w:cs="Barlow Semi Condensed" w:eastAsia="Barlow Semi Condensed" w:hAnsi="Barlow Semi Condensed"/>
          <w:sz w:val="24"/>
          <w:szCs w:val="24"/>
        </w:rPr>
        <w:t xml:space="preserve">Il rilievo sugli indumenti e il suo statuto</w:t>
      </w:r>
    </w:p>
    <w:p>
      <w:pPr>
        <w:spacing w:after="120" w:line="276"/>
        <w:jc w:val="both"/>
      </w:pPr>
      <w:r>
        <w:rPr>
          <w:rFonts w:ascii="Barlow Semi Condensed" w:cs="Barlow Semi Condensed" w:eastAsia="Barlow Semi Condensed" w:hAnsi="Barlow Semi Condensed"/>
          <w:b/>
          <w:bCs/>
          <w:sz w:val="24"/>
          <w:szCs w:val="24"/>
        </w:rPr>
        <w:t xml:space="preserve">Merita una nota separata l'elemento che più frequentemente è addotto: la presenza, sugli indumenti o sul corpo, di tracce che sono state ritenute non compatibili con una detenzione esclusivamente urbana in appartamento.</w:t>
      </w:r>
    </w:p>
    <w:p>
      <w:pPr>
        <w:spacing w:after="120" w:line="276"/>
        <w:jc w:val="both"/>
      </w:pPr>
      <w:r>
        <w:rPr>
          <w:rFonts w:ascii="Barlow Semi Condensed" w:cs="Barlow Semi Condensed" w:eastAsia="Barlow Semi Condensed" w:hAnsi="Barlow Semi Condensed"/>
          <w:b/>
          <w:bCs/>
          <w:sz w:val="24"/>
          <w:szCs w:val="24"/>
        </w:rPr>
        <w:t xml:space="preserve">Lo statuto di questo elemento va precisato con cura, perché esso è il tipo di dato sul quale la divulgazione compie con maggiore frequenza il salto che la Fase vieta.</w:t>
      </w:r>
    </w:p>
    <w:p>
      <w:pPr>
        <w:spacing w:after="120" w:line="276"/>
        <w:jc w:val="both"/>
      </w:pPr>
      <w:r>
        <w:rPr>
          <w:rFonts w:ascii="Barlow Semi Condensed" w:cs="Barlow Semi Condensed" w:eastAsia="Barlow Semi Condensed" w:hAnsi="Barlow Semi Condensed"/>
          <w:b/>
          <w:bCs/>
          <w:sz w:val="24"/>
          <w:szCs w:val="24"/>
        </w:rPr>
        <w:t xml:space="preserve">Il rilievo, per la parte in cui è stato effettuato, attesta la presenza di determinate tracce. L'inferenza sulla loro origine è operazione ulteriore e dipende da assunzioni sulle vie possibili di deposito, che sono molteplici. Una traccia può essere depositata nel luogo di detenzione, nel luogo di uccisione, nel veicolo, durante il trasporto, o in occasione delle operazioni successive al rinvenimento.</w:t>
      </w:r>
    </w:p>
    <w:p>
      <w:pPr>
        <w:spacing w:after="120" w:line="276"/>
        <w:jc w:val="both"/>
      </w:pPr>
      <w:r>
        <w:rPr>
          <w:rFonts w:ascii="Barlow Semi Condensed" w:cs="Barlow Semi Condensed" w:eastAsia="Barlow Semi Condensed" w:hAnsi="Barlow Semi Condensed"/>
          <w:b/>
          <w:bCs/>
          <w:sz w:val="24"/>
          <w:szCs w:val="24"/>
        </w:rPr>
        <w:t xml:space="preserve">L'elemento è dunque iscritto come dato di rilievo, e la sua interpretazione come dubbio, con l'indicazione che il suo scioglimento richiederebbe la ricostruzione documentata di tutte le vie di deposito possibili e l'esclusione motivata di tutte tranne una.</w:t>
      </w:r>
    </w:p>
    <w:p>
      <w:pPr>
        <w:pStyle w:val="Heading2"/>
        <w:spacing w:after="100" w:before="200"/>
      </w:pPr>
      <w:r>
        <w:rPr>
          <w:rFonts w:ascii="Barlow Semi Condensed" w:cs="Barlow Semi Condensed" w:eastAsia="Barlow Semi Condensed" w:hAnsi="Barlow Semi Condensed"/>
          <w:sz w:val="24"/>
          <w:szCs w:val="24"/>
        </w:rPr>
        <w:t xml:space="preserve">Ciò che si registra</w:t>
      </w:r>
    </w:p>
    <w:p>
      <w:pPr>
        <w:spacing w:after="120" w:line="276"/>
        <w:jc w:val="both"/>
      </w:pPr>
      <w:r>
        <w:rPr>
          <w:rFonts w:ascii="Barlow Semi Condensed" w:cs="Barlow Semi Condensed" w:eastAsia="Barlow Semi Condensed" w:hAnsi="Barlow Semi Condensed"/>
          <w:b/>
          <w:bCs/>
          <w:sz w:val="24"/>
          <w:szCs w:val="24"/>
        </w:rPr>
        <w:t xml:space="preserve">È in stato di sciolto: la detenzione in via Camillo Montalcini, con predisposizione di un vano apposito; la circostanza che l'accertamento sia successivo e derivi da dichiarazioni riscontrate; la mancata individuazione del luogo durante il periodo.</w:t>
      </w:r>
    </w:p>
    <w:p>
      <w:pPr>
        <w:spacing w:after="120" w:line="276"/>
        <w:jc w:val="both"/>
      </w:pPr>
      <w:r>
        <w:rPr>
          <w:rFonts w:ascii="Barlow Semi Condensed" w:cs="Barlow Semi Condensed" w:eastAsia="Barlow Semi Condensed" w:hAnsi="Barlow Semi Condensed"/>
          <w:b/>
          <w:bCs/>
          <w:sz w:val="24"/>
          <w:szCs w:val="24"/>
        </w:rPr>
        <w:t xml:space="preserve">È in stato di dubbio: l'ipotesi di luoghi ulteriori di detenzione; l'origine delle tracce rilevate.</w:t>
      </w:r>
    </w:p>
    <w:p>
      <w:pPr>
        <w:pStyle w:val="Heading2"/>
        <w:spacing w:after="100" w:before="200"/>
      </w:pPr>
      <w:r>
        <w:rPr>
          <w:rFonts w:ascii="Barlow Semi Condensed" w:cs="Barlow Semi Condensed" w:eastAsia="Barlow Semi Condensed" w:hAnsi="Barlow Semi Condensed"/>
          <w:sz w:val="24"/>
          <w:szCs w:val="24"/>
        </w:rPr>
        <w:t xml:space="preserve">Capitolo ventisettesimo — I cinquantacinque giorni: la sequenza delle comunicazioni</w:t>
      </w:r>
    </w:p>
    <w:p>
      <w:pPr>
        <w:spacing w:after="120" w:line="276"/>
        <w:jc w:val="both"/>
      </w:pPr>
      <w:r>
        <w:rPr>
          <w:rFonts w:ascii="Barlow Semi Condensed" w:cs="Barlow Semi Condensed" w:eastAsia="Barlow Semi Condensed" w:hAnsi="Barlow Semi Condensed"/>
          <w:b/>
          <w:bCs/>
          <w:sz w:val="24"/>
          <w:szCs w:val="24"/>
        </w:rPr>
        <w:t xml:space="preserve">Durante il periodo di prigionia furono diffusi comunicati dell'organizzazione, e furono recapitate lettere scritte dal prigioniero. Questo Capitolo espone la sequenza; il trattamento delle lettere quanto al loro contenuto e al loro statuto appartiene alla Fase Quarta, che è dedicata alle carte.</w:t>
      </w:r>
    </w:p>
    <w:p>
      <w:pPr>
        <w:pStyle w:val="Heading2"/>
        <w:spacing w:after="100" w:before="200"/>
      </w:pPr>
      <w:r>
        <w:rPr>
          <w:rFonts w:ascii="Barlow Semi Condensed" w:cs="Barlow Semi Condensed" w:eastAsia="Barlow Semi Condensed" w:hAnsi="Barlow Semi Condensed"/>
          <w:sz w:val="24"/>
          <w:szCs w:val="24"/>
        </w:rPr>
        <w:t xml:space="preserve">La struttura della comunicazione</w:t>
      </w:r>
    </w:p>
    <w:p>
      <w:pPr>
        <w:spacing w:after="120" w:line="276"/>
        <w:jc w:val="both"/>
      </w:pPr>
      <w:r>
        <w:rPr>
          <w:rFonts w:ascii="Barlow Semi Condensed" w:cs="Barlow Semi Condensed" w:eastAsia="Barlow Semi Condensed" w:hAnsi="Barlow Semi Condensed"/>
          <w:b/>
          <w:bCs/>
          <w:sz w:val="24"/>
          <w:szCs w:val="24"/>
        </w:rPr>
        <w:t xml:space="preserve">La comunicazione dei rapitori si articolò in comunicati numerati, diffusi mediante recapito a organi di informazione o collocazione in luoghi pubblici, secondo modalità che consentivano il ritiro senza esposizione.</w:t>
      </w:r>
    </w:p>
    <w:p>
      <w:pPr>
        <w:spacing w:after="120" w:line="276"/>
        <w:jc w:val="both"/>
      </w:pPr>
      <w:r>
        <w:rPr>
          <w:rFonts w:ascii="Barlow Semi Condensed" w:cs="Barlow Semi Condensed" w:eastAsia="Barlow Semi Condensed" w:hAnsi="Barlow Semi Condensed"/>
          <w:b/>
          <w:bCs/>
          <w:sz w:val="24"/>
          <w:szCs w:val="24"/>
        </w:rPr>
        <w:t xml:space="preserve">Parallelamente furono recapitate lettere manoscritte del prigioniero, indirizzate a familiari, a uomini politici, a istituzioni.</w:t>
      </w:r>
    </w:p>
    <w:p>
      <w:pPr>
        <w:spacing w:after="120" w:line="276"/>
        <w:jc w:val="both"/>
      </w:pPr>
      <w:r>
        <w:rPr>
          <w:rFonts w:ascii="Barlow Semi Condensed" w:cs="Barlow Semi Condensed" w:eastAsia="Barlow Semi Condensed" w:hAnsi="Barlow Semi Condensed"/>
          <w:b/>
          <w:bCs/>
          <w:sz w:val="24"/>
          <w:szCs w:val="24"/>
        </w:rPr>
        <w:t xml:space="preserve">Le due serie procedettero in parallelo per l'intero periodo e furono, dal punto di vista di chi le riceveva, oggetto di valutazioni distinte: sull'autenticità, sulla libertà di redazione, sul significato da attribuire.</w:t>
      </w:r>
    </w:p>
    <w:p>
      <w:pPr>
        <w:pStyle w:val="Heading2"/>
        <w:spacing w:after="100" w:before="200"/>
      </w:pPr>
      <w:r>
        <w:rPr>
          <w:rFonts w:ascii="Barlow Semi Condensed" w:cs="Barlow Semi Condensed" w:eastAsia="Barlow Semi Condensed" w:hAnsi="Barlow Semi Condensed"/>
          <w:sz w:val="24"/>
          <w:szCs w:val="24"/>
        </w:rPr>
        <w:t xml:space="preserve">Le due posizioni pubbliche</w:t>
      </w:r>
    </w:p>
    <w:p>
      <w:pPr>
        <w:spacing w:after="120" w:line="276"/>
        <w:jc w:val="both"/>
      </w:pPr>
      <w:r>
        <w:rPr>
          <w:rFonts w:ascii="Barlow Semi Condensed" w:cs="Barlow Semi Condensed" w:eastAsia="Barlow Semi Condensed" w:hAnsi="Barlow Semi Condensed"/>
          <w:b/>
          <w:bCs/>
          <w:sz w:val="24"/>
          <w:szCs w:val="24"/>
        </w:rPr>
        <w:t xml:space="preserve">Attorno alle comunicazioni si formarono, nel dibattito pubblico e nelle sedi istituzionali, due posizioni che è necessario esporre con esattezza perché su di esse si è successivamente costruito molto.</w:t>
      </w:r>
    </w:p>
    <w:p>
      <w:pPr>
        <w:spacing w:after="120" w:line="276"/>
        <w:jc w:val="both"/>
      </w:pPr>
      <w:r>
        <w:rPr>
          <w:rFonts w:ascii="Barlow Semi Condensed" w:cs="Barlow Semi Condensed" w:eastAsia="Barlow Semi Condensed" w:hAnsi="Barlow Semi Condensed"/>
          <w:b/>
          <w:bCs/>
          <w:sz w:val="24"/>
          <w:szCs w:val="24"/>
        </w:rPr>
        <w:t xml:space="preserve">La prima sosteneva che lo Stato non dovesse trattare con l'organizzazione, in quanto la trattativa ne avrebbe riconosciuto lo statuto politico e incentivato la reiterazione. Essa fu la posizione prevalente nelle sedi di governo e presso i maggiori partiti.</w:t>
      </w:r>
    </w:p>
    <w:p>
      <w:pPr>
        <w:spacing w:after="120" w:line="276"/>
        <w:jc w:val="both"/>
      </w:pPr>
      <w:r>
        <w:rPr>
          <w:rFonts w:ascii="Barlow Semi Condensed" w:cs="Barlow Semi Condensed" w:eastAsia="Barlow Semi Condensed" w:hAnsi="Barlow Semi Condensed"/>
          <w:b/>
          <w:bCs/>
          <w:sz w:val="24"/>
          <w:szCs w:val="24"/>
        </w:rPr>
        <w:t xml:space="preserve">La seconda sosteneva che dovesse essere perseguita ogni via idonea a salvare la vita del prigioniero, anche mediante forme di trattativa, e che ciò non comportasse riconoscimento politico. Essa fu sostenuta da settori minoritari e da una parte dei familiari.</w:t>
      </w:r>
    </w:p>
    <w:p>
      <w:pPr>
        <w:spacing w:after="120" w:line="276"/>
        <w:jc w:val="both"/>
      </w:pPr>
      <w:r>
        <w:rPr>
          <w:rFonts w:ascii="Barlow Semi Condensed" w:cs="Barlow Semi Condensed" w:eastAsia="Barlow Semi Condensed" w:hAnsi="Barlow Semi Condensed"/>
          <w:b/>
          <w:bCs/>
          <w:sz w:val="24"/>
          <w:szCs w:val="24"/>
        </w:rPr>
        <w:t xml:space="preserve">Quest'opera non giudica quale delle due fosse la posizione giusta, perché il giudizio è politico e morale e non documentale. Registra che entrambe furono sostenute con argomenti seri, che la prima prevalse, e che la questione è rimasta controversa fino a oggi.</w:t>
      </w:r>
    </w:p>
    <w:p>
      <w:pPr>
        <w:pStyle w:val="Heading2"/>
        <w:spacing w:after="100" w:before="200"/>
      </w:pPr>
      <w:r>
        <w:rPr>
          <w:rFonts w:ascii="Barlow Semi Condensed" w:cs="Barlow Semi Condensed" w:eastAsia="Barlow Semi Condensed" w:hAnsi="Barlow Semi Condensed"/>
          <w:sz w:val="24"/>
          <w:szCs w:val="24"/>
        </w:rPr>
        <w:t xml:space="preserve">Ciò che rileva per la ricostruzione materiale</w:t>
      </w:r>
    </w:p>
    <w:p>
      <w:pPr>
        <w:spacing w:after="120" w:line="276"/>
        <w:jc w:val="both"/>
      </w:pPr>
      <w:r>
        <w:rPr>
          <w:rFonts w:ascii="Barlow Semi Condensed" w:cs="Barlow Semi Condensed" w:eastAsia="Barlow Semi Condensed" w:hAnsi="Barlow Semi Condensed"/>
          <w:b/>
          <w:bCs/>
          <w:sz w:val="24"/>
          <w:szCs w:val="24"/>
        </w:rPr>
        <w:t xml:space="preserve">Quanto alla materia di questa Fase, la sequenza delle comunicazioni rileva per due elementi.</w:t>
      </w:r>
    </w:p>
    <w:p>
      <w:pPr>
        <w:spacing w:after="120" w:line="276"/>
        <w:jc w:val="both"/>
      </w:pPr>
      <w:r>
        <w:rPr>
          <w:rFonts w:ascii="Barlow Semi Condensed" w:cs="Barlow Semi Condensed" w:eastAsia="Barlow Semi Condensed" w:hAnsi="Barlow Semi Condensed"/>
          <w:b/>
          <w:bCs/>
          <w:sz w:val="24"/>
          <w:szCs w:val="24"/>
        </w:rPr>
        <w:t xml:space="preserve">Primo: essa attesta che il prigioniero fu mantenuto in vita per l'intero periodo e in condizioni che gli consentivano di scrivere, il che restringe le ipotesi sulle modalità di detenzione.</w:t>
      </w:r>
    </w:p>
    <w:p>
      <w:pPr>
        <w:spacing w:after="120" w:line="276"/>
        <w:jc w:val="both"/>
      </w:pPr>
      <w:r>
        <w:rPr>
          <w:rFonts w:ascii="Barlow Semi Condensed" w:cs="Barlow Semi Condensed" w:eastAsia="Barlow Semi Condensed" w:hAnsi="Barlow Semi Condensed"/>
          <w:b/>
          <w:bCs/>
          <w:sz w:val="24"/>
          <w:szCs w:val="24"/>
        </w:rPr>
        <w:t xml:space="preserve">Secondo: essa attesta che l'organizzazione mantenne, per cinquantacinque giorni, una capacità di comunicazione pubblica ripetuta senza che l'origine dei recapiti conducesse alla localizzazione. Il dato è già stato registrato nel Capitolo ventiquattresimo fra le capacità manifestate, e vi si è concluso che esso non costituisce scarto, essendo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Una avvertenza sul contenuto</w:t>
      </w:r>
    </w:p>
    <w:p>
      <w:pPr>
        <w:spacing w:after="120" w:line="276"/>
        <w:jc w:val="both"/>
      </w:pPr>
      <w:r>
        <w:rPr>
          <w:rFonts w:ascii="Barlow Semi Condensed" w:cs="Barlow Semi Condensed" w:eastAsia="Barlow Semi Condensed" w:hAnsi="Barlow Semi Condensed"/>
          <w:b/>
          <w:bCs/>
          <w:sz w:val="24"/>
          <w:szCs w:val="24"/>
        </w:rPr>
        <w:t xml:space="preserve">Si avverte che questo Capitolo non riferisce il contenuto dei comunicati né quello delle lettere, se non per la parte già esposta nel Capitolo diciassettesimo quanto al movente dichiarato.</w:t>
      </w:r>
    </w:p>
    <w:p>
      <w:pPr>
        <w:spacing w:after="120" w:line="276"/>
        <w:jc w:val="both"/>
      </w:pPr>
      <w:r>
        <w:rPr>
          <w:rFonts w:ascii="Barlow Semi Condensed" w:cs="Barlow Semi Condensed" w:eastAsia="Barlow Semi Condensed" w:hAnsi="Barlow Semi Condensed"/>
          <w:b/>
          <w:bCs/>
          <w:sz w:val="24"/>
          <w:szCs w:val="24"/>
        </w:rPr>
        <w:t xml:space="preserve">La ragione è di competenza: le carte scritte sotto vincolo richiedono una disciplina di lettura propria — quali enunciati siano attribuibili a chi scrive, quali siano condizionati, quali siano dettati — e tale disciplina è oggetto della Fase Quarta. Anticiparne l'uso qui significherebbe impiegare come prova materiale ciò che non è ancora stato qualificato quanto allo statuto.</w:t>
      </w:r>
    </w:p>
    <w:p>
      <w:pPr>
        <w:pStyle w:val="Heading2"/>
        <w:spacing w:after="100" w:before="200"/>
      </w:pPr>
      <w:r>
        <w:rPr>
          <w:rFonts w:ascii="Barlow Semi Condensed" w:cs="Barlow Semi Condensed" w:eastAsia="Barlow Semi Condensed" w:hAnsi="Barlow Semi Condensed"/>
          <w:sz w:val="24"/>
          <w:szCs w:val="24"/>
        </w:rPr>
        <w:t xml:space="preserve">Capitolo ventottesimo — Il falso annuncio e via Gradoli</w:t>
      </w:r>
    </w:p>
    <w:p>
      <w:pPr>
        <w:spacing w:after="120" w:line="276"/>
        <w:jc w:val="both"/>
      </w:pPr>
      <w:r>
        <w:rPr>
          <w:rFonts w:ascii="Barlow Semi Condensed" w:cs="Barlow Semi Condensed" w:eastAsia="Barlow Semi Condensed" w:hAnsi="Barlow Semi Condensed"/>
          <w:b/>
          <w:bCs/>
          <w:sz w:val="24"/>
          <w:szCs w:val="24"/>
        </w:rPr>
        <w:t xml:space="preserve">Nella seconda metà del periodo si collocano due episodi che appartengono alla ricostruzione materiale e che sono, per ragioni opposte, i più densi dell'intera vicenda. Si espongono qui nella loro materialità; la loro qualificazione appartiene alla Fase Quinta.</w:t>
      </w:r>
    </w:p>
    <w:p>
      <w:pPr>
        <w:pStyle w:val="Heading2"/>
        <w:spacing w:after="100" w:before="200"/>
      </w:pPr>
      <w:r>
        <w:rPr>
          <w:rFonts w:ascii="Barlow Semi Condensed" w:cs="Barlow Semi Condensed" w:eastAsia="Barlow Semi Condensed" w:hAnsi="Barlow Semi Condensed"/>
          <w:sz w:val="24"/>
          <w:szCs w:val="24"/>
        </w:rPr>
        <w:t xml:space="preserve">Il falso annuncio</w:t>
      </w:r>
    </w:p>
    <w:p>
      <w:pPr>
        <w:spacing w:after="120" w:line="276"/>
        <w:jc w:val="both"/>
      </w:pPr>
      <w:r>
        <w:rPr>
          <w:rFonts w:ascii="Barlow Semi Condensed" w:cs="Barlow Semi Condensed" w:eastAsia="Barlow Semi Condensed" w:hAnsi="Barlow Semi Condensed"/>
          <w:b/>
          <w:bCs/>
          <w:sz w:val="24"/>
          <w:szCs w:val="24"/>
        </w:rPr>
        <w:t xml:space="preserve">Fu diffuso, nel corso del periodo, un comunicato apocrifo che annunciava la morte del prigioniero e ne indicava il luogo di rinvenimento in uno specchio d'acqua montano. Furono disposte operazioni di ricerca in quel luogo, con impiego di mezzi, e l'esito fu negativo.</w:t>
      </w:r>
    </w:p>
    <w:p>
      <w:pPr>
        <w:spacing w:after="120" w:line="276"/>
        <w:jc w:val="both"/>
      </w:pPr>
      <w:r>
        <w:rPr>
          <w:rFonts w:ascii="Barlow Semi Condensed" w:cs="Barlow Semi Condensed" w:eastAsia="Barlow Semi Condensed" w:hAnsi="Barlow Semi Condensed"/>
          <w:b/>
          <w:bCs/>
          <w:sz w:val="24"/>
          <w:szCs w:val="24"/>
        </w:rPr>
        <w:t xml:space="preserve">È accertato: che il comunicato fu diffuso; che non proveniva dall'organizzazione, la quale lo smentì; che furono disposte ricerche; che esse ebbero esito negativo.</w:t>
      </w:r>
    </w:p>
    <w:p>
      <w:pPr>
        <w:spacing w:after="120" w:line="276"/>
        <w:jc w:val="both"/>
      </w:pPr>
      <w:r>
        <w:rPr>
          <w:rFonts w:ascii="Barlow Semi Condensed" w:cs="Barlow Semi Condensed" w:eastAsia="Barlow Semi Condensed" w:hAnsi="Barlow Semi Condensed"/>
          <w:b/>
          <w:bCs/>
          <w:sz w:val="24"/>
          <w:szCs w:val="24"/>
        </w:rPr>
        <w:t xml:space="preserve">Non è accertata, allo stato degli atti che quest'opera ha potuto interrogare, l'identità di chi lo confezionò né la finalità perseguita. La materia è stata oggetto di procedimenti e di accertamenti parlamentari, con esiti che non hanno prodotto un accertamento definitivo.</w:t>
      </w:r>
    </w:p>
    <w:p>
      <w:pPr>
        <w:spacing w:after="120" w:line="276"/>
        <w:jc w:val="both"/>
      </w:pPr>
      <w:r>
        <w:rPr>
          <w:rFonts w:ascii="Barlow Semi Condensed" w:cs="Barlow Semi Condensed" w:eastAsia="Barlow Semi Condensed" w:hAnsi="Barlow Semi Condensed"/>
          <w:b/>
          <w:bCs/>
          <w:sz w:val="24"/>
          <w:szCs w:val="24"/>
        </w:rPr>
        <w:t xml:space="preserve">Si registra il carattere dell'episodio, che è quello di un atto deliberato di produzione di falso in una indagine in corso. Questo carattere è accertato: un comunicato apocrifo non si forma per errore. Che esso sia qualificabile come depistaggio nel senso tecnico, e a quale fine, resta in stato di dubbio quanto all'autore e alla finalità, mentre è in stato di sciolto quanto alla natura falsa dell'atto.</w:t>
      </w:r>
    </w:p>
    <w:p>
      <w:pPr>
        <w:pStyle w:val="Heading2"/>
        <w:spacing w:after="100" w:before="200"/>
      </w:pPr>
      <w:r>
        <w:rPr>
          <w:rFonts w:ascii="Barlow Semi Condensed" w:cs="Barlow Semi Condensed" w:eastAsia="Barlow Semi Condensed" w:hAnsi="Barlow Semi Condensed"/>
          <w:sz w:val="24"/>
          <w:szCs w:val="24"/>
        </w:rPr>
        <w:t xml:space="preserve">Via Gradoli</w:t>
      </w:r>
    </w:p>
    <w:p>
      <w:pPr>
        <w:spacing w:after="120" w:line="276"/>
        <w:jc w:val="both"/>
      </w:pPr>
      <w:r>
        <w:rPr>
          <w:rFonts w:ascii="Barlow Semi Condensed" w:cs="Barlow Semi Condensed" w:eastAsia="Barlow Semi Condensed" w:hAnsi="Barlow Semi Condensed"/>
          <w:b/>
          <w:bCs/>
          <w:sz w:val="24"/>
          <w:szCs w:val="24"/>
        </w:rPr>
        <w:t xml:space="preserve">Il secondo episodio riguarda un appartamento sito in una via di Roma denominata Gradoli, che risultò essere una base dell'organizzazione, e che fu individuato nella seconda metà del periodo in conseguenza di una perdita d'acqua che ne rese necessario l'accesso.</w:t>
      </w:r>
    </w:p>
    <w:p>
      <w:pPr>
        <w:spacing w:after="120" w:line="276"/>
        <w:jc w:val="both"/>
      </w:pPr>
      <w:r>
        <w:rPr>
          <w:rFonts w:ascii="Barlow Semi Condensed" w:cs="Barlow Semi Condensed" w:eastAsia="Barlow Semi Condensed" w:hAnsi="Barlow Semi Condensed"/>
          <w:b/>
          <w:bCs/>
          <w:sz w:val="24"/>
          <w:szCs w:val="24"/>
        </w:rPr>
        <w:t xml:space="preserve">Gli elementi accertati sono i seguenti. L'appartamento era una base dell'organizzazione. Esso fu individuato per una circostanza fortuita e non per attività di indagine. La sua individuazione avvenne quando il prigioniero era ancora in vita.</w:t>
      </w:r>
    </w:p>
    <w:p>
      <w:pPr>
        <w:spacing w:after="120" w:line="276"/>
        <w:jc w:val="both"/>
      </w:pPr>
      <w:r>
        <w:rPr>
          <w:rFonts w:ascii="Barlow Semi Condensed" w:cs="Barlow Semi Condensed" w:eastAsia="Barlow Semi Condensed" w:hAnsi="Barlow Semi Condensed"/>
          <w:b/>
          <w:bCs/>
          <w:sz w:val="24"/>
          <w:szCs w:val="24"/>
        </w:rPr>
        <w:t xml:space="preserve">Attorno a questo nucleo si collocano due circostanze che le sedi istituzionali hanno esaminate e qualificate come omissioni.</w:t>
      </w:r>
    </w:p>
    <w:p>
      <w:pPr>
        <w:spacing w:after="120" w:line="276"/>
        <w:jc w:val="both"/>
      </w:pPr>
      <w:r>
        <w:rPr>
          <w:rFonts w:ascii="Barlow Semi Condensed" w:cs="Barlow Semi Condensed" w:eastAsia="Barlow Semi Condensed" w:hAnsi="Barlow Semi Condensed"/>
          <w:b/>
          <w:bCs/>
          <w:sz w:val="24"/>
          <w:szCs w:val="24"/>
        </w:rPr>
        <w:t xml:space="preserve">La prima riguarda un controllo effettuato in quella via nelle settimane precedenti, che non condusse all'individuazione della base.</w:t>
      </w:r>
    </w:p>
    <w:p>
      <w:pPr>
        <w:spacing w:after="120" w:line="276"/>
        <w:jc w:val="both"/>
      </w:pPr>
      <w:r>
        <w:rPr>
          <w:rFonts w:ascii="Barlow Semi Condensed" w:cs="Barlow Semi Condensed" w:eastAsia="Barlow Semi Condensed" w:hAnsi="Barlow Semi Condensed"/>
          <w:b/>
          <w:bCs/>
          <w:sz w:val="24"/>
          <w:szCs w:val="24"/>
        </w:rPr>
        <w:t xml:space="preserve">La seconda riguarda la circostanza che, essendo stato indicato il nome Gradoli in una sede diversa e per via non ordinaria, le ricerche furono indirizzate verso una località omonima anziché verso la via romana.</w:t>
      </w:r>
    </w:p>
    <w:p>
      <w:pPr>
        <w:spacing w:after="120" w:line="276"/>
        <w:jc w:val="both"/>
      </w:pPr>
      <w:r>
        <w:rPr>
          <w:rFonts w:ascii="Barlow Semi Condensed" w:cs="Barlow Semi Condensed" w:eastAsia="Barlow Semi Condensed" w:hAnsi="Barlow Semi Condensed"/>
          <w:b/>
          <w:bCs/>
          <w:sz w:val="24"/>
          <w:szCs w:val="24"/>
        </w:rPr>
        <w:t xml:space="preserve">Su entrambe le circostanze quest'opera si limita qui a registrarne l'esistenza e la qualificazione ricevuta in sede istituzionale. La loro trattazione analitica — se costituiscano errore, negligenza o condotta deliberata — appartiene alla Fase Quinta, che ha per oggetto le omissioni, e vi sarà condotta secondo la disciplina propria di quella Fase, che richiede per ciascuna omissione l'accertamento del dovere, dell'inadempimento e della sua spiegabilità.</w:t>
      </w:r>
    </w:p>
    <w:p>
      <w:pPr>
        <w:pStyle w:val="Heading2"/>
        <w:spacing w:after="100" w:before="200"/>
      </w:pPr>
      <w:r>
        <w:rPr>
          <w:rFonts w:ascii="Barlow Semi Condensed" w:cs="Barlow Semi Condensed" w:eastAsia="Barlow Semi Condensed" w:hAnsi="Barlow Semi Condensed"/>
          <w:sz w:val="24"/>
          <w:szCs w:val="24"/>
        </w:rPr>
        <w:t xml:space="preserve">Perché i due episodi sono esposti insieme</w:t>
      </w:r>
    </w:p>
    <w:p>
      <w:pPr>
        <w:spacing w:after="120" w:line="276"/>
        <w:jc w:val="both"/>
      </w:pPr>
      <w:r>
        <w:rPr>
          <w:rFonts w:ascii="Barlow Semi Condensed" w:cs="Barlow Semi Condensed" w:eastAsia="Barlow Semi Condensed" w:hAnsi="Barlow Semi Condensed"/>
          <w:b/>
          <w:bCs/>
          <w:sz w:val="24"/>
          <w:szCs w:val="24"/>
        </w:rPr>
        <w:t xml:space="preserve">I due episodi sono esposti nel medesimo Capitolo per una ragione che non è cronologica ma logica.</w:t>
      </w:r>
    </w:p>
    <w:p>
      <w:pPr>
        <w:spacing w:after="120" w:line="276"/>
        <w:jc w:val="both"/>
      </w:pPr>
      <w:r>
        <w:rPr>
          <w:rFonts w:ascii="Barlow Semi Condensed" w:cs="Barlow Semi Condensed" w:eastAsia="Barlow Semi Condensed" w:hAnsi="Barlow Semi Condensed"/>
          <w:b/>
          <w:bCs/>
          <w:sz w:val="24"/>
          <w:szCs w:val="24"/>
        </w:rPr>
        <w:t xml:space="preserve">Essi costituiscono, insieme, il punto nel quale la vicenda materiale e la vicenda delle omissioni si toccano. Fino a questo punto la Fase ha potuto trattare il fatto come una successione di eventi materiali. Da questo punto in avanti ciò non è più possibile, perché gli eventi comprendono atti dello Stato — o omessi dallo Stato — che non sono qualificabili senza il metodo della Fase Quinta.</w:t>
      </w:r>
    </w:p>
    <w:p>
      <w:pPr>
        <w:spacing w:after="120" w:line="276"/>
        <w:jc w:val="both"/>
      </w:pPr>
      <w:r>
        <w:rPr>
          <w:rFonts w:ascii="Barlow Semi Condensed" w:cs="Barlow Semi Condensed" w:eastAsia="Barlow Semi Condensed" w:hAnsi="Barlow Semi Condensed"/>
          <w:b/>
          <w:bCs/>
          <w:sz w:val="24"/>
          <w:szCs w:val="24"/>
        </w:rPr>
        <w:t xml:space="preserve">Il lettore è avvertito che questa Fase si ferma qui quanto alla qualificazione, e che ciò non è reticenza ma competenza. Un registro che qualificasse le omissioni nella Fase dedicata al fatto materiale confonderebbe l'ordine dell'esposizione con quello della prova, e produrrebbe, per effetto della collocazione, l'impressione che l'omissione appartenga alla dinamica dell'agguato. Non vi appartiene: appartiene alla condotta di chi doveva impedirlo o interromperlo, che è altra cosa e ha altra prova.</w:t>
      </w:r>
    </w:p>
    <w:p>
      <w:pPr>
        <w:pStyle w:val="Heading2"/>
        <w:spacing w:after="100" w:before="200"/>
      </w:pPr>
      <w:r>
        <w:rPr>
          <w:rFonts w:ascii="Barlow Semi Condensed" w:cs="Barlow Semi Condensed" w:eastAsia="Barlow Semi Condensed" w:hAnsi="Barlow Semi Condensed"/>
          <w:sz w:val="24"/>
          <w:szCs w:val="24"/>
        </w:rPr>
        <w:t xml:space="preserve">Capitolo ventinovesimo — Il 9 maggio 1978</w:t>
      </w:r>
    </w:p>
    <w:p>
      <w:pPr>
        <w:pStyle w:val="Heading2"/>
        <w:spacing w:after="100" w:before="200"/>
      </w:pPr>
      <w:r>
        <w:rPr>
          <w:rFonts w:ascii="Barlow Semi Condensed" w:cs="Barlow Semi Condensed" w:eastAsia="Barlow Semi Condensed" w:hAnsi="Barlow Semi Condensed"/>
          <w:sz w:val="24"/>
          <w:szCs w:val="24"/>
        </w:rPr>
        <w:t xml:space="preserve">Il rinvenimento</w:t>
      </w:r>
    </w:p>
    <w:p>
      <w:pPr>
        <w:spacing w:after="120" w:line="276"/>
        <w:jc w:val="both"/>
      </w:pPr>
      <w:r>
        <w:rPr>
          <w:rFonts w:ascii="Barlow Semi Condensed" w:cs="Barlow Semi Condensed" w:eastAsia="Barlow Semi Condensed" w:hAnsi="Barlow Semi Condensed"/>
          <w:b/>
          <w:bCs/>
          <w:sz w:val="24"/>
          <w:szCs w:val="24"/>
        </w:rPr>
        <w:t xml:space="preserve">Il 9 maggio 1978 il corpo di Aldo Moro fu rinvenuto nel bagagliaio di una autovettura, una Renault 4 di colore rosso, parcheggiata in via Michelangelo Caetani, a Roma.</w:t>
      </w:r>
    </w:p>
    <w:p>
      <w:pPr>
        <w:spacing w:after="120" w:line="276"/>
        <w:jc w:val="both"/>
      </w:pPr>
      <w:r>
        <w:rPr>
          <w:rFonts w:ascii="Barlow Semi Condensed" w:cs="Barlow Semi Condensed" w:eastAsia="Barlow Semi Condensed" w:hAnsi="Barlow Semi Condensed"/>
          <w:b/>
          <w:bCs/>
          <w:sz w:val="24"/>
          <w:szCs w:val="24"/>
        </w:rPr>
        <w:t xml:space="preserve">La collocazione del veicolo è accertata e la sua descrizione topografica è la seguente: via Caetani si trova nel centro storico di Roma, a breve distanza sia dalla sede nazionale della Democrazia Cristiana sia dalla sede nazionale del Partito Comunista Italiano.</w:t>
      </w:r>
    </w:p>
    <w:p>
      <w:pPr>
        <w:spacing w:after="120" w:line="276"/>
        <w:jc w:val="both"/>
      </w:pPr>
      <w:r>
        <w:rPr>
          <w:rFonts w:ascii="Barlow Semi Condensed" w:cs="Barlow Semi Condensed" w:eastAsia="Barlow Semi Condensed" w:hAnsi="Barlow Semi Condensed"/>
          <w:b/>
          <w:bCs/>
          <w:sz w:val="24"/>
          <w:szCs w:val="24"/>
        </w:rPr>
        <w:t xml:space="preserve">Questa circostanza topografica è accertata. Il significato che le è stato attribuito — che la collocazione fosse deliberatamente scelta per il suo valore simbolico, equidistante fra i due partiti dell'accordo che l'azione intendeva colpire — è interpretazione largamente condivisa e non è accertata da alcun atto. Si registra come lettura prevalente e non come dato.</w:t>
      </w:r>
    </w:p>
    <w:p>
      <w:pPr>
        <w:pStyle w:val="Heading2"/>
        <w:spacing w:after="100" w:before="200"/>
      </w:pPr>
      <w:r>
        <w:rPr>
          <w:rFonts w:ascii="Barlow Semi Condensed" w:cs="Barlow Semi Condensed" w:eastAsia="Barlow Semi Condensed" w:hAnsi="Barlow Semi Condensed"/>
          <w:sz w:val="24"/>
          <w:szCs w:val="24"/>
        </w:rPr>
        <w:t xml:space="preserve">La causa della morte</w:t>
      </w:r>
    </w:p>
    <w:p>
      <w:pPr>
        <w:spacing w:after="120" w:line="276"/>
        <w:jc w:val="both"/>
      </w:pPr>
      <w:r>
        <w:rPr>
          <w:rFonts w:ascii="Barlow Semi Condensed" w:cs="Barlow Semi Condensed" w:eastAsia="Barlow Semi Condensed" w:hAnsi="Barlow Semi Condensed"/>
          <w:b/>
          <w:bCs/>
          <w:sz w:val="24"/>
          <w:szCs w:val="24"/>
        </w:rPr>
        <w:t xml:space="preserve">La morte fu determinata da colpi di arma da fuoco esplosi a distanza ravvicinata contro il torace. Le armi impiegate furono due, di calibro e tipo diverso, secondo quanto accertato dalla perizia balistica.</w:t>
      </w:r>
    </w:p>
    <w:p>
      <w:pPr>
        <w:spacing w:after="120" w:line="276"/>
        <w:jc w:val="both"/>
      </w:pPr>
      <w:r>
        <w:rPr>
          <w:rFonts w:ascii="Barlow Semi Condensed" w:cs="Barlow Semi Condensed" w:eastAsia="Barlow Semi Condensed" w:hAnsi="Barlow Semi Condensed"/>
          <w:b/>
          <w:bCs/>
          <w:sz w:val="24"/>
          <w:szCs w:val="24"/>
        </w:rPr>
        <w:t xml:space="preserve">L'ora e il luogo dell'uccisione non sono accertati con la medesima precisione della causa. Gli elementi disponibili, di natura medico-legale, consentono di collocare l'evento entro un intervallo, e la loro precisazione è stata oggetto di valutazioni non del tutto concordi.</w:t>
      </w:r>
    </w:p>
    <w:p>
      <w:pPr>
        <w:pStyle w:val="Heading2"/>
        <w:spacing w:after="100" w:before="200"/>
      </w:pPr>
      <w:r>
        <w:rPr>
          <w:rFonts w:ascii="Barlow Semi Condensed" w:cs="Barlow Semi Condensed" w:eastAsia="Barlow Semi Condensed" w:hAnsi="Barlow Semi Condensed"/>
          <w:sz w:val="24"/>
          <w:szCs w:val="24"/>
        </w:rPr>
        <w:t xml:space="preserve">L'attribuzione dell'atto</w:t>
      </w:r>
    </w:p>
    <w:p>
      <w:pPr>
        <w:spacing w:after="120" w:line="276"/>
        <w:jc w:val="both"/>
      </w:pPr>
      <w:r>
        <w:rPr>
          <w:rFonts w:ascii="Barlow Semi Condensed" w:cs="Barlow Semi Condensed" w:eastAsia="Barlow Semi Condensed" w:hAnsi="Barlow Semi Condensed"/>
          <w:b/>
          <w:bCs/>
          <w:sz w:val="24"/>
          <w:szCs w:val="24"/>
        </w:rPr>
        <w:t xml:space="preserve">L'attribuzione individuale dell'esecuzione è uno dei punti nei quali la ricostruzione ha conosciuto revisione.</w:t>
      </w:r>
    </w:p>
    <w:p>
      <w:pPr>
        <w:spacing w:after="120" w:line="276"/>
        <w:jc w:val="both"/>
      </w:pPr>
      <w:r>
        <w:rPr>
          <w:rFonts w:ascii="Barlow Semi Condensed" w:cs="Barlow Semi Condensed" w:eastAsia="Barlow Semi Condensed" w:hAnsi="Barlow Semi Condensed"/>
          <w:b/>
          <w:bCs/>
          <w:sz w:val="24"/>
          <w:szCs w:val="24"/>
        </w:rPr>
        <w:t xml:space="preserve">Per un periodo prolungato la ricostruzione accolta attribuiva l'atto a un determinato appartenente all'organizzazione. Successivamente, in conseguenza dell'emergere di elementi relativi alla presenza di un ulteriore soggetto nella custodia del prigioniero, la ricostruzione fu rivista.</w:t>
      </w:r>
    </w:p>
    <w:p>
      <w:pPr>
        <w:spacing w:after="120" w:line="276"/>
        <w:jc w:val="both"/>
      </w:pPr>
      <w:r>
        <w:rPr>
          <w:rFonts w:ascii="Barlow Semi Condensed" w:cs="Barlow Semi Condensed" w:eastAsia="Barlow Semi Condensed" w:hAnsi="Barlow Semi Condensed"/>
          <w:b/>
          <w:bCs/>
          <w:sz w:val="24"/>
          <w:szCs w:val="24"/>
        </w:rPr>
        <w:t xml:space="preserve">Si applica la regola del Capitolo ventunesimo. L'attribuzione individuale poggia su dichiarazioni e non su rilievo materiale. Essa è dunque iscritta come dato di ricostruzione, con menzione della revisione intervenuta, e resta soggetta a ulteriore revisione ove le dichiarazioni mutino.</w:t>
      </w:r>
    </w:p>
    <w:p>
      <w:pPr>
        <w:pStyle w:val="Heading2"/>
        <w:spacing w:after="100" w:before="200"/>
      </w:pPr>
      <w:r>
        <w:rPr>
          <w:rFonts w:ascii="Barlow Semi Condensed" w:cs="Barlow Semi Condensed" w:eastAsia="Barlow Semi Condensed" w:hAnsi="Barlow Semi Condensed"/>
          <w:sz w:val="24"/>
          <w:szCs w:val="24"/>
        </w:rPr>
        <w:t xml:space="preserve">I ritrovamenti successivi e il marcatore di spoliazione</w:t>
      </w:r>
    </w:p>
    <w:p>
      <w:pPr>
        <w:spacing w:after="120" w:line="276"/>
        <w:jc w:val="both"/>
      </w:pPr>
      <w:r>
        <w:rPr>
          <w:rFonts w:ascii="Barlow Semi Condensed" w:cs="Barlow Semi Condensed" w:eastAsia="Barlow Semi Condensed" w:hAnsi="Barlow Semi Condensed"/>
          <w:b/>
          <w:bCs/>
          <w:sz w:val="24"/>
          <w:szCs w:val="24"/>
        </w:rPr>
        <w:t xml:space="preserve">Occorre esporre in questo Capitolo, sebbene cronologicamente successivo, un elemento che incide sulla ricostruzione materiale.</w:t>
      </w:r>
    </w:p>
    <w:p>
      <w:pPr>
        <w:spacing w:after="120" w:line="276"/>
        <w:jc w:val="both"/>
      </w:pPr>
      <w:r>
        <w:rPr>
          <w:rFonts w:ascii="Barlow Semi Condensed" w:cs="Barlow Semi Condensed" w:eastAsia="Barlow Semi Condensed" w:hAnsi="Barlow Semi Condensed"/>
          <w:b/>
          <w:bCs/>
          <w:sz w:val="24"/>
          <w:szCs w:val="24"/>
        </w:rPr>
        <w:t xml:space="preserve">In epoca successiva alla conclusione della vicenda fu individuata, in una città del nord, una base dell'organizzazione, e vi furono rinvenuti documenti riferibili alla prigionia, fra cui riproduzioni di scritti del prigioniero.</w:t>
      </w:r>
    </w:p>
    <w:p>
      <w:pPr>
        <w:spacing w:after="120" w:line="276"/>
        <w:jc w:val="both"/>
      </w:pPr>
      <w:r>
        <w:rPr>
          <w:rFonts w:ascii="Barlow Semi Condensed" w:cs="Barlow Semi Condensed" w:eastAsia="Barlow Semi Condensed" w:hAnsi="Barlow Semi Condensed"/>
          <w:b/>
          <w:bCs/>
          <w:sz w:val="24"/>
          <w:szCs w:val="24"/>
        </w:rPr>
        <w:t xml:space="preserve">Anni dopo, nel corso di lavori edilizi nel medesimo luogo, fu effettuato un secondo rinvenimento di ulteriori documenti, che si trovavano occultati in una intercapedine e che non erano stati reperiti nel corso della prima operazione.</w:t>
      </w:r>
    </w:p>
    <w:p>
      <w:pPr>
        <w:spacing w:after="120" w:line="276"/>
        <w:jc w:val="both"/>
      </w:pPr>
      <w:r>
        <w:rPr>
          <w:rFonts w:ascii="Barlow Semi Condensed" w:cs="Barlow Semi Condensed" w:eastAsia="Barlow Semi Condensed" w:hAnsi="Barlow Semi Condensed"/>
          <w:b/>
          <w:bCs/>
          <w:sz w:val="24"/>
          <w:szCs w:val="24"/>
        </w:rPr>
        <w:t xml:space="preserve">La duplicità del rinvenimento è accertata. Essa comporta una conseguenza che va registrata con precisione, e che quest'opera iscrive con un marcatore proprio: dal momento in cui è accertato che una prima operazione non reperì ciò che una seconda reperì nel medesimo luogo, l'esaustività della prima operazione è esclusa. Il marcatore, una volta apposto, non si rimuove: nessuna dichiarazione successiva può ripristinare la presunzione di completezza di una ricerca della quale è documentata l'incompletezza.</w:t>
      </w:r>
    </w:p>
    <w:p>
      <w:pPr>
        <w:spacing w:after="120" w:line="276"/>
        <w:jc w:val="both"/>
      </w:pPr>
      <w:r>
        <w:rPr>
          <w:rFonts w:ascii="Barlow Semi Condensed" w:cs="Barlow Semi Condensed" w:eastAsia="Barlow Semi Condensed" w:hAnsi="Barlow Semi Condensed"/>
          <w:b/>
          <w:bCs/>
          <w:sz w:val="24"/>
          <w:szCs w:val="24"/>
        </w:rPr>
        <w:t xml:space="preserve">Ciò non qualifica la ragione dell'incompletezza, che può essere tecnica o di altra natura, e la cui indagine appartiene alla Fase Quinta.</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b/>
          <w:bCs/>
          <w:sz w:val="24"/>
          <w:szCs w:val="24"/>
        </w:rPr>
        <w:t xml:space="preserve">Sono in stato di sciolto: la data e il luogo del rinvenimento; il tipo e la collocazione del veicolo; la causa della morte e l'impiego di due armi; la prossimità topografica alle due sedi di partito; la duplicità del rinvenimento documentale e la conseguente esclusione dell'esaustività della prima operazione.</w:t>
      </w:r>
    </w:p>
    <w:p>
      <w:pPr>
        <w:spacing w:after="120" w:line="276"/>
        <w:jc w:val="both"/>
      </w:pPr>
      <w:r>
        <w:rPr>
          <w:rFonts w:ascii="Barlow Semi Condensed" w:cs="Barlow Semi Condensed" w:eastAsia="Barlow Semi Condensed" w:hAnsi="Barlow Semi Condensed"/>
          <w:b/>
          <w:bCs/>
          <w:sz w:val="24"/>
          <w:szCs w:val="24"/>
        </w:rPr>
        <w:t xml:space="preserve">Sono in stato di dubbio: l'ora e il luogo dell'uccisione entro l'intervallo; l'attribuzione individuale dell'esecuzione; il significato della collocazione del veicolo.</w:t>
      </w:r>
    </w:p>
    <w:p>
      <w:pPr>
        <w:pStyle w:val="Heading2"/>
        <w:spacing w:after="100" w:before="200"/>
      </w:pPr>
      <w:r>
        <w:rPr>
          <w:rFonts w:ascii="Barlow Semi Condensed" w:cs="Barlow Semi Condensed" w:eastAsia="Barlow Semi Condensed" w:hAnsi="Barlow Semi Condensed"/>
          <w:sz w:val="24"/>
          <w:szCs w:val="24"/>
        </w:rPr>
        <w:t xml:space="preserve">Capitolo trentesimo — Bilancio della Fase Terza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l'insieme dei fatti materiali esposti: la composizione e l'identità del servizio di scorta; le circostanze dell'agguato del 16 marzo 1978 nei suoi elementi non controversi; l'uccisione dei cinque uomini; il prelevamento e il trasferimento; la detenzione in via Camillo Montalcini; la sequenza delle comunicazioni durante i cinquantacinque giorni; la diffusione di un comunicato apocrifo e l'esito negativo delle ricerche che ne conseguirono; l'individuazione fortuita della base di via Gradoli in costanza di prigionia; il rinvenimento del 9 maggio 1978 in via Caetani; la causa della morte; la duplicità del rinvenimento documentale nella base settentrionale.</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b/>
          <w:bCs/>
          <w:sz w:val="24"/>
          <w:szCs w:val="24"/>
        </w:rPr>
        <w:t xml:space="preserve">Restano in stato di dubbio: la durata esatta dell'azione di via Fani; il numero preciso dei partecipanti; il percorso e i luoghi intermedi del trasferimento; l'ipotesi di luoghi ulteriori di detenzione; l'origine delle tracce rilevate; l'ora e il luogo dell'uccisione entro l'intervallo medico-legale; l'attribuzione individuale dell'esecuzione; l'identità e la finalità dell'autore del comunicato apocrifo; il significato della collocazione del veicolo in via Caetani.</w:t>
      </w:r>
    </w:p>
    <w:p>
      <w:pPr>
        <w:spacing w:after="120" w:line="276"/>
        <w:jc w:val="both"/>
      </w:pPr>
      <w:r>
        <w:rPr>
          <w:rFonts w:ascii="Barlow Semi Condensed" w:cs="Barlow Semi Condensed" w:eastAsia="Barlow Semi Condensed" w:hAnsi="Barlow Semi Condensed"/>
          <w:b/>
          <w:bCs/>
          <w:sz w:val="24"/>
          <w:szCs w:val="24"/>
        </w:rPr>
        <w:t xml:space="preserve">Si osservi la natura di questo elenco. Esso non contiene ipotesi esotiche: contiene le circostanze ordinarie di un fatto criminoso — quanti erano, dove andarono, chi sparò, a che ora. Che dopo quasi cinquant'anni, quattro procedimenti e più commissioni parlamentari tali circostanze siano in parte non accertate è, di per sé, un dato che va registrato e non commentato in questa sede.</w:t>
      </w:r>
    </w:p>
    <w:p>
      <w:pPr>
        <w:pStyle w:val="Heading2"/>
        <w:spacing w:after="100" w:before="200"/>
      </w:pPr>
      <w:r>
        <w:rPr>
          <w:rFonts w:ascii="Barlow Semi Condensed" w:cs="Barlow Semi Condensed" w:eastAsia="Barlow Semi Condensed" w:hAnsi="Barlow Semi Condensed"/>
          <w:sz w:val="24"/>
          <w:szCs w:val="24"/>
        </w:rPr>
        <w:t xml:space="preserve">La regola che ha governato la Fase</w:t>
      </w:r>
    </w:p>
    <w:p>
      <w:pPr>
        <w:spacing w:after="120" w:line="276"/>
        <w:jc w:val="both"/>
      </w:pPr>
      <w:r>
        <w:rPr>
          <w:rFonts w:ascii="Barlow Semi Condensed" w:cs="Barlow Semi Condensed" w:eastAsia="Barlow Semi Condensed" w:hAnsi="Barlow Semi Condensed"/>
          <w:b/>
          <w:bCs/>
          <w:sz w:val="24"/>
          <w:szCs w:val="24"/>
        </w:rPr>
        <w:t xml:space="preserve">La Fase ha applicato costantemente la distinzione fra ciò che poggia su rilievo materiale e ciò che poggia su dichiarazione. Si trae ora il bilancio di tale applicazione, perché è il risultato metodologico principale.</w:t>
      </w:r>
    </w:p>
    <w:p>
      <w:pPr>
        <w:spacing w:after="120" w:line="276"/>
        <w:jc w:val="both"/>
      </w:pPr>
      <w:r>
        <w:rPr>
          <w:rFonts w:ascii="Barlow Semi Condensed" w:cs="Barlow Semi Condensed" w:eastAsia="Barlow Semi Condensed" w:hAnsi="Barlow Semi Condensed"/>
          <w:b/>
          <w:bCs/>
          <w:sz w:val="24"/>
          <w:szCs w:val="24"/>
        </w:rPr>
        <w:t xml:space="preserve">Poggiano su rilievo materiale, e sono dunque stabili rispetto al mutare delle dichiarazioni: il luogo e la dinamica generale dell'agguato; i decessi e le loro cause; il numero approssimativo dei bossoli e la concentrazione del fuoco; la natura della base di via Gradoli; la data, il luogo e le modalità del rinvenimento; la causa della morte; la duplicità del rinvenimento documentale.</w:t>
      </w:r>
    </w:p>
    <w:p>
      <w:pPr>
        <w:spacing w:after="120" w:line="276"/>
        <w:jc w:val="both"/>
      </w:pPr>
      <w:r>
        <w:rPr>
          <w:rFonts w:ascii="Barlow Semi Condensed" w:cs="Barlow Semi Condensed" w:eastAsia="Barlow Semi Condensed" w:hAnsi="Barlow Semi Condensed"/>
          <w:b/>
          <w:bCs/>
          <w:sz w:val="24"/>
          <w:szCs w:val="24"/>
        </w:rPr>
        <w:t xml:space="preserve">Poggiano su dichiarazione, e sono dunque soggetti a revisione: il numero dei partecipanti; il percorso del trasferimento; l'individuazione del luogo di detenzione; l'attribuzione individuale dei colpi e dell'esecuzione.</w:t>
      </w:r>
    </w:p>
    <w:p>
      <w:pPr>
        <w:spacing w:after="120" w:line="276"/>
        <w:jc w:val="both"/>
      </w:pPr>
      <w:r>
        <w:rPr>
          <w:rFonts w:ascii="Barlow Semi Condensed" w:cs="Barlow Semi Condensed" w:eastAsia="Barlow Semi Condensed" w:hAnsi="Barlow Semi Condensed"/>
          <w:b/>
          <w:bCs/>
          <w:sz w:val="24"/>
          <w:szCs w:val="24"/>
        </w:rPr>
        <w:t xml:space="preserve">La ripartizione è istruttiva. Ciò che sappiamo dei luoghi e dei corpi è solido; ciò che sappiamo delle persone e delle loro azioni individuali poggia in misura preponderante su ciò che alcune di quelle persone hanno dichiarato, in tempi successivi e con revisioni.</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b/>
          <w:bCs/>
          <w:sz w:val="24"/>
          <w:szCs w:val="24"/>
        </w:rPr>
        <w:t xml:space="preserve">Si consegna alle Fasi Quinta e Sesta lo scarto misurato al Capitolo ventiquattresimo: due capacità manifestate con via di acquisizione non documentata, tre letture aperte, nessun elemento discriminante prodotto da questa Fase.</w:t>
      </w:r>
    </w:p>
    <w:p>
      <w:pPr>
        <w:spacing w:after="120" w:line="276"/>
        <w:jc w:val="both"/>
      </w:pPr>
      <w:r>
        <w:rPr>
          <w:rFonts w:ascii="Barlow Semi Condensed" w:cs="Barlow Semi Condensed" w:eastAsia="Barlow Semi Condensed" w:hAnsi="Barlow Semi Condensed"/>
          <w:b/>
          <w:bCs/>
          <w:sz w:val="24"/>
          <w:szCs w:val="24"/>
        </w:rPr>
        <w:t xml:space="preserve">Si consegna alla Fase Quarta la materia delle carte, con l'avvertenza del Capitolo ventisettesimo: il loro contenuto non è stato impiegato in questa Fase, per difetto di qualificazione preliminare quanto allo statuto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Si consegna alla Fase Quinta la materia dei Capitoli ventottesimo e ventinovesimo: il comunicato apocrifo, le due circostanze relative a via Gradoli, l'esito nullo della ricerca eccezionale, e il marcatore di spoliazione apposto al rinvenimento documentale. Sono i quattro elementi che, secondo la matrice del Capitolo diciannovesimo, costituiscono il terreno di massimo rendimento istruttorio.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Terza, il fatto. Materia: agguato, trasferimento, prigionia, comunicazioni, rinvenimento. Esito: dodici acquisizioni in stato di sciolto; nove in stato di dubbio; scarto misurato su due capacità; ripartizione delle acquisizioni fra rilievo materiale e dichiarazione.</w:t>
      </w:r>
    </w:p>
    <w:p>
      <w:pPr>
        <w:spacing w:after="120" w:line="276"/>
        <w:jc w:val="both"/>
      </w:pPr>
      <w:r>
        <w:rPr>
          <w:rFonts w:ascii="Barlow Semi Condensed" w:cs="Barlow Semi Condensed" w:eastAsia="Barlow Semi Condensed" w:hAnsi="Barlow Semi Condensed"/>
          <w:b/>
          <w:bCs/>
          <w:sz w:val="24"/>
          <w:szCs w:val="24"/>
        </w:rPr>
        <w:t xml:space="preserve">Riga di esito nullo. La ricerca condotta per cinquantacinque giorni con risorse eccezionali non produsse la localizzazione del prigioniero. L'esito nullo è registrato come acquisizione di pieno valore, e la sua spiegazione — inefficienza, ostacolo o simulazione — non è data in questa Fase, che non ne ha competenza.</w:t>
      </w:r>
    </w:p>
    <w:p>
      <w:pPr>
        <w:spacing w:after="120" w:line="276"/>
        <w:jc w:val="both"/>
      </w:pPr>
      <w:r>
        <w:rPr>
          <w:rFonts w:ascii="Barlow Semi Condensed" w:cs="Barlow Semi Condensed" w:eastAsia="Barlow Semi Condensed" w:hAnsi="Barlow Semi Condensed"/>
          <w:b/>
          <w:bCs/>
          <w:sz w:val="24"/>
          <w:szCs w:val="24"/>
        </w:rPr>
        <w:t xml:space="preserve">Riga di marcatore. È apposto al rinvenimento documentale della base settentrionale il marcatore di spoliazione, per accertata incompletezza della prima operazione. Il marcatore non si rimuove.</w:t>
      </w:r>
    </w:p>
    <w:p>
      <w:pPr>
        <w:spacing w:after="120" w:line="276"/>
        <w:jc w:val="both"/>
      </w:pPr>
      <w:r>
        <w:rPr>
          <w:rFonts w:ascii="Barlow Semi Condensed" w:cs="Barlow Semi Condensed" w:eastAsia="Barlow Semi Condensed" w:hAnsi="Barlow Semi Condensed"/>
          <w:b/>
          <w:bCs/>
          <w:sz w:val="24"/>
          <w:szCs w:val="24"/>
        </w:rPr>
        <w:t xml:space="preserve">Riga di avvertenza. Nessuna delle proposizioni di questa Fase attribuisce responsabilità oltre quanto accertato in sede giudiziaria. Le revisioni intervenute nella ricostruzione sono state segnalate ove incidano, e la loro segnalazione non implica giudizio sulla buona fede di chi le rese necessarie.</w:t>
      </w:r>
    </w:p>
    <w:p>
      <w:pPr>
        <w:pStyle w:val="Heading2"/>
        <w:spacing w:after="100" w:before="200"/>
      </w:pPr>
      <w:r>
        <w:rPr>
          <w:rFonts w:ascii="Barlow Semi Condensed" w:cs="Barlow Semi Condensed" w:eastAsia="Barlow Semi Condensed" w:hAnsi="Barlow Semi Condensed"/>
          <w:sz w:val="24"/>
          <w:szCs w:val="24"/>
        </w:rPr>
        <w:t xml:space="preserve">FASE QUARTA — LE CARTE</w:t>
      </w:r>
    </w:p>
    <w:p>
      <w:pPr>
        <w:spacing w:after="120" w:line="276"/>
        <w:jc w:val="both"/>
      </w:pPr>
      <w:r>
        <w:rPr>
          <w:rFonts w:ascii="Barlow Semi Condensed" w:cs="Barlow Semi Condensed" w:eastAsia="Barlow Semi Condensed" w:hAnsi="Barlow Semi Condensed"/>
          <w:b/>
          <w:bCs/>
          <w:sz w:val="24"/>
          <w:szCs w:val="24"/>
        </w:rPr>
        <w:t xml:space="preserve">Dove si stabilisce lo statuto degli enunciati scritti sotto vincolo, si gradua il vincolo per proposizione e non per documento, e si dichiara che cosa le carte provino e che cosa non provino.</w:t>
      </w:r>
    </w:p>
    <w:p>
      <w:pPr>
        <w:pStyle w:val="Heading2"/>
        <w:spacing w:after="100" w:before="200"/>
      </w:pPr>
      <w:r>
        <w:rPr>
          <w:rFonts w:ascii="Barlow Semi Condensed" w:cs="Barlow Semi Condensed" w:eastAsia="Barlow Semi Condensed" w:hAnsi="Barlow Semi Condensed"/>
          <w:sz w:val="24"/>
          <w:szCs w:val="24"/>
        </w:rPr>
        <w:t xml:space="preserve">Capitolo trentunesimo — Lo statuto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Questa Fase ha per oggetto le carte: le lettere scritte durante la prigionia, gli scritti di natura diversa complessivamente denominati memoriale, e i documenti rinvenuti in epoche successive.</w:t>
      </w:r>
    </w:p>
    <w:p>
      <w:pPr>
        <w:spacing w:after="120" w:line="276"/>
        <w:jc w:val="both"/>
      </w:pPr>
      <w:r>
        <w:rPr>
          <w:rFonts w:ascii="Barlow Semi Condensed" w:cs="Barlow Semi Condensed" w:eastAsia="Barlow Semi Condensed" w:hAnsi="Barlow Semi Condensed"/>
          <w:b/>
          <w:bCs/>
          <w:sz w:val="24"/>
          <w:szCs w:val="24"/>
        </w:rPr>
        <w:t xml:space="preserve">Essa richiede una disciplina propria, e la richiede per una ragione che va esposta prima di ogni altra cosa, perché senza di essa ogni uso delle carte è arbitrario.</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b/>
          <w:bCs/>
          <w:sz w:val="24"/>
          <w:szCs w:val="24"/>
        </w:rPr>
        <w:t xml:space="preserve">Un uomo scrive. Ciò che scrive è di suo pugno, e ciò è verificabile. Ma scrive mentre è prigioniero di chi ha ucciso i suoi uomini e può uccidere lui; scrive sapendo che i suoi scritti saranno letti da chi lo custodisce prima che dai destinatari; scrive potendo essere indotto, per persuasione o per necessità, a trattare taluni argomenti e a tacerne altri.</w:t>
      </w:r>
    </w:p>
    <w:p>
      <w:pPr>
        <w:pStyle w:val="Heading2"/>
        <w:spacing w:after="100" w:before="200"/>
      </w:pPr>
      <w:r>
        <w:rPr>
          <w:rFonts w:ascii="Barlow Semi Condensed" w:cs="Barlow Semi Condensed" w:eastAsia="Barlow Semi Condensed" w:hAnsi="Barlow Semi Condensed"/>
          <w:sz w:val="24"/>
          <w:szCs w:val="24"/>
        </w:rPr>
        <w:t xml:space="preserve">Che statuto hanno tali enunciati?</w:t>
      </w:r>
    </w:p>
    <w:p>
      <w:pPr>
        <w:spacing w:after="120" w:line="276"/>
        <w:jc w:val="both"/>
      </w:pPr>
      <w:r>
        <w:rPr>
          <w:rFonts w:ascii="Barlow Semi Condensed" w:cs="Barlow Semi Condensed" w:eastAsia="Barlow Semi Condensed" w:hAnsi="Barlow Semi Condensed"/>
          <w:b/>
          <w:bCs/>
          <w:sz w:val="24"/>
          <w:szCs w:val="24"/>
        </w:rPr>
        <w:t xml:space="preserve">Due risposte estreme sono state date, e sono entrambe insostenibili.</w:t>
      </w:r>
    </w:p>
    <w:p>
      <w:pPr>
        <w:spacing w:after="120" w:line="276"/>
        <w:jc w:val="both"/>
      </w:pPr>
      <w:r>
        <w:rPr>
          <w:rFonts w:ascii="Barlow Semi Condensed" w:cs="Barlow Semi Condensed" w:eastAsia="Barlow Semi Condensed" w:hAnsi="Barlow Semi Condensed"/>
          <w:b/>
          <w:bCs/>
          <w:sz w:val="24"/>
          <w:szCs w:val="24"/>
        </w:rPr>
        <w:t xml:space="preserve">La prima risposta dice: non è lui che parla. Gli scritti sono prodotti dalla condizione e non dalla persona; non esprimono il pensiero di chi li verga, ma la volontà di chi lo detiene; vanno dunque letti come documenti dei rapitori e non del rapito.</w:t>
      </w:r>
    </w:p>
    <w:p>
      <w:pPr>
        <w:spacing w:after="120" w:line="276"/>
        <w:jc w:val="both"/>
      </w:pPr>
      <w:r>
        <w:rPr>
          <w:rFonts w:ascii="Barlow Semi Condensed" w:cs="Barlow Semi Condensed" w:eastAsia="Barlow Semi Condensed" w:hAnsi="Barlow Semi Condensed"/>
          <w:b/>
          <w:bCs/>
          <w:sz w:val="24"/>
          <w:szCs w:val="24"/>
        </w:rPr>
        <w:t xml:space="preserve">La seconda risposta dice: è lui e nient'altro. Gli scritti sono autografi, il pensiero è riconoscibile, la coerenza con le posizioni anteriori è verificabile; vanno dunque letti come si leggerebbe qualunque suo scritto.</w:t>
      </w:r>
    </w:p>
    <w:p>
      <w:pPr>
        <w:pStyle w:val="Heading2"/>
        <w:spacing w:after="100" w:before="200"/>
      </w:pPr>
      <w:r>
        <w:rPr>
          <w:rFonts w:ascii="Barlow Semi Condensed" w:cs="Barlow Semi Condensed" w:eastAsia="Barlow Semi Condensed" w:hAnsi="Barlow Semi Condensed"/>
          <w:sz w:val="24"/>
          <w:szCs w:val="24"/>
        </w:rPr>
        <w:t xml:space="preserve">Perché entrambe le risposte sono insostenibili</w:t>
      </w:r>
    </w:p>
    <w:p>
      <w:pPr>
        <w:spacing w:after="120" w:line="276"/>
        <w:jc w:val="both"/>
      </w:pPr>
      <w:r>
        <w:rPr>
          <w:rFonts w:ascii="Barlow Semi Condensed" w:cs="Barlow Semi Condensed" w:eastAsia="Barlow Semi Condensed" w:hAnsi="Barlow Semi Condensed"/>
          <w:b/>
          <w:bCs/>
          <w:sz w:val="24"/>
          <w:szCs w:val="24"/>
        </w:rPr>
        <w:t xml:space="preserve">La prima è insostenibile perché prova troppo. Se la condizione di prigionia annullasse la soggettività dell'autore, allora nessun enunciato reso in condizione di costrizione avrebbe mai alcun valore, e si dovrebbero scartare interi generi di fonte sui quali la storia si fonda: le deposizioni sotto interrogatorio, le confessioni, le corrispondenze censurate, le testimonianze dei sopravvissuti. Il vincolo condiziona ciò che si dice; non trasforma automaticamente chi lo dice in un altro.</w:t>
      </w:r>
    </w:p>
    <w:p>
      <w:pPr>
        <w:spacing w:after="120" w:line="276"/>
        <w:jc w:val="both"/>
      </w:pPr>
      <w:r>
        <w:rPr>
          <w:rFonts w:ascii="Barlow Semi Condensed" w:cs="Barlow Semi Condensed" w:eastAsia="Barlow Semi Condensed" w:hAnsi="Barlow Semi Condensed"/>
          <w:b/>
          <w:bCs/>
          <w:sz w:val="24"/>
          <w:szCs w:val="24"/>
        </w:rPr>
        <w:t xml:space="preserve">Vi è inoltre una conseguenza che occorre nominare senza reticenze, perché essa fu tratta all'epoca e ha pesato: se si stabilisce che l'uomo prigioniero non è più sé stesso, se ne ricava che ciò che egli chiede non va ascoltato. La tesi dell'inautenticità non fu, in quei cinquantacinque giorni, una tesi filologica: fu un argomento con conseguenze pratiche immediate sulla vita di una persona. Quest'opera non giudica chi la sostenne, perché il giudizio è morale e politico. Registra che la questione filologica non era, in quel contesto, filologica soltanto.</w:t>
      </w:r>
    </w:p>
    <w:p>
      <w:pPr>
        <w:spacing w:after="120" w:line="276"/>
        <w:jc w:val="both"/>
      </w:pPr>
      <w:r>
        <w:rPr>
          <w:rFonts w:ascii="Barlow Semi Condensed" w:cs="Barlow Semi Condensed" w:eastAsia="Barlow Semi Condensed" w:hAnsi="Barlow Semi Condensed"/>
          <w:b/>
          <w:bCs/>
          <w:sz w:val="24"/>
          <w:szCs w:val="24"/>
        </w:rPr>
        <w:t xml:space="preserve">La seconda risposta è insostenibile per la ragione opposta: essa ignora un dato di fatto accertato, cioè che gli scritti furono composti in condizioni che ne condizionavano il contenuto. Leggere un enunciato reso sotto vincolo come se fosse reso liberamente significa attribuire all'autore intenzioni che le circostanze possono avergli imposto.</w:t>
      </w:r>
    </w:p>
    <w:p>
      <w:pPr>
        <w:pStyle w:val="Heading2"/>
        <w:spacing w:after="100" w:before="200"/>
      </w:pPr>
      <w:r>
        <w:rPr>
          <w:rFonts w:ascii="Barlow Semi Condensed" w:cs="Barlow Semi Condensed" w:eastAsia="Barlow Semi Condensed" w:hAnsi="Barlow Semi Condensed"/>
          <w:sz w:val="24"/>
          <w:szCs w:val="24"/>
        </w:rPr>
        <w:t xml:space="preserve">La soluzione: il vincolo si gradua, non si presume</w:t>
      </w:r>
    </w:p>
    <w:p>
      <w:pPr>
        <w:spacing w:after="120" w:line="276"/>
        <w:jc w:val="both"/>
      </w:pPr>
      <w:r>
        <w:rPr>
          <w:rFonts w:ascii="Barlow Semi Condensed" w:cs="Barlow Semi Condensed" w:eastAsia="Barlow Semi Condensed" w:hAnsi="Barlow Semi Condensed"/>
          <w:b/>
          <w:bCs/>
          <w:sz w:val="24"/>
          <w:szCs w:val="24"/>
        </w:rPr>
        <w:t xml:space="preserve">La disciplina che quest'opera adotta è la seguente: il vincolo non annulla l'enunciato e non lo lascia intatto; esso lo grava in misura variabile, e la misura si accerta enunciato per enunciato anziché presumersi per il documento intero.</w:t>
      </w:r>
    </w:p>
    <w:p>
      <w:pPr>
        <w:spacing w:after="120" w:line="276"/>
        <w:jc w:val="both"/>
      </w:pPr>
      <w:r>
        <w:rPr>
          <w:rFonts w:ascii="Barlow Semi Condensed" w:cs="Barlow Semi Condensed" w:eastAsia="Barlow Semi Condensed" w:hAnsi="Barlow Semi Condensed"/>
          <w:b/>
          <w:bCs/>
          <w:sz w:val="24"/>
          <w:szCs w:val="24"/>
        </w:rPr>
        <w:t xml:space="preserve">Ne segue che la domanda corretta non è se le lettere siano autentiche — questione che, come si vedrà, ha risposta pacifica — né se siano libere — questione mal posta, perché la libertà non è una proprietà binaria. La domanda corretta è: per ciascun enunciato, quale grado di vincolo è ragionevolmente accertabile, e quali usi esso consente.</w:t>
      </w:r>
    </w:p>
    <w:p>
      <w:pPr>
        <w:spacing w:after="120" w:line="276"/>
        <w:jc w:val="both"/>
      </w:pPr>
      <w:r>
        <w:rPr>
          <w:rFonts w:ascii="Barlow Semi Condensed" w:cs="Barlow Semi Condensed" w:eastAsia="Barlow Semi Condensed" w:hAnsi="Barlow Semi Condensed"/>
          <w:b/>
          <w:bCs/>
          <w:sz w:val="24"/>
          <w:szCs w:val="24"/>
        </w:rPr>
        <w:t xml:space="preserve">La scala del vincolo sarà esposta nel Capitolo trentaquattresimo. Qui si fissano le tre conseguenze generali.</w:t>
      </w:r>
    </w:p>
    <w:p>
      <w:pPr>
        <w:spacing w:after="120" w:line="276"/>
        <w:jc w:val="both"/>
      </w:pPr>
      <w:r>
        <w:rPr>
          <w:rFonts w:ascii="Barlow Semi Condensed" w:cs="Barlow Semi Condensed" w:eastAsia="Barlow Semi Condensed" w:hAnsi="Barlow Semi Condensed"/>
          <w:b/>
          <w:bCs/>
          <w:sz w:val="24"/>
          <w:szCs w:val="24"/>
        </w:rPr>
        <w:t xml:space="preserve">Prima conseguenza: nessun enunciato delle carte è impiegato in quest'opera come prova di un fatto esterno senza riscontro indipendente. Ciò che le carte attestano con certezza è ciò che l'autore scrisse; che ciò che scrisse corrisponda al vero è proposizione ulteriore, che richiede prova propria come per qualunque altra fonte dichiarativa.</w:t>
      </w:r>
    </w:p>
    <w:p>
      <w:pPr>
        <w:spacing w:after="120" w:line="276"/>
        <w:jc w:val="both"/>
      </w:pPr>
      <w:r>
        <w:rPr>
          <w:rFonts w:ascii="Barlow Semi Condensed" w:cs="Barlow Semi Condensed" w:eastAsia="Barlow Semi Condensed" w:hAnsi="Barlow Semi Condensed"/>
          <w:b/>
          <w:bCs/>
          <w:sz w:val="24"/>
          <w:szCs w:val="24"/>
        </w:rPr>
        <w:t xml:space="preserve">Seconda conseguenza: nessun enunciato delle carte è scartato per la sola ragione di essere stato scritto in prigionia. Lo scarto richiede motivazione specifica, e la motivazione va data.</w:t>
      </w:r>
    </w:p>
    <w:p>
      <w:pPr>
        <w:spacing w:after="120" w:line="276"/>
        <w:jc w:val="both"/>
      </w:pPr>
      <w:r>
        <w:rPr>
          <w:rFonts w:ascii="Barlow Semi Condensed" w:cs="Barlow Semi Condensed" w:eastAsia="Barlow Semi Condensed" w:hAnsi="Barlow Semi Condensed"/>
          <w:b/>
          <w:bCs/>
          <w:sz w:val="24"/>
          <w:szCs w:val="24"/>
        </w:rPr>
        <w:t xml:space="preserve">Terza conseguenza: gli enunciati sono trattati per classi e non in blocco, secondo la scala del vincolo.</w:t>
      </w:r>
    </w:p>
    <w:p>
      <w:pPr>
        <w:pStyle w:val="Heading2"/>
        <w:spacing w:after="100" w:before="200"/>
      </w:pPr>
      <w:r>
        <w:rPr>
          <w:rFonts w:ascii="Barlow Semi Condensed" w:cs="Barlow Semi Condensed" w:eastAsia="Barlow Semi Condensed" w:hAnsi="Barlow Semi Condensed"/>
          <w:sz w:val="24"/>
          <w:szCs w:val="24"/>
        </w:rPr>
        <w:t xml:space="preserve">Una avvertenza sulla riproduzione</w:t>
      </w:r>
    </w:p>
    <w:p>
      <w:pPr>
        <w:spacing w:after="120" w:line="276"/>
        <w:jc w:val="both"/>
      </w:pPr>
      <w:r>
        <w:rPr>
          <w:rFonts w:ascii="Barlow Semi Condensed" w:cs="Barlow Semi Condensed" w:eastAsia="Barlow Semi Condensed" w:hAnsi="Barlow Semi Condensed"/>
          <w:b/>
          <w:bCs/>
          <w:sz w:val="24"/>
          <w:szCs w:val="24"/>
        </w:rPr>
        <w:t xml:space="preserve">Si avverte infine che quest'opera non riproduce il testo delle carte. Esse sono pubblicate in edizioni critiche accessibili, alle quali si rinvia per la lettura; e la loro riproduzione non aggiungerebbe nulla al lavoro qui condotto, che verte sullo statuto degli enunciati e non sulla loro esposizione.</w:t>
      </w:r>
    </w:p>
    <w:p>
      <w:pPr>
        <w:spacing w:after="120" w:line="276"/>
        <w:jc w:val="both"/>
      </w:pPr>
      <w:r>
        <w:rPr>
          <w:rFonts w:ascii="Barlow Semi Condensed" w:cs="Barlow Semi Condensed" w:eastAsia="Barlow Semi Condensed" w:hAnsi="Barlow Semi Condensed"/>
          <w:b/>
          <w:bCs/>
          <w:sz w:val="24"/>
          <w:szCs w:val="24"/>
        </w:rPr>
        <w:t xml:space="preserve">La scelta ha anche una ragione di misura. Le carte di un uomo prigioniero sono state, in cinquant'anni, citate, frammentate, contrapposte e impiegate a sostegno di tesi opposte, con una frequenza che ha finito per consumarle. Un registro che le maneggi ancora una volta per estrarne frasi non rende un servizio.</w:t>
      </w:r>
    </w:p>
    <w:p>
      <w:pPr>
        <w:pStyle w:val="Heading2"/>
        <w:spacing w:after="100" w:before="200"/>
      </w:pPr>
      <w:r>
        <w:rPr>
          <w:rFonts w:ascii="Barlow Semi Condensed" w:cs="Barlow Semi Condensed" w:eastAsia="Barlow Semi Condensed" w:hAnsi="Barlow Semi Condensed"/>
          <w:sz w:val="24"/>
          <w:szCs w:val="24"/>
        </w:rPr>
        <w:t xml:space="preserve">Capitolo trentaduesimo — Il corpus delle carte: consistenza e vie di trasmissione</w:t>
      </w:r>
    </w:p>
    <w:p>
      <w:pPr>
        <w:pStyle w:val="Heading2"/>
        <w:spacing w:after="100" w:before="200"/>
      </w:pPr>
      <w:r>
        <w:rPr>
          <w:rFonts w:ascii="Barlow Semi Condensed" w:cs="Barlow Semi Condensed" w:eastAsia="Barlow Semi Condensed" w:hAnsi="Barlow Semi Condensed"/>
          <w:sz w:val="24"/>
          <w:szCs w:val="24"/>
        </w:rPr>
        <w:t xml:space="preserve">Le classi documentali</w:t>
      </w:r>
    </w:p>
    <w:p>
      <w:pPr>
        <w:spacing w:after="120" w:line="276"/>
        <w:jc w:val="both"/>
      </w:pPr>
      <w:r>
        <w:rPr>
          <w:rFonts w:ascii="Barlow Semi Condensed" w:cs="Barlow Semi Condensed" w:eastAsia="Barlow Semi Condensed" w:hAnsi="Barlow Semi Condensed"/>
          <w:b/>
          <w:bCs/>
          <w:sz w:val="24"/>
          <w:szCs w:val="24"/>
        </w:rPr>
        <w:t xml:space="preserve">Le carte riferibili alla prigionia si ripartiscono in tre classi, distinte per natura e per via di trasmissione, e la distinzione è essenziale perché ciascuna classe ha un diverso statuto probatorio.</w:t>
      </w:r>
    </w:p>
    <w:p>
      <w:pPr>
        <w:spacing w:after="120" w:line="276"/>
        <w:jc w:val="both"/>
      </w:pPr>
      <w:r>
        <w:rPr>
          <w:rFonts w:ascii="Barlow Semi Condensed" w:cs="Barlow Semi Condensed" w:eastAsia="Barlow Semi Condensed" w:hAnsi="Barlow Semi Condensed"/>
          <w:b/>
          <w:bCs/>
          <w:sz w:val="24"/>
          <w:szCs w:val="24"/>
        </w:rPr>
        <w:t xml:space="preserve">La prima classe comprende le lettere recapitate durante i cinquantacinque giorni. Esse furono materialmente consegnate ai destinatari o resi pubblici nel corso del periodo, e la loro esistenza fu contemporanea ai fatti.</w:t>
      </w:r>
    </w:p>
    <w:p>
      <w:pPr>
        <w:spacing w:after="120" w:line="276"/>
        <w:jc w:val="both"/>
      </w:pPr>
      <w:r>
        <w:rPr>
          <w:rFonts w:ascii="Barlow Semi Condensed" w:cs="Barlow Semi Condensed" w:eastAsia="Barlow Semi Condensed" w:hAnsi="Barlow Semi Condensed"/>
          <w:b/>
          <w:bCs/>
          <w:sz w:val="24"/>
          <w:szCs w:val="24"/>
        </w:rPr>
        <w:t xml:space="preserve">La seconda classe comprende gli scritti non recapitati durante il periodo e rinvenuti successivamente, in occasione delle operazioni condotte su basi dell'organizzazione. Essi non furono conosciuti dai destinatari e non incisero sulle decisioni assunte in quei giorni.</w:t>
      </w:r>
    </w:p>
    <w:p>
      <w:pPr>
        <w:spacing w:after="120" w:line="276"/>
        <w:jc w:val="both"/>
      </w:pPr>
      <w:r>
        <w:rPr>
          <w:rFonts w:ascii="Barlow Semi Condensed" w:cs="Barlow Semi Condensed" w:eastAsia="Barlow Semi Condensed" w:hAnsi="Barlow Semi Condensed"/>
          <w:b/>
          <w:bCs/>
          <w:sz w:val="24"/>
          <w:szCs w:val="24"/>
        </w:rPr>
        <w:t xml:space="preserve">La terza classe comprende gli scritti di natura non epistolare, complessivamente denominati memoriale, dei quali si dirà nel Capitolo trentasettesimo.</w:t>
      </w:r>
    </w:p>
    <w:p>
      <w:pPr>
        <w:pStyle w:val="Heading2"/>
        <w:spacing w:after="100" w:before="200"/>
      </w:pPr>
      <w:r>
        <w:rPr>
          <w:rFonts w:ascii="Barlow Semi Condensed" w:cs="Barlow Semi Condensed" w:eastAsia="Barlow Semi Condensed" w:hAnsi="Barlow Semi Condensed"/>
          <w:sz w:val="24"/>
          <w:szCs w:val="24"/>
        </w:rPr>
        <w:t xml:space="preserve">La consistenza</w:t>
      </w:r>
    </w:p>
    <w:p>
      <w:pPr>
        <w:spacing w:after="120" w:line="276"/>
        <w:jc w:val="both"/>
      </w:pPr>
      <w:r>
        <w:rPr>
          <w:rFonts w:ascii="Barlow Semi Condensed" w:cs="Barlow Semi Condensed" w:eastAsia="Barlow Semi Condensed" w:hAnsi="Barlow Semi Condensed"/>
          <w:b/>
          <w:bCs/>
          <w:sz w:val="24"/>
          <w:szCs w:val="24"/>
        </w:rPr>
        <w:t xml:space="preserve">Il numero complessivo degli scritti riferibili alla prigionia si colloca nell'ordine di alcune decine per la parte epistolare, ai quali si aggiunge il materiale non epistolare.</w:t>
      </w:r>
    </w:p>
    <w:p>
      <w:pPr>
        <w:spacing w:after="120" w:line="276"/>
        <w:jc w:val="both"/>
      </w:pPr>
      <w:r>
        <w:rPr>
          <w:rFonts w:ascii="Barlow Semi Condensed" w:cs="Barlow Semi Condensed" w:eastAsia="Barlow Semi Condensed" w:hAnsi="Barlow Semi Condensed"/>
          <w:b/>
          <w:bCs/>
          <w:sz w:val="24"/>
          <w:szCs w:val="24"/>
        </w:rPr>
        <w:t xml:space="preserve">Si evita in questa sede di indicare una cifra puntuale, e conviene dire perché. La consistenza dipende da scelte di computo che non sono neutre: se si contino separatamente le minute e le versioni; se si computino gli scritti frammentari; se si includano gli scritti rinvenuti nella seconda operazione. Le edizioni critiche adottano criteri dichiarati e giungono a cifre lievemente diverse.</w:t>
      </w:r>
    </w:p>
    <w:p>
      <w:pPr>
        <w:spacing w:after="120" w:line="276"/>
        <w:jc w:val="both"/>
      </w:pPr>
      <w:r>
        <w:rPr>
          <w:rFonts w:ascii="Barlow Semi Condensed" w:cs="Barlow Semi Condensed" w:eastAsia="Barlow Semi Condensed" w:hAnsi="Barlow Semi Condensed"/>
          <w:b/>
          <w:bCs/>
          <w:sz w:val="24"/>
          <w:szCs w:val="24"/>
        </w:rPr>
        <w:t xml:space="preserve">Una cifra puntuale enunciata senza il criterio di computo che la genera è un dato che appare preciso ed è indeterminato. Si rinvia dunque alle edizioni critiche, che il criterio lo dichiarano.</w:t>
      </w:r>
    </w:p>
    <w:p>
      <w:pPr>
        <w:pStyle w:val="Heading2"/>
        <w:spacing w:after="100" w:before="200"/>
      </w:pPr>
      <w:r>
        <w:rPr>
          <w:rFonts w:ascii="Barlow Semi Condensed" w:cs="Barlow Semi Condensed" w:eastAsia="Barlow Semi Condensed" w:hAnsi="Barlow Semi Condensed"/>
          <w:sz w:val="24"/>
          <w:szCs w:val="24"/>
        </w:rPr>
        <w:t xml:space="preserve">Le vie di trasmissione</w:t>
      </w:r>
    </w:p>
    <w:p>
      <w:pPr>
        <w:spacing w:after="120" w:line="276"/>
        <w:jc w:val="both"/>
      </w:pPr>
      <w:r>
        <w:rPr>
          <w:rFonts w:ascii="Barlow Semi Condensed" w:cs="Barlow Semi Condensed" w:eastAsia="Barlow Semi Condensed" w:hAnsi="Barlow Semi Condensed"/>
          <w:b/>
          <w:bCs/>
          <w:sz w:val="24"/>
          <w:szCs w:val="24"/>
        </w:rPr>
        <w:t xml:space="preserve">Le lettere della prima classe furono trasmesse mediante recapito, secondo modalità che consentivano il ritiro senza esposizione di chi consegnava.</w:t>
      </w:r>
    </w:p>
    <w:p>
      <w:pPr>
        <w:spacing w:after="120" w:line="276"/>
        <w:jc w:val="both"/>
      </w:pPr>
      <w:r>
        <w:rPr>
          <w:rFonts w:ascii="Barlow Semi Condensed" w:cs="Barlow Semi Condensed" w:eastAsia="Barlow Semi Condensed" w:hAnsi="Barlow Semi Condensed"/>
          <w:b/>
          <w:bCs/>
          <w:sz w:val="24"/>
          <w:szCs w:val="24"/>
        </w:rPr>
        <w:t xml:space="preserve">La via di trasmissione rileva per due ragioni che vanno esplicitate.</w:t>
      </w:r>
    </w:p>
    <w:p>
      <w:pPr>
        <w:spacing w:after="120" w:line="276"/>
        <w:jc w:val="both"/>
      </w:pPr>
      <w:r>
        <w:rPr>
          <w:rFonts w:ascii="Barlow Semi Condensed" w:cs="Barlow Semi Condensed" w:eastAsia="Barlow Semi Condensed" w:hAnsi="Barlow Semi Condensed"/>
          <w:b/>
          <w:bCs/>
          <w:sz w:val="24"/>
          <w:szCs w:val="24"/>
        </w:rPr>
        <w:t xml:space="preserve">La prima è che essa comporta il passaggio dello scritto attraverso le mani di chi custodiva l'autore. Ne segue che la trasmissione fu selettiva: giunse ciò che fu fatto giungere. La selettività è accertata per constatazione, poiché l'esistenza della seconda classe — scritti non recapitati e rinvenuti dopo — dimostra che una selezione fu operata.</w:t>
      </w:r>
    </w:p>
    <w:p>
      <w:pPr>
        <w:spacing w:after="120" w:line="276"/>
        <w:jc w:val="both"/>
      </w:pPr>
      <w:r>
        <w:rPr>
          <w:rFonts w:ascii="Barlow Semi Condensed" w:cs="Barlow Semi Condensed" w:eastAsia="Barlow Semi Condensed" w:hAnsi="Barlow Semi Condensed"/>
          <w:b/>
          <w:bCs/>
          <w:sz w:val="24"/>
          <w:szCs w:val="24"/>
        </w:rPr>
        <w:t xml:space="preserve">La seconda è che la selettività della trasmissione incide sulla lettura del corpus recapitato. Chi legga le sole lettere pervenute legge un insieme selezionato, e la selezione non fu operata dall'autore.</w:t>
      </w:r>
    </w:p>
    <w:p>
      <w:pPr>
        <w:spacing w:after="120" w:line="276"/>
        <w:jc w:val="both"/>
      </w:pPr>
      <w:r>
        <w:rPr>
          <w:rFonts w:ascii="Barlow Semi Condensed" w:cs="Barlow Semi Condensed" w:eastAsia="Barlow Semi Condensed" w:hAnsi="Barlow Semi Condensed"/>
          <w:b/>
          <w:bCs/>
          <w:sz w:val="24"/>
          <w:szCs w:val="24"/>
        </w:rPr>
        <w:t xml:space="preserve">Questo è un punto che merita di essere fissato, perché è frequentemente trascurato: le valutazioni espresse in quei giorni sul contenuto delle lettere furono formulate su un corpus selezionato da chi deteneva l'autore, e chi le formulava non poteva sapere quale parte gli fosse stata sottratta.</w:t>
      </w:r>
    </w:p>
    <w:p>
      <w:pPr>
        <w:pStyle w:val="Heading2"/>
        <w:spacing w:after="100" w:before="200"/>
      </w:pPr>
      <w:r>
        <w:rPr>
          <w:rFonts w:ascii="Barlow Semi Condensed" w:cs="Barlow Semi Condensed" w:eastAsia="Barlow Semi Condensed" w:hAnsi="Barlow Semi Condensed"/>
          <w:sz w:val="24"/>
          <w:szCs w:val="24"/>
        </w:rPr>
        <w:t xml:space="preserve">Conseguenza per l'uso</w:t>
      </w:r>
    </w:p>
    <w:p>
      <w:pPr>
        <w:spacing w:after="120" w:line="276"/>
        <w:jc w:val="both"/>
      </w:pPr>
      <w:r>
        <w:rPr>
          <w:rFonts w:ascii="Barlow Semi Condensed" w:cs="Barlow Semi Condensed" w:eastAsia="Barlow Semi Condensed" w:hAnsi="Barlow Semi Condensed"/>
          <w:b/>
          <w:bCs/>
          <w:sz w:val="24"/>
          <w:szCs w:val="24"/>
        </w:rPr>
        <w:t xml:space="preserve">Ne segue una regola d'uso che questa Fase osserverà: le due classi non si sommano indistintamente.</w:t>
      </w:r>
    </w:p>
    <w:p>
      <w:pPr>
        <w:spacing w:after="120" w:line="276"/>
        <w:jc w:val="both"/>
      </w:pPr>
      <w:r>
        <w:rPr>
          <w:rFonts w:ascii="Barlow Semi Condensed" w:cs="Barlow Semi Condensed" w:eastAsia="Barlow Semi Condensed" w:hAnsi="Barlow Semi Condensed"/>
          <w:b/>
          <w:bCs/>
          <w:sz w:val="24"/>
          <w:szCs w:val="24"/>
        </w:rPr>
        <w:t xml:space="preserve">Quando si tratta di ricostruire il pensiero dell'autore, entrambe le classi concorrono, con i gradi di vincolo propri di ciascun enunciato.</w:t>
      </w:r>
    </w:p>
    <w:p>
      <w:pPr>
        <w:spacing w:after="120" w:line="276"/>
        <w:jc w:val="both"/>
      </w:pPr>
      <w:r>
        <w:rPr>
          <w:rFonts w:ascii="Barlow Semi Condensed" w:cs="Barlow Semi Condensed" w:eastAsia="Barlow Semi Condensed" w:hAnsi="Barlow Semi Condensed"/>
          <w:b/>
          <w:bCs/>
          <w:sz w:val="24"/>
          <w:szCs w:val="24"/>
        </w:rPr>
        <w:t xml:space="preserve">Quando si tratta di ricostruire ciò che i destinatari conobbero e su cui deliberarono, concorre la sola prima classe. Impiegare la seconda per giudicare le decisioni assunte in quei giorni significherebbe rimproverare a chi decise di non avere tenuto conto di ciò che non poteva conoscere.</w:t>
      </w:r>
    </w:p>
    <w:p>
      <w:pPr>
        <w:spacing w:after="120" w:line="276"/>
        <w:jc w:val="both"/>
      </w:pPr>
      <w:r>
        <w:rPr>
          <w:rFonts w:ascii="Barlow Semi Condensed" w:cs="Barlow Semi Condensed" w:eastAsia="Barlow Semi Condensed" w:hAnsi="Barlow Semi Condensed"/>
          <w:b/>
          <w:bCs/>
          <w:sz w:val="24"/>
          <w:szCs w:val="24"/>
        </w:rPr>
        <w:t xml:space="preserve">La distinzione è elementare e viene violata con regolarità.</w:t>
      </w:r>
    </w:p>
    <w:p>
      <w:pPr>
        <w:pStyle w:val="Heading2"/>
        <w:spacing w:after="100" w:before="200"/>
      </w:pPr>
      <w:r>
        <w:rPr>
          <w:rFonts w:ascii="Barlow Semi Condensed" w:cs="Barlow Semi Condensed" w:eastAsia="Barlow Semi Condensed" w:hAnsi="Barlow Semi Condensed"/>
          <w:sz w:val="24"/>
          <w:szCs w:val="24"/>
        </w:rPr>
        <w:t xml:space="preserve">Capitolo trentatreesimo — La questione dell'autenticità</w:t>
      </w:r>
    </w:p>
    <w:p>
      <w:pPr>
        <w:pStyle w:val="Heading2"/>
        <w:spacing w:after="100" w:before="200"/>
      </w:pPr>
      <w:r>
        <w:rPr>
          <w:rFonts w:ascii="Barlow Semi Condensed" w:cs="Barlow Semi Condensed" w:eastAsia="Barlow Semi Condensed" w:hAnsi="Barlow Semi Condensed"/>
          <w:sz w:val="24"/>
          <w:szCs w:val="24"/>
        </w:rPr>
        <w:t xml:space="preserve">La questione e la sua soluzione</w:t>
      </w:r>
    </w:p>
    <w:p>
      <w:pPr>
        <w:spacing w:after="120" w:line="276"/>
        <w:jc w:val="both"/>
      </w:pPr>
      <w:r>
        <w:rPr>
          <w:rFonts w:ascii="Barlow Semi Condensed" w:cs="Barlow Semi Condensed" w:eastAsia="Barlow Semi Condensed" w:hAnsi="Barlow Semi Condensed"/>
          <w:b/>
          <w:bCs/>
          <w:sz w:val="24"/>
          <w:szCs w:val="24"/>
        </w:rPr>
        <w:t xml:space="preserve">La questione dell'autenticità materiale delle carte — se siano di mano dell'autore — ha risposta pacifica ed è in stato di sciolto.</w:t>
      </w:r>
    </w:p>
    <w:p>
      <w:pPr>
        <w:spacing w:after="120" w:line="276"/>
        <w:jc w:val="both"/>
      </w:pPr>
      <w:r>
        <w:rPr>
          <w:rFonts w:ascii="Barlow Semi Condensed" w:cs="Barlow Semi Condensed" w:eastAsia="Barlow Semi Condensed" w:hAnsi="Barlow Semi Condensed"/>
          <w:b/>
          <w:bCs/>
          <w:sz w:val="24"/>
          <w:szCs w:val="24"/>
        </w:rPr>
        <w:t xml:space="preserve">Gli scritti sono autografi. La circostanza è stata accertata mediante gli ordinari strumenti di verifica e non è stata seriamente contestata in alcuna sede. Le edizioni critiche, condotte sugli originali e sulle riproduzioni, ne hanno confermato la mano.</w:t>
      </w:r>
    </w:p>
    <w:p>
      <w:pPr>
        <w:spacing w:after="120" w:line="276"/>
        <w:jc w:val="both"/>
      </w:pPr>
      <w:r>
        <w:rPr>
          <w:rFonts w:ascii="Barlow Semi Condensed" w:cs="Barlow Semi Condensed" w:eastAsia="Barlow Semi Condensed" w:hAnsi="Barlow Semi Condensed"/>
          <w:b/>
          <w:bCs/>
          <w:sz w:val="24"/>
          <w:szCs w:val="24"/>
        </w:rPr>
        <w:t xml:space="preserve">Si registra dunque: le carte sono materialmente autentiche. Chi ne abbia dubitato in tempi remoti lo ha fatto in assenza degli elementi oggi disponibili.</w:t>
      </w:r>
    </w:p>
    <w:p>
      <w:pPr>
        <w:pStyle w:val="Heading2"/>
        <w:spacing w:after="100" w:before="200"/>
      </w:pPr>
      <w:r>
        <w:rPr>
          <w:rFonts w:ascii="Barlow Semi Condensed" w:cs="Barlow Semi Condensed" w:eastAsia="Barlow Semi Condensed" w:hAnsi="Barlow Semi Condensed"/>
          <w:sz w:val="24"/>
          <w:szCs w:val="24"/>
        </w:rPr>
        <w:t xml:space="preserve">La questione che fu posta all'epoca</w:t>
      </w:r>
    </w:p>
    <w:p>
      <w:pPr>
        <w:spacing w:after="120" w:line="276"/>
        <w:jc w:val="both"/>
      </w:pPr>
      <w:r>
        <w:rPr>
          <w:rFonts w:ascii="Barlow Semi Condensed" w:cs="Barlow Semi Condensed" w:eastAsia="Barlow Semi Condensed" w:hAnsi="Barlow Semi Condensed"/>
          <w:b/>
          <w:bCs/>
          <w:sz w:val="24"/>
          <w:szCs w:val="24"/>
        </w:rPr>
        <w:t xml:space="preserve">La questione sollevata durante i cinquantacinque giorni era però diversa, e la confusione fra le due ha generato equivoci durevoli.</w:t>
      </w:r>
    </w:p>
    <w:p>
      <w:pPr>
        <w:spacing w:after="120" w:line="276"/>
        <w:jc w:val="both"/>
      </w:pPr>
      <w:r>
        <w:rPr>
          <w:rFonts w:ascii="Barlow Semi Condensed" w:cs="Barlow Semi Condensed" w:eastAsia="Barlow Semi Condensed" w:hAnsi="Barlow Semi Condensed"/>
          <w:b/>
          <w:bCs/>
          <w:sz w:val="24"/>
          <w:szCs w:val="24"/>
        </w:rPr>
        <w:t xml:space="preserve">Non si sosteneva, se non marginalmente, che gli scritti fossero falsi materiali. Si sosteneva che, pur essendo di mano dell'autore, essi non esprimessero la sua volontà: che l'uomo che scriveva non fosse più, per effetto della condizione, l'uomo che si conosceva.</w:t>
      </w:r>
    </w:p>
    <w:p>
      <w:pPr>
        <w:spacing w:after="120" w:line="276"/>
        <w:jc w:val="both"/>
      </w:pPr>
      <w:r>
        <w:rPr>
          <w:rFonts w:ascii="Barlow Semi Condensed" w:cs="Barlow Semi Condensed" w:eastAsia="Barlow Semi Condensed" w:hAnsi="Barlow Semi Condensed"/>
          <w:b/>
          <w:bCs/>
          <w:sz w:val="24"/>
          <w:szCs w:val="24"/>
        </w:rPr>
        <w:t xml:space="preserve">Questa tesi ebbe formulazioni di diverso rigore. Alcune erano argomentate su elementi testuali: mutamenti di stile, di lessico, di argomentazione rispetto agli scritti anteriori. Altre erano asserzioni di ordine psicologico non sostenute da analisi.</w:t>
      </w:r>
    </w:p>
    <w:p>
      <w:pPr>
        <w:pStyle w:val="Heading2"/>
        <w:spacing w:after="100" w:before="200"/>
      </w:pPr>
      <w:r>
        <w:rPr>
          <w:rFonts w:ascii="Barlow Semi Condensed" w:cs="Barlow Semi Condensed" w:eastAsia="Barlow Semi Condensed" w:hAnsi="Barlow Semi Condensed"/>
          <w:sz w:val="24"/>
          <w:szCs w:val="24"/>
        </w:rPr>
        <w:t xml:space="preserve">Che cosa se ne può dire oggi</w:t>
      </w:r>
    </w:p>
    <w:p>
      <w:pPr>
        <w:spacing w:after="120" w:line="276"/>
        <w:jc w:val="both"/>
      </w:pPr>
      <w:r>
        <w:rPr>
          <w:rFonts w:ascii="Barlow Semi Condensed" w:cs="Barlow Semi Condensed" w:eastAsia="Barlow Semi Condensed" w:hAnsi="Barlow Semi Condensed"/>
          <w:b/>
          <w:bCs/>
          <w:sz w:val="24"/>
          <w:szCs w:val="24"/>
        </w:rPr>
        <w:t xml:space="preserve">Quanto alle formulazioni argomentate su elementi testuali, esse sono state sottoposte a verifica dalle edizioni critiche, che hanno potuto operare sul corpus integrale — comprensivo degli scritti non recapitati — e con gli strumenti della filologia.</w:t>
      </w:r>
    </w:p>
    <w:p>
      <w:pPr>
        <w:spacing w:after="120" w:line="276"/>
        <w:jc w:val="both"/>
      </w:pPr>
      <w:r>
        <w:rPr>
          <w:rFonts w:ascii="Barlow Semi Condensed" w:cs="Barlow Semi Condensed" w:eastAsia="Barlow Semi Condensed" w:hAnsi="Barlow Semi Condensed"/>
          <w:b/>
          <w:bCs/>
          <w:sz w:val="24"/>
          <w:szCs w:val="24"/>
        </w:rPr>
        <w:t xml:space="preserve">L'esito di tali verifiche, per la parte accessibile, non ha confermato la tesi dell'estraneità dell'autore ai propri scritti. Sono state invece riconosciute variazioni di registro e di argomentazione riconducibili alla condizione e all'evolvere di essa nel corso delle settimane.</w:t>
      </w:r>
    </w:p>
    <w:p>
      <w:pPr>
        <w:spacing w:after="120" w:line="276"/>
        <w:jc w:val="both"/>
      </w:pPr>
      <w:r>
        <w:rPr>
          <w:rFonts w:ascii="Barlow Semi Condensed" w:cs="Barlow Semi Condensed" w:eastAsia="Barlow Semi Condensed" w:hAnsi="Barlow Semi Condensed"/>
          <w:b/>
          <w:bCs/>
          <w:sz w:val="24"/>
          <w:szCs w:val="24"/>
        </w:rPr>
        <w:t xml:space="preserve">Quest'opera registra tale esito come acquisizione di sede qualificata, e non ne fa questione propria: la filologia dei testi appartiene alle edizioni critiche, e un registro che pretendesse di riformularla senza gli originali si arrogherebbe una competenza che non ha.</w:t>
      </w:r>
    </w:p>
    <w:p>
      <w:pPr>
        <w:spacing w:after="120" w:line="276"/>
        <w:jc w:val="both"/>
      </w:pPr>
      <w:r>
        <w:rPr>
          <w:rFonts w:ascii="Barlow Semi Condensed" w:cs="Barlow Semi Condensed" w:eastAsia="Barlow Semi Condensed" w:hAnsi="Barlow Semi Condensed"/>
          <w:b/>
          <w:bCs/>
          <w:sz w:val="24"/>
          <w:szCs w:val="24"/>
        </w:rPr>
        <w:t xml:space="preserve">Quanto alle asserzioni di ordine psicologico non argomentate, esse sono inammissibili in questa opera per effetto della prima clausola di disciplina esposta nel Capitolo secondo: l'opera ausculta archivi e non psicoanalizza persone. Ciò vale a maggior ragione per la persona del rapito.</w:t>
      </w:r>
    </w:p>
    <w:p>
      <w:pPr>
        <w:pStyle w:val="Heading2"/>
        <w:spacing w:after="100" w:before="200"/>
      </w:pPr>
      <w:r>
        <w:rPr>
          <w:rFonts w:ascii="Barlow Semi Condensed" w:cs="Barlow Semi Condensed" w:eastAsia="Barlow Semi Condensed" w:hAnsi="Barlow Semi Condensed"/>
          <w:sz w:val="24"/>
          <w:szCs w:val="24"/>
        </w:rPr>
        <w:t xml:space="preserve">Il punto che resta e che non è filologico</w:t>
      </w:r>
    </w:p>
    <w:p>
      <w:pPr>
        <w:spacing w:after="120" w:line="276"/>
        <w:jc w:val="both"/>
      </w:pPr>
      <w:r>
        <w:rPr>
          <w:rFonts w:ascii="Barlow Semi Condensed" w:cs="Barlow Semi Condensed" w:eastAsia="Barlow Semi Condensed" w:hAnsi="Barlow Semi Condensed"/>
          <w:b/>
          <w:bCs/>
          <w:sz w:val="24"/>
          <w:szCs w:val="24"/>
        </w:rPr>
        <w:t xml:space="preserve">Resta un punto, e non è di autenticità.</w:t>
      </w:r>
    </w:p>
    <w:p>
      <w:pPr>
        <w:spacing w:after="120" w:line="276"/>
        <w:jc w:val="both"/>
      </w:pPr>
      <w:r>
        <w:rPr>
          <w:rFonts w:ascii="Barlow Semi Condensed" w:cs="Barlow Semi Condensed" w:eastAsia="Barlow Semi Condensed" w:hAnsi="Barlow Semi Condensed"/>
          <w:b/>
          <w:bCs/>
          <w:sz w:val="24"/>
          <w:szCs w:val="24"/>
        </w:rPr>
        <w:t xml:space="preserve">È accertato che l'autore scrisse sapendo di essere letto da chi lo deteneva. È accertato che la trasmissione fu selettiva. È dunque accertato che egli scriveva in una condizione nella quale il calcolo su ciò che sarebbe stato trasmesso, e su ciò che sarebbe stato letto dai custodi, poteva incidere sulla formulazione.</w:t>
      </w:r>
    </w:p>
    <w:p>
      <w:pPr>
        <w:spacing w:after="120" w:line="276"/>
        <w:jc w:val="both"/>
      </w:pPr>
      <w:r>
        <w:rPr>
          <w:rFonts w:ascii="Barlow Semi Condensed" w:cs="Barlow Semi Condensed" w:eastAsia="Barlow Semi Condensed" w:hAnsi="Barlow Semi Condensed"/>
          <w:b/>
          <w:bCs/>
          <w:sz w:val="24"/>
          <w:szCs w:val="24"/>
        </w:rPr>
        <w:t xml:space="preserve">Questo non tocca l'autenticità: tocca il vincolo, e il vincolo si gradua. È l'oggetto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trentaquattresimo — La scala del vincolo</w:t>
      </w:r>
    </w:p>
    <w:p>
      <w:pPr>
        <w:spacing w:after="120" w:line="276"/>
        <w:jc w:val="both"/>
      </w:pPr>
      <w:r>
        <w:rPr>
          <w:rFonts w:ascii="Barlow Semi Condensed" w:cs="Barlow Semi Condensed" w:eastAsia="Barlow Semi Condensed" w:hAnsi="Barlow Semi Condensed"/>
          <w:b/>
          <w:bCs/>
          <w:sz w:val="24"/>
          <w:szCs w:val="24"/>
        </w:rPr>
        <w:t xml:space="preserve">Si espone qui lo strumento centrale della Fase: la scala mediante la quale si accerta, enunciato per enunciato, il grado di condizionamento e gli usi che esso consente.</w:t>
      </w:r>
    </w:p>
    <w:p>
      <w:pPr>
        <w:spacing w:after="120" w:line="276"/>
        <w:jc w:val="both"/>
      </w:pPr>
      <w:r>
        <w:rPr>
          <w:rFonts w:ascii="Barlow Semi Condensed" w:cs="Barlow Semi Condensed" w:eastAsia="Barlow Semi Condensed" w:hAnsi="Barlow Semi Condensed"/>
          <w:b/>
          <w:bCs/>
          <w:sz w:val="24"/>
          <w:szCs w:val="24"/>
        </w:rPr>
        <w:t xml:space="preserve">La scala ha quattro gradi. Essa non misura la verità dell'enunciato: misura la misura in cui la condizione può averne determinato la formulazione. Un enunciato fortemente vincolato può essere vero; uno debolmente vincolato può essere falso. La scala dice soltanto quanto peso si possa attribuire alla forma in cui l'enunciato si presenta.</w:t>
      </w:r>
    </w:p>
    <w:p>
      <w:pPr>
        <w:pStyle w:val="Heading2"/>
        <w:spacing w:after="100" w:before="200"/>
      </w:pPr>
      <w:r>
        <w:rPr>
          <w:rFonts w:ascii="Barlow Semi Condensed" w:cs="Barlow Semi Condensed" w:eastAsia="Barlow Semi Condensed" w:hAnsi="Barlow Semi Condensed"/>
          <w:sz w:val="24"/>
          <w:szCs w:val="24"/>
        </w:rPr>
        <w:t xml:space="preserve">Primo grado: enunciato non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il cui contenuto è indifferente rispetto agli interessi di chi deteneva l'autore, e che non potevano essere oggetto di sollecitazione né di censura.</w:t>
      </w:r>
    </w:p>
    <w:p>
      <w:pPr>
        <w:spacing w:after="120" w:line="276"/>
        <w:jc w:val="both"/>
      </w:pPr>
      <w:r>
        <w:rPr>
          <w:rFonts w:ascii="Barlow Semi Condensed" w:cs="Barlow Semi Condensed" w:eastAsia="Barlow Semi Condensed" w:hAnsi="Barlow Semi Condensed"/>
          <w:b/>
          <w:bCs/>
          <w:sz w:val="24"/>
          <w:szCs w:val="24"/>
        </w:rPr>
        <w:t xml:space="preserve">Vi rientrano in prevalenza gli enunciati di natura personale e domestica: riferimenti a persone della famiglia, a oggetti, a consuetudini private, a stati fisici.</w:t>
      </w:r>
    </w:p>
    <w:p>
      <w:pPr>
        <w:spacing w:after="120" w:line="276"/>
        <w:jc w:val="both"/>
      </w:pPr>
      <w:r>
        <w:rPr>
          <w:rFonts w:ascii="Barlow Semi Condensed" w:cs="Barlow Semi Condensed" w:eastAsia="Barlow Semi Condensed" w:hAnsi="Barlow Semi Condensed"/>
          <w:b/>
          <w:bCs/>
          <w:sz w:val="24"/>
          <w:szCs w:val="24"/>
        </w:rPr>
        <w:t xml:space="preserve">Uso consentito: tali enunciati possono essere impiegati come espressione diretta dell'autore, con la sola cautela ordinaria che si applica a qualunque scritto personale.</w:t>
      </w:r>
    </w:p>
    <w:p>
      <w:pPr>
        <w:pStyle w:val="Heading2"/>
        <w:spacing w:after="100" w:before="200"/>
      </w:pPr>
      <w:r>
        <w:rPr>
          <w:rFonts w:ascii="Barlow Semi Condensed" w:cs="Barlow Semi Condensed" w:eastAsia="Barlow Semi Condensed" w:hAnsi="Barlow Semi Condensed"/>
          <w:sz w:val="24"/>
          <w:szCs w:val="24"/>
        </w:rPr>
        <w:t xml:space="preserve">Secondo grado: enunciato debolmente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che riguardano materie sulle quali i detentori avevano interesse generico ma non specifico, e che sono coerenti con posizioni documentate dell'autore anteriori alla prigionia.</w:t>
      </w:r>
    </w:p>
    <w:p>
      <w:pPr>
        <w:spacing w:after="120" w:line="276"/>
        <w:jc w:val="both"/>
      </w:pPr>
      <w:r>
        <w:rPr>
          <w:rFonts w:ascii="Barlow Semi Condensed" w:cs="Barlow Semi Condensed" w:eastAsia="Barlow Semi Condensed" w:hAnsi="Barlow Semi Condensed"/>
          <w:b/>
          <w:bCs/>
          <w:sz w:val="24"/>
          <w:szCs w:val="24"/>
        </w:rPr>
        <w:t xml:space="preserve">La coerenza con l'anteriore è qui il criterio operativo, e conviene precisarne il valore. Essa non prova la libertà dell'enunciato: chi voglia indurre uno scritto credibile induce enunciati coerenti con l'autore. Ma la coerenza esclude una delle due ipotesi di condizionamento, quella dell'imposizione di contenuti estranei, e lascia aperta soltanto l'altra, quella della sollecitazione di contenuti propri.</w:t>
      </w:r>
    </w:p>
    <w:p>
      <w:pPr>
        <w:spacing w:after="120" w:line="276"/>
        <w:jc w:val="both"/>
      </w:pPr>
      <w:r>
        <w:rPr>
          <w:rFonts w:ascii="Barlow Semi Condensed" w:cs="Barlow Semi Condensed" w:eastAsia="Barlow Semi Condensed" w:hAnsi="Barlow Semi Condensed"/>
          <w:b/>
          <w:bCs/>
          <w:sz w:val="24"/>
          <w:szCs w:val="24"/>
        </w:rPr>
        <w:t xml:space="preserve">Uso consentito: tali enunciati possono essere impiegati come espressione dell'autore, con menzione del grado.</w:t>
      </w:r>
    </w:p>
    <w:p>
      <w:pPr>
        <w:pStyle w:val="Heading2"/>
        <w:spacing w:after="100" w:before="200"/>
      </w:pPr>
      <w:r>
        <w:rPr>
          <w:rFonts w:ascii="Barlow Semi Condensed" w:cs="Barlow Semi Condensed" w:eastAsia="Barlow Semi Condensed" w:hAnsi="Barlow Semi Condensed"/>
          <w:sz w:val="24"/>
          <w:szCs w:val="24"/>
        </w:rPr>
        <w:t xml:space="preserve">Terzo grado: enunciato fortemente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che riguardano materie di interesse diretto dei detentori: la condotta da tenere, le richieste da avanzare, la valutazione dell'operato delle istituzioni, la sollecitazione a determinate decisioni.</w:t>
      </w:r>
    </w:p>
    <w:p>
      <w:pPr>
        <w:spacing w:after="120" w:line="276"/>
        <w:jc w:val="both"/>
      </w:pPr>
      <w:r>
        <w:rPr>
          <w:rFonts w:ascii="Barlow Semi Condensed" w:cs="Barlow Semi Condensed" w:eastAsia="Barlow Semi Condensed" w:hAnsi="Barlow Semi Condensed"/>
          <w:b/>
          <w:bCs/>
          <w:sz w:val="24"/>
          <w:szCs w:val="24"/>
        </w:rPr>
        <w:t xml:space="preserve">Tali enunciati sono quelli sui quali la sollecitazione era più probabile e più utile a chi deteneva.</w:t>
      </w:r>
    </w:p>
    <w:p>
      <w:pPr>
        <w:spacing w:after="120" w:line="276"/>
        <w:jc w:val="both"/>
      </w:pPr>
      <w:r>
        <w:rPr>
          <w:rFonts w:ascii="Barlow Semi Condensed" w:cs="Barlow Semi Condensed" w:eastAsia="Barlow Semi Condensed" w:hAnsi="Barlow Semi Condensed"/>
          <w:b/>
          <w:bCs/>
          <w:sz w:val="24"/>
          <w:szCs w:val="24"/>
        </w:rPr>
        <w:t xml:space="preserve">Uso consentito: essi attestano che l'autore scrisse quelle parole, e null'altro. Non possono essere impiegati né per attribuirgli una convinzione né per negargliela. In particolare, non possono essere impiegati per sostenere che egli avesse mutato le proprie posizioni anteriori, né per sostenere che le avesse conservate.</w:t>
      </w:r>
    </w:p>
    <w:p>
      <w:pPr>
        <w:pStyle w:val="Heading2"/>
        <w:spacing w:after="100" w:before="200"/>
      </w:pPr>
      <w:r>
        <w:rPr>
          <w:rFonts w:ascii="Barlow Semi Condensed" w:cs="Barlow Semi Condensed" w:eastAsia="Barlow Semi Condensed" w:hAnsi="Barlow Semi Condensed"/>
          <w:sz w:val="24"/>
          <w:szCs w:val="24"/>
        </w:rPr>
        <w:t xml:space="preserve">Quarto grado: enunciato di provenienza dubbia</w:t>
      </w:r>
    </w:p>
    <w:p>
      <w:pPr>
        <w:spacing w:after="120" w:line="276"/>
        <w:jc w:val="both"/>
      </w:pPr>
      <w:r>
        <w:rPr>
          <w:rFonts w:ascii="Barlow Semi Condensed" w:cs="Barlow Semi Condensed" w:eastAsia="Barlow Semi Condensed" w:hAnsi="Barlow Semi Condensed"/>
          <w:b/>
          <w:bCs/>
          <w:sz w:val="24"/>
          <w:szCs w:val="24"/>
        </w:rPr>
        <w:t xml:space="preserve">Vi appartengono gli enunciati per i quali elementi testuali o circostanziali suggeriscono derivazione da sollecitazione specifica o da materiale fornito.</w:t>
      </w:r>
    </w:p>
    <w:p>
      <w:pPr>
        <w:spacing w:after="120" w:line="276"/>
        <w:jc w:val="both"/>
      </w:pPr>
      <w:r>
        <w:rPr>
          <w:rFonts w:ascii="Barlow Semi Condensed" w:cs="Barlow Semi Condensed" w:eastAsia="Barlow Semi Condensed" w:hAnsi="Barlow Semi Condensed"/>
          <w:b/>
          <w:bCs/>
          <w:sz w:val="24"/>
          <w:szCs w:val="24"/>
        </w:rPr>
        <w:t xml:space="preserve">Uso consentito: nessuno, se non la registrazione della loro esistenza e del dubbio che vi si appunta.</w:t>
      </w:r>
    </w:p>
    <w:p>
      <w:pPr>
        <w:pStyle w:val="Heading2"/>
        <w:spacing w:after="100" w:before="200"/>
      </w:pPr>
      <w:r>
        <w:rPr>
          <w:rFonts w:ascii="Barlow Semi Condensed" w:cs="Barlow Semi Condensed" w:eastAsia="Barlow Semi Condensed" w:hAnsi="Barlow Semi Condensed"/>
          <w:sz w:val="24"/>
          <w:szCs w:val="24"/>
        </w:rPr>
        <w:t xml:space="preserve">L'applicazione e i suoi limiti</w:t>
      </w:r>
    </w:p>
    <w:p>
      <w:pPr>
        <w:spacing w:after="120" w:line="276"/>
        <w:jc w:val="both"/>
      </w:pPr>
      <w:r>
        <w:rPr>
          <w:rFonts w:ascii="Barlow Semi Condensed" w:cs="Barlow Semi Condensed" w:eastAsia="Barlow Semi Condensed" w:hAnsi="Barlow Semi Condensed"/>
          <w:b/>
          <w:bCs/>
          <w:sz w:val="24"/>
          <w:szCs w:val="24"/>
        </w:rPr>
        <w:t xml:space="preserve">Occorre dichiarare i limiti di questo strumento, perché uno strumento del quale non si dichiarino i limiti comincia a comandare.</w:t>
      </w:r>
    </w:p>
    <w:p>
      <w:pPr>
        <w:spacing w:after="120" w:line="276"/>
        <w:jc w:val="both"/>
      </w:pPr>
      <w:r>
        <w:rPr>
          <w:rFonts w:ascii="Barlow Semi Condensed" w:cs="Barlow Semi Condensed" w:eastAsia="Barlow Semi Condensed" w:hAnsi="Barlow Semi Condensed"/>
          <w:b/>
          <w:bCs/>
          <w:sz w:val="24"/>
          <w:szCs w:val="24"/>
        </w:rPr>
        <w:t xml:space="preserve">Primo limite: l'attribuzione del grado non è meccanica. Essa richiede una valutazione, e la valutazione è dell'autore di quest'opera. Essa è dunque, essa stessa, interpretazione dichiarata e non dato.</w:t>
      </w:r>
    </w:p>
    <w:p>
      <w:pPr>
        <w:spacing w:after="120" w:line="276"/>
        <w:jc w:val="both"/>
      </w:pPr>
      <w:r>
        <w:rPr>
          <w:rFonts w:ascii="Barlow Semi Condensed" w:cs="Barlow Semi Condensed" w:eastAsia="Barlow Semi Condensed" w:hAnsi="Barlow Semi Condensed"/>
          <w:b/>
          <w:bCs/>
          <w:sz w:val="24"/>
          <w:szCs w:val="24"/>
        </w:rPr>
        <w:t xml:space="preserve">Secondo limite: la scala non è applicabile a documenti nel loro insieme. Una medesima lettera contiene ordinariamente enunciati di gradi diversi, e trattarla unitariamente vanifica lo strumento. Questa è la ragione per la quale le controversie sulle lettere sono state a lungo sterili: esse vertevano su documenti interi, dei quali si affermava o si negava in blocco l'attendibilità, mentre la questione si pone per proposizioni.</w:t>
      </w:r>
    </w:p>
    <w:p>
      <w:pPr>
        <w:spacing w:after="120" w:line="276"/>
        <w:jc w:val="both"/>
      </w:pPr>
      <w:r>
        <w:rPr>
          <w:rFonts w:ascii="Barlow Semi Condensed" w:cs="Barlow Semi Condensed" w:eastAsia="Barlow Semi Condensed" w:hAnsi="Barlow Semi Condensed"/>
          <w:b/>
          <w:bCs/>
          <w:sz w:val="24"/>
          <w:szCs w:val="24"/>
        </w:rPr>
        <w:t xml:space="preserve">Terzo limite, e più severo: la scala non consente in alcun caso di stabilire ciò che l'autore pensava e non scrisse. Il silenzio delle carte su una materia non attesta né ignoranza né reticenza né sollecitazione a tacere. Esso non attesta nulla, e ogni argomentazione fondata su ciò che nelle carte non si trova è inammissibile in quest'opera.</w:t>
      </w:r>
    </w:p>
    <w:p>
      <w:pPr>
        <w:spacing w:after="120" w:line="276"/>
        <w:jc w:val="both"/>
      </w:pPr>
      <w:r>
        <w:rPr>
          <w:rFonts w:ascii="Barlow Semi Condensed" w:cs="Barlow Semi Condensed" w:eastAsia="Barlow Semi Condensed" w:hAnsi="Barlow Semi Condensed"/>
          <w:b/>
          <w:bCs/>
          <w:sz w:val="24"/>
          <w:szCs w:val="24"/>
        </w:rPr>
        <w:t xml:space="preserve">Quest'ultimo limite merita di essere sottolineato, perché una parte considerevole della letteratura sulle carte verte precisamente su ciò che in esse non c'è.</w:t>
      </w:r>
    </w:p>
    <w:p>
      <w:pPr>
        <w:pStyle w:val="Heading2"/>
        <w:spacing w:after="100" w:before="200"/>
      </w:pPr>
      <w:r>
        <w:rPr>
          <w:rFonts w:ascii="Barlow Semi Condensed" w:cs="Barlow Semi Condensed" w:eastAsia="Barlow Semi Condensed" w:hAnsi="Barlow Semi Condensed"/>
          <w:sz w:val="24"/>
          <w:szCs w:val="24"/>
        </w:rPr>
        <w:t xml:space="preserve">Capitolo trentacinquesimo — Le lettere ai familiari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b/>
          <w:bCs/>
          <w:sz w:val="24"/>
          <w:szCs w:val="24"/>
        </w:rPr>
        <w:t xml:space="preserve">Le lettere indirizzate a persone della famiglia costituiscono la classe alla quale la scala del vincolo assegna in prevalenza il primo e il secondo grado.</w:t>
      </w:r>
    </w:p>
    <w:p>
      <w:pPr>
        <w:spacing w:after="120" w:line="276"/>
        <w:jc w:val="both"/>
      </w:pPr>
      <w:r>
        <w:rPr>
          <w:rFonts w:ascii="Barlow Semi Condensed" w:cs="Barlow Semi Condensed" w:eastAsia="Barlow Semi Condensed" w:hAnsi="Barlow Semi Condensed"/>
          <w:b/>
          <w:bCs/>
          <w:sz w:val="24"/>
          <w:szCs w:val="24"/>
        </w:rPr>
        <w:t xml:space="preserve">La ragione è di interesse: i detentori non avevano interesse specifico al contenuto di comunicazioni domestiche, e la loro sollecitazione non avrebbe prodotto alcun effetto utile. Ove tale interesse compaia — nelle parti in cui la lettera domestica tocca la condotta da tenere o sollecita interventi — il grado si eleva, e va elevato per quelle proposizioni e non per l'intera lettera.</w:t>
      </w:r>
    </w:p>
    <w:p>
      <w:pPr>
        <w:pStyle w:val="Heading2"/>
        <w:spacing w:after="100" w:before="200"/>
      </w:pPr>
      <w:r>
        <w:rPr>
          <w:rFonts w:ascii="Barlow Semi Condensed" w:cs="Barlow Semi Condensed" w:eastAsia="Barlow Semi Condensed" w:hAnsi="Barlow Semi Condensed"/>
          <w:sz w:val="24"/>
          <w:szCs w:val="24"/>
        </w:rPr>
        <w:t xml:space="preserve">Che cosa esse attestano</w:t>
      </w:r>
    </w:p>
    <w:p>
      <w:pPr>
        <w:spacing w:after="120" w:line="276"/>
        <w:jc w:val="both"/>
      </w:pPr>
      <w:r>
        <w:rPr>
          <w:rFonts w:ascii="Barlow Semi Condensed" w:cs="Barlow Semi Condensed" w:eastAsia="Barlow Semi Condensed" w:hAnsi="Barlow Semi Condensed"/>
          <w:b/>
          <w:bCs/>
          <w:sz w:val="24"/>
          <w:szCs w:val="24"/>
        </w:rPr>
        <w:t xml:space="preserve">Esse attestano, in stato di sciolto, che l'autore fu mantenuto in condizioni che gli consentivano di scrivere per l'intero periodo; che conservò capacità di formulazione articolata; che ebbe conoscenza, sia pur parziale e mediata, dell'andamento delle vicende esterne.</w:t>
      </w:r>
    </w:p>
    <w:p>
      <w:pPr>
        <w:spacing w:after="120" w:line="276"/>
        <w:jc w:val="both"/>
      </w:pPr>
      <w:r>
        <w:rPr>
          <w:rFonts w:ascii="Barlow Semi Condensed" w:cs="Barlow Semi Condensed" w:eastAsia="Barlow Semi Condensed" w:hAnsi="Barlow Semi Condensed"/>
          <w:b/>
          <w:bCs/>
          <w:sz w:val="24"/>
          <w:szCs w:val="24"/>
        </w:rPr>
        <w:t xml:space="preserve">Quest'ultimo elemento rileva per la ricostruzione materiale e va segnalato: che il prigioniero mostrasse consapevolezza di sviluppi esterni comporta che gli fossero fornite informazioni, il che è dato sulla gestione della detenzione e non sul suo pensiero.</w:t>
      </w:r>
    </w:p>
    <w:p>
      <w:pPr>
        <w:pStyle w:val="Heading2"/>
        <w:spacing w:after="100" w:before="200"/>
      </w:pPr>
      <w:r>
        <w:rPr>
          <w:rFonts w:ascii="Barlow Semi Condensed" w:cs="Barlow Semi Condensed" w:eastAsia="Barlow Semi Condensed" w:hAnsi="Barlow Semi Condensed"/>
          <w:sz w:val="24"/>
          <w:szCs w:val="24"/>
        </w:rPr>
        <w:t xml:space="preserve">Il carattere della classe</w:t>
      </w:r>
    </w:p>
    <w:p>
      <w:pPr>
        <w:spacing w:after="120" w:line="276"/>
        <w:jc w:val="both"/>
      </w:pPr>
      <w:r>
        <w:rPr>
          <w:rFonts w:ascii="Barlow Semi Condensed" w:cs="Barlow Semi Condensed" w:eastAsia="Barlow Semi Condensed" w:hAnsi="Barlow Semi Condensed"/>
          <w:b/>
          <w:bCs/>
          <w:sz w:val="24"/>
          <w:szCs w:val="24"/>
        </w:rPr>
        <w:t xml:space="preserve">Va detta una cosa sul carattere di queste lettere, e va detta con misura.</w:t>
      </w:r>
    </w:p>
    <w:p>
      <w:pPr>
        <w:spacing w:after="120" w:line="276"/>
        <w:jc w:val="both"/>
      </w:pPr>
      <w:r>
        <w:rPr>
          <w:rFonts w:ascii="Barlow Semi Condensed" w:cs="Barlow Semi Condensed" w:eastAsia="Barlow Semi Condensed" w:hAnsi="Barlow Semi Condensed"/>
          <w:b/>
          <w:bCs/>
          <w:sz w:val="24"/>
          <w:szCs w:val="24"/>
        </w:rPr>
        <w:t xml:space="preserve">Esse sono, per larga parte, comunicazioni private di un uomo alla propria famiglia in condizioni di pericolo mortale. Contengono disposizioni pratiche, raccomandazioni, espressioni di affetto, preoccupazioni per il dopo.</w:t>
      </w:r>
    </w:p>
    <w:p>
      <w:pPr>
        <w:spacing w:after="120" w:line="276"/>
        <w:jc w:val="both"/>
      </w:pPr>
      <w:r>
        <w:rPr>
          <w:rFonts w:ascii="Barlow Semi Condensed" w:cs="Barlow Semi Condensed" w:eastAsia="Barlow Semi Condensed" w:hAnsi="Barlow Semi Condensed"/>
          <w:b/>
          <w:bCs/>
          <w:sz w:val="24"/>
          <w:szCs w:val="24"/>
        </w:rPr>
        <w:t xml:space="preserve">Quest'opera non le analizza oltre quanto serve al proprio ufficio, e non ne estrae elementi di colore. La ragione è che esse non furono scritte per essere lette da chi qui scrive né da chi qui legge; che la loro pubblicazione fu conseguenza della vicenda e non volontà dell'autore; e che un registro il quale ne facesse materia di commento supererebbe il limite oltre il quale la ricerca su una persona diventa esposizione della sua vita privata.</w:t>
      </w:r>
    </w:p>
    <w:p>
      <w:pPr>
        <w:spacing w:after="120" w:line="276"/>
        <w:jc w:val="both"/>
      </w:pPr>
      <w:r>
        <w:rPr>
          <w:rFonts w:ascii="Barlow Semi Condensed" w:cs="Barlow Semi Condensed" w:eastAsia="Barlow Semi Condensed" w:hAnsi="Barlow Semi Condensed"/>
          <w:b/>
          <w:bCs/>
          <w:sz w:val="24"/>
          <w:szCs w:val="24"/>
        </w:rPr>
        <w:t xml:space="preserve">Si registra dunque la classe, il suo statuto, e ciò che essa attesta ai fini della ricostruzione. Null'altro.</w:t>
      </w:r>
    </w:p>
    <w:p>
      <w:pPr>
        <w:pStyle w:val="Heading2"/>
        <w:spacing w:after="100" w:before="200"/>
      </w:pPr>
      <w:r>
        <w:rPr>
          <w:rFonts w:ascii="Barlow Semi Condensed" w:cs="Barlow Semi Condensed" w:eastAsia="Barlow Semi Condensed" w:hAnsi="Barlow Semi Condensed"/>
          <w:sz w:val="24"/>
          <w:szCs w:val="24"/>
        </w:rPr>
        <w:t xml:space="preserve">Una disposizione dell'autore</w:t>
      </w:r>
    </w:p>
    <w:p>
      <w:pPr>
        <w:spacing w:after="120" w:line="276"/>
        <w:jc w:val="both"/>
      </w:pPr>
      <w:r>
        <w:rPr>
          <w:rFonts w:ascii="Barlow Semi Condensed" w:cs="Barlow Semi Condensed" w:eastAsia="Barlow Semi Condensed" w:hAnsi="Barlow Semi Condensed"/>
          <w:b/>
          <w:bCs/>
          <w:sz w:val="24"/>
          <w:szCs w:val="24"/>
        </w:rPr>
        <w:t xml:space="preserve">Vi è, fra le disposizioni contenute in questa classe, una che rileva per la ricostruzione degli eventi successivi e che pertanto va menzionata: l'autore espresse volontà relative alle modalità delle proprie esequie e alla partecipazione delle autorità.</w:t>
      </w:r>
    </w:p>
    <w:p>
      <w:pPr>
        <w:spacing w:after="120" w:line="276"/>
        <w:jc w:val="both"/>
      </w:pPr>
      <w:r>
        <w:rPr>
          <w:rFonts w:ascii="Barlow Semi Condensed" w:cs="Barlow Semi Condensed" w:eastAsia="Barlow Semi Condensed" w:hAnsi="Barlow Semi Condensed"/>
          <w:b/>
          <w:bCs/>
          <w:sz w:val="24"/>
          <w:szCs w:val="24"/>
        </w:rPr>
        <w:t xml:space="preserve">Il fatto che tale volontà sia stata espressa è accertato. Le vicende conseguenti appartengono alla Fase Settima, che tratta ciò che resta.</w:t>
      </w:r>
    </w:p>
    <w:p>
      <w:pPr>
        <w:pStyle w:val="Heading2"/>
        <w:spacing w:after="100" w:before="200"/>
      </w:pPr>
      <w:r>
        <w:rPr>
          <w:rFonts w:ascii="Barlow Semi Condensed" w:cs="Barlow Semi Condensed" w:eastAsia="Barlow Semi Condensed" w:hAnsi="Barlow Semi Condensed"/>
          <w:sz w:val="24"/>
          <w:szCs w:val="24"/>
        </w:rPr>
        <w:t xml:space="preserve">Capitolo trentaseiesimo — Le lettere ai destinatari politici e istituzionali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b/>
          <w:bCs/>
          <w:sz w:val="24"/>
          <w:szCs w:val="24"/>
        </w:rPr>
        <w:t xml:space="preserve">Le lettere indirizzate a uomini politici, a organi di partito e a istituzioni costituiscono la classe alla quale la scala assegna in prevalenza il terzo grado, e in taluni punti il quarto.</w:t>
      </w:r>
    </w:p>
    <w:p>
      <w:pPr>
        <w:spacing w:after="120" w:line="276"/>
        <w:jc w:val="both"/>
      </w:pPr>
      <w:r>
        <w:rPr>
          <w:rFonts w:ascii="Barlow Semi Condensed" w:cs="Barlow Semi Condensed" w:eastAsia="Barlow Semi Condensed" w:hAnsi="Barlow Semi Condensed"/>
          <w:b/>
          <w:bCs/>
          <w:sz w:val="24"/>
          <w:szCs w:val="24"/>
        </w:rPr>
        <w:t xml:space="preserve">La ragione è simmetrica a quella del Capitolo precedente: qui l'interesse dei detentori era diretto e specifico. Ottenere che il prigioniero sollecitasse determinate condotte era, per chi lo deteneva, l'utilità principale della sua capacità di scrivere.</w:t>
      </w:r>
    </w:p>
    <w:p>
      <w:pPr>
        <w:pStyle w:val="Heading2"/>
        <w:spacing w:after="100" w:before="200"/>
      </w:pPr>
      <w:r>
        <w:rPr>
          <w:rFonts w:ascii="Barlow Semi Condensed" w:cs="Barlow Semi Condensed" w:eastAsia="Barlow Semi Condensed" w:hAnsi="Barlow Semi Condensed"/>
          <w:sz w:val="24"/>
          <w:szCs w:val="24"/>
        </w:rPr>
        <w:t xml:space="preserve">La conseguenza sull'uso</w:t>
      </w:r>
    </w:p>
    <w:p>
      <w:pPr>
        <w:spacing w:after="120" w:line="276"/>
        <w:jc w:val="both"/>
      </w:pPr>
      <w:r>
        <w:rPr>
          <w:rFonts w:ascii="Barlow Semi Condensed" w:cs="Barlow Semi Condensed" w:eastAsia="Barlow Semi Condensed" w:hAnsi="Barlow Semi Condensed"/>
          <w:b/>
          <w:bCs/>
          <w:sz w:val="24"/>
          <w:szCs w:val="24"/>
        </w:rPr>
        <w:t xml:space="preserve">Ne discende la disposizione più severa di questa Fase, e conviene enunciarla senza attenuazioni.</w:t>
      </w:r>
    </w:p>
    <w:p>
      <w:pPr>
        <w:spacing w:after="120" w:line="276"/>
        <w:jc w:val="both"/>
      </w:pPr>
      <w:r>
        <w:rPr>
          <w:rFonts w:ascii="Barlow Semi Condensed" w:cs="Barlow Semi Condensed" w:eastAsia="Barlow Semi Condensed" w:hAnsi="Barlow Semi Condensed"/>
          <w:b/>
          <w:bCs/>
          <w:sz w:val="24"/>
          <w:szCs w:val="24"/>
        </w:rPr>
        <w:t xml:space="preserve">Gli enunciati di questa classe che riguardano la condotta da tenere, la valutazione dell'operato delle istituzioni e la sollecitazione a decisioni determinate attestano che l'autore scrisse quelle parole, e null'altro.</w:t>
      </w:r>
    </w:p>
    <w:p>
      <w:pPr>
        <w:spacing w:after="120" w:line="276"/>
        <w:jc w:val="both"/>
      </w:pPr>
      <w:r>
        <w:rPr>
          <w:rFonts w:ascii="Barlow Semi Condensed" w:cs="Barlow Semi Condensed" w:eastAsia="Barlow Semi Condensed" w:hAnsi="Barlow Semi Condensed"/>
          <w:b/>
          <w:bCs/>
          <w:sz w:val="24"/>
          <w:szCs w:val="24"/>
        </w:rPr>
        <w:t xml:space="preserve">Essi non possono essere impiegati per sostenere che l'autore avesse mutato le proprie posizioni. Non possono essere impiegati per sostenere che le avesse conservate. Non possono essere impiegati per accreditare né per screditare la linea che prevalse nelle sedi di governo.</w:t>
      </w:r>
    </w:p>
    <w:p>
      <w:pPr>
        <w:spacing w:after="120" w:line="276"/>
        <w:jc w:val="both"/>
      </w:pPr>
      <w:r>
        <w:rPr>
          <w:rFonts w:ascii="Barlow Semi Condensed" w:cs="Barlow Semi Condensed" w:eastAsia="Barlow Semi Condensed" w:hAnsi="Barlow Semi Condensed"/>
          <w:b/>
          <w:bCs/>
          <w:sz w:val="24"/>
          <w:szCs w:val="24"/>
        </w:rPr>
        <w:t xml:space="preserve">Questa disposizione ha una conseguenza che va detta apertamente: essa esclude dall'uso probatorio la parte del corpus sulla quale si è discusso di più in cinquant'anni. Le lettere politiche della prigionia sono state impiegate, alternativamente, per dimostrare che l'uomo era stato piegato e per dimostrare che era rimasto sé stesso; per accusare chi non trattò e per giustificarlo. Nessuno di questi usi è ammesso in quest'opera, e non perché le tesi siano false, ma perché la fonte non le sostiene né le contraddice.</w:t>
      </w:r>
    </w:p>
    <w:p>
      <w:pPr>
        <w:pStyle w:val="Heading2"/>
        <w:spacing w:after="100" w:before="200"/>
      </w:pPr>
      <w:r>
        <w:rPr>
          <w:rFonts w:ascii="Barlow Semi Condensed" w:cs="Barlow Semi Condensed" w:eastAsia="Barlow Semi Condensed" w:hAnsi="Barlow Semi Condensed"/>
          <w:sz w:val="24"/>
          <w:szCs w:val="24"/>
        </w:rPr>
        <w:t xml:space="preserve">Che cosa dunque questa classe attesta</w:t>
      </w:r>
    </w:p>
    <w:p>
      <w:pPr>
        <w:spacing w:after="120" w:line="276"/>
        <w:jc w:val="both"/>
      </w:pPr>
      <w:r>
        <w:rPr>
          <w:rFonts w:ascii="Barlow Semi Condensed" w:cs="Barlow Semi Condensed" w:eastAsia="Barlow Semi Condensed" w:hAnsi="Barlow Semi Condensed"/>
          <w:b/>
          <w:bCs/>
          <w:sz w:val="24"/>
          <w:szCs w:val="24"/>
        </w:rPr>
        <w:t xml:space="preserve">Attesta, in stato di sciolto, che tali lettere furono scritte e trasmesse; a chi furono indirizzate; in quale sequenza temporale; e che una parte di esse non fu trasmessa e fu rinvenuta in seguito.</w:t>
      </w:r>
    </w:p>
    <w:p>
      <w:pPr>
        <w:spacing w:after="120" w:line="276"/>
        <w:jc w:val="both"/>
      </w:pPr>
      <w:r>
        <w:rPr>
          <w:rFonts w:ascii="Barlow Semi Condensed" w:cs="Barlow Semi Condensed" w:eastAsia="Barlow Semi Condensed" w:hAnsi="Barlow Semi Condensed"/>
          <w:b/>
          <w:bCs/>
          <w:sz w:val="24"/>
          <w:szCs w:val="24"/>
        </w:rPr>
        <w:t xml:space="preserve">La sequenza temporale e la selezione operata sulla trasmissione sono dati di rilievo, e appartengono alla ricostruzione della gestione della prigionia da parte dei detentori. Essi sono utilizzabili senza restrizione, perché non dipendono dal contenuto degli enunciati ma dalla loro esistenza e circolazione.</w:t>
      </w:r>
    </w:p>
    <w:p>
      <w:pPr>
        <w:pStyle w:val="Heading2"/>
        <w:spacing w:after="100" w:before="200"/>
      </w:pPr>
      <w:r>
        <w:rPr>
          <w:rFonts w:ascii="Barlow Semi Condensed" w:cs="Barlow Semi Condensed" w:eastAsia="Barlow Semi Condensed" w:hAnsi="Barlow Semi Condensed"/>
          <w:sz w:val="24"/>
          <w:szCs w:val="24"/>
        </w:rPr>
        <w:t xml:space="preserve">Il dibattito pubblico e il suo statuto</w:t>
      </w:r>
    </w:p>
    <w:p>
      <w:pPr>
        <w:spacing w:after="120" w:line="276"/>
        <w:jc w:val="both"/>
      </w:pPr>
      <w:r>
        <w:rPr>
          <w:rFonts w:ascii="Barlow Semi Condensed" w:cs="Barlow Semi Condensed" w:eastAsia="Barlow Semi Condensed" w:hAnsi="Barlow Semi Condensed"/>
          <w:b/>
          <w:bCs/>
          <w:sz w:val="24"/>
          <w:szCs w:val="24"/>
        </w:rPr>
        <w:t xml:space="preserve">Il contenuto di queste lettere fu, all'epoca, oggetto di dibattito pubblico immediato, e il dibattito ebbe conseguenze sulle decisioni assunte.</w:t>
      </w:r>
    </w:p>
    <w:p>
      <w:pPr>
        <w:spacing w:after="120" w:line="276"/>
        <w:jc w:val="both"/>
      </w:pPr>
      <w:r>
        <w:rPr>
          <w:rFonts w:ascii="Barlow Semi Condensed" w:cs="Barlow Semi Condensed" w:eastAsia="Barlow Semi Condensed" w:hAnsi="Barlow Semi Condensed"/>
          <w:b/>
          <w:bCs/>
          <w:sz w:val="24"/>
          <w:szCs w:val="24"/>
        </w:rPr>
        <w:t xml:space="preserve">Che tale dibattito vi fu, e quali posizioni vi si confrontarono, è materia accertata e appartiene alla ricostruzione degli eventi. Esso sarà trattato nella Fase Settima quanto agli esiti.</w:t>
      </w:r>
    </w:p>
    <w:p>
      <w:pPr>
        <w:spacing w:after="120" w:line="276"/>
        <w:jc w:val="both"/>
      </w:pPr>
      <w:r>
        <w:rPr>
          <w:rFonts w:ascii="Barlow Semi Condensed" w:cs="Barlow Semi Condensed" w:eastAsia="Barlow Semi Condensed" w:hAnsi="Barlow Semi Condensed"/>
          <w:b/>
          <w:bCs/>
          <w:sz w:val="24"/>
          <w:szCs w:val="24"/>
        </w:rPr>
        <w:t xml:space="preserve">Si segnala qui una sola circostanza, perché incide sulla valutazione di quel dibattito ed è stata esposta nel Capitolo trentaduesimo: coloro che allora valutarono le lettere lo fecero su un corpus selezionato da chi deteneva l'autore, e non potevano sapere quale parte fosse stata sottratta. Questa circostanza non muta il giudizio sulle decisioni, che appartiene ad altri; muta però la descrizione delle condizioni in cui furono prese, e la descrizione appartiene a quest'opera.</w:t>
      </w:r>
    </w:p>
    <w:p>
      <w:pPr>
        <w:pStyle w:val="Heading2"/>
        <w:spacing w:after="100" w:before="200"/>
      </w:pPr>
      <w:r>
        <w:rPr>
          <w:rFonts w:ascii="Barlow Semi Condensed" w:cs="Barlow Semi Condensed" w:eastAsia="Barlow Semi Condensed" w:hAnsi="Barlow Semi Condensed"/>
          <w:sz w:val="24"/>
          <w:szCs w:val="24"/>
        </w:rPr>
        <w:t xml:space="preserve">Capitolo trentasettesimo — Il memoriale: natura e statuto</w:t>
      </w:r>
    </w:p>
    <w:p>
      <w:pPr>
        <w:pStyle w:val="Heading2"/>
        <w:spacing w:after="100" w:before="200"/>
      </w:pPr>
      <w:r>
        <w:rPr>
          <w:rFonts w:ascii="Barlow Semi Condensed" w:cs="Barlow Semi Condensed" w:eastAsia="Barlow Semi Condensed" w:hAnsi="Barlow Semi Condensed"/>
          <w:sz w:val="24"/>
          <w:szCs w:val="24"/>
        </w:rPr>
        <w:t xml:space="preserve">Che cosa si intende</w:t>
      </w:r>
    </w:p>
    <w:p>
      <w:pPr>
        <w:spacing w:after="120" w:line="276"/>
        <w:jc w:val="both"/>
      </w:pPr>
      <w:r>
        <w:rPr>
          <w:rFonts w:ascii="Barlow Semi Condensed" w:cs="Barlow Semi Condensed" w:eastAsia="Barlow Semi Condensed" w:hAnsi="Barlow Semi Condensed"/>
          <w:b/>
          <w:bCs/>
          <w:sz w:val="24"/>
          <w:szCs w:val="24"/>
        </w:rPr>
        <w:t xml:space="preserve">Con il termine memoriale si designa complessivamente il materiale non epistolare riferibile alla prigionia: scritti di natura ricostruttiva e argomentativa, di estensione maggiore delle lettere, vertenti su materie politiche e istituzionali.</w:t>
      </w:r>
    </w:p>
    <w:p>
      <w:pPr>
        <w:spacing w:after="120" w:line="276"/>
        <w:jc w:val="both"/>
      </w:pPr>
      <w:r>
        <w:rPr>
          <w:rFonts w:ascii="Barlow Semi Condensed" w:cs="Barlow Semi Condensed" w:eastAsia="Barlow Semi Condensed" w:hAnsi="Barlow Semi Condensed"/>
          <w:b/>
          <w:bCs/>
          <w:sz w:val="24"/>
          <w:szCs w:val="24"/>
        </w:rPr>
        <w:t xml:space="preserve">Il termine è d'uso corrente e non è dell'autore. Si adotta per convenzione, e si dichiara che esso raggruppa materiali che potrebbero non costituire un'opera unitaria.</w:t>
      </w:r>
    </w:p>
    <w:p>
      <w:pPr>
        <w:pStyle w:val="Heading2"/>
        <w:spacing w:after="100" w:before="200"/>
      </w:pPr>
      <w:r>
        <w:rPr>
          <w:rFonts w:ascii="Barlow Semi Condensed" w:cs="Barlow Semi Condensed" w:eastAsia="Barlow Semi Condensed" w:hAnsi="Barlow Semi Condensed"/>
          <w:sz w:val="24"/>
          <w:szCs w:val="24"/>
        </w:rPr>
        <w:t xml:space="preserve">La natura del materiale</w:t>
      </w:r>
    </w:p>
    <w:p>
      <w:pPr>
        <w:spacing w:after="120" w:line="276"/>
        <w:jc w:val="both"/>
      </w:pPr>
      <w:r>
        <w:rPr>
          <w:rFonts w:ascii="Barlow Semi Condensed" w:cs="Barlow Semi Condensed" w:eastAsia="Barlow Semi Condensed" w:hAnsi="Barlow Semi Condensed"/>
          <w:b/>
          <w:bCs/>
          <w:sz w:val="24"/>
          <w:szCs w:val="24"/>
        </w:rPr>
        <w:t xml:space="preserve">Il materiale ha carattere in prevalenza ricostruttivo: esso espone vicende, rapporti, valutazioni relative alla vita politica e istituzionale del periodo anteriore.</w:t>
      </w:r>
    </w:p>
    <w:p>
      <w:pPr>
        <w:spacing w:after="120" w:line="276"/>
        <w:jc w:val="both"/>
      </w:pPr>
      <w:r>
        <w:rPr>
          <w:rFonts w:ascii="Barlow Semi Condensed" w:cs="Barlow Semi Condensed" w:eastAsia="Barlow Semi Condensed" w:hAnsi="Barlow Semi Condensed"/>
          <w:b/>
          <w:bCs/>
          <w:sz w:val="24"/>
          <w:szCs w:val="24"/>
        </w:rPr>
        <w:t xml:space="preserve">Occorre precisare una circostanza che ne determina lo statuto e che è frequentemente trascurata: il materiale fu prodotto in risposta a un interrogatorio. Chi deteneva l'autore condusse su di lui un procedimento che essi medesimi qualificarono come processo, e il materiale costituisce, in misura considerevole, la risposta a domande poste.</w:t>
      </w:r>
    </w:p>
    <w:p>
      <w:pPr>
        <w:spacing w:after="120" w:line="276"/>
        <w:jc w:val="both"/>
      </w:pPr>
      <w:r>
        <w:rPr>
          <w:rFonts w:ascii="Barlow Semi Condensed" w:cs="Barlow Semi Condensed" w:eastAsia="Barlow Semi Condensed" w:hAnsi="Barlow Semi Condensed"/>
          <w:b/>
          <w:bCs/>
          <w:sz w:val="24"/>
          <w:szCs w:val="24"/>
        </w:rPr>
        <w:t xml:space="preserve">Questa circostanza non è secondaria. Un testo scritto in risposta a domande altrui riflette, nella propria struttura, la struttura delle domande. Ciò che vi si trova trattato non è necessariamente ciò che l'autore avrebbe scelto di trattare; e l'assenza di una materia non attesta che egli non avesse nulla da dirne, ma può attestare che non gli fu chiesto.</w:t>
      </w:r>
    </w:p>
    <w:p>
      <w:pPr>
        <w:pStyle w:val="Heading2"/>
        <w:spacing w:after="100" w:before="200"/>
      </w:pPr>
      <w:r>
        <w:rPr>
          <w:rFonts w:ascii="Barlow Semi Condensed" w:cs="Barlow Semi Condensed" w:eastAsia="Barlow Semi Condensed" w:hAnsi="Barlow Semi Condensed"/>
          <w:sz w:val="24"/>
          <w:szCs w:val="24"/>
        </w:rPr>
        <w:t xml:space="preserve">Lo statuto secondo la scala</w:t>
      </w:r>
    </w:p>
    <w:p>
      <w:pPr>
        <w:spacing w:after="120" w:line="276"/>
        <w:jc w:val="both"/>
      </w:pPr>
      <w:r>
        <w:rPr>
          <w:rFonts w:ascii="Barlow Semi Condensed" w:cs="Barlow Semi Condensed" w:eastAsia="Barlow Semi Condensed" w:hAnsi="Barlow Semi Condensed"/>
          <w:b/>
          <w:bCs/>
          <w:sz w:val="24"/>
          <w:szCs w:val="24"/>
        </w:rPr>
        <w:t xml:space="preserve">La collocazione del memoriale nella scala del vincolo è la seguente.</w:t>
      </w:r>
    </w:p>
    <w:p>
      <w:pPr>
        <w:spacing w:after="120" w:line="276"/>
        <w:jc w:val="both"/>
      </w:pPr>
      <w:r>
        <w:rPr>
          <w:rFonts w:ascii="Barlow Semi Condensed" w:cs="Barlow Semi Condensed" w:eastAsia="Barlow Semi Condensed" w:hAnsi="Barlow Semi Condensed"/>
          <w:b/>
          <w:bCs/>
          <w:sz w:val="24"/>
          <w:szCs w:val="24"/>
        </w:rPr>
        <w:t xml:space="preserve">Quanto alla struttura e alla selezione delle materie, esso è di terzo grado: la scelta degli argomenti fu in misura rilevante determinata dall'interrogatorio.</w:t>
      </w:r>
    </w:p>
    <w:p>
      <w:pPr>
        <w:spacing w:after="120" w:line="276"/>
        <w:jc w:val="both"/>
      </w:pPr>
      <w:r>
        <w:rPr>
          <w:rFonts w:ascii="Barlow Semi Condensed" w:cs="Barlow Semi Condensed" w:eastAsia="Barlow Semi Condensed" w:hAnsi="Barlow Semi Condensed"/>
          <w:b/>
          <w:bCs/>
          <w:sz w:val="24"/>
          <w:szCs w:val="24"/>
        </w:rPr>
        <w:t xml:space="preserve">Quanto agli enunciati di fatto ivi contenuti — riferimenti a vicende, a rapporti, a circostanze — la collocazione va operata proposizione per proposizione, e non in blocco. Enunciati coerenti con documentazione indipendente si collocano al secondo grado; enunciati privi di riscontro indipendente e di interesse per i detentori si collocano al terzo.</w:t>
      </w:r>
    </w:p>
    <w:p>
      <w:pPr>
        <w:pStyle w:val="Heading2"/>
        <w:spacing w:after="100" w:before="200"/>
      </w:pPr>
      <w:r>
        <w:rPr>
          <w:rFonts w:ascii="Barlow Semi Condensed" w:cs="Barlow Semi Condensed" w:eastAsia="Barlow Semi Condensed" w:hAnsi="Barlow Semi Condensed"/>
          <w:sz w:val="24"/>
          <w:szCs w:val="24"/>
        </w:rPr>
        <w:t xml:space="preserve">La regola d'uso e la sua severità</w:t>
      </w:r>
    </w:p>
    <w:p>
      <w:pPr>
        <w:spacing w:after="120" w:line="276"/>
        <w:jc w:val="both"/>
      </w:pPr>
      <w:r>
        <w:rPr>
          <w:rFonts w:ascii="Barlow Semi Condensed" w:cs="Barlow Semi Condensed" w:eastAsia="Barlow Semi Condensed" w:hAnsi="Barlow Semi Condensed"/>
          <w:b/>
          <w:bCs/>
          <w:sz w:val="24"/>
          <w:szCs w:val="24"/>
        </w:rPr>
        <w:t xml:space="preserve">Si applica qui, con particolare rigore, la regola generale enunciata nel Capitolo trentunesimo: nessun enunciato delle carte è impiegato come prova di un fatto esterno senza riscontro indipendente.</w:t>
      </w:r>
    </w:p>
    <w:p>
      <w:pPr>
        <w:spacing w:after="120" w:line="276"/>
        <w:jc w:val="both"/>
      </w:pPr>
      <w:r>
        <w:rPr>
          <w:rFonts w:ascii="Barlow Semi Condensed" w:cs="Barlow Semi Condensed" w:eastAsia="Barlow Semi Condensed" w:hAnsi="Barlow Semi Condensed"/>
          <w:b/>
          <w:bCs/>
          <w:sz w:val="24"/>
          <w:szCs w:val="24"/>
        </w:rPr>
        <w:t xml:space="preserve">La severità è motivata dalla natura della fonte. Il memoriale è, dal punto di vista formale, una dichiarazione resa da persona sottoposta a costrizione in risposta a domande dei costrittori. Nessun ordinamento tratterebbe una dichiarazione siffatta come prova autosufficiente di fatti esterni, e nessun registro deve farlo.</w:t>
      </w:r>
    </w:p>
    <w:p>
      <w:pPr>
        <w:spacing w:after="120" w:line="276"/>
        <w:jc w:val="both"/>
      </w:pPr>
      <w:r>
        <w:rPr>
          <w:rFonts w:ascii="Barlow Semi Condensed" w:cs="Barlow Semi Condensed" w:eastAsia="Barlow Semi Condensed" w:hAnsi="Barlow Semi Condensed"/>
          <w:b/>
          <w:bCs/>
          <w:sz w:val="24"/>
          <w:szCs w:val="24"/>
        </w:rPr>
        <w:t xml:space="preserve">Ne segue che gli enunciati del memoriale relativi a vicende della vita politica italiana valgono, in quest'opera, come indicazione di ricerca e non come accertamento. Essi indicano dove guardare; il guardare va fatto altrove.</w:t>
      </w:r>
    </w:p>
    <w:p>
      <w:pPr>
        <w:spacing w:after="120" w:line="276"/>
        <w:jc w:val="both"/>
      </w:pPr>
      <w:r>
        <w:rPr>
          <w:rFonts w:ascii="Barlow Semi Condensed" w:cs="Barlow Semi Condensed" w:eastAsia="Barlow Semi Condensed" w:hAnsi="Barlow Semi Condensed"/>
          <w:b/>
          <w:bCs/>
          <w:sz w:val="24"/>
          <w:szCs w:val="24"/>
        </w:rPr>
        <w:t xml:space="preserve">Questa disposizione esclude dall'uso probatorio diretto le proposizioni del memoriale che sono state più frequentemente citate. Si conferma la disposizione e se ne dichiara la conseguenza: quest'opera non certifica alcun fatto esterno sulla sola base del memoriale.</w:t>
      </w:r>
    </w:p>
    <w:p>
      <w:pPr>
        <w:pStyle w:val="Heading2"/>
        <w:spacing w:after="100" w:before="200"/>
      </w:pPr>
      <w:r>
        <w:rPr>
          <w:rFonts w:ascii="Barlow Semi Condensed" w:cs="Barlow Semi Condensed" w:eastAsia="Barlow Semi Condensed" w:hAnsi="Barlow Semi Condensed"/>
          <w:sz w:val="24"/>
          <w:szCs w:val="24"/>
        </w:rPr>
        <w:t xml:space="preserve">Un elemento che invece rileva</w:t>
      </w:r>
    </w:p>
    <w:p>
      <w:pPr>
        <w:spacing w:after="120" w:line="276"/>
        <w:jc w:val="both"/>
      </w:pPr>
      <w:r>
        <w:rPr>
          <w:rFonts w:ascii="Barlow Semi Condensed" w:cs="Barlow Semi Condensed" w:eastAsia="Barlow Semi Condensed" w:hAnsi="Barlow Semi Condensed"/>
          <w:b/>
          <w:bCs/>
          <w:sz w:val="24"/>
          <w:szCs w:val="24"/>
        </w:rPr>
        <w:t xml:space="preserve">Vi è però un elemento del memoriale che rileva pienamente e senza le restrizioni predette, ed è di natura diversa dal contenuto.</w:t>
      </w:r>
    </w:p>
    <w:p>
      <w:pPr>
        <w:spacing w:after="120" w:line="276"/>
        <w:jc w:val="both"/>
      </w:pPr>
      <w:r>
        <w:rPr>
          <w:rFonts w:ascii="Barlow Semi Condensed" w:cs="Barlow Semi Condensed" w:eastAsia="Barlow Semi Condensed" w:hAnsi="Barlow Semi Condensed"/>
          <w:b/>
          <w:bCs/>
          <w:sz w:val="24"/>
          <w:szCs w:val="24"/>
        </w:rPr>
        <w:t xml:space="preserve">Esso riguarda ciò che il materiale attesta circa la conduzione della prigionia: che un interrogatorio fu condotto; che esso ebbe struttura e continuità; che vertette su determinate materie; che l'autore vi rispose in forma scritta ed estesa.</w:t>
      </w:r>
    </w:p>
    <w:p>
      <w:pPr>
        <w:spacing w:after="120" w:line="276"/>
        <w:jc w:val="both"/>
      </w:pPr>
      <w:r>
        <w:rPr>
          <w:rFonts w:ascii="Barlow Semi Condensed" w:cs="Barlow Semi Condensed" w:eastAsia="Barlow Semi Condensed" w:hAnsi="Barlow Semi Condensed"/>
          <w:b/>
          <w:bCs/>
          <w:sz w:val="24"/>
          <w:szCs w:val="24"/>
        </w:rPr>
        <w:t xml:space="preserve">Questi elementi non dipendono dalla veridicità di ciò che l'autore scrisse: dipendono dall'esistenza e dalla forma del materiale. Essi sono in stato di sciolto e sono utilizzabili senza restrizione, e appartengono alla ricostruzione materiale della prigionia più che alla ricostruzione del pensiero.</w:t>
      </w:r>
    </w:p>
    <w:p>
      <w:pPr>
        <w:pStyle w:val="Heading2"/>
        <w:spacing w:after="100" w:before="200"/>
      </w:pPr>
      <w:r>
        <w:rPr>
          <w:rFonts w:ascii="Barlow Semi Condensed" w:cs="Barlow Semi Condensed" w:eastAsia="Barlow Semi Condensed" w:hAnsi="Barlow Semi Condensed"/>
          <w:sz w:val="24"/>
          <w:szCs w:val="24"/>
        </w:rPr>
        <w:t xml:space="preserve">Capitolo trentottesimo — I due rinvenimenti e il problema della completezza</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b/>
          <w:bCs/>
          <w:sz w:val="24"/>
          <w:szCs w:val="24"/>
        </w:rPr>
        <w:t xml:space="preserve">Nell'ottobre del 1978 fu individuata, a Milano, una base dell'organizzazione, e vi fu rinvenuto materiale riferibile alla prigionia, comprendente riproduzioni di scritti dell'autore.</w:t>
      </w:r>
    </w:p>
    <w:p>
      <w:pPr>
        <w:spacing w:after="120" w:line="276"/>
        <w:jc w:val="both"/>
      </w:pPr>
      <w:r>
        <w:rPr>
          <w:rFonts w:ascii="Barlow Semi Condensed" w:cs="Barlow Semi Condensed" w:eastAsia="Barlow Semi Condensed" w:hAnsi="Barlow Semi Condensed"/>
          <w:b/>
          <w:bCs/>
          <w:sz w:val="24"/>
          <w:szCs w:val="24"/>
        </w:rPr>
        <w:t xml:space="preserve">Nell'ottobre del 1990, nel corso di lavori edilizi eseguiti nel medesimo immobile, fu effettuato un secondo rinvenimento: ulteriori documenti, che si trovavano collocati in una intercapedine, e che non erano stati reperiti nella prima operazione.</w:t>
      </w:r>
    </w:p>
    <w:p>
      <w:pPr>
        <w:spacing w:after="120" w:line="276"/>
        <w:jc w:val="both"/>
      </w:pPr>
      <w:r>
        <w:rPr>
          <w:rFonts w:ascii="Barlow Semi Condensed" w:cs="Barlow Semi Condensed" w:eastAsia="Barlow Semi Condensed" w:hAnsi="Barlow Semi Condensed"/>
          <w:b/>
          <w:bCs/>
          <w:sz w:val="24"/>
          <w:szCs w:val="24"/>
        </w:rPr>
        <w:t xml:space="preserve">Entrambi i rinvenimenti sono accertati. La distanza fra essi è di dodici anni.</w:t>
      </w:r>
    </w:p>
    <w:p>
      <w:pPr>
        <w:pStyle w:val="Heading2"/>
        <w:spacing w:after="100" w:before="200"/>
      </w:pPr>
      <w:r>
        <w:rPr>
          <w:rFonts w:ascii="Barlow Semi Condensed" w:cs="Barlow Semi Condensed" w:eastAsia="Barlow Semi Condensed" w:hAnsi="Barlow Semi Condensed"/>
          <w:sz w:val="24"/>
          <w:szCs w:val="24"/>
        </w:rPr>
        <w:t xml:space="preserve">La conseguenza necessaria</w:t>
      </w:r>
    </w:p>
    <w:p>
      <w:pPr>
        <w:spacing w:after="120" w:line="276"/>
        <w:jc w:val="both"/>
      </w:pPr>
      <w:r>
        <w:rPr>
          <w:rFonts w:ascii="Barlow Semi Condensed" w:cs="Barlow Semi Condensed" w:eastAsia="Barlow Semi Condensed" w:hAnsi="Barlow Semi Condensed"/>
          <w:b/>
          <w:bCs/>
          <w:sz w:val="24"/>
          <w:szCs w:val="24"/>
        </w:rPr>
        <w:t xml:space="preserve">Da questi fatti discende una conseguenza che non richiede alcuna ipotesi ulteriore e che va enunciata come tale: la prima operazione non fu esaustiva. Ciò è dimostrato dalla seconda, e non è materia di opinione.</w:t>
      </w:r>
    </w:p>
    <w:p>
      <w:pPr>
        <w:spacing w:after="120" w:line="276"/>
        <w:jc w:val="both"/>
      </w:pPr>
      <w:r>
        <w:rPr>
          <w:rFonts w:ascii="Barlow Semi Condensed" w:cs="Barlow Semi Condensed" w:eastAsia="Barlow Semi Condensed" w:hAnsi="Barlow Semi Condensed"/>
          <w:b/>
          <w:bCs/>
          <w:sz w:val="24"/>
          <w:szCs w:val="24"/>
        </w:rPr>
        <w:t xml:space="preserve">Quest'opera appone a tale accertamento un marcatore permanente, già introdotto nel Capitolo ventinovesimo e qui confermato nella sua sede propria.</w:t>
      </w:r>
    </w:p>
    <w:p>
      <w:pPr>
        <w:spacing w:after="120" w:line="276"/>
        <w:jc w:val="both"/>
      </w:pPr>
      <w:r>
        <w:rPr>
          <w:rFonts w:ascii="Barlow Semi Condensed" w:cs="Barlow Semi Condensed" w:eastAsia="Barlow Semi Condensed" w:hAnsi="Barlow Semi Condensed"/>
          <w:b/>
          <w:bCs/>
          <w:sz w:val="24"/>
          <w:szCs w:val="24"/>
        </w:rPr>
        <w:t xml:space="preserve">Il marcatore ha due proprietà.</w:t>
      </w:r>
    </w:p>
    <w:p>
      <w:pPr>
        <w:spacing w:after="120" w:line="276"/>
        <w:jc w:val="both"/>
      </w:pPr>
      <w:r>
        <w:rPr>
          <w:rFonts w:ascii="Barlow Semi Condensed" w:cs="Barlow Semi Condensed" w:eastAsia="Barlow Semi Condensed" w:hAnsi="Barlow Semi Condensed"/>
          <w:b/>
          <w:bCs/>
          <w:sz w:val="24"/>
          <w:szCs w:val="24"/>
        </w:rPr>
        <w:t xml:space="preserve">Prima proprietà: esso è delimitato. Esso attesta l'incompletezza della prima operazione in quel luogo, e nulla oltre. Non si estende ad altre operazioni, non qualifica la condotta di chi la condusse, non attribuisce responsabilità.</w:t>
      </w:r>
    </w:p>
    <w:p>
      <w:pPr>
        <w:spacing w:after="120" w:line="276"/>
        <w:jc w:val="both"/>
      </w:pPr>
      <w:r>
        <w:rPr>
          <w:rFonts w:ascii="Barlow Semi Condensed" w:cs="Barlow Semi Condensed" w:eastAsia="Barlow Semi Condensed" w:hAnsi="Barlow Semi Condensed"/>
          <w:b/>
          <w:bCs/>
          <w:sz w:val="24"/>
          <w:szCs w:val="24"/>
        </w:rPr>
        <w:t xml:space="preserve">Seconda proprietà: esso non si rimuove. Nessuna dichiarazione successiva, di chiunque provenga e quale che ne sia il contenuto, può ripristinare la presunzione di completezza di una ricerca della cui incompletezza esiste prova materiale. Un accertamento negativo di questo genere è irreversibile per la natura stessa della prova che lo sostiene.</w:t>
      </w:r>
    </w:p>
    <w:p>
      <w:pPr>
        <w:pStyle w:val="Heading2"/>
        <w:spacing w:after="100" w:before="200"/>
      </w:pPr>
      <w:r>
        <w:rPr>
          <w:rFonts w:ascii="Barlow Semi Condensed" w:cs="Barlow Semi Condensed" w:eastAsia="Barlow Semi Condensed" w:hAnsi="Barlow Semi Condensed"/>
          <w:sz w:val="24"/>
          <w:szCs w:val="24"/>
        </w:rPr>
        <w:t xml:space="preserve">Le tre spiegazioni possibili e il loro statuto</w:t>
      </w:r>
    </w:p>
    <w:p>
      <w:pPr>
        <w:spacing w:after="120" w:line="276"/>
        <w:jc w:val="both"/>
      </w:pPr>
      <w:r>
        <w:rPr>
          <w:rFonts w:ascii="Barlow Semi Condensed" w:cs="Barlow Semi Condensed" w:eastAsia="Barlow Semi Condensed" w:hAnsi="Barlow Semi Condensed"/>
          <w:b/>
          <w:bCs/>
          <w:sz w:val="24"/>
          <w:szCs w:val="24"/>
        </w:rPr>
        <w:t xml:space="preserve">L'incompletezza è accertata; la sua causa non lo è. Tre spiegazioni sono possibili e nessuna è, allo stato, accertata.</w:t>
      </w:r>
    </w:p>
    <w:p>
      <w:pPr>
        <w:spacing w:after="120" w:line="276"/>
        <w:jc w:val="both"/>
      </w:pPr>
      <w:r>
        <w:rPr>
          <w:rFonts w:ascii="Barlow Semi Condensed" w:cs="Barlow Semi Condensed" w:eastAsia="Barlow Semi Condensed" w:hAnsi="Barlow Semi Condensed"/>
          <w:b/>
          <w:bCs/>
          <w:sz w:val="24"/>
          <w:szCs w:val="24"/>
        </w:rPr>
        <w:t xml:space="preserve">Prima: limite tecnico. Gli strumenti e le modalità della prima ricerca non consentirono di rilevare una intercapedine.</w:t>
      </w:r>
    </w:p>
    <w:p>
      <w:pPr>
        <w:spacing w:after="120" w:line="276"/>
        <w:jc w:val="both"/>
      </w:pPr>
      <w:r>
        <w:rPr>
          <w:rFonts w:ascii="Barlow Semi Condensed" w:cs="Barlow Semi Condensed" w:eastAsia="Barlow Semi Condensed" w:hAnsi="Barlow Semi Condensed"/>
          <w:b/>
          <w:bCs/>
          <w:sz w:val="24"/>
          <w:szCs w:val="24"/>
        </w:rPr>
        <w:t xml:space="preserve">Seconda: limite di conduzione. La ricerca fu condotta con criteri che non prevedevano l'esame delle strutture murarie.</w:t>
      </w:r>
    </w:p>
    <w:p>
      <w:pPr>
        <w:spacing w:after="120" w:line="276"/>
        <w:jc w:val="both"/>
      </w:pPr>
      <w:r>
        <w:rPr>
          <w:rFonts w:ascii="Barlow Semi Condensed" w:cs="Barlow Semi Condensed" w:eastAsia="Barlow Semi Condensed" w:hAnsi="Barlow Semi Condensed"/>
          <w:b/>
          <w:bCs/>
          <w:sz w:val="24"/>
          <w:szCs w:val="24"/>
        </w:rPr>
        <w:t xml:space="preserve">Terza: condotta deliberata. Il materiale fu rilevato e non acquisito.</w:t>
      </w:r>
    </w:p>
    <w:p>
      <w:pPr>
        <w:spacing w:after="120" w:line="276"/>
        <w:jc w:val="both"/>
      </w:pPr>
      <w:r>
        <w:rPr>
          <w:rFonts w:ascii="Barlow Semi Condensed" w:cs="Barlow Semi Condensed" w:eastAsia="Barlow Semi Condensed" w:hAnsi="Barlow Semi Condensed"/>
          <w:b/>
          <w:bCs/>
          <w:sz w:val="24"/>
          <w:szCs w:val="24"/>
        </w:rPr>
        <w:t xml:space="preserve">Quest'opera non sceglie. Registra le tre e indica la condizione di scioglimento: la documentazione contemporanea della prima operazione — verbali, rilievi, descrizione delle modalità e degli strumenti impiegati — confrontata con quella della seconda.</w:t>
      </w:r>
    </w:p>
    <w:p>
      <w:pPr>
        <w:spacing w:after="120" w:line="276"/>
        <w:jc w:val="both"/>
      </w:pPr>
      <w:r>
        <w:rPr>
          <w:rFonts w:ascii="Barlow Semi Condensed" w:cs="Barlow Semi Condensed" w:eastAsia="Barlow Semi Condensed" w:hAnsi="Barlow Semi Condensed"/>
          <w:b/>
          <w:bCs/>
          <w:sz w:val="24"/>
          <w:szCs w:val="24"/>
        </w:rPr>
        <w:t xml:space="preserve">Si segnala, perché appartiene alla disciplina degli Stati Zero, che tale documentazione non è stata acquisita nella presente campagna, e che la sua acquisizione è iscritta in tavola.</w:t>
      </w:r>
    </w:p>
    <w:p>
      <w:pPr>
        <w:pStyle w:val="Heading2"/>
        <w:spacing w:after="100" w:before="200"/>
      </w:pPr>
      <w:r>
        <w:rPr>
          <w:rFonts w:ascii="Barlow Semi Condensed" w:cs="Barlow Semi Condensed" w:eastAsia="Barlow Semi Condensed" w:hAnsi="Barlow Semi Condensed"/>
          <w:sz w:val="24"/>
          <w:szCs w:val="24"/>
        </w:rPr>
        <w:t xml:space="preserve">La conseguenza generale sul corpus</w:t>
      </w:r>
    </w:p>
    <w:p>
      <w:pPr>
        <w:spacing w:after="120" w:line="276"/>
        <w:jc w:val="both"/>
      </w:pPr>
      <w:r>
        <w:rPr>
          <w:rFonts w:ascii="Barlow Semi Condensed" w:cs="Barlow Semi Condensed" w:eastAsia="Barlow Semi Condensed" w:hAnsi="Barlow Semi Condensed"/>
          <w:b/>
          <w:bCs/>
          <w:sz w:val="24"/>
          <w:szCs w:val="24"/>
        </w:rPr>
        <w:t xml:space="preserve">Vi è infine una conseguenza che eccede il singolo episodio e che governa l'intera valutazione delle carte.</w:t>
      </w:r>
    </w:p>
    <w:p>
      <w:pPr>
        <w:spacing w:after="120" w:line="276"/>
        <w:jc w:val="both"/>
      </w:pPr>
      <w:r>
        <w:rPr>
          <w:rFonts w:ascii="Barlow Semi Condensed" w:cs="Barlow Semi Condensed" w:eastAsia="Barlow Semi Condensed" w:hAnsi="Barlow Semi Condensed"/>
          <w:b/>
          <w:bCs/>
          <w:sz w:val="24"/>
          <w:szCs w:val="24"/>
        </w:rPr>
        <w:t xml:space="preserve">Se un rinvenimento documentale relativo a questa vicenda si è rivelato incompleto dopo dodici anni, la completezza del corpus complessivamente disponibile non può essere presunta. Ciò non significa che manchi qualcosa: significa che non si può affermare che nulla manchi.</w:t>
      </w:r>
    </w:p>
    <w:p>
      <w:pPr>
        <w:spacing w:after="120" w:line="276"/>
        <w:jc w:val="both"/>
      </w:pPr>
      <w:r>
        <w:rPr>
          <w:rFonts w:ascii="Barlow Semi Condensed" w:cs="Barlow Semi Condensed" w:eastAsia="Barlow Semi Condensed" w:hAnsi="Barlow Semi Condensed"/>
          <w:b/>
          <w:bCs/>
          <w:sz w:val="24"/>
          <w:szCs w:val="24"/>
        </w:rPr>
        <w:t xml:space="preserve">La distinzione è capitale per gli argomenti fondati sul silenzio delle carte. Il Capitolo trentaquattresimo ha già dichiarato inammissibile ogni argomentazione fondata su ciò che nelle carte non si trova; questo Capitolo ne fornisce la ragione materiale, oltre a quella logica: non è accertato che il corpus disponibile sia il corpus esistente.</w:t>
      </w:r>
    </w:p>
    <w:p>
      <w:pPr>
        <w:pStyle w:val="Heading2"/>
        <w:spacing w:after="100" w:before="200"/>
      </w:pPr>
      <w:r>
        <w:rPr>
          <w:rFonts w:ascii="Barlow Semi Condensed" w:cs="Barlow Semi Condensed" w:eastAsia="Barlow Semi Condensed" w:hAnsi="Barlow Semi Condensed"/>
          <w:sz w:val="24"/>
          <w:szCs w:val="24"/>
        </w:rPr>
        <w:t xml:space="preserve">Capitolo trentanovesimo — Ciò che le carte provano e ciò che non provano</w:t>
      </w:r>
    </w:p>
    <w:p>
      <w:pPr>
        <w:spacing w:after="120" w:line="276"/>
        <w:jc w:val="both"/>
      </w:pPr>
      <w:r>
        <w:rPr>
          <w:rFonts w:ascii="Barlow Semi Condensed" w:cs="Barlow Semi Condensed" w:eastAsia="Barlow Semi Condensed" w:hAnsi="Barlow Semi Condensed"/>
          <w:b/>
          <w:bCs/>
          <w:sz w:val="24"/>
          <w:szCs w:val="24"/>
        </w:rPr>
        <w:t xml:space="preserve">Si tira qui il bilancio dell'uso, distinguendo per classi e per gradi.</w:t>
      </w:r>
    </w:p>
    <w:p>
      <w:pPr>
        <w:pStyle w:val="Heading2"/>
        <w:spacing w:after="100" w:before="200"/>
      </w:pPr>
      <w:r>
        <w:rPr>
          <w:rFonts w:ascii="Barlow Semi Condensed" w:cs="Barlow Semi Condensed" w:eastAsia="Barlow Semi Condensed" w:hAnsi="Barlow Semi Condensed"/>
          <w:sz w:val="24"/>
          <w:szCs w:val="24"/>
        </w:rPr>
        <w:t xml:space="preserve">Ciò che le carte provano</w:t>
      </w:r>
    </w:p>
    <w:p>
      <w:pPr>
        <w:spacing w:after="120" w:line="276"/>
        <w:jc w:val="both"/>
      </w:pPr>
      <w:r>
        <w:rPr>
          <w:rFonts w:ascii="Barlow Semi Condensed" w:cs="Barlow Semi Condensed" w:eastAsia="Barlow Semi Condensed" w:hAnsi="Barlow Semi Condensed"/>
          <w:b/>
          <w:bCs/>
          <w:sz w:val="24"/>
          <w:szCs w:val="24"/>
        </w:rPr>
        <w:t xml:space="preserve">Le carte provano, in stato di sciolto, un insieme di fatti che riguardano la loro stessa esistenza e circolazione, e che non dipendono dalla veridicità di ciò che contengono.</w:t>
      </w:r>
    </w:p>
    <w:p>
      <w:pPr>
        <w:spacing w:after="120" w:line="276"/>
        <w:jc w:val="both"/>
      </w:pPr>
      <w:r>
        <w:rPr>
          <w:rFonts w:ascii="Barlow Semi Condensed" w:cs="Barlow Semi Condensed" w:eastAsia="Barlow Semi Condensed" w:hAnsi="Barlow Semi Condensed"/>
          <w:b/>
          <w:bCs/>
          <w:sz w:val="24"/>
          <w:szCs w:val="24"/>
        </w:rPr>
        <w:t xml:space="preserve">Provano che l'autore fu mantenuto in vita per l'intero periodo e in condizioni che gli consentivano di scrivere in forma articolata ed estesa.</w:t>
      </w:r>
    </w:p>
    <w:p>
      <w:pPr>
        <w:spacing w:after="120" w:line="276"/>
        <w:jc w:val="both"/>
      </w:pPr>
      <w:r>
        <w:rPr>
          <w:rFonts w:ascii="Barlow Semi Condensed" w:cs="Barlow Semi Condensed" w:eastAsia="Barlow Semi Condensed" w:hAnsi="Barlow Semi Condensed"/>
          <w:b/>
          <w:bCs/>
          <w:sz w:val="24"/>
          <w:szCs w:val="24"/>
        </w:rPr>
        <w:t xml:space="preserve">Provano che gli fu consentito di scrivere ripetutamente e a destinatari diversi.</w:t>
      </w:r>
    </w:p>
    <w:p>
      <w:pPr>
        <w:spacing w:after="120" w:line="276"/>
        <w:jc w:val="both"/>
      </w:pPr>
      <w:r>
        <w:rPr>
          <w:rFonts w:ascii="Barlow Semi Condensed" w:cs="Barlow Semi Condensed" w:eastAsia="Barlow Semi Condensed" w:hAnsi="Barlow Semi Condensed"/>
          <w:b/>
          <w:bCs/>
          <w:sz w:val="24"/>
          <w:szCs w:val="24"/>
        </w:rPr>
        <w:t xml:space="preserve">Provano che la trasmissione degli scritti fu selettiva, essendovi scritti non trasmessi e rinvenuti in seguito.</w:t>
      </w:r>
    </w:p>
    <w:p>
      <w:pPr>
        <w:spacing w:after="120" w:line="276"/>
        <w:jc w:val="both"/>
      </w:pPr>
      <w:r>
        <w:rPr>
          <w:rFonts w:ascii="Barlow Semi Condensed" w:cs="Barlow Semi Condensed" w:eastAsia="Barlow Semi Condensed" w:hAnsi="Barlow Semi Condensed"/>
          <w:b/>
          <w:bCs/>
          <w:sz w:val="24"/>
          <w:szCs w:val="24"/>
        </w:rPr>
        <w:t xml:space="preserve">Provano che gli furono fornite informazioni sull'andamento delle vicende esterne.</w:t>
      </w:r>
    </w:p>
    <w:p>
      <w:pPr>
        <w:spacing w:after="120" w:line="276"/>
        <w:jc w:val="both"/>
      </w:pPr>
      <w:r>
        <w:rPr>
          <w:rFonts w:ascii="Barlow Semi Condensed" w:cs="Barlow Semi Condensed" w:eastAsia="Barlow Semi Condensed" w:hAnsi="Barlow Semi Condensed"/>
          <w:b/>
          <w:bCs/>
          <w:sz w:val="24"/>
          <w:szCs w:val="24"/>
        </w:rPr>
        <w:t xml:space="preserve">Provano che fu condotto su di lui un interrogatorio strutturato e continuativo, vertente su materie politiche e istituzionali.</w:t>
      </w:r>
    </w:p>
    <w:p>
      <w:pPr>
        <w:spacing w:after="120" w:line="276"/>
        <w:jc w:val="both"/>
      </w:pPr>
      <w:r>
        <w:rPr>
          <w:rFonts w:ascii="Barlow Semi Condensed" w:cs="Barlow Semi Condensed" w:eastAsia="Barlow Semi Condensed" w:hAnsi="Barlow Semi Condensed"/>
          <w:b/>
          <w:bCs/>
          <w:sz w:val="24"/>
          <w:szCs w:val="24"/>
        </w:rPr>
        <w:t xml:space="preserve">Provano, quanto agli enunciati del primo e secondo grado, ciò che l'autore espresse in materie prive di interesse specifico per i detentori.</w:t>
      </w:r>
    </w:p>
    <w:p>
      <w:pPr>
        <w:pStyle w:val="Heading2"/>
        <w:spacing w:after="100" w:before="200"/>
      </w:pPr>
      <w:r>
        <w:rPr>
          <w:rFonts w:ascii="Barlow Semi Condensed" w:cs="Barlow Semi Condensed" w:eastAsia="Barlow Semi Condensed" w:hAnsi="Barlow Semi Condensed"/>
          <w:sz w:val="24"/>
          <w:szCs w:val="24"/>
        </w:rPr>
        <w:t xml:space="preserve">Ciò che le carte non provano</w:t>
      </w:r>
    </w:p>
    <w:p>
      <w:pPr>
        <w:spacing w:after="120" w:line="276"/>
        <w:jc w:val="both"/>
      </w:pPr>
      <w:r>
        <w:rPr>
          <w:rFonts w:ascii="Barlow Semi Condensed" w:cs="Barlow Semi Condensed" w:eastAsia="Barlow Semi Condensed" w:hAnsi="Barlow Semi Condensed"/>
          <w:b/>
          <w:bCs/>
          <w:sz w:val="24"/>
          <w:szCs w:val="24"/>
        </w:rPr>
        <w:t xml:space="preserve">Non provano alcun fatto esterno alla prigionia, in assenza di riscontro indipendente. Ciò vale per la totalità degli enunciati del memoriale relativi a vicende della vita politica, quale che sia la loro plausibilità.</w:t>
      </w:r>
    </w:p>
    <w:p>
      <w:pPr>
        <w:spacing w:after="120" w:line="276"/>
        <w:jc w:val="both"/>
      </w:pPr>
      <w:r>
        <w:rPr>
          <w:rFonts w:ascii="Barlow Semi Condensed" w:cs="Barlow Semi Condensed" w:eastAsia="Barlow Semi Condensed" w:hAnsi="Barlow Semi Condensed"/>
          <w:b/>
          <w:bCs/>
          <w:sz w:val="24"/>
          <w:szCs w:val="24"/>
        </w:rPr>
        <w:t xml:space="preserve">Non provano che l'autore avesse mutato le proprie posizioni anteriori, né che le avesse conservate. Gli enunciati che sarebbero pertinenti a tale questione sono di terzo grado.</w:t>
      </w:r>
    </w:p>
    <w:p>
      <w:pPr>
        <w:spacing w:after="120" w:line="276"/>
        <w:jc w:val="both"/>
      </w:pPr>
      <w:r>
        <w:rPr>
          <w:rFonts w:ascii="Barlow Semi Condensed" w:cs="Barlow Semi Condensed" w:eastAsia="Barlow Semi Condensed" w:hAnsi="Barlow Semi Condensed"/>
          <w:b/>
          <w:bCs/>
          <w:sz w:val="24"/>
          <w:szCs w:val="24"/>
        </w:rPr>
        <w:t xml:space="preserve">Non provano alcunché circa la correttezza o l'erroneità della linea che prevalse nelle sedi di governo. La fonte non sostiene né contraddice quel giudizio.</w:t>
      </w:r>
    </w:p>
    <w:p>
      <w:pPr>
        <w:spacing w:after="120" w:line="276"/>
        <w:jc w:val="both"/>
      </w:pPr>
      <w:r>
        <w:rPr>
          <w:rFonts w:ascii="Barlow Semi Condensed" w:cs="Barlow Semi Condensed" w:eastAsia="Barlow Semi Condensed" w:hAnsi="Barlow Semi Condensed"/>
          <w:b/>
          <w:bCs/>
          <w:sz w:val="24"/>
          <w:szCs w:val="24"/>
        </w:rPr>
        <w:t xml:space="preserve">Non provano nulla per ciò che in esse non si trova. Ogni argomentazione fondata sul silenzio delle carte è inammissibile, per la ragione logica del Capitolo trentaquattresimo e per la ragione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Il risultato principale della Fase</w:t>
      </w:r>
    </w:p>
    <w:p>
      <w:pPr>
        <w:spacing w:after="120" w:line="276"/>
        <w:jc w:val="both"/>
      </w:pPr>
      <w:r>
        <w:rPr>
          <w:rFonts w:ascii="Barlow Semi Condensed" w:cs="Barlow Semi Condensed" w:eastAsia="Barlow Semi Condensed" w:hAnsi="Barlow Semi Condensed"/>
          <w:b/>
          <w:bCs/>
          <w:sz w:val="24"/>
          <w:szCs w:val="24"/>
        </w:rPr>
        <w:t xml:space="preserve">Il risultato principale di questa Fase è di natura restrittiva, e conviene dichiararlo come tale senza presentarlo come una conquista.</w:t>
      </w:r>
    </w:p>
    <w:p>
      <w:pPr>
        <w:spacing w:after="120" w:line="276"/>
        <w:jc w:val="both"/>
      </w:pPr>
      <w:r>
        <w:rPr>
          <w:rFonts w:ascii="Barlow Semi Condensed" w:cs="Barlow Semi Condensed" w:eastAsia="Barlow Semi Condensed" w:hAnsi="Barlow Semi Condensed"/>
          <w:b/>
          <w:bCs/>
          <w:sz w:val="24"/>
          <w:szCs w:val="24"/>
        </w:rPr>
        <w:t xml:space="preserve">La Fase ha escluso dall'uso probatorio diretto la parte del corpus sulla quale si è discusso di più. Ha stabilito che le lettere politiche e il memoriale, che sono le carte più citate, non provano fatti esterni; e che le carte che provano qualcosa senza restrizione sono quelle che provano fatti relativi alla conduzione della prigionia.</w:t>
      </w:r>
    </w:p>
    <w:p>
      <w:pPr>
        <w:spacing w:after="120" w:line="276"/>
        <w:jc w:val="both"/>
      </w:pPr>
      <w:r>
        <w:rPr>
          <w:rFonts w:ascii="Barlow Semi Condensed" w:cs="Barlow Semi Condensed" w:eastAsia="Barlow Semi Condensed" w:hAnsi="Barlow Semi Condensed"/>
          <w:b/>
          <w:bCs/>
          <w:sz w:val="24"/>
          <w:szCs w:val="24"/>
        </w:rPr>
        <w:t xml:space="preserve">Vi è in ciò un rovesciamento rispetto all'uso corrente, e va nominato. L'uso corrente impiega le carte per stabilire che cosa Moro pensasse e che cosa sapesse. Quest'opera stabilisce che per tale uso esse sono, in larga parte, inservibili; e che sono invece pienamente servibili per stabilire come fu condotta la prigionia — materia sulla quale sono raramente interrogate.</w:t>
      </w:r>
    </w:p>
    <w:p>
      <w:pPr>
        <w:spacing w:after="120" w:line="276"/>
        <w:jc w:val="both"/>
      </w:pPr>
      <w:r>
        <w:rPr>
          <w:rFonts w:ascii="Barlow Semi Condensed" w:cs="Barlow Semi Condensed" w:eastAsia="Barlow Semi Condensed" w:hAnsi="Barlow Semi Condensed"/>
          <w:b/>
          <w:bCs/>
          <w:sz w:val="24"/>
          <w:szCs w:val="24"/>
        </w:rPr>
        <w:t xml:space="preserve">La fonte è dunque ricca là dove non la si interroga e povera là dove la si interroga. È un esito frequente nel lavoro documentale, ed è quasi sempre il segno che la domanda posta alla fonte non era la domanda che quella fonte poteva soddisfare.</w:t>
      </w:r>
    </w:p>
    <w:p>
      <w:pPr>
        <w:pStyle w:val="Heading2"/>
        <w:spacing w:after="100" w:before="200"/>
      </w:pPr>
      <w:r>
        <w:rPr>
          <w:rFonts w:ascii="Barlow Semi Condensed" w:cs="Barlow Semi Condensed" w:eastAsia="Barlow Semi Condensed" w:hAnsi="Barlow Semi Condensed"/>
          <w:sz w:val="24"/>
          <w:szCs w:val="24"/>
        </w:rPr>
        <w:t xml:space="preserve">Capitolo quarantesimo — Bilancio della Fase Quarta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le carte sono materialmente autentiche.</w:t>
      </w:r>
    </w:p>
    <w:p>
      <w:pPr>
        <w:spacing w:after="120" w:line="276"/>
        <w:jc w:val="both"/>
      </w:pPr>
      <w:r>
        <w:rPr>
          <w:rFonts w:ascii="Barlow Semi Condensed" w:cs="Barlow Semi Condensed" w:eastAsia="Barlow Semi Condensed" w:hAnsi="Barlow Semi Condensed"/>
          <w:b/>
          <w:bCs/>
          <w:sz w:val="24"/>
          <w:szCs w:val="24"/>
        </w:rPr>
        <w:t xml:space="preserve">È accertato che esse si ripartiscono in tre classi — scritti recapitati, scritti non recapitati e rinvenuti dopo, materiale non epistolare — e che le classi hanno statuti probatori distinti.</w:t>
      </w:r>
    </w:p>
    <w:p>
      <w:pPr>
        <w:spacing w:after="120" w:line="276"/>
        <w:jc w:val="both"/>
      </w:pPr>
      <w:r>
        <w:rPr>
          <w:rFonts w:ascii="Barlow Semi Condensed" w:cs="Barlow Semi Condensed" w:eastAsia="Barlow Semi Condensed" w:hAnsi="Barlow Semi Condensed"/>
          <w:b/>
          <w:bCs/>
          <w:sz w:val="24"/>
          <w:szCs w:val="24"/>
        </w:rPr>
        <w:t xml:space="preserve">È accertato che la trasmissione fu selettiva, e che coloro i quali valutarono le lettere durante i cinquantacinque giorni operarono su un corpus selezionato da chi deteneva l'autore, ignorando quale parte fosse stata sottratta.</w:t>
      </w:r>
    </w:p>
    <w:p>
      <w:pPr>
        <w:spacing w:after="120" w:line="276"/>
        <w:jc w:val="both"/>
      </w:pPr>
      <w:r>
        <w:rPr>
          <w:rFonts w:ascii="Barlow Semi Condensed" w:cs="Barlow Semi Condensed" w:eastAsia="Barlow Semi Condensed" w:hAnsi="Barlow Semi Condensed"/>
          <w:b/>
          <w:bCs/>
          <w:sz w:val="24"/>
          <w:szCs w:val="24"/>
        </w:rPr>
        <w:t xml:space="preserve">È accertato che fu condotto sull'autore un interrogatorio strutturato e continuativo, e che il materiale non epistolare ne costituisce in misura considerevole la risposta.</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di Milano non fu esaustivo, e che l'incompletezza è dimostrata dal rinvenimento successivo di dodici anni dopo.</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b/>
          <w:bCs/>
          <w:sz w:val="24"/>
          <w:szCs w:val="24"/>
        </w:rPr>
        <w:t xml:space="preserve">Resta in stato di dubbio la causa dell'incompletezza del primo rinvenimento, con tre spiegazioni aperte e condizione di scioglimento indicata.</w:t>
      </w:r>
    </w:p>
    <w:p>
      <w:pPr>
        <w:spacing w:after="120" w:line="276"/>
        <w:jc w:val="both"/>
      </w:pPr>
      <w:r>
        <w:rPr>
          <w:rFonts w:ascii="Barlow Semi Condensed" w:cs="Barlow Semi Condensed" w:eastAsia="Barlow Semi Condensed" w:hAnsi="Barlow Semi Condensed"/>
          <w:b/>
          <w:bCs/>
          <w:sz w:val="24"/>
          <w:szCs w:val="24"/>
        </w:rPr>
        <w:t xml:space="preserve">Resta in stato di dubbio la completezza del corpus complessivamente disponibile, che non può essere presunta.</w:t>
      </w:r>
    </w:p>
    <w:p>
      <w:pPr>
        <w:spacing w:after="120" w:line="276"/>
        <w:jc w:val="both"/>
      </w:pPr>
      <w:r>
        <w:rPr>
          <w:rFonts w:ascii="Barlow Semi Condensed" w:cs="Barlow Semi Condensed" w:eastAsia="Barlow Semi Condensed" w:hAnsi="Barlow Semi Condensed"/>
          <w:b/>
          <w:bCs/>
          <w:sz w:val="24"/>
          <w:szCs w:val="24"/>
        </w:rPr>
        <w:t xml:space="preserve">Resta in stato di dubbio, e vi resterà, ogni proposizione relativa a ciò che l'autore pensava e non scrisse.</w:t>
      </w:r>
    </w:p>
    <w:p>
      <w:pPr>
        <w:pStyle w:val="Heading2"/>
        <w:spacing w:after="100" w:before="200"/>
      </w:pPr>
      <w:r>
        <w:rPr>
          <w:rFonts w:ascii="Barlow Semi Condensed" w:cs="Barlow Semi Condensed" w:eastAsia="Barlow Semi Condensed" w:hAnsi="Barlow Semi Condensed"/>
          <w:sz w:val="24"/>
          <w:szCs w:val="24"/>
        </w:rPr>
        <w:t xml:space="preserve">Ciò che è escluso dall'uso</w:t>
      </w:r>
    </w:p>
    <w:p>
      <w:pPr>
        <w:spacing w:after="120" w:line="276"/>
        <w:jc w:val="both"/>
      </w:pPr>
      <w:r>
        <w:rPr>
          <w:rFonts w:ascii="Barlow Semi Condensed" w:cs="Barlow Semi Condensed" w:eastAsia="Barlow Semi Condensed" w:hAnsi="Barlow Semi Condensed"/>
          <w:b/>
          <w:bCs/>
          <w:sz w:val="24"/>
          <w:szCs w:val="24"/>
        </w:rPr>
        <w:t xml:space="preserve">Sono esclusi dall'uso probatorio diretto: gli enunciati del memoriale relativi a fatti esterni, in assenza di riscontro indipendente; gli enunciati di terzo grado delle lettere politiche, quanto alle convinzioni dell'autore; ogni argomentazione fondata sul silenzio delle carte.</w:t>
      </w:r>
    </w:p>
    <w:p>
      <w:pPr>
        <w:pStyle w:val="Heading2"/>
        <w:spacing w:after="100" w:before="200"/>
      </w:pPr>
      <w:r>
        <w:rPr>
          <w:rFonts w:ascii="Barlow Semi Condensed" w:cs="Barlow Semi Condensed" w:eastAsia="Barlow Semi Condensed" w:hAnsi="Barlow Semi Condensed"/>
          <w:sz w:val="24"/>
          <w:szCs w:val="24"/>
        </w:rPr>
        <w:t xml:space="preserve">Lo strumento istituito</w:t>
      </w:r>
    </w:p>
    <w:p>
      <w:pPr>
        <w:spacing w:after="120" w:line="276"/>
        <w:jc w:val="both"/>
      </w:pPr>
      <w:r>
        <w:rPr>
          <w:rFonts w:ascii="Barlow Semi Condensed" w:cs="Barlow Semi Condensed" w:eastAsia="Barlow Semi Condensed" w:hAnsi="Barlow Semi Condensed"/>
          <w:b/>
          <w:bCs/>
          <w:sz w:val="24"/>
          <w:szCs w:val="24"/>
        </w:rPr>
        <w:t xml:space="preserve">La Fase istituisce, per le Fasi successive e per le edizioni future, la scala del vincolo in quattro gradi, con la regola della sua applicazione per enunciato e non per documento, e con la dichiarazione dei suoi tre limiti.</w:t>
      </w:r>
    </w:p>
    <w:p>
      <w:pPr>
        <w:spacing w:after="120" w:line="276"/>
        <w:jc w:val="both"/>
      </w:pPr>
      <w:r>
        <w:rPr>
          <w:rFonts w:ascii="Barlow Semi Condensed" w:cs="Barlow Semi Condensed" w:eastAsia="Barlow Semi Condensed" w:hAnsi="Barlow Semi Condensed"/>
          <w:b/>
          <w:bCs/>
          <w:sz w:val="24"/>
          <w:szCs w:val="24"/>
        </w:rPr>
        <w:t xml:space="preserve">Se ne raccomanda l'applicazione, oltre che alle carte della prigionia, a ogni altra fonte dichiarativa resa in condizione di costrizione che l'opera dovesse incontrare, ivi comprese le dichiarazioni rese in stato di detenzione dalle persone coinvolte, delle quali le Fasi Terza e Sesta hanno segnalato il peso determinante nella ricostruzione.</w:t>
      </w:r>
    </w:p>
    <w:p>
      <w:pPr>
        <w:spacing w:after="120" w:line="276"/>
        <w:jc w:val="both"/>
      </w:pPr>
      <w:r>
        <w:rPr>
          <w:rFonts w:ascii="Barlow Semi Condensed" w:cs="Barlow Semi Condensed" w:eastAsia="Barlow Semi Condensed" w:hAnsi="Barlow Semi Condensed"/>
          <w:b/>
          <w:bCs/>
          <w:sz w:val="24"/>
          <w:szCs w:val="24"/>
        </w:rPr>
        <w:t xml:space="preserve">Quest'ultima raccomandazione ha una portata che va esplicitata. La Fase Terza ha accertato che una parte considerevole della ricostruzione del fatto poggia su dichiarazioni di persone coinvolte, rese in tempi successivi e con revisioni. Tali dichiarazioni sono anch'esse enunciati resi sotto vincolo, di natura diversa da quello della prigionia ma non per questo assente: chi dichiara mentre è sottoposto a procedimento, o mentre ne attende gli effetti, dichiara in condizione che incide sulla formulazione. La scala del vincolo va applicata anche a esse.</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b/>
          <w:bCs/>
          <w:sz w:val="24"/>
          <w:szCs w:val="24"/>
        </w:rPr>
        <w:t xml:space="preserve">Si consegna alla Fase Quinta l'accertamento del Capitolo trentottesimo: l'incompletezza del primo rinvenimento documentale, con il marcatore permanente e le tre spiegazioni aperte. È materia di omissione e vi sarà trattata.</w:t>
      </w:r>
    </w:p>
    <w:p>
      <w:pPr>
        <w:spacing w:after="120" w:line="276"/>
        <w:jc w:val="both"/>
      </w:pPr>
      <w:r>
        <w:rPr>
          <w:rFonts w:ascii="Barlow Semi Condensed" w:cs="Barlow Semi Condensed" w:eastAsia="Barlow Semi Condensed" w:hAnsi="Barlow Semi Condensed"/>
          <w:b/>
          <w:bCs/>
          <w:sz w:val="24"/>
          <w:szCs w:val="24"/>
        </w:rPr>
        <w:t xml:space="preserve">Si consegna alla Fase Sesta la raccomandazione di applicare la scala del vincolo alle dichiarazioni delle persone coinvolte, dalle quali dipende in misura preponderante l'attribuzione individuale delle condotte.</w:t>
      </w:r>
    </w:p>
    <w:p>
      <w:pPr>
        <w:spacing w:after="120" w:line="276"/>
        <w:jc w:val="both"/>
      </w:pPr>
      <w:r>
        <w:rPr>
          <w:rFonts w:ascii="Barlow Semi Condensed" w:cs="Barlow Semi Condensed" w:eastAsia="Barlow Semi Condensed" w:hAnsi="Barlow Semi Condensed"/>
          <w:b/>
          <w:bCs/>
          <w:sz w:val="24"/>
          <w:szCs w:val="24"/>
        </w:rPr>
        <w:t xml:space="preserve">Si consegna alla Fase Settima la questione delle volontà espresse dall'autore quanto alle proprie esequie, e la vicenda conseguente.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Quarta, le carte. Materia: statuto degli enunciati sotto vincolo, consistenza e vie di trasmissione, autenticità, scala del vincolo, classi documentali, memoriale, rinvenimenti.</w:t>
      </w:r>
    </w:p>
    <w:p>
      <w:pPr>
        <w:spacing w:after="120" w:line="276"/>
        <w:jc w:val="both"/>
      </w:pPr>
      <w:r>
        <w:rPr>
          <w:rFonts w:ascii="Barlow Semi Condensed" w:cs="Barlow Semi Condensed" w:eastAsia="Barlow Semi Condensed" w:hAnsi="Barlow Semi Condensed"/>
          <w:b/>
          <w:bCs/>
          <w:sz w:val="24"/>
          <w:szCs w:val="24"/>
        </w:rPr>
        <w:t xml:space="preserve">Esito: cinque acquisizioni in stato di sciolto; tre dubbi con condizioni di scioglimento indicate; tre classi di enunciati escluse dall'uso probatorio diretto; uno strumento istituito.</w:t>
      </w:r>
    </w:p>
    <w:p>
      <w:pPr>
        <w:spacing w:after="120" w:line="276"/>
        <w:jc w:val="both"/>
      </w:pPr>
      <w:r>
        <w:rPr>
          <w:rFonts w:ascii="Barlow Semi Condensed" w:cs="Barlow Semi Condensed" w:eastAsia="Barlow Semi Condensed" w:hAnsi="Barlow Semi Condensed"/>
          <w:b/>
          <w:bCs/>
          <w:sz w:val="24"/>
          <w:szCs w:val="24"/>
        </w:rPr>
        <w:t xml:space="preserve">Riga di esito nullo. La documentazione contemporanea della prima operazione di rinvenimento non è stata acquisita nella presente campagna, e la sua acquisizione è iscritta in tavola. Il silenzio su di essa non depone per alcuna delle tre spiegazioni.</w:t>
      </w:r>
    </w:p>
    <w:p>
      <w:pPr>
        <w:spacing w:after="120" w:line="276"/>
        <w:jc w:val="both"/>
      </w:pPr>
      <w:r>
        <w:rPr>
          <w:rFonts w:ascii="Barlow Semi Condensed" w:cs="Barlow Semi Condensed" w:eastAsia="Barlow Semi Condensed" w:hAnsi="Barlow Semi Condensed"/>
          <w:b/>
          <w:bCs/>
          <w:sz w:val="24"/>
          <w:szCs w:val="24"/>
        </w:rPr>
        <w:t xml:space="preserve">Riga di avvertenza. Quest'opera non ha riprodotto il testo delle carte, rinviando alle edizioni critiche. La scelta è motivata al Capitolo trentunesimo e non è di comodo: le carte di un uomo prigioniero sono state, in cinquant'anni, frammentate e contrapposte fino a consumarle, e un registro che le maneggiasse ancora una volta per estrarne frasi non renderebbe un servizio.</w:t>
      </w:r>
    </w:p>
    <w:p>
      <w:pPr>
        <w:pStyle w:val="Heading2"/>
        <w:spacing w:after="100" w:before="200"/>
      </w:pPr>
      <w:r>
        <w:rPr>
          <w:rFonts w:ascii="Barlow Semi Condensed" w:cs="Barlow Semi Condensed" w:eastAsia="Barlow Semi Condensed" w:hAnsi="Barlow Semi Condensed"/>
          <w:sz w:val="24"/>
          <w:szCs w:val="24"/>
        </w:rPr>
        <w:t xml:space="preserve">FASE QUINTA — LE OMISSIONI</w:t>
      </w:r>
    </w:p>
    <w:p>
      <w:pPr>
        <w:spacing w:after="120" w:line="276"/>
        <w:jc w:val="both"/>
      </w:pPr>
      <w:r>
        <w:rPr>
          <w:rFonts w:ascii="Barlow Semi Condensed" w:cs="Barlow Semi Condensed" w:eastAsia="Barlow Semi Condensed" w:hAnsi="Barlow Semi Condensed"/>
          <w:b/>
          <w:bCs/>
          <w:sz w:val="24"/>
          <w:szCs w:val="24"/>
        </w:rPr>
        <w:t xml:space="preserve">Dove si accerta, per ciascuna omissione, il dovere, l'inadempimento e la sua spiegabilita; e dove si stabiliscono le condizioni alle quali l'argomento dell'accumulo e valido.</w:t>
      </w:r>
    </w:p>
    <w:p>
      <w:pPr>
        <w:pStyle w:val="Heading2"/>
        <w:spacing w:after="100" w:before="200"/>
      </w:pPr>
      <w:r>
        <w:rPr>
          <w:rFonts w:ascii="Barlow Semi Condensed" w:cs="Barlow Semi Condensed" w:eastAsia="Barlow Semi Condensed" w:hAnsi="Barlow Semi Condensed"/>
          <w:sz w:val="24"/>
          <w:szCs w:val="24"/>
        </w:rPr>
        <w:t xml:space="preserve">Capitolo quarantunesimo — L'oggetto della Fase e il test in tre tempi</w:t>
      </w:r>
    </w:p>
    <w:p>
      <w:pPr>
        <w:spacing w:after="120" w:line="276"/>
        <w:jc w:val="both"/>
      </w:pPr>
      <w:r>
        <w:rPr>
          <w:rFonts w:ascii="Barlow Semi Condensed" w:cs="Barlow Semi Condensed" w:eastAsia="Barlow Semi Condensed" w:hAnsi="Barlow Semi Condensed"/>
          <w:b/>
          <w:bCs/>
          <w:sz w:val="24"/>
          <w:szCs w:val="24"/>
        </w:rPr>
        <w:t xml:space="preserve">Questa Fase ha per oggetto le omissioni: ciò che non fu fatto da chi doveva farlo, e ciò che fu fatto per impedire che altro si facesse.</w:t>
      </w:r>
    </w:p>
    <w:p>
      <w:pPr>
        <w:spacing w:after="120" w:line="276"/>
        <w:jc w:val="both"/>
      </w:pPr>
      <w:r>
        <w:rPr>
          <w:rFonts w:ascii="Barlow Semi Condensed" w:cs="Barlow Semi Condensed" w:eastAsia="Barlow Semi Condensed" w:hAnsi="Barlow Semi Condensed"/>
          <w:b/>
          <w:bCs/>
          <w:sz w:val="24"/>
          <w:szCs w:val="24"/>
        </w:rPr>
        <w:t xml:space="preserve">Ad essa tre Fasi hanno consegnato il proprio carico. La Fase Seconda vi ha indicato il terreno di massimo rendimento istruttorio, avendo accertato che le omissioni sono, fra le evidenze disponibili, quelle di maggiore potere discriminante fra i quattro generi di ipotesi. La Fase Terza vi ha consegnato quattro elementi materiali. La Fase Quarta vi ha consegnato l'accertamento sull'incompletezza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Perché l'omissione è terreno diverso dagli altri</w:t>
      </w:r>
    </w:p>
    <w:p>
      <w:pPr>
        <w:spacing w:after="120" w:line="276"/>
        <w:jc w:val="both"/>
      </w:pPr>
      <w:r>
        <w:rPr>
          <w:rFonts w:ascii="Barlow Semi Condensed" w:cs="Barlow Semi Condensed" w:eastAsia="Barlow Semi Condensed" w:hAnsi="Barlow Semi Condensed"/>
          <w:b/>
          <w:bCs/>
          <w:sz w:val="24"/>
          <w:szCs w:val="24"/>
        </w:rPr>
        <w:t xml:space="preserve">L'omissione ha una proprietà che la rende, dal punto di vista probatorio, più trattabile del concorso attivo, e conviene dirla perché è la ragione per la quale questa Fase può produrre più delle precedenti.</w:t>
      </w:r>
    </w:p>
    <w:p>
      <w:pPr>
        <w:spacing w:after="120" w:line="276"/>
        <w:jc w:val="both"/>
      </w:pPr>
      <w:r>
        <w:rPr>
          <w:rFonts w:ascii="Barlow Semi Condensed" w:cs="Barlow Semi Condensed" w:eastAsia="Barlow Semi Condensed" w:hAnsi="Barlow Semi Condensed"/>
          <w:b/>
          <w:bCs/>
          <w:sz w:val="24"/>
          <w:szCs w:val="24"/>
        </w:rPr>
        <w:t xml:space="preserve">Il concorso attivo richiede la prova di una condotta positiva: che qualcuno fornì, informò, agevolò. Tale prova, in materia coperta da segreto e in ambienti che distruggono le proprie tracce, è quasi sempre irraggiungibile.</w:t>
      </w:r>
    </w:p>
    <w:p>
      <w:pPr>
        <w:spacing w:after="120" w:line="276"/>
        <w:jc w:val="both"/>
      </w:pPr>
      <w:r>
        <w:rPr>
          <w:rFonts w:ascii="Barlow Semi Condensed" w:cs="Barlow Semi Condensed" w:eastAsia="Barlow Semi Condensed" w:hAnsi="Barlow Semi Condensed"/>
          <w:b/>
          <w:bCs/>
          <w:sz w:val="24"/>
          <w:szCs w:val="24"/>
        </w:rPr>
        <w:t xml:space="preserve">L'omissione richiede una prova di natura diversa. Essa non richiede di dimostrare che qualcuno fece: richiede di dimostrare che qualcuno non fece ciò che doveva. E il dovere, a differenza della condotta clandestina, è documentato: esso risulta da norme, da ordini di servizio, da prassi accertate, da atti di organizzazione. Le omissioni lasciano tracce negli atti d'ufficio, perché l'ufficio produce carte anche quando non agisce.</w:t>
      </w:r>
    </w:p>
    <w:p>
      <w:pPr>
        <w:spacing w:after="120" w:line="276"/>
        <w:jc w:val="both"/>
      </w:pPr>
      <w:r>
        <w:rPr>
          <w:rFonts w:ascii="Barlow Semi Condensed" w:cs="Barlow Semi Condensed" w:eastAsia="Barlow Semi Condensed" w:hAnsi="Barlow Semi Condensed"/>
          <w:b/>
          <w:bCs/>
          <w:sz w:val="24"/>
          <w:szCs w:val="24"/>
        </w:rPr>
        <w:t xml:space="preserve">Questa è la ragione per la quale il lavoro rende qui e non altrove. Non è che le omissioni siano più gravi del concorso: è che sono più documentabili.</w:t>
      </w:r>
    </w:p>
    <w:p>
      <w:pPr>
        <w:pStyle w:val="Heading2"/>
        <w:spacing w:after="100" w:before="200"/>
      </w:pPr>
      <w:r>
        <w:rPr>
          <w:rFonts w:ascii="Barlow Semi Condensed" w:cs="Barlow Semi Condensed" w:eastAsia="Barlow Semi Condensed" w:hAnsi="Barlow Semi Condensed"/>
          <w:sz w:val="24"/>
          <w:szCs w:val="24"/>
        </w:rPr>
        <w:t xml:space="preserve">Il test in tre tempi</w:t>
      </w:r>
    </w:p>
    <w:p>
      <w:pPr>
        <w:spacing w:after="120" w:line="276"/>
        <w:jc w:val="both"/>
      </w:pPr>
      <w:r>
        <w:rPr>
          <w:rFonts w:ascii="Barlow Semi Condensed" w:cs="Barlow Semi Condensed" w:eastAsia="Barlow Semi Condensed" w:hAnsi="Barlow Semi Condensed"/>
          <w:b/>
          <w:bCs/>
          <w:sz w:val="24"/>
          <w:szCs w:val="24"/>
        </w:rPr>
        <w:t xml:space="preserve">Ogni omissione è esaminata mediante un test in tre tempi, e nessun tempo si salta.</w:t>
      </w:r>
    </w:p>
    <w:p>
      <w:pPr>
        <w:spacing w:after="120" w:line="276"/>
        <w:jc w:val="both"/>
      </w:pPr>
      <w:r>
        <w:rPr>
          <w:rFonts w:ascii="Barlow Semi Condensed" w:cs="Barlow Semi Condensed" w:eastAsia="Barlow Semi Condensed" w:hAnsi="Barlow Semi Condensed"/>
          <w:b/>
          <w:bCs/>
          <w:sz w:val="24"/>
          <w:szCs w:val="24"/>
        </w:rPr>
        <w:t xml:space="preserve">Primo tempo: l'accertamento del dovere. Si stabilisce se esistesse un obbligo di agire, quale fosse la sua fonte, su chi gravasse e in quale momento. Se il dovere non è accertato, non vi è omissione ma soltanto un fatto che non accadde, e l'esame si arresta.</w:t>
      </w:r>
    </w:p>
    <w:p>
      <w:pPr>
        <w:spacing w:after="120" w:line="276"/>
        <w:jc w:val="both"/>
      </w:pPr>
      <w:r>
        <w:rPr>
          <w:rFonts w:ascii="Barlow Semi Condensed" w:cs="Barlow Semi Condensed" w:eastAsia="Barlow Semi Condensed" w:hAnsi="Barlow Semi Condensed"/>
          <w:b/>
          <w:bCs/>
          <w:sz w:val="24"/>
          <w:szCs w:val="24"/>
        </w:rPr>
        <w:t xml:space="preserve">Secondo tempo: l'accertamento dell'inadempimento. Si stabilisce se l'atto dovuto fu compiuto, se fu compiuto in modo inidoneo, o se non fu compiuto affatto. Anche qui l'accertamento è documentale: si esamina che cosa risulti dagli atti, e non che cosa sarebbe stato ragionevole fare.</w:t>
      </w:r>
    </w:p>
    <w:p>
      <w:pPr>
        <w:spacing w:after="120" w:line="276"/>
        <w:jc w:val="both"/>
      </w:pPr>
      <w:r>
        <w:rPr>
          <w:rFonts w:ascii="Barlow Semi Condensed" w:cs="Barlow Semi Condensed" w:eastAsia="Barlow Semi Condensed" w:hAnsi="Barlow Semi Condensed"/>
          <w:b/>
          <w:bCs/>
          <w:sz w:val="24"/>
          <w:szCs w:val="24"/>
        </w:rPr>
        <w:t xml:space="preserve">Terzo tempo: l'accertamento della spiegabilità. Si stabilisce se l'inadempimento sia spiegabile con l'errore, con l'inefficienza, con il difetto di coordinamento, ovvero se tali spiegazioni risultino insufficienti. Questo terzo tempo è il più delicato e sarà oggetto del Capitolo quarantasettesimo, che ne espone il problema centrale.</w:t>
      </w:r>
    </w:p>
    <w:p>
      <w:pPr>
        <w:pStyle w:val="Heading2"/>
        <w:spacing w:after="100" w:before="200"/>
      </w:pPr>
      <w:r>
        <w:rPr>
          <w:rFonts w:ascii="Barlow Semi Condensed" w:cs="Barlow Semi Condensed" w:eastAsia="Barlow Semi Condensed" w:hAnsi="Barlow Semi Condensed"/>
          <w:sz w:val="24"/>
          <w:szCs w:val="24"/>
        </w:rPr>
        <w:t xml:space="preserve">Ciò che il test può e non può stabilire</w:t>
      </w:r>
    </w:p>
    <w:p>
      <w:pPr>
        <w:spacing w:after="120" w:line="276"/>
        <w:jc w:val="both"/>
      </w:pPr>
      <w:r>
        <w:rPr>
          <w:rFonts w:ascii="Barlow Semi Condensed" w:cs="Barlow Semi Condensed" w:eastAsia="Barlow Semi Condensed" w:hAnsi="Barlow Semi Condensed"/>
          <w:b/>
          <w:bCs/>
          <w:sz w:val="24"/>
          <w:szCs w:val="24"/>
        </w:rPr>
        <w:t xml:space="preserve">Occorre dichiarare subito il limite del test, perché esso è quello che l'intera Fase deve rispettare.</w:t>
      </w:r>
    </w:p>
    <w:p>
      <w:pPr>
        <w:spacing w:after="120" w:line="276"/>
        <w:jc w:val="both"/>
      </w:pPr>
      <w:r>
        <w:rPr>
          <w:rFonts w:ascii="Barlow Semi Condensed" w:cs="Barlow Semi Condensed" w:eastAsia="Barlow Semi Condensed" w:hAnsi="Barlow Semi Condensed"/>
          <w:b/>
          <w:bCs/>
          <w:sz w:val="24"/>
          <w:szCs w:val="24"/>
        </w:rPr>
        <w:t xml:space="preserve">Il test può stabilire che un dovere esisteva, che non fu adempiuto, e che l'inadempimento non è spiegabile con l'errore. Questo è il massimo che esso produce, ed è già molto.</w:t>
      </w:r>
    </w:p>
    <w:p>
      <w:pPr>
        <w:spacing w:after="120" w:line="276"/>
        <w:jc w:val="both"/>
      </w:pPr>
      <w:r>
        <w:rPr>
          <w:rFonts w:ascii="Barlow Semi Condensed" w:cs="Barlow Semi Condensed" w:eastAsia="Barlow Semi Condensed" w:hAnsi="Barlow Semi Condensed"/>
          <w:b/>
          <w:bCs/>
          <w:sz w:val="24"/>
          <w:szCs w:val="24"/>
        </w:rPr>
        <w:t xml:space="preserve">Il test non può stabilire perché l'inadempimento avvenne, né a beneficio di chi, né su istruzione di chi. Un inadempimento non spiegabile con l'errore è un inadempimento non spiegabile con l'errore: non è, per ciò solo, un inadempimento deliberato in favore dei rapitori.</w:t>
      </w:r>
    </w:p>
    <w:p>
      <w:pPr>
        <w:spacing w:after="120" w:line="276"/>
        <w:jc w:val="both"/>
      </w:pPr>
      <w:r>
        <w:rPr>
          <w:rFonts w:ascii="Barlow Semi Condensed" w:cs="Barlow Semi Condensed" w:eastAsia="Barlow Semi Condensed" w:hAnsi="Barlow Semi Condensed"/>
          <w:b/>
          <w:bCs/>
          <w:sz w:val="24"/>
          <w:szCs w:val="24"/>
        </w:rPr>
        <w:t xml:space="preserve">Il passaggio dall'inspiegabilità alla deliberazione, e dalla deliberazione alla finalità, richiede prove ulteriori e di natura diversa. Il Capitolo quarantottesimo indicherà quali.</w:t>
      </w:r>
    </w:p>
    <w:p>
      <w:pPr>
        <w:pStyle w:val="Heading2"/>
        <w:spacing w:after="100" w:before="200"/>
      </w:pPr>
      <w:r>
        <w:rPr>
          <w:rFonts w:ascii="Barlow Semi Condensed" w:cs="Barlow Semi Condensed" w:eastAsia="Barlow Semi Condensed" w:hAnsi="Barlow Semi Condensed"/>
          <w:sz w:val="24"/>
          <w:szCs w:val="24"/>
        </w:rPr>
        <w:t xml:space="preserve">Una avvertenza sulle persone</w:t>
      </w:r>
    </w:p>
    <w:p>
      <w:pPr>
        <w:spacing w:after="120" w:line="276"/>
        <w:jc w:val="both"/>
      </w:pPr>
      <w:r>
        <w:rPr>
          <w:rFonts w:ascii="Barlow Semi Condensed" w:cs="Barlow Semi Condensed" w:eastAsia="Barlow Semi Condensed" w:hAnsi="Barlow Semi Condensed"/>
          <w:b/>
          <w:bCs/>
          <w:sz w:val="24"/>
          <w:szCs w:val="24"/>
        </w:rPr>
        <w:t xml:space="preserve">Si applica in questa Fase, con particolare rigore, la disciplina generale dell'opera sulla designazione.</w:t>
      </w:r>
    </w:p>
    <w:p>
      <w:pPr>
        <w:spacing w:after="120" w:line="276"/>
        <w:jc w:val="both"/>
      </w:pPr>
      <w:r>
        <w:rPr>
          <w:rFonts w:ascii="Barlow Semi Condensed" w:cs="Barlow Semi Condensed" w:eastAsia="Barlow Semi Condensed" w:hAnsi="Barlow Semi Condensed"/>
          <w:b/>
          <w:bCs/>
          <w:sz w:val="24"/>
          <w:szCs w:val="24"/>
        </w:rPr>
        <w:t xml:space="preserve">Le omissioni sono attribuite a funzioni e non a persone. La ragione, già esposta al Capitolo quinto, vale qui al massimo grado: ciò che l'atto documenta è che quella funzione non compì quell'atto. Che la persona fisica che allora la esercitava sia responsabile di ciò che l'omissione significa è proposizione ulteriore, che domanda prova ulteriore e sede propria, la quale non è questa.</w:t>
      </w:r>
    </w:p>
    <w:p>
      <w:pPr>
        <w:spacing w:after="120" w:line="276"/>
        <w:jc w:val="both"/>
      </w:pPr>
      <w:r>
        <w:rPr>
          <w:rFonts w:ascii="Barlow Semi Condensed" w:cs="Barlow Semi Condensed" w:eastAsia="Barlow Semi Condensed" w:hAnsi="Barlow Semi Condensed"/>
          <w:b/>
          <w:bCs/>
          <w:sz w:val="24"/>
          <w:szCs w:val="24"/>
        </w:rPr>
        <w:t xml:space="preserve">Si aggiunga una considerazione di misura. Molte delle persone che esercitavano quelle funzioni sono defunte e non possono replicare; altre hanno reso dichiarazioni che sono agli atti. Un registro che attribuisse loro nominativamente condotte non accertate compirebbe, in nome dell'accertamento, un atto che l'accertamento non autorizza.</w:t>
      </w:r>
    </w:p>
    <w:p>
      <w:pPr>
        <w:pStyle w:val="Heading2"/>
        <w:spacing w:after="100" w:before="200"/>
      </w:pPr>
      <w:r>
        <w:rPr>
          <w:rFonts w:ascii="Barlow Semi Condensed" w:cs="Barlow Semi Condensed" w:eastAsia="Barlow Semi Condensed" w:hAnsi="Barlow Semi Condensed"/>
          <w:sz w:val="24"/>
          <w:szCs w:val="24"/>
        </w:rPr>
        <w:t xml:space="preserve">Capitolo quarantaduesimo — La tipologia delle omissioni</w:t>
      </w:r>
    </w:p>
    <w:p>
      <w:pPr>
        <w:spacing w:after="120" w:line="276"/>
        <w:jc w:val="both"/>
      </w:pPr>
      <w:r>
        <w:rPr>
          <w:rFonts w:ascii="Barlow Semi Condensed" w:cs="Barlow Semi Condensed" w:eastAsia="Barlow Semi Condensed" w:hAnsi="Barlow Semi Condensed"/>
          <w:b/>
          <w:bCs/>
          <w:sz w:val="24"/>
          <w:szCs w:val="24"/>
        </w:rPr>
        <w:t xml:space="preserve">Le omissioni rilevanti in questa materia si ripartiscono in quattro tipologie, distinte per struttura e per prova richiesta. La distinzione non è classificatoria per gusto: ciascuna tipologia richiede un test diverso, e confonderle produce errori di valutazione.</w:t>
      </w:r>
    </w:p>
    <w:p>
      <w:pPr>
        <w:pStyle w:val="Heading2"/>
        <w:spacing w:after="100" w:before="200"/>
      </w:pPr>
      <w:r>
        <w:rPr>
          <w:rFonts w:ascii="Barlow Semi Condensed" w:cs="Barlow Semi Condensed" w:eastAsia="Barlow Semi Condensed" w:hAnsi="Barlow Semi Condensed"/>
          <w:sz w:val="24"/>
          <w:szCs w:val="24"/>
        </w:rPr>
        <w:t xml:space="preserve">Prima tipologia: l'omissione di attivazione</w:t>
      </w:r>
    </w:p>
    <w:p>
      <w:pPr>
        <w:spacing w:after="120" w:line="276"/>
        <w:jc w:val="both"/>
      </w:pPr>
      <w:r>
        <w:rPr>
          <w:rFonts w:ascii="Barlow Semi Condensed" w:cs="Barlow Semi Condensed" w:eastAsia="Barlow Semi Condensed" w:hAnsi="Barlow Semi Condensed"/>
          <w:b/>
          <w:bCs/>
          <w:sz w:val="24"/>
          <w:szCs w:val="24"/>
        </w:rPr>
        <w:t xml:space="preserve">Vi appartiene il caso in cui un obbligo di agire sorge e non è seguito da alcuna condotta.</w:t>
      </w:r>
    </w:p>
    <w:p>
      <w:pPr>
        <w:spacing w:after="120" w:line="276"/>
        <w:jc w:val="both"/>
      </w:pPr>
      <w:r>
        <w:rPr>
          <w:rFonts w:ascii="Barlow Semi Condensed" w:cs="Barlow Semi Condensed" w:eastAsia="Barlow Semi Condensed" w:hAnsi="Barlow Semi Condensed"/>
          <w:b/>
          <w:bCs/>
          <w:sz w:val="24"/>
          <w:szCs w:val="24"/>
        </w:rPr>
        <w:t xml:space="preserve">La prova richiesta è duplice: che l'obbligo sia sorto, il che presuppone che l'informazione attivante sia pervenuta; e che nulla sia stato fatto.</w:t>
      </w:r>
    </w:p>
    <w:p>
      <w:pPr>
        <w:spacing w:after="120" w:line="276"/>
        <w:jc w:val="both"/>
      </w:pPr>
      <w:r>
        <w:rPr>
          <w:rFonts w:ascii="Barlow Semi Condensed" w:cs="Barlow Semi Condensed" w:eastAsia="Barlow Semi Condensed" w:hAnsi="Barlow Semi Condensed"/>
          <w:b/>
          <w:bCs/>
          <w:sz w:val="24"/>
          <w:szCs w:val="24"/>
        </w:rPr>
        <w:t xml:space="preserve">Il punto critico di questa tipologia è il primo. Un obbligo di agire sorge dalla conoscenza, e la conoscenza va provata. Chi sostenga una omissione di attivazione deve anzitutto provare che l'informazione pervenne, a chi, e quando; e tale prova è, in materia informativa, spesso la parte più difficile.</w:t>
      </w:r>
    </w:p>
    <w:p>
      <w:pPr>
        <w:pStyle w:val="Heading2"/>
        <w:spacing w:after="100" w:before="200"/>
      </w:pPr>
      <w:r>
        <w:rPr>
          <w:rFonts w:ascii="Barlow Semi Condensed" w:cs="Barlow Semi Condensed" w:eastAsia="Barlow Semi Condensed" w:hAnsi="Barlow Semi Condensed"/>
          <w:sz w:val="24"/>
          <w:szCs w:val="24"/>
        </w:rPr>
        <w:t xml:space="preserve">Seconda tipologia: l'omissione di adeguatezza</w:t>
      </w:r>
    </w:p>
    <w:p>
      <w:pPr>
        <w:spacing w:after="120" w:line="276"/>
        <w:jc w:val="both"/>
      </w:pPr>
      <w:r>
        <w:rPr>
          <w:rFonts w:ascii="Barlow Semi Condensed" w:cs="Barlow Semi Condensed" w:eastAsia="Barlow Semi Condensed" w:hAnsi="Barlow Semi Condensed"/>
          <w:b/>
          <w:bCs/>
          <w:sz w:val="24"/>
          <w:szCs w:val="24"/>
        </w:rPr>
        <w:t xml:space="preserve">Vi appartiene il caso in cui una condotta fu tenuta, ma con modalità inidonee allo scopo.</w:t>
      </w:r>
    </w:p>
    <w:p>
      <w:pPr>
        <w:spacing w:after="120" w:line="276"/>
        <w:jc w:val="both"/>
      </w:pPr>
      <w:r>
        <w:rPr>
          <w:rFonts w:ascii="Barlow Semi Condensed" w:cs="Barlow Semi Condensed" w:eastAsia="Barlow Semi Condensed" w:hAnsi="Barlow Semi Condensed"/>
          <w:b/>
          <w:bCs/>
          <w:sz w:val="24"/>
          <w:szCs w:val="24"/>
        </w:rPr>
        <w:t xml:space="preserve">La prova richiesta è più impegnativa e più insidiosa. Non basta constatare che la condotta non produsse l'esito: occorre stabilire che le modalità impiegate erano inidonee secondo criteri conoscibili all'epoca, e non secondo criteri formatisi dopo.</w:t>
      </w:r>
    </w:p>
    <w:p>
      <w:pPr>
        <w:spacing w:after="120" w:line="276"/>
        <w:jc w:val="both"/>
      </w:pPr>
      <w:r>
        <w:rPr>
          <w:rFonts w:ascii="Barlow Semi Condensed" w:cs="Barlow Semi Condensed" w:eastAsia="Barlow Semi Condensed" w:hAnsi="Barlow Semi Condensed"/>
          <w:b/>
          <w:bCs/>
          <w:sz w:val="24"/>
          <w:szCs w:val="24"/>
        </w:rPr>
        <w:t xml:space="preserve">Il punto critico è il pericolo del giudizio a posteriori. Sapendo dove si trovava ciò che si cercava, ogni ricerca che non lo trovò appare inadeguata. Ma l'inadeguatezza va misurata sulle conoscenze disponibili al momento, e non sull'esito.</w:t>
      </w:r>
    </w:p>
    <w:p>
      <w:pPr>
        <w:pStyle w:val="Heading2"/>
        <w:spacing w:after="100" w:before="200"/>
      </w:pPr>
      <w:r>
        <w:rPr>
          <w:rFonts w:ascii="Barlow Semi Condensed" w:cs="Barlow Semi Condensed" w:eastAsia="Barlow Semi Condensed" w:hAnsi="Barlow Semi Condensed"/>
          <w:sz w:val="24"/>
          <w:szCs w:val="24"/>
        </w:rPr>
        <w:t xml:space="preserve">Terza tipologia: l'omissione di trasmissione</w:t>
      </w:r>
    </w:p>
    <w:p>
      <w:pPr>
        <w:spacing w:after="120" w:line="276"/>
        <w:jc w:val="both"/>
      </w:pPr>
      <w:r>
        <w:rPr>
          <w:rFonts w:ascii="Barlow Semi Condensed" w:cs="Barlow Semi Condensed" w:eastAsia="Barlow Semi Condensed" w:hAnsi="Barlow Semi Condensed"/>
          <w:b/>
          <w:bCs/>
          <w:sz w:val="24"/>
          <w:szCs w:val="24"/>
        </w:rPr>
        <w:t xml:space="preserve">Vi appartiene il caso in cui una informazione fu acquisita da un ufficio e non fu trasmessa a chi doveva riceverla.</w:t>
      </w:r>
    </w:p>
    <w:p>
      <w:pPr>
        <w:spacing w:after="120" w:line="276"/>
        <w:jc w:val="both"/>
      </w:pPr>
      <w:r>
        <w:rPr>
          <w:rFonts w:ascii="Barlow Semi Condensed" w:cs="Barlow Semi Condensed" w:eastAsia="Barlow Semi Condensed" w:hAnsi="Barlow Semi Condensed"/>
          <w:b/>
          <w:bCs/>
          <w:sz w:val="24"/>
          <w:szCs w:val="24"/>
        </w:rPr>
        <w:t xml:space="preserve">È la tipologia più documentabile delle quattro, perché la trasmissione produce carte e la sua assenza è rilevabile per confronto: si accerta che l'informazione entrò in un ufficio e non si rinviene l'atto di trasmissione.</w:t>
      </w:r>
    </w:p>
    <w:p>
      <w:pPr>
        <w:spacing w:after="120" w:line="276"/>
        <w:jc w:val="both"/>
      </w:pPr>
      <w:r>
        <w:rPr>
          <w:rFonts w:ascii="Barlow Semi Condensed" w:cs="Barlow Semi Condensed" w:eastAsia="Barlow Semi Condensed" w:hAnsi="Barlow Semi Condensed"/>
          <w:b/>
          <w:bCs/>
          <w:sz w:val="24"/>
          <w:szCs w:val="24"/>
        </w:rPr>
        <w:t xml:space="preserve">Il punto critico è la ricostruzione dei flussi obbligati: occorre stabilire che la trasmissione fosse dovuta, e non semplicemente opportuna.</w:t>
      </w:r>
    </w:p>
    <w:p>
      <w:pPr>
        <w:pStyle w:val="Heading2"/>
        <w:spacing w:after="100" w:before="200"/>
      </w:pPr>
      <w:r>
        <w:rPr>
          <w:rFonts w:ascii="Barlow Semi Condensed" w:cs="Barlow Semi Condensed" w:eastAsia="Barlow Semi Condensed" w:hAnsi="Barlow Semi Condensed"/>
          <w:sz w:val="24"/>
          <w:szCs w:val="24"/>
        </w:rPr>
        <w:t xml:space="preserve">Quarta tipologia: la produzione attiva di ostacolo</w:t>
      </w:r>
    </w:p>
    <w:p>
      <w:pPr>
        <w:spacing w:after="120" w:line="276"/>
        <w:jc w:val="both"/>
      </w:pPr>
      <w:r>
        <w:rPr>
          <w:rFonts w:ascii="Barlow Semi Condensed" w:cs="Barlow Semi Condensed" w:eastAsia="Barlow Semi Condensed" w:hAnsi="Barlow Semi Condensed"/>
          <w:b/>
          <w:bCs/>
          <w:sz w:val="24"/>
          <w:szCs w:val="24"/>
        </w:rPr>
        <w:t xml:space="preserve">Vi appartiene il caso in cui non si ha una omissione in senso proprio ma una condotta positiva diretta a impedire o deviare l'accertamento: produzione di falso, distruzione di elementi, immissione di piste infondate.</w:t>
      </w:r>
    </w:p>
    <w:p>
      <w:pPr>
        <w:spacing w:after="120" w:line="276"/>
        <w:jc w:val="both"/>
      </w:pPr>
      <w:r>
        <w:rPr>
          <w:rFonts w:ascii="Barlow Semi Condensed" w:cs="Barlow Semi Condensed" w:eastAsia="Barlow Semi Condensed" w:hAnsi="Barlow Semi Condensed"/>
          <w:b/>
          <w:bCs/>
          <w:sz w:val="24"/>
          <w:szCs w:val="24"/>
        </w:rPr>
        <w:t xml:space="preserve">Essa è compresa in questa Fase perché il suo effetto è omissivo — impedisce che si accerti — sebbene la sua struttura sia commissiva.</w:t>
      </w:r>
    </w:p>
    <w:p>
      <w:pPr>
        <w:spacing w:after="120" w:line="276"/>
        <w:jc w:val="both"/>
      </w:pPr>
      <w:r>
        <w:rPr>
          <w:rFonts w:ascii="Barlow Semi Condensed" w:cs="Barlow Semi Condensed" w:eastAsia="Barlow Semi Condensed" w:hAnsi="Barlow Semi Condensed"/>
          <w:b/>
          <w:bCs/>
          <w:sz w:val="24"/>
          <w:szCs w:val="24"/>
        </w:rPr>
        <w:t xml:space="preserve">Il punto critico è che qui la prova richiesta è quella del concorso attivo, con tutte le sue difficoltà; ma con una differenza favorevole: l'atto positivo lascia un oggetto. Un documento falso esiste, e la sua esistenza è essa stessa un fatto accertabile, ancorché il suo autore resti ignoto.</w:t>
      </w:r>
    </w:p>
    <w:p>
      <w:pPr>
        <w:pStyle w:val="Heading2"/>
        <w:spacing w:after="100" w:before="200"/>
      </w:pPr>
      <w:r>
        <w:rPr>
          <w:rFonts w:ascii="Barlow Semi Condensed" w:cs="Barlow Semi Condensed" w:eastAsia="Barlow Semi Condensed" w:hAnsi="Barlow Semi Condensed"/>
          <w:sz w:val="24"/>
          <w:szCs w:val="24"/>
        </w:rPr>
        <w:t xml:space="preserve">Le quattro tipologie e i quattro elementi consegnati</w:t>
      </w:r>
    </w:p>
    <w:p>
      <w:pPr>
        <w:spacing w:after="120" w:line="276"/>
        <w:jc w:val="both"/>
      </w:pPr>
      <w:r>
        <w:rPr>
          <w:rFonts w:ascii="Barlow Semi Condensed" w:cs="Barlow Semi Condensed" w:eastAsia="Barlow Semi Condensed" w:hAnsi="Barlow Semi Condensed"/>
          <w:b/>
          <w:bCs/>
          <w:sz w:val="24"/>
          <w:szCs w:val="24"/>
        </w:rPr>
        <w:t xml:space="preserve">Gli elementi consegnati a questa Fase si distribuiscono così.</w:t>
      </w:r>
    </w:p>
    <w:p>
      <w:pPr>
        <w:spacing w:after="120" w:line="276"/>
        <w:jc w:val="both"/>
      </w:pPr>
      <w:r>
        <w:rPr>
          <w:rFonts w:ascii="Barlow Semi Condensed" w:cs="Barlow Semi Condensed" w:eastAsia="Barlow Semi Condensed" w:hAnsi="Barlow Semi Condensed"/>
          <w:b/>
          <w:bCs/>
          <w:sz w:val="24"/>
          <w:szCs w:val="24"/>
        </w:rPr>
        <w:t xml:space="preserve">Le due circostanze di via Gradoli appartengono, rispettivamente, alla seconda e alla terza tipologia, e sono trattate nel Capitolo quarantatreesimo.</w:t>
      </w:r>
    </w:p>
    <w:p>
      <w:pPr>
        <w:spacing w:after="120" w:line="276"/>
        <w:jc w:val="both"/>
      </w:pPr>
      <w:r>
        <w:rPr>
          <w:rFonts w:ascii="Barlow Semi Condensed" w:cs="Barlow Semi Condensed" w:eastAsia="Barlow Semi Condensed" w:hAnsi="Barlow Semi Condensed"/>
          <w:b/>
          <w:bCs/>
          <w:sz w:val="24"/>
          <w:szCs w:val="24"/>
        </w:rPr>
        <w:t xml:space="preserve">Il comunicato apocrifo appartiene alla quarta ed è trattato nel Capitolo quarantaquattresimo.</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appartiene alla seconda ed è trattato nel Capitolo quarantacinquesimo.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documentale appartiene alla seconda o alla quarta secondo quale delle tre spiegazioni aperte risulti fondata, ed è trattata nel Capitolo quarantaseiesimo.</w:t>
      </w:r>
    </w:p>
    <w:p>
      <w:pPr>
        <w:pStyle w:val="Heading2"/>
        <w:spacing w:after="100" w:before="200"/>
      </w:pPr>
      <w:r>
        <w:rPr>
          <w:rFonts w:ascii="Barlow Semi Condensed" w:cs="Barlow Semi Condensed" w:eastAsia="Barlow Semi Condensed" w:hAnsi="Barlow Semi Condensed"/>
          <w:sz w:val="24"/>
          <w:szCs w:val="24"/>
        </w:rPr>
        <w:t xml:space="preserve">Capitolo quarantatreesimo — Le due circostanze di via Gradoli</w:t>
      </w:r>
    </w:p>
    <w:p>
      <w:pPr>
        <w:pStyle w:val="Heading2"/>
        <w:spacing w:after="100" w:before="200"/>
      </w:pPr>
      <w:r>
        <w:rPr>
          <w:rFonts w:ascii="Barlow Semi Condensed" w:cs="Barlow Semi Condensed" w:eastAsia="Barlow Semi Condensed" w:hAnsi="Barlow Semi Condensed"/>
          <w:sz w:val="24"/>
          <w:szCs w:val="24"/>
        </w:rPr>
        <w:t xml:space="preserve">Il fatto centrale</w:t>
      </w:r>
    </w:p>
    <w:p>
      <w:pPr>
        <w:spacing w:after="120" w:line="276"/>
        <w:jc w:val="both"/>
      </w:pPr>
      <w:r>
        <w:rPr>
          <w:rFonts w:ascii="Barlow Semi Condensed" w:cs="Barlow Semi Condensed" w:eastAsia="Barlow Semi Condensed" w:hAnsi="Barlow Semi Condensed"/>
          <w:b/>
          <w:bCs/>
          <w:sz w:val="24"/>
          <w:szCs w:val="24"/>
        </w:rPr>
        <w:t xml:space="preserve">È accertato che un appartamento sito in via Gradoli, a Roma, era una base dell'organizzazione; che fu individuato nella seconda metà del periodo di prigionia, quando il prigioniero era ancora in vita; e che l'individuazione avvenne per una circostanza fortuita — una perdita d'acqua che rese necessario l'accesso — e non per attività di indagine.</w:t>
      </w:r>
    </w:p>
    <w:p>
      <w:pPr>
        <w:spacing w:after="120" w:line="276"/>
        <w:jc w:val="both"/>
      </w:pPr>
      <w:r>
        <w:rPr>
          <w:rFonts w:ascii="Barlow Semi Condensed" w:cs="Barlow Semi Condensed" w:eastAsia="Barlow Semi Condensed" w:hAnsi="Barlow Semi Condensed"/>
          <w:b/>
          <w:bCs/>
          <w:sz w:val="24"/>
          <w:szCs w:val="24"/>
        </w:rPr>
        <w:t xml:space="preserve">Attorno a questo fatto si collocano due circostanze, che vanno esaminate separatamente perché appartengono a tipologie diverse e richiedono test diversi.</w:t>
      </w:r>
    </w:p>
    <w:p>
      <w:pPr>
        <w:pStyle w:val="Heading2"/>
        <w:spacing w:after="100" w:before="200"/>
      </w:pPr>
      <w:r>
        <w:rPr>
          <w:rFonts w:ascii="Barlow Semi Condensed" w:cs="Barlow Semi Condensed" w:eastAsia="Barlow Semi Condensed" w:hAnsi="Barlow Semi Condensed"/>
          <w:sz w:val="24"/>
          <w:szCs w:val="24"/>
        </w:rPr>
        <w:t xml:space="preserve">Prima circostanza: il controllo nella via</w:t>
      </w:r>
    </w:p>
    <w:p>
      <w:pPr>
        <w:spacing w:after="120" w:line="276"/>
        <w:jc w:val="both"/>
      </w:pPr>
      <w:r>
        <w:rPr>
          <w:rFonts w:ascii="Barlow Semi Condensed" w:cs="Barlow Semi Condensed" w:eastAsia="Barlow Semi Condensed" w:hAnsi="Barlow Semi Condensed"/>
          <w:b/>
          <w:bCs/>
          <w:sz w:val="24"/>
          <w:szCs w:val="24"/>
        </w:rPr>
        <w:t xml:space="preserve">È accertato che nelle settimane precedenti fu effettuato un controllo nella medesima via, e che esso non condusse all'individuazione della base.</w:t>
      </w:r>
    </w:p>
    <w:p>
      <w:pPr>
        <w:spacing w:after="120" w:line="276"/>
        <w:jc w:val="both"/>
      </w:pPr>
      <w:r>
        <w:rPr>
          <w:rFonts w:ascii="Barlow Semi Condensed" w:cs="Barlow Semi Condensed" w:eastAsia="Barlow Semi Condensed" w:hAnsi="Barlow Semi Condensed"/>
          <w:b/>
          <w:bCs/>
          <w:sz w:val="24"/>
          <w:szCs w:val="24"/>
        </w:rPr>
        <w:t xml:space="preserve">Test in tre tempi.</w:t>
      </w:r>
    </w:p>
    <w:p>
      <w:pPr>
        <w:spacing w:after="120" w:line="276"/>
        <w:jc w:val="both"/>
      </w:pPr>
      <w:r>
        <w:rPr>
          <w:rFonts w:ascii="Barlow Semi Condensed" w:cs="Barlow Semi Condensed" w:eastAsia="Barlow Semi Condensed" w:hAnsi="Barlow Semi Condensed"/>
          <w:b/>
          <w:bCs/>
          <w:sz w:val="24"/>
          <w:szCs w:val="24"/>
        </w:rPr>
        <w:t xml:space="preserve">Primo tempo, il dovere. Il dovere di effettuare controlli sussisteva ed è documentato: erano in corso ricerche generalizzate disposte a livello nazionale. Il dovere è accertato quanto all'an. Quanto al quomodo — con quale grado di penetrazione i controlli dovessero essere condotti — occorre riferirsi alle direttive impartite, che costituiscono la fonte del dovere specifico.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che il controllo fu effettuato e che non produsse l'individuazione. Se ciò costituisca inadempimento dipende dal quomodo dovuto: un controllo condotto secondo le modalità prescritte che non produca l'esito non è inadempimento, è insuccesso.</w:t>
      </w:r>
    </w:p>
    <w:p>
      <w:pPr>
        <w:spacing w:after="120" w:line="276"/>
        <w:jc w:val="both"/>
      </w:pPr>
      <w:r>
        <w:rPr>
          <w:rFonts w:ascii="Barlow Semi Condensed" w:cs="Barlow Semi Condensed" w:eastAsia="Barlow Semi Condensed" w:hAnsi="Barlow Semi Condensed"/>
          <w:b/>
          <w:bCs/>
          <w:sz w:val="24"/>
          <w:szCs w:val="24"/>
        </w:rPr>
        <w:t xml:space="preserve">Terzo tempo, la spiegabilità. Non si perviene al terzo tempo, perché il secondo non è concluso: allo stato degli atti che quest'opera ha potuto interrogare, non risultano acquisiti gli elementi che consentirebbero di stabilire quali modalità fossero prescritte e quali furono impiegate.</w:t>
      </w:r>
    </w:p>
    <w:p>
      <w:pPr>
        <w:spacing w:after="120" w:line="276"/>
        <w:jc w:val="both"/>
      </w:pPr>
      <w:r>
        <w:rPr>
          <w:rFonts w:ascii="Barlow Semi Condensed" w:cs="Barlow Semi Condensed" w:eastAsia="Barlow Semi Condensed" w:hAnsi="Barlow Semi Condensed"/>
          <w:b/>
          <w:bCs/>
          <w:sz w:val="24"/>
          <w:szCs w:val="24"/>
        </w:rPr>
        <w:t xml:space="preserve">Si registra pertanto: circostanza accertata quanto al fatto; qualificazione come omissione non accertata; condizione di scioglimento indicata, consistente nell'acquisizione delle direttive impartite e della documentazione del controllo effettuato.</w:t>
      </w:r>
    </w:p>
    <w:p>
      <w:pPr>
        <w:pStyle w:val="Heading2"/>
        <w:spacing w:after="100" w:before="200"/>
      </w:pPr>
      <w:r>
        <w:rPr>
          <w:rFonts w:ascii="Barlow Semi Condensed" w:cs="Barlow Semi Condensed" w:eastAsia="Barlow Semi Condensed" w:hAnsi="Barlow Semi Condensed"/>
          <w:sz w:val="24"/>
          <w:szCs w:val="24"/>
        </w:rPr>
        <w:t xml:space="preserve">Seconda circostanza: l'indicazione del nome e la sua destinazione</w:t>
      </w:r>
    </w:p>
    <w:p>
      <w:pPr>
        <w:spacing w:after="120" w:line="276"/>
        <w:jc w:val="both"/>
      </w:pPr>
      <w:r>
        <w:rPr>
          <w:rFonts w:ascii="Barlow Semi Condensed" w:cs="Barlow Semi Condensed" w:eastAsia="Barlow Semi Condensed" w:hAnsi="Barlow Semi Condensed"/>
          <w:b/>
          <w:bCs/>
          <w:sz w:val="24"/>
          <w:szCs w:val="24"/>
        </w:rPr>
        <w:t xml:space="preserve">È accertato che il nome Gradoli fu indicato, nel corso del periodo, in una sede e per una via che non appartengono all'attività di indagine ordinaria; e che le ricerche conseguenti furono indirizzate verso una località omonima anziché verso la via romana.</w:t>
      </w:r>
    </w:p>
    <w:p>
      <w:pPr>
        <w:spacing w:after="120" w:line="276"/>
        <w:jc w:val="both"/>
      </w:pPr>
      <w:r>
        <w:rPr>
          <w:rFonts w:ascii="Barlow Semi Condensed" w:cs="Barlow Semi Condensed" w:eastAsia="Barlow Semi Condensed" w:hAnsi="Barlow Semi Condensed"/>
          <w:b/>
          <w:bCs/>
          <w:sz w:val="24"/>
          <w:szCs w:val="24"/>
        </w:rPr>
        <w:t xml:space="preserve">Test in tre tempi.</w:t>
      </w:r>
    </w:p>
    <w:p>
      <w:pPr>
        <w:spacing w:after="120" w:line="276"/>
        <w:jc w:val="both"/>
      </w:pPr>
      <w:r>
        <w:rPr>
          <w:rFonts w:ascii="Barlow Semi Condensed" w:cs="Barlow Semi Condensed" w:eastAsia="Barlow Semi Condensed" w:hAnsi="Barlow Semi Condensed"/>
          <w:b/>
          <w:bCs/>
          <w:sz w:val="24"/>
          <w:szCs w:val="24"/>
        </w:rPr>
        <w:t xml:space="preserve">Primo tempo, il dovere. Pervenuta una indicazione toponomastica in una indagine in corso, sussiste il dovere di verificarne le referenze possibili. Il dovere è accertato.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che fu verificata una referenza e non l'altra. Che la referenza verificata fosse quella meno probabile è valutazione che dipende dal contesto della ricerca: essendo l'indagine centrata su Roma, la referenza romana era, secondo criteri conoscibili all'epoca, quella da verificare per prima. L'inadempimento appare, a questo livello, accertato quanto alla incompletezza della verifica.</w:t>
      </w:r>
    </w:p>
    <w:p>
      <w:pPr>
        <w:spacing w:after="120" w:line="276"/>
        <w:jc w:val="both"/>
      </w:pPr>
      <w:r>
        <w:rPr>
          <w:rFonts w:ascii="Barlow Semi Condensed" w:cs="Barlow Semi Condensed" w:eastAsia="Barlow Semi Condensed" w:hAnsi="Barlow Semi Condensed"/>
          <w:b/>
          <w:bCs/>
          <w:sz w:val="24"/>
          <w:szCs w:val="24"/>
        </w:rPr>
        <w:t xml:space="preserve">Terzo tempo, la spiegabilità. Qui il test si arresta e occorre dirlo con esattezza. L'inadempimento è spiegabile con più di una causa: l'errore materiale nella lettura di una indicazione; il difetto di coordinamento fra uffici; la scarsa considerazione attribuita alla fonte dell'indicazione, che era di natura non ordinaria e poteva essere ritenuta priva di serietà.</w:t>
      </w:r>
    </w:p>
    <w:p>
      <w:pPr>
        <w:spacing w:after="120" w:line="276"/>
        <w:jc w:val="both"/>
      </w:pPr>
      <w:r>
        <w:rPr>
          <w:rFonts w:ascii="Barlow Semi Condensed" w:cs="Barlow Semi Condensed" w:eastAsia="Barlow Semi Condensed" w:hAnsi="Barlow Semi Condensed"/>
          <w:b/>
          <w:bCs/>
          <w:sz w:val="24"/>
          <w:szCs w:val="24"/>
        </w:rPr>
        <w:t xml:space="preserve">Nessuna di queste spiegazioni è esclusa dagli atti disponibili. Nessuna è confermata.</w:t>
      </w:r>
    </w:p>
    <w:p>
      <w:pPr>
        <w:pStyle w:val="Heading2"/>
        <w:spacing w:after="100" w:before="200"/>
      </w:pPr>
      <w:r>
        <w:rPr>
          <w:rFonts w:ascii="Barlow Semi Condensed" w:cs="Barlow Semi Condensed" w:eastAsia="Barlow Semi Condensed" w:hAnsi="Barlow Semi Condensed"/>
          <w:sz w:val="24"/>
          <w:szCs w:val="24"/>
        </w:rPr>
        <w:t xml:space="preserve">Che cosa risulta</w:t>
      </w:r>
    </w:p>
    <w:p>
      <w:pPr>
        <w:spacing w:after="120" w:line="276"/>
        <w:jc w:val="both"/>
      </w:pPr>
      <w:r>
        <w:rPr>
          <w:rFonts w:ascii="Barlow Semi Condensed" w:cs="Barlow Semi Condensed" w:eastAsia="Barlow Semi Condensed" w:hAnsi="Barlow Semi Condensed"/>
          <w:b/>
          <w:bCs/>
          <w:sz w:val="24"/>
          <w:szCs w:val="24"/>
        </w:rPr>
        <w:t xml:space="preserve">Risulta accertato: che una base dell'organizzazione era in quella via; che fu individuata per caso e non per indagine, in costanza di prigionia; che un controllo era stato effettuato in quella via senza esito;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b/>
          <w:bCs/>
          <w:sz w:val="24"/>
          <w:szCs w:val="24"/>
        </w:rPr>
        <w:t xml:space="preserve">Non risulta accertato: che alcuna delle due circostanze costituisca omissione deliberata.</w:t>
      </w:r>
    </w:p>
    <w:p>
      <w:pPr>
        <w:spacing w:after="120" w:line="276"/>
        <w:jc w:val="both"/>
      </w:pPr>
      <w:r>
        <w:rPr>
          <w:rFonts w:ascii="Barlow Semi Condensed" w:cs="Barlow Semi Condensed" w:eastAsia="Barlow Semi Condensed" w:hAnsi="Barlow Semi Condensed"/>
          <w:b/>
          <w:bCs/>
          <w:sz w:val="24"/>
          <w:szCs w:val="24"/>
        </w:rPr>
        <w:t xml:space="preserve">Si osservi che questo esito non è una assoluzione né una accusa. È il risultato di un test condotto per intero, che si è arrestato al terzo tempo per difetto di elementi; e la disciplina impone di dichiarare l'arresto anziché di sostituirvi una valutazione.</w:t>
      </w:r>
    </w:p>
    <w:p>
      <w:pPr>
        <w:pStyle w:val="Heading2"/>
        <w:spacing w:after="100" w:before="200"/>
      </w:pPr>
      <w:r>
        <w:rPr>
          <w:rFonts w:ascii="Barlow Semi Condensed" w:cs="Barlow Semi Condensed" w:eastAsia="Barlow Semi Condensed" w:hAnsi="Barlow Semi Condensed"/>
          <w:sz w:val="24"/>
          <w:szCs w:val="24"/>
        </w:rPr>
        <w:t xml:space="preserve">Ciò che scioglierebbe il dubbio</w:t>
      </w:r>
    </w:p>
    <w:p>
      <w:pPr>
        <w:spacing w:after="120" w:line="276"/>
        <w:jc w:val="both"/>
      </w:pPr>
      <w:r>
        <w:rPr>
          <w:rFonts w:ascii="Barlow Semi Condensed" w:cs="Barlow Semi Condensed" w:eastAsia="Barlow Semi Condensed" w:hAnsi="Barlow Semi Condensed"/>
          <w:b/>
          <w:bCs/>
          <w:sz w:val="24"/>
          <w:szCs w:val="24"/>
        </w:rPr>
        <w:t xml:space="preserve">Si indicano le evidenze che scioglierebbero il dubbio, in un senso o nell'altro: le direttive impartite per i controlli e la documentazione del controllo effettuato in quella via; gli atti relativi alla ricezione dell'indicazione toponomastica, alla sua valutazione e alla decisione sulla destinazione delle ricerche; la documentazione dei flussi informativi fra gli uffici coinvolti nel periodo.</w:t>
      </w:r>
    </w:p>
    <w:p>
      <w:pPr>
        <w:spacing w:after="120" w:line="276"/>
        <w:jc w:val="both"/>
      </w:pPr>
      <w:r>
        <w:rPr>
          <w:rFonts w:ascii="Barlow Semi Condensed" w:cs="Barlow Semi Condensed" w:eastAsia="Barlow Semi Condensed" w:hAnsi="Barlow Semi Condensed"/>
          <w:b/>
          <w:bCs/>
          <w:sz w:val="24"/>
          <w:szCs w:val="24"/>
        </w:rPr>
        <w:t xml:space="preserve">Nessuno di tali elementi è stato acquisito nella presente campagna. L'assenza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quarantaquattresimo — La produzione di falso in indagine in corso</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b/>
          <w:bCs/>
          <w:sz w:val="24"/>
          <w:szCs w:val="24"/>
        </w:rPr>
        <w:t xml:space="preserve">È accertato che fu diffuso, nel corso del periodo, un comunicato apocrifo che annunciava la morte del prigioniero e ne indicava il luogo di rinvenimento; che esso non proveniva dall'organizzazione, la quale lo smentì; che furono disposte in conseguenza operazioni di ricerca con impiego di mezzi; e che tali operazioni ebbero esito negativo.</w:t>
      </w:r>
    </w:p>
    <w:p>
      <w:pPr>
        <w:pStyle w:val="Heading2"/>
        <w:spacing w:after="100" w:before="200"/>
      </w:pPr>
      <w:r>
        <w:rPr>
          <w:rFonts w:ascii="Barlow Semi Condensed" w:cs="Barlow Semi Condensed" w:eastAsia="Barlow Semi Condensed" w:hAnsi="Barlow Semi Condensed"/>
          <w:sz w:val="24"/>
          <w:szCs w:val="24"/>
        </w:rPr>
        <w:t xml:space="preserve">La qualificazione della natura dell'atto</w:t>
      </w:r>
    </w:p>
    <w:p>
      <w:pPr>
        <w:spacing w:after="120" w:line="276"/>
        <w:jc w:val="both"/>
      </w:pPr>
      <w:r>
        <w:rPr>
          <w:rFonts w:ascii="Barlow Semi Condensed" w:cs="Barlow Semi Condensed" w:eastAsia="Barlow Semi Condensed" w:hAnsi="Barlow Semi Condensed"/>
          <w:b/>
          <w:bCs/>
          <w:sz w:val="24"/>
          <w:szCs w:val="24"/>
        </w:rPr>
        <w:t xml:space="preserve">Questa è la sola omissione della Fase la cui natura sia accertata senza residuo, e conviene dirlo perché è un punto fermo raro.</w:t>
      </w:r>
    </w:p>
    <w:p>
      <w:pPr>
        <w:spacing w:after="120" w:line="276"/>
        <w:jc w:val="both"/>
      </w:pPr>
      <w:r>
        <w:rPr>
          <w:rFonts w:ascii="Barlow Semi Condensed" w:cs="Barlow Semi Condensed" w:eastAsia="Barlow Semi Condensed" w:hAnsi="Barlow Semi Condensed"/>
          <w:b/>
          <w:bCs/>
          <w:sz w:val="24"/>
          <w:szCs w:val="24"/>
        </w:rPr>
        <w:t xml:space="preserve">Un comunicato apocrifo non si forma per errore. Esso richiede che qualcuno lo confezioni, lo confezioni in modo da risultare credibile, e lo immetta nel circuito in cui sarà ricevuto come autentico. Ciascuna di queste operazioni è deliberata per necessità logica.</w:t>
      </w:r>
    </w:p>
    <w:p>
      <w:pPr>
        <w:spacing w:after="120" w:line="276"/>
        <w:jc w:val="both"/>
      </w:pPr>
      <w:r>
        <w:rPr>
          <w:rFonts w:ascii="Barlow Semi Condensed" w:cs="Barlow Semi Condensed" w:eastAsia="Barlow Semi Condensed" w:hAnsi="Barlow Semi Condensed"/>
          <w:b/>
          <w:bCs/>
          <w:sz w:val="24"/>
          <w:szCs w:val="24"/>
        </w:rPr>
        <w:t xml:space="preserve">È dunque accertato, in stato di sciolto, che nel corso delle indagini fu compiuto un atto deliberato di produzione di falso.</w:t>
      </w:r>
    </w:p>
    <w:p>
      <w:pPr>
        <w:spacing w:after="120" w:line="276"/>
        <w:jc w:val="both"/>
      </w:pPr>
      <w:r>
        <w:rPr>
          <w:rFonts w:ascii="Barlow Semi Condensed" w:cs="Barlow Semi Condensed" w:eastAsia="Barlow Semi Condensed" w:hAnsi="Barlow Semi Condensed"/>
          <w:b/>
          <w:bCs/>
          <w:sz w:val="24"/>
          <w:szCs w:val="24"/>
        </w:rPr>
        <w:t xml:space="preserve">Si tratta della quarta tipologia del Capitolo quarantaduesimo: struttura commissiva, effetto omissivo.</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sono accertati né l'autore né la finalità.</w:t>
      </w:r>
    </w:p>
    <w:p>
      <w:pPr>
        <w:spacing w:after="120" w:line="276"/>
        <w:jc w:val="both"/>
      </w:pPr>
      <w:r>
        <w:rPr>
          <w:rFonts w:ascii="Barlow Semi Condensed" w:cs="Barlow Semi Condensed" w:eastAsia="Barlow Semi Condensed" w:hAnsi="Barlow Semi Condensed"/>
          <w:b/>
          <w:bCs/>
          <w:sz w:val="24"/>
          <w:szCs w:val="24"/>
        </w:rPr>
        <w:t xml:space="preserve">Le finalità astrattamente possibili sono più d'una, e conviene enumerarle perché la letteratura ne privilegia una sola.</w:t>
      </w:r>
    </w:p>
    <w:p>
      <w:pPr>
        <w:spacing w:after="120" w:line="276"/>
        <w:jc w:val="both"/>
      </w:pPr>
      <w:r>
        <w:rPr>
          <w:rFonts w:ascii="Barlow Semi Condensed" w:cs="Barlow Semi Condensed" w:eastAsia="Barlow Semi Condensed" w:hAnsi="Barlow Semi Condensed"/>
          <w:b/>
          <w:bCs/>
          <w:sz w:val="24"/>
          <w:szCs w:val="24"/>
        </w:rPr>
        <w:t xml:space="preserve">Prima: distrarre le ricerche da una zona verso un'altra.</w:t>
      </w:r>
    </w:p>
    <w:p>
      <w:pPr>
        <w:spacing w:after="120" w:line="276"/>
        <w:jc w:val="both"/>
      </w:pPr>
      <w:r>
        <w:rPr>
          <w:rFonts w:ascii="Barlow Semi Condensed" w:cs="Barlow Semi Condensed" w:eastAsia="Barlow Semi Condensed" w:hAnsi="Barlow Semi Condensed"/>
          <w:b/>
          <w:bCs/>
          <w:sz w:val="24"/>
          <w:szCs w:val="24"/>
        </w:rPr>
        <w:t xml:space="preserve">Seconda: saggiare la reazione delle istituzioni e dell'opinione pubblica all'annuncio della morte, in vista di essa.</w:t>
      </w:r>
    </w:p>
    <w:p>
      <w:pPr>
        <w:spacing w:after="120" w:line="276"/>
        <w:jc w:val="both"/>
      </w:pPr>
      <w:r>
        <w:rPr>
          <w:rFonts w:ascii="Barlow Semi Condensed" w:cs="Barlow Semi Condensed" w:eastAsia="Barlow Semi Condensed" w:hAnsi="Barlow Semi Condensed"/>
          <w:b/>
          <w:bCs/>
          <w:sz w:val="24"/>
          <w:szCs w:val="24"/>
        </w:rPr>
        <w:t xml:space="preserve">Terza: produrre un effetto psicologico sui destinatari e sulle trattative in corso.</w:t>
      </w:r>
    </w:p>
    <w:p>
      <w:pPr>
        <w:spacing w:after="120" w:line="276"/>
        <w:jc w:val="both"/>
      </w:pPr>
      <w:r>
        <w:rPr>
          <w:rFonts w:ascii="Barlow Semi Condensed" w:cs="Barlow Semi Condensed" w:eastAsia="Barlow Semi Condensed" w:hAnsi="Barlow Semi Condensed"/>
          <w:b/>
          <w:bCs/>
          <w:sz w:val="24"/>
          <w:szCs w:val="24"/>
        </w:rPr>
        <w:t xml:space="preserve">Quarta: agire per finalità estranee alla vicenda, quali il discredito di un ufficio o la produzione di confusione fine a sé stessa.</w:t>
      </w:r>
    </w:p>
    <w:p>
      <w:pPr>
        <w:spacing w:after="120" w:line="276"/>
        <w:jc w:val="both"/>
      </w:pPr>
      <w:r>
        <w:rPr>
          <w:rFonts w:ascii="Barlow Semi Condensed" w:cs="Barlow Semi Condensed" w:eastAsia="Barlow Semi Condensed" w:hAnsi="Barlow Semi Condensed"/>
          <w:b/>
          <w:bCs/>
          <w:sz w:val="24"/>
          <w:szCs w:val="24"/>
        </w:rPr>
        <w:t xml:space="preserve">Nessuna di queste è accertata e nessuna è esclusa. La materia è stata oggetto di accertamenti in sede giudiziaria e parlamentare che non hanno prodotto un accertamento definitivo dell'autore.</w:t>
      </w:r>
    </w:p>
    <w:p>
      <w:pPr>
        <w:pStyle w:val="Heading2"/>
        <w:spacing w:after="100" w:before="200"/>
      </w:pPr>
      <w:r>
        <w:rPr>
          <w:rFonts w:ascii="Barlow Semi Condensed" w:cs="Barlow Semi Condensed" w:eastAsia="Barlow Semi Condensed" w:hAnsi="Barlow Semi Condensed"/>
          <w:sz w:val="24"/>
          <w:szCs w:val="24"/>
        </w:rPr>
        <w:t xml:space="preserve">Il rilievo probatorio dell'accertato</w:t>
      </w:r>
    </w:p>
    <w:p>
      <w:pPr>
        <w:spacing w:after="120" w:line="276"/>
        <w:jc w:val="both"/>
      </w:pPr>
      <w:r>
        <w:rPr>
          <w:rFonts w:ascii="Barlow Semi Condensed" w:cs="Barlow Semi Condensed" w:eastAsia="Barlow Semi Condensed" w:hAnsi="Barlow Semi Condensed"/>
          <w:b/>
          <w:bCs/>
          <w:sz w:val="24"/>
          <w:szCs w:val="24"/>
        </w:rPr>
        <w:t xml:space="preserve">Occorre misurare esattamente che cosa questo elemento fornisca alla matrice, perché è quello che se ne discosta di più.</w:t>
      </w:r>
    </w:p>
    <w:p>
      <w:pPr>
        <w:spacing w:after="120" w:line="276"/>
        <w:jc w:val="both"/>
      </w:pPr>
      <w:r>
        <w:rPr>
          <w:rFonts w:ascii="Barlow Semi Condensed" w:cs="Barlow Semi Condensed" w:eastAsia="Barlow Semi Condensed" w:hAnsi="Barlow Semi Condensed"/>
          <w:b/>
          <w:bCs/>
          <w:sz w:val="24"/>
          <w:szCs w:val="24"/>
        </w:rPr>
        <w:t xml:space="preserve">Esso fornisce un dato che gli altri tre elementi non forniscono: la prova che, durante i cinquantacinque giorni, un soggetto rimasto ignoto compì un atto deliberato di interferenza nelle indagini.</w:t>
      </w:r>
    </w:p>
    <w:p>
      <w:pPr>
        <w:spacing w:after="120" w:line="276"/>
        <w:jc w:val="both"/>
      </w:pPr>
      <w:r>
        <w:rPr>
          <w:rFonts w:ascii="Barlow Semi Condensed" w:cs="Barlow Semi Condensed" w:eastAsia="Barlow Semi Condensed" w:hAnsi="Barlow Semi Condensed"/>
          <w:b/>
          <w:bCs/>
          <w:sz w:val="24"/>
          <w:szCs w:val="24"/>
        </w:rPr>
        <w:t xml:space="preserve">Questo è più di un errore e più di una inefficienza. È l'accertamento che, oltre ai rapitori e alle istituzioni, operò sulla vicenda un terzo soggetto con capacità di immettere falso nel circuito e con interesse a farlo.</w:t>
      </w:r>
    </w:p>
    <w:p>
      <w:pPr>
        <w:spacing w:after="120" w:line="276"/>
        <w:jc w:val="both"/>
      </w:pPr>
      <w:r>
        <w:rPr>
          <w:rFonts w:ascii="Barlow Semi Condensed" w:cs="Barlow Semi Condensed" w:eastAsia="Barlow Semi Condensed" w:hAnsi="Barlow Semi Condensed"/>
          <w:b/>
          <w:bCs/>
          <w:sz w:val="24"/>
          <w:szCs w:val="24"/>
        </w:rPr>
        <w:t xml:space="preserve">Che tale soggetto abbia avuto rapporto con i rapitori, con le istituzioni, con entrambi o con nessuno dei due, non è accertato. Ma la sua esistenza sì.</w:t>
      </w:r>
    </w:p>
    <w:p>
      <w:pPr>
        <w:pStyle w:val="Heading2"/>
        <w:spacing w:after="100" w:before="200"/>
      </w:pPr>
      <w:r>
        <w:rPr>
          <w:rFonts w:ascii="Barlow Semi Condensed" w:cs="Barlow Semi Condensed" w:eastAsia="Barlow Semi Condensed" w:hAnsi="Barlow Semi Condensed"/>
          <w:sz w:val="24"/>
          <w:szCs w:val="24"/>
        </w:rPr>
        <w:t xml:space="preserve">La conseguenza per la matrice</w:t>
      </w:r>
    </w:p>
    <w:p>
      <w:pPr>
        <w:spacing w:after="120" w:line="276"/>
        <w:jc w:val="both"/>
      </w:pPr>
      <w:r>
        <w:rPr>
          <w:rFonts w:ascii="Barlow Semi Condensed" w:cs="Barlow Semi Condensed" w:eastAsia="Barlow Semi Condensed" w:hAnsi="Barlow Semi Condensed"/>
          <w:b/>
          <w:bCs/>
          <w:sz w:val="24"/>
          <w:szCs w:val="24"/>
        </w:rPr>
        <w:t xml:space="preserve">Il Capitolo quarantanovesimo riprenderà l'elemento in sede di revisione della matrice. Si anticipa qui la ragione della sua rilevanza: il primo genere di ipotesi della Fase Seconda — movente dichiarato, esecuzione autonoma — deve spiegare questo elemento come atto di un terzo estraneo, il che è possibile ma costituisce una aggiunta al genere; mentre il secondo e il quarto genere lo assorbono senza aggiunte.</w:t>
      </w:r>
    </w:p>
    <w:p>
      <w:pPr>
        <w:spacing w:after="120" w:line="276"/>
        <w:jc w:val="both"/>
      </w:pPr>
      <w:r>
        <w:rPr>
          <w:rFonts w:ascii="Barlow Semi Condensed" w:cs="Barlow Semi Condensed" w:eastAsia="Barlow Semi Condensed" w:hAnsi="Barlow Semi Condensed"/>
          <w:b/>
          <w:bCs/>
          <w:sz w:val="24"/>
          <w:szCs w:val="24"/>
        </w:rPr>
        <w:t xml:space="preserve">Non si tratta di una prova a favore di alcuno dei generi. Si tratta di un elemento che ha costo diverso per generi diversi, e il costo è misurabile.</w:t>
      </w:r>
    </w:p>
    <w:p>
      <w:pPr>
        <w:pStyle w:val="Heading2"/>
        <w:spacing w:after="100" w:before="200"/>
      </w:pPr>
      <w:r>
        <w:rPr>
          <w:rFonts w:ascii="Barlow Semi Condensed" w:cs="Barlow Semi Condensed" w:eastAsia="Barlow Semi Condensed" w:hAnsi="Barlow Semi Condensed"/>
          <w:sz w:val="24"/>
          <w:szCs w:val="24"/>
        </w:rPr>
        <w:t xml:space="preserve">Capitolo quarantacinquesimo — L'esito nullo della ricerca eccezionale</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b/>
          <w:bCs/>
          <w:sz w:val="24"/>
          <w:szCs w:val="24"/>
        </w:rPr>
        <w:t xml:space="preserve">È accertato che per cinquantacinque giorni fu condotta una ricerca di dimensioni senza precedenti nella storia repubblicana, con impiego di risorse eccezionali, e che essa non produsse la localizzazione del prigioniero.</w:t>
      </w:r>
    </w:p>
    <w:p>
      <w:pPr>
        <w:pStyle w:val="Heading2"/>
        <w:spacing w:after="100" w:before="200"/>
      </w:pPr>
      <w:r>
        <w:rPr>
          <w:rFonts w:ascii="Barlow Semi Condensed" w:cs="Barlow Semi Condensed" w:eastAsia="Barlow Semi Condensed" w:hAnsi="Barlow Semi Condensed"/>
          <w:sz w:val="24"/>
          <w:szCs w:val="24"/>
        </w:rPr>
        <w:t xml:space="preserve">Il test e la sua difficoltà propria</w:t>
      </w:r>
    </w:p>
    <w:p>
      <w:pPr>
        <w:spacing w:after="120" w:line="276"/>
        <w:jc w:val="both"/>
      </w:pPr>
      <w:r>
        <w:rPr>
          <w:rFonts w:ascii="Barlow Semi Condensed" w:cs="Barlow Semi Condensed" w:eastAsia="Barlow Semi Condensed" w:hAnsi="Barlow Semi Condensed"/>
          <w:b/>
          <w:bCs/>
          <w:sz w:val="24"/>
          <w:szCs w:val="24"/>
        </w:rPr>
        <w:t xml:space="preserve">Questo elemento appartiene alla seconda tipologia — omissione di adeguatezza — ed è quello nel quale il pericolo del giudizio a posteriori è massimo.</w:t>
      </w:r>
    </w:p>
    <w:p>
      <w:pPr>
        <w:spacing w:after="120" w:line="276"/>
        <w:jc w:val="both"/>
      </w:pPr>
      <w:r>
        <w:rPr>
          <w:rFonts w:ascii="Barlow Semi Condensed" w:cs="Barlow Semi Condensed" w:eastAsia="Barlow Semi Condensed" w:hAnsi="Barlow Semi Condensed"/>
          <w:b/>
          <w:bCs/>
          <w:sz w:val="24"/>
          <w:szCs w:val="24"/>
        </w:rPr>
        <w:t xml:space="preserve">Primo tempo, il dovere. Sussisteva il dovere di ricercare, ed è documentato. Il dovere di trovare non sussiste e non può sussistere: nessun ordinamento impone un risultato che non dipende soltanto da chi deve conseguirlo.</w:t>
      </w:r>
    </w:p>
    <w:p>
      <w:pPr>
        <w:spacing w:after="120" w:line="276"/>
        <w:jc w:val="both"/>
      </w:pPr>
      <w:r>
        <w:rPr>
          <w:rFonts w:ascii="Barlow Semi Condensed" w:cs="Barlow Semi Condensed" w:eastAsia="Barlow Semi Condensed" w:hAnsi="Barlow Semi Condensed"/>
          <w:b/>
          <w:bCs/>
          <w:sz w:val="24"/>
          <w:szCs w:val="24"/>
        </w:rPr>
        <w:t xml:space="preserve">Secondo tempo, l'inadempimento. Qui occorre la massima cautela. Il mancato conseguimento del risultato non è, di per sé, inadempimento. Perché lo sia, occorre stabilire che le modalità impiegate fossero inidonee secondo criteri conoscibili all'epoca.</w:t>
      </w:r>
    </w:p>
    <w:p>
      <w:pPr>
        <w:spacing w:after="120" w:line="276"/>
        <w:jc w:val="both"/>
      </w:pPr>
      <w:r>
        <w:rPr>
          <w:rFonts w:ascii="Barlow Semi Condensed" w:cs="Barlow Semi Condensed" w:eastAsia="Barlow Semi Condensed" w:hAnsi="Barlow Semi Condensed"/>
          <w:b/>
          <w:bCs/>
          <w:sz w:val="24"/>
          <w:szCs w:val="24"/>
        </w:rPr>
        <w:t xml:space="preserve">Terzo tempo, la spiegabilità. Vi si perviene solo se il secondo è concluso positivamente.</w:t>
      </w:r>
    </w:p>
    <w:p>
      <w:pPr>
        <w:pStyle w:val="Heading2"/>
        <w:spacing w:after="100" w:before="200"/>
      </w:pPr>
      <w:r>
        <w:rPr>
          <w:rFonts w:ascii="Barlow Semi Condensed" w:cs="Barlow Semi Condensed" w:eastAsia="Barlow Semi Condensed" w:hAnsi="Barlow Semi Condensed"/>
          <w:sz w:val="24"/>
          <w:szCs w:val="24"/>
        </w:rPr>
        <w:t xml:space="preserve">Il problema del riferimento</w:t>
      </w:r>
    </w:p>
    <w:p>
      <w:pPr>
        <w:spacing w:after="120" w:line="276"/>
        <w:jc w:val="both"/>
      </w:pPr>
      <w:r>
        <w:rPr>
          <w:rFonts w:ascii="Barlow Semi Condensed" w:cs="Barlow Semi Condensed" w:eastAsia="Barlow Semi Condensed" w:hAnsi="Barlow Semi Condensed"/>
          <w:b/>
          <w:bCs/>
          <w:sz w:val="24"/>
          <w:szCs w:val="24"/>
        </w:rPr>
        <w:t xml:space="preserve">Il secondo tempo non si conclude, in questo caso, per una ragione che va esposta perché è istruttiva e vale oltre il caso.</w:t>
      </w:r>
    </w:p>
    <w:p>
      <w:pPr>
        <w:spacing w:after="120" w:line="276"/>
        <w:jc w:val="both"/>
      </w:pPr>
      <w:r>
        <w:rPr>
          <w:rFonts w:ascii="Barlow Semi Condensed" w:cs="Barlow Semi Condensed" w:eastAsia="Barlow Semi Condensed" w:hAnsi="Barlow Semi Condensed"/>
          <w:b/>
          <w:bCs/>
          <w:sz w:val="24"/>
          <w:szCs w:val="24"/>
        </w:rPr>
        <w:t xml:space="preserve">Per stabilire che una ricerca fu inadeguata occorre un termine di riferimento: quale esito avrebbe prodotto una ricerca adeguata nelle medesime condizioni. Tale termine non è disponibile, e non lo è per ragioni strutturali.</w:t>
      </w:r>
    </w:p>
    <w:p>
      <w:pPr>
        <w:spacing w:after="120" w:line="276"/>
        <w:jc w:val="both"/>
      </w:pPr>
      <w:r>
        <w:rPr>
          <w:rFonts w:ascii="Barlow Semi Condensed" w:cs="Barlow Semi Condensed" w:eastAsia="Barlow Semi Condensed" w:hAnsi="Barlow Semi Condensed"/>
          <w:b/>
          <w:bCs/>
          <w:sz w:val="24"/>
          <w:szCs w:val="24"/>
        </w:rPr>
        <w:t xml:space="preserve">La ricerca di una persona occultata in un appartamento di una città di milioni di abitanti, da parte di una organizzazione dotata di capacità di occultamento documentata, è impresa il cui tasso di riuscita non è noto perché i casi comparabili sono pochissimi. Non esiste, per questo genere di operazione, una base statistica che consenta di dire quale esito sia normale e quale anomalo.</w:t>
      </w:r>
    </w:p>
    <w:p>
      <w:pPr>
        <w:spacing w:after="120" w:line="276"/>
        <w:jc w:val="both"/>
      </w:pPr>
      <w:r>
        <w:rPr>
          <w:rFonts w:ascii="Barlow Semi Condensed" w:cs="Barlow Semi Condensed" w:eastAsia="Barlow Semi Condensed" w:hAnsi="Barlow Semi Condensed"/>
          <w:b/>
          <w:bCs/>
          <w:sz w:val="24"/>
          <w:szCs w:val="24"/>
        </w:rPr>
        <w:t xml:space="preserve">Ne segue che l'affermazione secondo cui la ricerca avrebbe dovuto riuscire non è verificabile. Essa poggia su una intuizione — con tante risorse impiegate, era impossibile non trovare — che è precisamente il tipo di intuizione che il metodo esiste per non accettare.</w:t>
      </w:r>
    </w:p>
    <w:p>
      <w:pPr>
        <w:pStyle w:val="Heading2"/>
        <w:spacing w:after="100" w:before="200"/>
      </w:pPr>
      <w:r>
        <w:rPr>
          <w:rFonts w:ascii="Barlow Semi Condensed" w:cs="Barlow Semi Condensed" w:eastAsia="Barlow Semi Condensed" w:hAnsi="Barlow Semi Condensed"/>
          <w:sz w:val="24"/>
          <w:szCs w:val="24"/>
        </w:rPr>
        <w:t xml:space="preserve">Che cosa si registra</w:t>
      </w:r>
    </w:p>
    <w:p>
      <w:pPr>
        <w:spacing w:after="120" w:line="276"/>
        <w:jc w:val="both"/>
      </w:pPr>
      <w:r>
        <w:rPr>
          <w:rFonts w:ascii="Barlow Semi Condensed" w:cs="Barlow Semi Condensed" w:eastAsia="Barlow Semi Condensed" w:hAnsi="Barlow Semi Condensed"/>
          <w:b/>
          <w:bCs/>
          <w:sz w:val="24"/>
          <w:szCs w:val="24"/>
        </w:rPr>
        <w:t xml:space="preserve">Si registra dunque: esito nullo accertato; dimensione eccezionale delle risorse accertata; inadeguatezza non accertata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Si registra altresì che tale difetto non è colmabile con l'argomentazione, ma soltanto con l'esame analitico degli atti: quali zone furono controllate, con quali modalità, secondo quali criteri di selezione, e se il criterio di selezione delle zone escluse fosse motivato.</w:t>
      </w:r>
    </w:p>
    <w:p>
      <w:pPr>
        <w:spacing w:after="120" w:line="276"/>
        <w:jc w:val="both"/>
      </w:pPr>
      <w:r>
        <w:rPr>
          <w:rFonts w:ascii="Barlow Semi Condensed" w:cs="Barlow Semi Condensed" w:eastAsia="Barlow Semi Condensed" w:hAnsi="Barlow Semi Condensed"/>
          <w:b/>
          <w:bCs/>
          <w:sz w:val="24"/>
          <w:szCs w:val="24"/>
        </w:rPr>
        <w:t xml:space="preserve">Questo esame non è stato condotto nella presente campagna, e la documentazione che lo consentirebbe non è stata acquisita. È iscritto in tavola come la prima delle voci di questa Fase, perché è quella dalla quale dipende la qualificazione dell'elemento di maggior peso apparente dell'intero caso.</w:t>
      </w:r>
    </w:p>
    <w:p>
      <w:pPr>
        <w:pStyle w:val="Heading2"/>
        <w:spacing w:after="100" w:before="200"/>
      </w:pPr>
      <w:r>
        <w:rPr>
          <w:rFonts w:ascii="Barlow Semi Condensed" w:cs="Barlow Semi Condensed" w:eastAsia="Barlow Semi Condensed" w:hAnsi="Barlow Semi Condensed"/>
          <w:sz w:val="24"/>
          <w:szCs w:val="24"/>
        </w:rPr>
        <w:t xml:space="preserve">Una osservazione sulla natura dell'esito nullo</w:t>
      </w:r>
    </w:p>
    <w:p>
      <w:pPr>
        <w:spacing w:after="120" w:line="276"/>
        <w:jc w:val="both"/>
      </w:pPr>
      <w:r>
        <w:rPr>
          <w:rFonts w:ascii="Barlow Semi Condensed" w:cs="Barlow Semi Condensed" w:eastAsia="Barlow Semi Condensed" w:hAnsi="Barlow Semi Condensed"/>
          <w:b/>
          <w:bCs/>
          <w:sz w:val="24"/>
          <w:szCs w:val="24"/>
        </w:rPr>
        <w:t xml:space="preserve">Va aggiunta una osservazione che appartiene alla disciplina degli Stati Zero.</w:t>
      </w:r>
    </w:p>
    <w:p>
      <w:pPr>
        <w:spacing w:after="120" w:line="276"/>
        <w:jc w:val="both"/>
      </w:pPr>
      <w:r>
        <w:rPr>
          <w:rFonts w:ascii="Barlow Semi Condensed" w:cs="Barlow Semi Condensed" w:eastAsia="Barlow Semi Condensed" w:hAnsi="Barlow Semi Condensed"/>
          <w:b/>
          <w:bCs/>
          <w:sz w:val="24"/>
          <w:szCs w:val="24"/>
        </w:rPr>
        <w:t xml:space="preserve">L'esito nullo di questa ricerca è, come tutti gli esiti nulli, una acquisizione di pieno valore. Ma il suo valore è quello di un dato che chiede spiegazione, non quello di una spiegazione. Esso è compatibile con tutte e tre le ipotesi — inefficienza, ostacolo, simulazione — e non discrimina fra esse.</w:t>
      </w:r>
    </w:p>
    <w:p>
      <w:pPr>
        <w:spacing w:after="120" w:line="276"/>
        <w:jc w:val="both"/>
      </w:pPr>
      <w:r>
        <w:rPr>
          <w:rFonts w:ascii="Barlow Semi Condensed" w:cs="Barlow Semi Condensed" w:eastAsia="Barlow Semi Condensed" w:hAnsi="Barlow Semi Condensed"/>
          <w:b/>
          <w:bCs/>
          <w:sz w:val="24"/>
          <w:szCs w:val="24"/>
        </w:rPr>
        <w:t xml:space="preserve">Chi lo impieghi come se discriminasse compie l'operazione che il Capitolo diciottesimo ha descritta a proposito dello scarto: colma una lacuna esplicativa con un soggetto, e attribuisce alla lacuna la selezione del soggetto che invece proviene da altrove.</w:t>
      </w:r>
    </w:p>
    <w:p>
      <w:pPr>
        <w:pStyle w:val="Heading2"/>
        <w:spacing w:after="100" w:before="200"/>
      </w:pPr>
      <w:r>
        <w:rPr>
          <w:rFonts w:ascii="Barlow Semi Condensed" w:cs="Barlow Semi Condensed" w:eastAsia="Barlow Semi Condensed" w:hAnsi="Barlow Semi Condensed"/>
          <w:sz w:val="24"/>
          <w:szCs w:val="24"/>
        </w:rPr>
        <w:t xml:space="preserve">Capitolo quarantaseiesimo — 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Il fatto e il marcatore</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effettuato a Milano nell'ottobre 1978 non fu esaustivo, essendo stato effettuato nel medesimo immobile, dodici anni dopo, un secondo rinvenimento di documenti collocati in una intercapedine.</w:t>
      </w:r>
    </w:p>
    <w:p>
      <w:pPr>
        <w:spacing w:after="120" w:line="276"/>
        <w:jc w:val="both"/>
      </w:pPr>
      <w:r>
        <w:rPr>
          <w:rFonts w:ascii="Barlow Semi Condensed" w:cs="Barlow Semi Condensed" w:eastAsia="Barlow Semi Condensed" w:hAnsi="Barlow Semi Condensed"/>
          <w:b/>
          <w:bCs/>
          <w:sz w:val="24"/>
          <w:szCs w:val="24"/>
        </w:rPr>
        <w:t xml:space="preserve">Il marcatore di spoliazione, apposto nella Fase Terza e confermato nella Fase Quarta, è qui esaminato nella sua sede propria.</w:t>
      </w:r>
    </w:p>
    <w:p>
      <w:pPr>
        <w:pStyle w:val="Heading2"/>
        <w:spacing w:after="100" w:before="200"/>
      </w:pPr>
      <w:r>
        <w:rPr>
          <w:rFonts w:ascii="Barlow Semi Condensed" w:cs="Barlow Semi Condensed" w:eastAsia="Barlow Semi Condensed" w:hAnsi="Barlow Semi Condensed"/>
          <w:sz w:val="24"/>
          <w:szCs w:val="24"/>
        </w:rPr>
        <w:t xml:space="preserve">Il test</w:t>
      </w:r>
    </w:p>
    <w:p>
      <w:pPr>
        <w:spacing w:after="120" w:line="276"/>
        <w:jc w:val="both"/>
      </w:pPr>
      <w:r>
        <w:rPr>
          <w:rFonts w:ascii="Barlow Semi Condensed" w:cs="Barlow Semi Condensed" w:eastAsia="Barlow Semi Condensed" w:hAnsi="Barlow Semi Condensed"/>
          <w:b/>
          <w:bCs/>
          <w:sz w:val="24"/>
          <w:szCs w:val="24"/>
        </w:rPr>
        <w:t xml:space="preserve">Primo tempo, il dovere. Sussisteva il dovere di procedere a perquisizione completa dei luoghi. La fonte del dovere è normativa e non richiede accertamento specifico.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in modo incontrovertibile: materiale rilevante era nel luogo e non fu acquisito. A differenza del Capitolo precedente, qui non vi è problema di termine di riferimento, perché non si tratta di valutare se una ricerca avrebbe dovuto riuscire: si tratta di constatare che ciò che era nel luogo perquisito non fu rinvenuto. L'inadempimento è accertato.</w:t>
      </w:r>
    </w:p>
    <w:p>
      <w:pPr>
        <w:spacing w:after="120" w:line="276"/>
        <w:jc w:val="both"/>
      </w:pPr>
      <w:r>
        <w:rPr>
          <w:rFonts w:ascii="Barlow Semi Condensed" w:cs="Barlow Semi Condensed" w:eastAsia="Barlow Semi Condensed" w:hAnsi="Barlow Semi Condensed"/>
          <w:b/>
          <w:bCs/>
          <w:sz w:val="24"/>
          <w:szCs w:val="24"/>
        </w:rPr>
        <w:t xml:space="preserve">Terzo tempo, la spiegabilità. Tre spiegazioni sono aperte, già enunciate nella Fase Quarta: limite tecnico degli strumenti impiegati; limite di conduzione, per criteri che non prevedevano l'esame delle strutture murarie; condotta deliberata, con rilievo del materiale e mancata acquisizione.</w:t>
      </w:r>
    </w:p>
    <w:p>
      <w:pPr>
        <w:pStyle w:val="Heading2"/>
        <w:spacing w:after="100" w:before="200"/>
      </w:pPr>
      <w:r>
        <w:rPr>
          <w:rFonts w:ascii="Barlow Semi Condensed" w:cs="Barlow Semi Condensed" w:eastAsia="Barlow Semi Condensed" w:hAnsi="Barlow Semi Condensed"/>
          <w:sz w:val="24"/>
          <w:szCs w:val="24"/>
        </w:rPr>
        <w:t xml:space="preserve">La discriminazione fra le tre spiegazioni</w:t>
      </w:r>
    </w:p>
    <w:p>
      <w:pPr>
        <w:spacing w:after="120" w:line="276"/>
        <w:jc w:val="both"/>
      </w:pPr>
      <w:r>
        <w:rPr>
          <w:rFonts w:ascii="Barlow Semi Condensed" w:cs="Barlow Semi Condensed" w:eastAsia="Barlow Semi Condensed" w:hAnsi="Barlow Semi Condensed"/>
          <w:b/>
          <w:bCs/>
          <w:sz w:val="24"/>
          <w:szCs w:val="24"/>
        </w:rPr>
        <w:t xml:space="preserve">A differenza degli altri elementi di questa Fase, qui la discriminazione è possibile in linea di principio, e conviene indicare come.</w:t>
      </w:r>
    </w:p>
    <w:p>
      <w:pPr>
        <w:spacing w:after="120" w:line="276"/>
        <w:jc w:val="both"/>
      </w:pPr>
      <w:r>
        <w:rPr>
          <w:rFonts w:ascii="Barlow Semi Condensed" w:cs="Barlow Semi Condensed" w:eastAsia="Barlow Semi Condensed" w:hAnsi="Barlow Semi Condensed"/>
          <w:b/>
          <w:bCs/>
          <w:sz w:val="24"/>
          <w:szCs w:val="24"/>
        </w:rPr>
        <w:t xml:space="preserve">Le prime due spiegazioni predicono che la documentazione della prima operazione non contenga menzione di esame delle strutture murarie, e che gli strumenti impiegati non fossero idonei a rilevare intercapedini.</w:t>
      </w:r>
    </w:p>
    <w:p>
      <w:pPr>
        <w:spacing w:after="120" w:line="276"/>
        <w:jc w:val="both"/>
      </w:pPr>
      <w:r>
        <w:rPr>
          <w:rFonts w:ascii="Barlow Semi Condensed" w:cs="Barlow Semi Condensed" w:eastAsia="Barlow Semi Condensed" w:hAnsi="Barlow Semi Condensed"/>
          <w:b/>
          <w:bCs/>
          <w:sz w:val="24"/>
          <w:szCs w:val="24"/>
        </w:rPr>
        <w:t xml:space="preserve">La terza spiegazione predice che l'esame vi fu, o che gli strumenti fossero idonei, e che ciò nondimeno il materiale non fu acquisito.</w:t>
      </w:r>
    </w:p>
    <w:p>
      <w:pPr>
        <w:spacing w:after="120" w:line="276"/>
        <w:jc w:val="both"/>
      </w:pPr>
      <w:r>
        <w:rPr>
          <w:rFonts w:ascii="Barlow Semi Condensed" w:cs="Barlow Semi Condensed" w:eastAsia="Barlow Semi Condensed" w:hAnsi="Barlow Semi Condensed"/>
          <w:b/>
          <w:bCs/>
          <w:sz w:val="24"/>
          <w:szCs w:val="24"/>
        </w:rPr>
        <w:t xml:space="preserve">Le due predizioni sono incompatibili e sono verificabili sui medesimi atti: i verbali della prima operazione, la descrizione delle modalità, l'elenco degli strumenti impiegati.</w:t>
      </w:r>
    </w:p>
    <w:p>
      <w:pPr>
        <w:spacing w:after="120" w:line="276"/>
        <w:jc w:val="both"/>
      </w:pPr>
      <w:r>
        <w:rPr>
          <w:rFonts w:ascii="Barlow Semi Condensed" w:cs="Barlow Semi Condensed" w:eastAsia="Barlow Semi Condensed" w:hAnsi="Barlow Semi Condensed"/>
          <w:b/>
          <w:bCs/>
          <w:sz w:val="24"/>
          <w:szCs w:val="24"/>
        </w:rPr>
        <w:t xml:space="preserve">Questo è, allo stato, il punto dell'intera Fase nel quale una acquisizione documentale determinata produrrebbe uno scioglimento determinato. Si segnala come tale, perché la pressione indica dove il lavoro rende, e qui rende più che altrove.</w:t>
      </w:r>
    </w:p>
    <w:p>
      <w:pPr>
        <w:pStyle w:val="Heading2"/>
        <w:spacing w:after="100" w:before="200"/>
      </w:pPr>
      <w:r>
        <w:rPr>
          <w:rFonts w:ascii="Barlow Semi Condensed" w:cs="Barlow Semi Condensed" w:eastAsia="Barlow Semi Condensed" w:hAnsi="Barlow Semi Condensed"/>
          <w:sz w:val="24"/>
          <w:szCs w:val="24"/>
        </w:rPr>
        <w:t xml:space="preserve">Ciò che il marcatore comporta comunque</w:t>
      </w:r>
    </w:p>
    <w:p>
      <w:pPr>
        <w:spacing w:after="120" w:line="276"/>
        <w:jc w:val="both"/>
      </w:pPr>
      <w:r>
        <w:rPr>
          <w:rFonts w:ascii="Barlow Semi Condensed" w:cs="Barlow Semi Condensed" w:eastAsia="Barlow Semi Condensed" w:hAnsi="Barlow Semi Condensed"/>
          <w:b/>
          <w:bCs/>
          <w:sz w:val="24"/>
          <w:szCs w:val="24"/>
        </w:rPr>
        <w:t xml:space="preserve">Indipendentemente da quale delle tre spiegazioni risulti fondata, il marcatore comporta una conseguenza già enunciata nella Fase Quarta e qui confermata: la completezza del corpus documentale complessivamente disponibile su questa vicenda non può essere presunta.</w:t>
      </w:r>
    </w:p>
    <w:p>
      <w:pPr>
        <w:spacing w:after="120" w:line="276"/>
        <w:jc w:val="both"/>
      </w:pPr>
      <w:r>
        <w:rPr>
          <w:rFonts w:ascii="Barlow Semi Condensed" w:cs="Barlow Semi Condensed" w:eastAsia="Barlow Semi Condensed" w:hAnsi="Barlow Semi Condensed"/>
          <w:b/>
          <w:bCs/>
          <w:sz w:val="24"/>
          <w:szCs w:val="24"/>
        </w:rPr>
        <w:t xml:space="preserve">La conseguenza è generale e permanente. Essa non dipende dalla causa dell'incompletezza accertata, ma dalla sua esistenza: se una operazione si è rivelata incompleta, la presunzione di completezza cade per l'insieme, non perché sia probabile che altre lo siano, ma perché la presunzione era fondata su una fiducia che un caso accertato ha smentito.</w:t>
      </w:r>
    </w:p>
    <w:p>
      <w:pPr>
        <w:pStyle w:val="Heading2"/>
        <w:spacing w:after="100" w:before="200"/>
      </w:pPr>
      <w:r>
        <w:rPr>
          <w:rFonts w:ascii="Barlow Semi Condensed" w:cs="Barlow Semi Condensed" w:eastAsia="Barlow Semi Condensed" w:hAnsi="Barlow Semi Condensed"/>
          <w:sz w:val="24"/>
          <w:szCs w:val="24"/>
        </w:rPr>
        <w:t xml:space="preserve">Il rilievo comparativo</w:t>
      </w:r>
    </w:p>
    <w:p>
      <w:pPr>
        <w:spacing w:after="120" w:line="276"/>
        <w:jc w:val="both"/>
      </w:pPr>
      <w:r>
        <w:rPr>
          <w:rFonts w:ascii="Barlow Semi Condensed" w:cs="Barlow Semi Condensed" w:eastAsia="Barlow Semi Condensed" w:hAnsi="Barlow Semi Condensed"/>
          <w:b/>
          <w:bCs/>
          <w:sz w:val="24"/>
          <w:szCs w:val="24"/>
        </w:rPr>
        <w:t xml:space="preserve">Si osservi la differenza fra questo elemento e quello del Capitolo precedente, perché essa illustra il funzionamento del test.</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ha grande peso apparente e non supera il secondo tempo,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ha peso apparente minore e supera il secondo tempo senza difficoltà, perché non richiede alcuna valutazione di adeguatezza: richiede una constatazione.</w:t>
      </w:r>
    </w:p>
    <w:p>
      <w:pPr>
        <w:spacing w:after="120" w:line="276"/>
        <w:jc w:val="both"/>
      </w:pPr>
      <w:r>
        <w:rPr>
          <w:rFonts w:ascii="Barlow Semi Condensed" w:cs="Barlow Semi Condensed" w:eastAsia="Barlow Semi Condensed" w:hAnsi="Barlow Semi Condensed"/>
          <w:b/>
          <w:bCs/>
          <w:sz w:val="24"/>
          <w:szCs w:val="24"/>
        </w:rPr>
        <w:t xml:space="preserve">Il peso apparente e il rendimento probatorio non coincidono. È una delle ragioni per le quali il metodo esiste.</w:t>
      </w:r>
    </w:p>
    <w:p>
      <w:pPr>
        <w:pStyle w:val="Heading2"/>
        <w:spacing w:after="100" w:before="200"/>
      </w:pPr>
      <w:r>
        <w:rPr>
          <w:rFonts w:ascii="Barlow Semi Condensed" w:cs="Barlow Semi Condensed" w:eastAsia="Barlow Semi Condensed" w:hAnsi="Barlow Semi Condensed"/>
          <w:sz w:val="24"/>
          <w:szCs w:val="24"/>
        </w:rPr>
        <w:t xml:space="preserve">Capitolo quarantasettesimo — Il problema della soglia</w:t>
      </w:r>
    </w:p>
    <w:p>
      <w:pPr>
        <w:spacing w:after="120" w:line="276"/>
        <w:jc w:val="both"/>
      </w:pPr>
      <w:r>
        <w:rPr>
          <w:rFonts w:ascii="Barlow Semi Condensed" w:cs="Barlow Semi Condensed" w:eastAsia="Barlow Semi Condensed" w:hAnsi="Barlow Semi Condensed"/>
          <w:b/>
          <w:bCs/>
          <w:sz w:val="24"/>
          <w:szCs w:val="24"/>
        </w:rPr>
        <w:t xml:space="preserve">Si affronta qui il problema centrale del terzo tempo del test, e il più difficile dell'intera opera: quando l'accumulo di inadempimenti cessi di essere spiegabile con l'errore.</w:t>
      </w:r>
    </w:p>
    <w:p>
      <w:pPr>
        <w:pStyle w:val="Heading2"/>
        <w:spacing w:after="100" w:before="200"/>
      </w:pPr>
      <w:r>
        <w:rPr>
          <w:rFonts w:ascii="Barlow Semi Condensed" w:cs="Barlow Semi Condensed" w:eastAsia="Barlow Semi Condensed" w:hAnsi="Barlow Semi Condensed"/>
          <w:sz w:val="24"/>
          <w:szCs w:val="24"/>
        </w:rPr>
        <w:t xml:space="preserve">L'argomento e la sua forza</w:t>
      </w:r>
    </w:p>
    <w:p>
      <w:pPr>
        <w:spacing w:after="120" w:line="276"/>
        <w:jc w:val="both"/>
      </w:pPr>
      <w:r>
        <w:rPr>
          <w:rFonts w:ascii="Barlow Semi Condensed" w:cs="Barlow Semi Condensed" w:eastAsia="Barlow Semi Condensed" w:hAnsi="Barlow Semi Condensed"/>
          <w:b/>
          <w:bCs/>
          <w:sz w:val="24"/>
          <w:szCs w:val="24"/>
        </w:rPr>
        <w:t xml:space="preserve">L'argomento è noto e ha una forza intuitiva considerevole. Un errore è un errore. Due errori sono due errori. Ma dieci errori, tutti nella medesima direzione, tutti favorevoli al medesimo esito, non sono più dieci errori: sono un disegno.</w:t>
      </w:r>
    </w:p>
    <w:p>
      <w:pPr>
        <w:spacing w:after="120" w:line="276"/>
        <w:jc w:val="both"/>
      </w:pPr>
      <w:r>
        <w:rPr>
          <w:rFonts w:ascii="Barlow Semi Condensed" w:cs="Barlow Semi Condensed" w:eastAsia="Barlow Semi Condensed" w:hAnsi="Barlow Semi Condensed"/>
          <w:b/>
          <w:bCs/>
          <w:sz w:val="24"/>
          <w:szCs w:val="24"/>
        </w:rPr>
        <w:t xml:space="preserve">L'argomento è impiegato costantemente nella letteratura su questa materia, ed è impiegato anche fuori di essa, nella vita corrente e nei tribunali. Esso non è assurdo. La domanda è se sia valido, e a quali condizioni.</w:t>
      </w:r>
    </w:p>
    <w:p>
      <w:pPr>
        <w:pStyle w:val="Heading2"/>
        <w:spacing w:after="100" w:before="200"/>
      </w:pPr>
      <w:r>
        <w:rPr>
          <w:rFonts w:ascii="Barlow Semi Condensed" w:cs="Barlow Semi Condensed" w:eastAsia="Barlow Semi Condensed" w:hAnsi="Barlow Semi Condensed"/>
          <w:sz w:val="24"/>
          <w:szCs w:val="24"/>
        </w:rPr>
        <w:t xml:space="preserve">Le tre condizioni di validità</w:t>
      </w:r>
    </w:p>
    <w:p>
      <w:pPr>
        <w:spacing w:after="120" w:line="276"/>
        <w:jc w:val="both"/>
      </w:pPr>
      <w:r>
        <w:rPr>
          <w:rFonts w:ascii="Barlow Semi Condensed" w:cs="Barlow Semi Condensed" w:eastAsia="Barlow Semi Condensed" w:hAnsi="Barlow Semi Condensed"/>
          <w:b/>
          <w:bCs/>
          <w:sz w:val="24"/>
          <w:szCs w:val="24"/>
        </w:rPr>
        <w:t xml:space="preserve">L'argomento è valido se e solo se tre condizioni sono soddisfatte simultaneamente. Esse sono raramente verificate, e quasi mai dichiarate.</w:t>
      </w:r>
    </w:p>
    <w:p>
      <w:pPr>
        <w:spacing w:after="120" w:line="276"/>
        <w:jc w:val="both"/>
      </w:pPr>
      <w:r>
        <w:rPr>
          <w:rFonts w:ascii="Barlow Semi Condensed" w:cs="Barlow Semi Condensed" w:eastAsia="Barlow Semi Condensed" w:hAnsi="Barlow Semi Condensed"/>
          <w:b/>
          <w:bCs/>
          <w:sz w:val="24"/>
          <w:szCs w:val="24"/>
        </w:rPr>
        <w:t xml:space="preserve">Prima condizione: la base. Occorre conoscere il tasso ordinario di errore in operazioni comparabili. Dire che dieci errori sono troppi presuppone di sapere quanti ne siano normali. Se il tasso ordinario è ignoto, l'affermazione che dieci siano troppi non è una misura: è una impressione.</w:t>
      </w:r>
    </w:p>
    <w:p>
      <w:pPr>
        <w:spacing w:after="120" w:line="276"/>
        <w:jc w:val="both"/>
      </w:pPr>
      <w:r>
        <w:rPr>
          <w:rFonts w:ascii="Barlow Semi Condensed" w:cs="Barlow Semi Condensed" w:eastAsia="Barlow Semi Condensed" w:hAnsi="Barlow Semi Condensed"/>
          <w:b/>
          <w:bCs/>
          <w:sz w:val="24"/>
          <w:szCs w:val="24"/>
        </w:rPr>
        <w:t xml:space="preserve">Seconda condizione: l'indipendenza. Occorre che gli errori siano indipendenti fra loro. Se un errore iniziale ne produce altri per conseguenza — una informazione mal valutata che indirizza tutte le verifiche successive — allora dieci errori conseguenti non sono dieci eventi, ma uno solo con nove ripercussioni. La moltiplicazione apparente è un artefatto del conteggio.</w:t>
      </w:r>
    </w:p>
    <w:p>
      <w:pPr>
        <w:spacing w:after="120" w:line="276"/>
        <w:jc w:val="both"/>
      </w:pPr>
      <w:r>
        <w:rPr>
          <w:rFonts w:ascii="Barlow Semi Condensed" w:cs="Barlow Semi Condensed" w:eastAsia="Barlow Semi Condensed" w:hAnsi="Barlow Semi Condensed"/>
          <w:b/>
          <w:bCs/>
          <w:sz w:val="24"/>
          <w:szCs w:val="24"/>
        </w:rPr>
        <w:t xml:space="preserve">Terza condizione: l'assenza di selezione a posteriori. Ed è la condizione più frequentemente violata, e la più insidiosa.</w:t>
      </w:r>
    </w:p>
    <w:p>
      <w:pPr>
        <w:pStyle w:val="Heading2"/>
        <w:spacing w:after="100" w:before="200"/>
      </w:pPr>
      <w:r>
        <w:rPr>
          <w:rFonts w:ascii="Barlow Semi Condensed" w:cs="Barlow Semi Condensed" w:eastAsia="Barlow Semi Condensed" w:hAnsi="Barlow Semi Condensed"/>
          <w:sz w:val="24"/>
          <w:szCs w:val="24"/>
        </w:rPr>
        <w:t xml:space="preserve">La selezione a posteriori</w:t>
      </w:r>
    </w:p>
    <w:p>
      <w:pPr>
        <w:spacing w:after="120" w:line="276"/>
        <w:jc w:val="both"/>
      </w:pPr>
      <w:r>
        <w:rPr>
          <w:rFonts w:ascii="Barlow Semi Condensed" w:cs="Barlow Semi Condensed" w:eastAsia="Barlow Semi Condensed" w:hAnsi="Barlow Semi Condensed"/>
          <w:b/>
          <w:bCs/>
          <w:sz w:val="24"/>
          <w:szCs w:val="24"/>
        </w:rPr>
        <w:t xml:space="preserve">Occorre svolgere la terza condizione, perché è quella che rovina la maggior parte degli argomenti di questo tipo.</w:t>
      </w:r>
    </w:p>
    <w:p>
      <w:pPr>
        <w:spacing w:after="120" w:line="276"/>
        <w:jc w:val="both"/>
      </w:pPr>
      <w:r>
        <w:rPr>
          <w:rFonts w:ascii="Barlow Semi Condensed" w:cs="Barlow Semi Condensed" w:eastAsia="Barlow Semi Condensed" w:hAnsi="Barlow Semi Condensed"/>
          <w:b/>
          <w:bCs/>
          <w:sz w:val="24"/>
          <w:szCs w:val="24"/>
        </w:rPr>
        <w:t xml:space="preserve">In ogni operazione complessa si commettono numerosissimi errori. La maggior parte di essi non ha conseguenze, e nessuno li nota. Quando l'operazione fallisce, si ripercorre a ritroso il cammino e si isolano gli errori che, con il senno di poi, risultano avere contribuito al fallimento.</w:t>
      </w:r>
    </w:p>
    <w:p>
      <w:pPr>
        <w:spacing w:after="120" w:line="276"/>
        <w:jc w:val="both"/>
      </w:pPr>
      <w:r>
        <w:rPr>
          <w:rFonts w:ascii="Barlow Semi Condensed" w:cs="Barlow Semi Condensed" w:eastAsia="Barlow Semi Condensed" w:hAnsi="Barlow Semi Condensed"/>
          <w:b/>
          <w:bCs/>
          <w:sz w:val="24"/>
          <w:szCs w:val="24"/>
        </w:rPr>
        <w:t xml:space="preserve">Ma questa selezione è operata dall'esito. Non si sta contando quanti errori furono commessi: si sta contando quanti, fra quelli commessi, si rivelarono decisivi. E quella cifra è alta per costruzione, in ogni operazione fallita, indipendentemente dal fatto che vi fosse o meno un disegno.</w:t>
      </w:r>
    </w:p>
    <w:p>
      <w:pPr>
        <w:spacing w:after="120" w:line="276"/>
        <w:jc w:val="both"/>
      </w:pPr>
      <w:r>
        <w:rPr>
          <w:rFonts w:ascii="Barlow Semi Condensed" w:cs="Barlow Semi Condensed" w:eastAsia="Barlow Semi Condensed" w:hAnsi="Barlow Semi Condensed"/>
          <w:b/>
          <w:bCs/>
          <w:sz w:val="24"/>
          <w:szCs w:val="24"/>
        </w:rPr>
        <w:t xml:space="preserve">Ne segue che la constatazione troppi errori nella medesima direzione, quando la direzione è definita dall'esito, non ha valore probatorio alcuno. Essa descrive la struttura del nostro sguardo retrospettivo, non la struttura degli eventi.</w:t>
      </w:r>
    </w:p>
    <w:p>
      <w:pPr>
        <w:spacing w:after="120" w:line="276"/>
        <w:jc w:val="both"/>
      </w:pPr>
      <w:r>
        <w:rPr>
          <w:rFonts w:ascii="Barlow Semi Condensed" w:cs="Barlow Semi Condensed" w:eastAsia="Barlow Semi Condensed" w:hAnsi="Barlow Semi Condensed"/>
          <w:b/>
          <w:bCs/>
          <w:sz w:val="24"/>
          <w:szCs w:val="24"/>
        </w:rPr>
        <w:t xml:space="preserve">Questo è il punto sul quale la letteratura su questa materia sbaglia con maggiore frequenza, ed è un errore che si commette in perfetta buona fede, perché l'operazione mentale che lo produce è invisibile a chi la compie.</w:t>
      </w:r>
    </w:p>
    <w:p>
      <w:pPr>
        <w:pStyle w:val="Heading2"/>
        <w:spacing w:after="100" w:before="200"/>
      </w:pPr>
      <w:r>
        <w:rPr>
          <w:rFonts w:ascii="Barlow Semi Condensed" w:cs="Barlow Semi Condensed" w:eastAsia="Barlow Semi Condensed" w:hAnsi="Barlow Semi Condensed"/>
          <w:sz w:val="24"/>
          <w:szCs w:val="24"/>
        </w:rPr>
        <w:t xml:space="preserve">Che cosa dunque validerebbe l'argomento</w:t>
      </w:r>
    </w:p>
    <w:p>
      <w:pPr>
        <w:spacing w:after="120" w:line="276"/>
        <w:jc w:val="both"/>
      </w:pPr>
      <w:r>
        <w:rPr>
          <w:rFonts w:ascii="Barlow Semi Condensed" w:cs="Barlow Semi Condensed" w:eastAsia="Barlow Semi Condensed" w:hAnsi="Barlow Semi Condensed"/>
          <w:b/>
          <w:bCs/>
          <w:sz w:val="24"/>
          <w:szCs w:val="24"/>
        </w:rPr>
        <w:t xml:space="preserve">L'argomento sarebbe valido se si potesse mostrare che gli inadempimenti sono anomali rispetto a un termine di riferimento indipendente dall'esito.</w:t>
      </w:r>
    </w:p>
    <w:p>
      <w:pPr>
        <w:spacing w:after="120" w:line="276"/>
        <w:jc w:val="both"/>
      </w:pPr>
      <w:r>
        <w:rPr>
          <w:rFonts w:ascii="Barlow Semi Condensed" w:cs="Barlow Semi Condensed" w:eastAsia="Barlow Semi Condensed" w:hAnsi="Barlow Semi Condensed"/>
          <w:b/>
          <w:bCs/>
          <w:sz w:val="24"/>
          <w:szCs w:val="24"/>
        </w:rPr>
        <w:t xml:space="preserve">Due vie sono concepibili.</w:t>
      </w:r>
    </w:p>
    <w:p>
      <w:pPr>
        <w:spacing w:after="120" w:line="276"/>
        <w:jc w:val="both"/>
      </w:pPr>
      <w:r>
        <w:rPr>
          <w:rFonts w:ascii="Barlow Semi Condensed" w:cs="Barlow Semi Condensed" w:eastAsia="Barlow Semi Condensed" w:hAnsi="Barlow Semi Condensed"/>
          <w:b/>
          <w:bCs/>
          <w:sz w:val="24"/>
          <w:szCs w:val="24"/>
        </w:rPr>
        <w:t xml:space="preserve">Prima via: la comparazione con operazioni analoghe condotte dai medesimi uffici nel medesimo periodo e con esito diverso. Se in operazioni comparabili gli uffici non commisero quegli inadempimenti, la loro concentrazione in questa diventa anomala rispetto a un riferimento indipendente.</w:t>
      </w:r>
    </w:p>
    <w:p>
      <w:pPr>
        <w:spacing w:after="120" w:line="276"/>
        <w:jc w:val="both"/>
      </w:pPr>
      <w:r>
        <w:rPr>
          <w:rFonts w:ascii="Barlow Semi Condensed" w:cs="Barlow Semi Condensed" w:eastAsia="Barlow Semi Condensed" w:hAnsi="Barlow Semi Condensed"/>
          <w:b/>
          <w:bCs/>
          <w:sz w:val="24"/>
          <w:szCs w:val="24"/>
        </w:rPr>
        <w:t xml:space="preserve">Seconda via: la comparazione interna. Se all'interno della medesima operazione taluni adempimenti furono compiuti con diligenza e altri no, e la ripartizione non è spiegabile con la difficoltà differenziale, la disomogeneità è essa stessa un dato.</w:t>
      </w:r>
    </w:p>
    <w:p>
      <w:pPr>
        <w:spacing w:after="120" w:line="276"/>
        <w:jc w:val="both"/>
      </w:pPr>
      <w:r>
        <w:rPr>
          <w:rFonts w:ascii="Barlow Semi Condensed" w:cs="Barlow Semi Condensed" w:eastAsia="Barlow Semi Condensed" w:hAnsi="Barlow Semi Condensed"/>
          <w:b/>
          <w:bCs/>
          <w:sz w:val="24"/>
          <w:szCs w:val="24"/>
        </w:rPr>
        <w:t xml:space="preserve">Entrambe le vie richiedono documentazione che non è stata acquisita nella presente campagna. Sono iscritte in tavola.</w:t>
      </w:r>
    </w:p>
    <w:p>
      <w:pPr>
        <w:pStyle w:val="Heading2"/>
        <w:spacing w:after="100" w:before="200"/>
      </w:pPr>
      <w:r>
        <w:rPr>
          <w:rFonts w:ascii="Barlow Semi Condensed" w:cs="Barlow Semi Condensed" w:eastAsia="Barlow Semi Condensed" w:hAnsi="Barlow Semi Condensed"/>
          <w:sz w:val="24"/>
          <w:szCs w:val="24"/>
        </w:rPr>
        <w:t xml:space="preserve">La disposizione che ne discende</w:t>
      </w:r>
    </w:p>
    <w:p>
      <w:pPr>
        <w:spacing w:after="120" w:line="276"/>
        <w:jc w:val="both"/>
      </w:pPr>
      <w:r>
        <w:rPr>
          <w:rFonts w:ascii="Barlow Semi Condensed" w:cs="Barlow Semi Condensed" w:eastAsia="Barlow Semi Condensed" w:hAnsi="Barlow Semi Condensed"/>
          <w:b/>
          <w:bCs/>
          <w:sz w:val="24"/>
          <w:szCs w:val="24"/>
        </w:rPr>
        <w:t xml:space="preserve">Fino a che una di tali comparazioni non sia condotta, quest'opera non impiega l'argomento dell'accumulo.</w:t>
      </w:r>
    </w:p>
    <w:p>
      <w:pPr>
        <w:spacing w:after="120" w:line="276"/>
        <w:jc w:val="both"/>
      </w:pPr>
      <w:r>
        <w:rPr>
          <w:rFonts w:ascii="Barlow Semi Condensed" w:cs="Barlow Semi Condensed" w:eastAsia="Barlow Semi Condensed" w:hAnsi="Barlow Semi Condensed"/>
          <w:b/>
          <w:bCs/>
          <w:sz w:val="24"/>
          <w:szCs w:val="24"/>
        </w:rPr>
        <w:t xml:space="preserve">La disposizione è severa e ha un costo, che si dichiara: essa priva l'opera dell'argomento più efficace e più suggestivo disponibile in questa materia. Ma un argomento che non soddisfi le proprie condizioni di validità non è un argomento debole: è un argomento nullo, e la sua efficacia retorica è inversamente proporzionale al suo valore.</w:t>
      </w:r>
    </w:p>
    <w:p>
      <w:pPr>
        <w:spacing w:after="120" w:line="276"/>
        <w:jc w:val="both"/>
      </w:pPr>
      <w:r>
        <w:rPr>
          <w:rFonts w:ascii="Barlow Semi Condensed" w:cs="Barlow Semi Condensed" w:eastAsia="Barlow Semi Condensed" w:hAnsi="Barlow Semi Condensed"/>
          <w:b/>
          <w:bCs/>
          <w:sz w:val="24"/>
          <w:szCs w:val="24"/>
        </w:rPr>
        <w:t xml:space="preserve">Si aggiunga che questa disposizione non prejudica l'esito. Se la comparazione fosse condotta e mostrasse l'anomalia, l'argomento diverrebbe valido e l'opera lo impiegherebbe. La disposizione non nega la conclusione: nega che la si possa raggiungere per la via breve.</w:t>
      </w:r>
    </w:p>
    <w:p>
      <w:pPr>
        <w:pStyle w:val="Heading2"/>
        <w:spacing w:after="100" w:before="200"/>
      </w:pPr>
      <w:r>
        <w:rPr>
          <w:rFonts w:ascii="Barlow Semi Condensed" w:cs="Barlow Semi Condensed" w:eastAsia="Barlow Semi Condensed" w:hAnsi="Barlow Semi Condensed"/>
          <w:sz w:val="24"/>
          <w:szCs w:val="24"/>
        </w:rPr>
        <w:t xml:space="preserve">Capitolo quarantottesimo — Che cosa proverebbe l'omissione deliberata</w:t>
      </w:r>
    </w:p>
    <w:p>
      <w:pPr>
        <w:spacing w:after="120" w:line="276"/>
        <w:jc w:val="both"/>
      </w:pPr>
      <w:r>
        <w:rPr>
          <w:rFonts w:ascii="Barlow Semi Condensed" w:cs="Barlow Semi Condensed" w:eastAsia="Barlow Semi Condensed" w:hAnsi="Barlow Semi Condensed"/>
          <w:b/>
          <w:bCs/>
          <w:sz w:val="24"/>
          <w:szCs w:val="24"/>
        </w:rPr>
        <w:t xml:space="preserve">Poiché nessuno degli elementi esaminati ha superato il terzo tempo del test, occorre indicare con precisione che cosa lo supererebbe. È l'obbligo che il Capitolo terzo impone a ogni dubbio registrato: accanto a esso deve stare scritto che cosa lo scioglierebbe.</w:t>
      </w:r>
    </w:p>
    <w:p>
      <w:pPr>
        <w:pStyle w:val="Heading2"/>
        <w:spacing w:after="100" w:before="200"/>
      </w:pPr>
      <w:r>
        <w:rPr>
          <w:rFonts w:ascii="Barlow Semi Condensed" w:cs="Barlow Semi Condensed" w:eastAsia="Barlow Semi Condensed" w:hAnsi="Barlow Semi Condensed"/>
          <w:sz w:val="24"/>
          <w:szCs w:val="24"/>
        </w:rPr>
        <w:t xml:space="preserve">Le quattro classi di prova</w:t>
      </w:r>
    </w:p>
    <w:p>
      <w:pPr>
        <w:spacing w:after="120" w:line="276"/>
        <w:jc w:val="both"/>
      </w:pPr>
      <w:r>
        <w:rPr>
          <w:rFonts w:ascii="Barlow Semi Condensed" w:cs="Barlow Semi Condensed" w:eastAsia="Barlow Semi Condensed" w:hAnsi="Barlow Semi Condensed"/>
          <w:b/>
          <w:bCs/>
          <w:sz w:val="24"/>
          <w:szCs w:val="24"/>
        </w:rPr>
        <w:t xml:space="preserve">Sono concepibili quattro classi di prova dell'omissione deliberata, ordinate per forza decrescente.</w:t>
      </w:r>
    </w:p>
    <w:p>
      <w:pPr>
        <w:spacing w:after="120" w:line="276"/>
        <w:jc w:val="both"/>
      </w:pPr>
      <w:r>
        <w:rPr>
          <w:rFonts w:ascii="Barlow Semi Condensed" w:cs="Barlow Semi Condensed" w:eastAsia="Barlow Semi Condensed" w:hAnsi="Barlow Semi Condensed"/>
          <w:b/>
          <w:bCs/>
          <w:sz w:val="24"/>
          <w:szCs w:val="24"/>
        </w:rPr>
        <w:t xml:space="preserve">Prima classe: la prova diretta della decisione. Un atto — ordine, direttiva, annotazione, comunicazione — dal quale risulti che l'inadempimento fu disposto. È la prova più forte e la meno probabile, perché una decisione di tale natura non si documenta se non per errore di chi la assume.</w:t>
      </w:r>
    </w:p>
    <w:p>
      <w:pPr>
        <w:spacing w:after="120" w:line="276"/>
        <w:jc w:val="both"/>
      </w:pPr>
      <w:r>
        <w:rPr>
          <w:rFonts w:ascii="Barlow Semi Condensed" w:cs="Barlow Semi Condensed" w:eastAsia="Barlow Semi Condensed" w:hAnsi="Barlow Semi Condensed"/>
          <w:b/>
          <w:bCs/>
          <w:sz w:val="24"/>
          <w:szCs w:val="24"/>
        </w:rPr>
        <w:t xml:space="preserve">Seconda classe: la prova della conoscenza inutilizzata. Documentazione dalla quale risulti che una informazione idonea a produrre l'esito pervenne a un ufficio e non fu impiegata, senza che l'omesso impiego sia spiegabile con la valutazione di inattendibilità o con difetto di coordinamento documentato. È prova forte e non impossibile, perché la ricezione di informazioni lascia traccia.</w:t>
      </w:r>
    </w:p>
    <w:p>
      <w:pPr>
        <w:spacing w:after="120" w:line="276"/>
        <w:jc w:val="both"/>
      </w:pPr>
      <w:r>
        <w:rPr>
          <w:rFonts w:ascii="Barlow Semi Condensed" w:cs="Barlow Semi Condensed" w:eastAsia="Barlow Semi Condensed" w:hAnsi="Barlow Semi Condensed"/>
          <w:b/>
          <w:bCs/>
          <w:sz w:val="24"/>
          <w:szCs w:val="24"/>
        </w:rPr>
        <w:t xml:space="preserve">Terza classe: la prova comparativa dell'anomalia. È quella descritta nel Capitolo precedente, nelle sue due vie. Essa non prova la deliberazione ma la esclude come improbabile alternativa all'errore, il che è meno ma non è poco.</w:t>
      </w:r>
    </w:p>
    <w:p>
      <w:pPr>
        <w:spacing w:after="120" w:line="276"/>
        <w:jc w:val="both"/>
      </w:pPr>
      <w:r>
        <w:rPr>
          <w:rFonts w:ascii="Barlow Semi Condensed" w:cs="Barlow Semi Condensed" w:eastAsia="Barlow Semi Condensed" w:hAnsi="Barlow Semi Condensed"/>
          <w:b/>
          <w:bCs/>
          <w:sz w:val="24"/>
          <w:szCs w:val="24"/>
        </w:rPr>
        <w:t xml:space="preserve">Quarta classe: la prova per convergenza di indipendenti. Se più elementi, ciascuno insufficiente e ciascuno accertato da fonti reciprocamente indipendenti, convergono sul medesimo punto, la convergenza ha valore proprio.</w:t>
      </w:r>
    </w:p>
    <w:p>
      <w:pPr>
        <w:pStyle w:val="Heading2"/>
        <w:spacing w:after="100" w:before="200"/>
      </w:pPr>
      <w:r>
        <w:rPr>
          <w:rFonts w:ascii="Barlow Semi Condensed" w:cs="Barlow Semi Condensed" w:eastAsia="Barlow Semi Condensed" w:hAnsi="Barlow Semi Condensed"/>
          <w:sz w:val="24"/>
          <w:szCs w:val="24"/>
        </w:rPr>
        <w:t xml:space="preserve">La cautela sulla quarta classe</w:t>
      </w:r>
    </w:p>
    <w:p>
      <w:pPr>
        <w:spacing w:after="120" w:line="276"/>
        <w:jc w:val="both"/>
      </w:pPr>
      <w:r>
        <w:rPr>
          <w:rFonts w:ascii="Barlow Semi Condensed" w:cs="Barlow Semi Condensed" w:eastAsia="Barlow Semi Condensed" w:hAnsi="Barlow Semi Condensed"/>
          <w:b/>
          <w:bCs/>
          <w:sz w:val="24"/>
          <w:szCs w:val="24"/>
        </w:rPr>
        <w:t xml:space="preserve">Sulla quarta classe occorre una avvertenza, perché essa è quella che si presta all'abuso.</w:t>
      </w:r>
    </w:p>
    <w:p>
      <w:pPr>
        <w:spacing w:after="120" w:line="276"/>
        <w:jc w:val="both"/>
      </w:pPr>
      <w:r>
        <w:rPr>
          <w:rFonts w:ascii="Barlow Semi Condensed" w:cs="Barlow Semi Condensed" w:eastAsia="Barlow Semi Condensed" w:hAnsi="Barlow Semi Condensed"/>
          <w:b/>
          <w:bCs/>
          <w:sz w:val="24"/>
          <w:szCs w:val="24"/>
        </w:rPr>
        <w:t xml:space="preserve">La convergenza vale se e solo se le fonti sono realmente indipendenti. Nel caso di specie ciò richiede una verifica che è stata frequentemente omessa: molte delle fonti che appaiono distinte discendono, risalendo la genealogia, da un medesimo evento originario — una medesima dichiarazione, un medesimo sequestro, una medesima ricostruzione poi ripresa da altri.</w:t>
      </w:r>
    </w:p>
    <w:p>
      <w:pPr>
        <w:spacing w:after="120" w:line="276"/>
        <w:jc w:val="both"/>
      </w:pPr>
      <w:r>
        <w:rPr>
          <w:rFonts w:ascii="Barlow Semi Condensed" w:cs="Barlow Semi Condensed" w:eastAsia="Barlow Semi Condensed" w:hAnsi="Barlow Semi Condensed"/>
          <w:b/>
          <w:bCs/>
          <w:sz w:val="24"/>
          <w:szCs w:val="24"/>
        </w:rPr>
        <w:t xml:space="preserve">Prima di computare una convergenza occorre dunque collassare la genealogia delle fonti e verificare quante catene realmente distinte vi siano. Una convergenza di sei fonti che discendano da due eventi originari è una convergenza di due, non di sei.</w:t>
      </w:r>
    </w:p>
    <w:p>
      <w:pPr>
        <w:spacing w:after="120" w:line="276"/>
        <w:jc w:val="both"/>
      </w:pPr>
      <w:r>
        <w:rPr>
          <w:rFonts w:ascii="Barlow Semi Condensed" w:cs="Barlow Semi Condensed" w:eastAsia="Barlow Semi Condensed" w:hAnsi="Barlow Semi Condensed"/>
          <w:b/>
          <w:bCs/>
          <w:sz w:val="24"/>
          <w:szCs w:val="24"/>
        </w:rPr>
        <w:t xml:space="preserve">Questa verifica non è stata condotta sistematicamente sul materiale di questa Fase, ed è iscritta in tavola.</w:t>
      </w:r>
    </w:p>
    <w:p>
      <w:pPr>
        <w:pStyle w:val="Heading2"/>
        <w:spacing w:after="100" w:before="200"/>
      </w:pPr>
      <w:r>
        <w:rPr>
          <w:rFonts w:ascii="Barlow Semi Condensed" w:cs="Barlow Semi Condensed" w:eastAsia="Barlow Semi Condensed" w:hAnsi="Barlow Semi Condensed"/>
          <w:sz w:val="24"/>
          <w:szCs w:val="24"/>
        </w:rPr>
        <w:t xml:space="preserve">Ciò che non proverebbe nulla</w:t>
      </w:r>
    </w:p>
    <w:p>
      <w:pPr>
        <w:spacing w:after="120" w:line="276"/>
        <w:jc w:val="both"/>
      </w:pPr>
      <w:r>
        <w:rPr>
          <w:rFonts w:ascii="Barlow Semi Condensed" w:cs="Barlow Semi Condensed" w:eastAsia="Barlow Semi Condensed" w:hAnsi="Barlow Semi Condensed"/>
          <w:b/>
          <w:bCs/>
          <w:sz w:val="24"/>
          <w:szCs w:val="24"/>
        </w:rPr>
        <w:t xml:space="preserve">Si dichiara altresì, per simmetria, che cosa non proverebbe l'omissione deliberata, poiché tali argomenti sono ricorrenti.</w:t>
      </w:r>
    </w:p>
    <w:p>
      <w:pPr>
        <w:spacing w:after="120" w:line="276"/>
        <w:jc w:val="both"/>
      </w:pPr>
      <w:r>
        <w:rPr>
          <w:rFonts w:ascii="Barlow Semi Condensed" w:cs="Barlow Semi Condensed" w:eastAsia="Barlow Semi Condensed" w:hAnsi="Barlow Semi Condensed"/>
          <w:b/>
          <w:bCs/>
          <w:sz w:val="24"/>
          <w:szCs w:val="24"/>
        </w:rPr>
        <w:t xml:space="preserve">Non la proverebbe la gravità delle conseguenze. Un errore con conseguenze gravissime resta un errore.</w:t>
      </w:r>
    </w:p>
    <w:p>
      <w:pPr>
        <w:spacing w:after="120" w:line="276"/>
        <w:jc w:val="both"/>
      </w:pPr>
      <w:r>
        <w:rPr>
          <w:rFonts w:ascii="Barlow Semi Condensed" w:cs="Barlow Semi Condensed" w:eastAsia="Barlow Semi Condensed" w:hAnsi="Barlow Semi Condensed"/>
          <w:b/>
          <w:bCs/>
          <w:sz w:val="24"/>
          <w:szCs w:val="24"/>
        </w:rPr>
        <w:t xml:space="preserve">Non la proverebbe la posizione di chi omise. L'appartenenza di un funzionario a un ambiente, a una associazione o a una corrente non stabilisce che una sua omissione fosse deliberata. Il passaggio dalla appartenenza alla condotta è lo stesso salto che tutta l'opera vieta, e non diventa lecito perché l'appartenenza sia documentata e sgradevole.</w:t>
      </w:r>
    </w:p>
    <w:p>
      <w:pPr>
        <w:spacing w:after="120" w:line="276"/>
        <w:jc w:val="both"/>
      </w:pPr>
      <w:r>
        <w:rPr>
          <w:rFonts w:ascii="Barlow Semi Condensed" w:cs="Barlow Semi Condensed" w:eastAsia="Barlow Semi Condensed" w:hAnsi="Barlow Semi Condensed"/>
          <w:b/>
          <w:bCs/>
          <w:sz w:val="24"/>
          <w:szCs w:val="24"/>
        </w:rPr>
        <w:t xml:space="preserve">Non la proverebbe la reticenza successiva. Che un ufficio o una persona abbiano opposto resistenza agli accertamenti successivi è un fatto e va registrato come tale; ma la resistenza agli accertamenti ha molte cause, fra le quali la protezione di errori propri, e non stabilisce quale fosse la natura del fatto protetto.</w:t>
      </w:r>
    </w:p>
    <w:p>
      <w:pPr>
        <w:spacing w:after="120" w:line="276"/>
        <w:jc w:val="both"/>
      </w:pPr>
      <w:r>
        <w:rPr>
          <w:rFonts w:ascii="Barlow Semi Condensed" w:cs="Barlow Semi Condensed" w:eastAsia="Barlow Semi Condensed" w:hAnsi="Barlow Semi Condensed"/>
          <w:b/>
          <w:bCs/>
          <w:sz w:val="24"/>
          <w:szCs w:val="24"/>
        </w:rPr>
        <w:t xml:space="preserve">Non la proverebbe l'accumulo, alle condizioni esposte nel Capitolo precedente.</w:t>
      </w:r>
    </w:p>
    <w:p>
      <w:pPr>
        <w:pStyle w:val="Heading2"/>
        <w:spacing w:after="100" w:before="200"/>
      </w:pPr>
      <w:r>
        <w:rPr>
          <w:rFonts w:ascii="Barlow Semi Condensed" w:cs="Barlow Semi Condensed" w:eastAsia="Barlow Semi Condensed" w:hAnsi="Barlow Semi Condensed"/>
          <w:sz w:val="24"/>
          <w:szCs w:val="24"/>
        </w:rPr>
        <w:t xml:space="preserve">Capitolo quarantanovesimo — La matrice riveduta</w:t>
      </w:r>
    </w:p>
    <w:p>
      <w:pPr>
        <w:spacing w:after="120" w:line="276"/>
        <w:jc w:val="both"/>
      </w:pPr>
      <w:r>
        <w:rPr>
          <w:rFonts w:ascii="Barlow Semi Condensed" w:cs="Barlow Semi Condensed" w:eastAsia="Barlow Semi Condensed" w:hAnsi="Barlow Semi Condensed"/>
          <w:b/>
          <w:bCs/>
          <w:sz w:val="24"/>
          <w:szCs w:val="24"/>
        </w:rPr>
        <w:t xml:space="preserve">La Fase Seconda ha costruito una matrice su quattro generi di ipotesi e sette evidenze, e ha indicato la quinta evidenza — le omissioni accertate — come quella di maggiore potere discriminante potenziale. Si verifica ora se il potenziale si sia realizzato.</w:t>
      </w:r>
    </w:p>
    <w:p>
      <w:pPr>
        <w:pStyle w:val="Heading2"/>
        <w:spacing w:after="100" w:before="200"/>
      </w:pPr>
      <w:r>
        <w:rPr>
          <w:rFonts w:ascii="Barlow Semi Condensed" w:cs="Barlow Semi Condensed" w:eastAsia="Barlow Semi Condensed" w:hAnsi="Barlow Semi Condensed"/>
          <w:sz w:val="24"/>
          <w:szCs w:val="24"/>
        </w:rPr>
        <w:t xml:space="preserve">L'esito del test sui quattro elementi</w:t>
      </w:r>
    </w:p>
    <w:p>
      <w:pPr>
        <w:spacing w:after="120" w:line="276"/>
        <w:jc w:val="both"/>
      </w:pPr>
      <w:r>
        <w:rPr>
          <w:rFonts w:ascii="Barlow Semi Condensed" w:cs="Barlow Semi Condensed" w:eastAsia="Barlow Semi Condensed" w:hAnsi="Barlow Semi Condensed"/>
          <w:b/>
          <w:bCs/>
          <w:sz w:val="24"/>
          <w:szCs w:val="24"/>
        </w:rPr>
        <w:t xml:space="preserve">Dei quattro elementi consegnati a questa Fase, l'esito del test è il seguente.</w:t>
      </w:r>
    </w:p>
    <w:p>
      <w:pPr>
        <w:spacing w:after="120" w:line="276"/>
        <w:jc w:val="both"/>
      </w:pPr>
      <w:r>
        <w:rPr>
          <w:rFonts w:ascii="Barlow Semi Condensed" w:cs="Barlow Semi Condensed" w:eastAsia="Barlow Semi Condensed" w:hAnsi="Barlow Semi Condensed"/>
          <w:b/>
          <w:bCs/>
          <w:sz w:val="24"/>
          <w:szCs w:val="24"/>
        </w:rPr>
        <w:t xml:space="preserve">Le due circostanze di via Gradoli: test arrestato al secondo tempo per la prima, al terzo per la seconda, in entrambi i casi per difetto di elementi documentali. Qualificazione come omissione non accertata.</w:t>
      </w:r>
    </w:p>
    <w:p>
      <w:pPr>
        <w:spacing w:after="120" w:line="276"/>
        <w:jc w:val="both"/>
      </w:pPr>
      <w:r>
        <w:rPr>
          <w:rFonts w:ascii="Barlow Semi Condensed" w:cs="Barlow Semi Condensed" w:eastAsia="Barlow Semi Condensed" w:hAnsi="Barlow Semi Condensed"/>
          <w:b/>
          <w:bCs/>
          <w:sz w:val="24"/>
          <w:szCs w:val="24"/>
        </w:rPr>
        <w:t xml:space="preserve">Il comunicato apocrifo: natura deliberata dell'atto accertata in stato di sciolto; autore e finalità non accertati.</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test arrestato al secondo tempo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documentale: inadempimento accertato in stato di sciolto; spiegabilità non accertata, con tre ipotesi aperte e via di discriminazione indicata.</w:t>
      </w:r>
    </w:p>
    <w:p>
      <w:pPr>
        <w:pStyle w:val="Heading2"/>
        <w:spacing w:after="100" w:before="200"/>
      </w:pPr>
      <w:r>
        <w:rPr>
          <w:rFonts w:ascii="Barlow Semi Condensed" w:cs="Barlow Semi Condensed" w:eastAsia="Barlow Semi Condensed" w:hAnsi="Barlow Semi Condensed"/>
          <w:sz w:val="24"/>
          <w:szCs w:val="24"/>
        </w:rPr>
        <w:t xml:space="preserve">La revisione della matrice</w:t>
      </w:r>
    </w:p>
    <w:p>
      <w:pPr>
        <w:spacing w:after="120" w:line="276"/>
        <w:jc w:val="both"/>
      </w:pPr>
      <w:r>
        <w:rPr>
          <w:rFonts w:ascii="Barlow Semi Condensed" w:cs="Barlow Semi Condensed" w:eastAsia="Barlow Semi Condensed" w:hAnsi="Barlow Semi Condensed"/>
          <w:b/>
          <w:bCs/>
          <w:sz w:val="24"/>
          <w:szCs w:val="24"/>
        </w:rPr>
        <w:t xml:space="preserve">Ne discende la revisione seguente.</w:t>
      </w:r>
    </w:p>
    <w:p>
      <w:pPr>
        <w:spacing w:after="120" w:line="276"/>
        <w:jc w:val="both"/>
      </w:pPr>
      <w:r>
        <w:rPr>
          <w:rFonts w:ascii="Barlow Semi Condensed" w:cs="Barlow Semi Condensed" w:eastAsia="Barlow Semi Condensed" w:hAnsi="Barlow Semi Condensed"/>
          <w:b/>
          <w:bCs/>
          <w:sz w:val="24"/>
          <w:szCs w:val="24"/>
        </w:rPr>
        <w:t xml:space="preserve">Rispetto al primo genere — movente dichiarato, esecuzione autonoma — l'elemento del comunicato apocrifo comporta un costo. Il genere deve spiegarlo come atto di un terzo estraneo tanto ai rapitori quanto alle istituzioni, ovvero come atto di un soggetto istituzionale mosso da finalità proprie non collegate alla vicenda. Entrambe le spiegazioni sono possibili; entrambe costituiscono una aggiunta al genere, e le aggiunte hanno un costo.</w:t>
      </w:r>
    </w:p>
    <w:p>
      <w:pPr>
        <w:spacing w:after="120" w:line="276"/>
        <w:jc w:val="both"/>
      </w:pPr>
      <w:r>
        <w:rPr>
          <w:rFonts w:ascii="Barlow Semi Condensed" w:cs="Barlow Semi Condensed" w:eastAsia="Barlow Semi Condensed" w:hAnsi="Barlow Semi Condensed"/>
          <w:b/>
          <w:bCs/>
          <w:sz w:val="24"/>
          <w:szCs w:val="24"/>
        </w:rPr>
        <w:t xml:space="preserve">Rispetto al secondo e al quarto genere — concorso esterno e non impedimento consapevole — l'elemento è assorbito senza aggiunte. Ciò non li conferma: significa soltanto che non impone loro un costo.</w:t>
      </w:r>
    </w:p>
    <w:p>
      <w:pPr>
        <w:spacing w:after="120" w:line="276"/>
        <w:jc w:val="both"/>
      </w:pPr>
      <w:r>
        <w:rPr>
          <w:rFonts w:ascii="Barlow Semi Condensed" w:cs="Barlow Semi Condensed" w:eastAsia="Barlow Semi Condensed" w:hAnsi="Barlow Semi Condensed"/>
          <w:b/>
          <w:bCs/>
          <w:sz w:val="24"/>
          <w:szCs w:val="24"/>
        </w:rPr>
        <w:t xml:space="preserve">Rispetto al terzo genere — regia esterna — l'elemento è coerente ma non aggiunge sostegno, poiché il genere resta gravato dalle tensioni già rilevate nella Fase Seconda.</w:t>
      </w:r>
    </w:p>
    <w:p>
      <w:pPr>
        <w:spacing w:after="120" w:line="276"/>
        <w:jc w:val="both"/>
      </w:pPr>
      <w:r>
        <w:rPr>
          <w:rFonts w:ascii="Barlow Semi Condensed" w:cs="Barlow Semi Condensed" w:eastAsia="Barlow Semi Condensed" w:hAnsi="Barlow Semi Condensed"/>
          <w:b/>
          <w:bCs/>
          <w:sz w:val="24"/>
          <w:szCs w:val="24"/>
        </w:rPr>
        <w:t xml:space="preserve">Gli altri tre elementi non modificano la matrice, non avendo superato il test.</w:t>
      </w:r>
    </w:p>
    <w:p>
      <w:pPr>
        <w:pStyle w:val="Heading2"/>
        <w:spacing w:after="100" w:before="200"/>
      </w:pPr>
      <w:r>
        <w:rPr>
          <w:rFonts w:ascii="Barlow Semi Condensed" w:cs="Barlow Semi Condensed" w:eastAsia="Barlow Semi Condensed" w:hAnsi="Barlow Semi Condensed"/>
          <w:sz w:val="24"/>
          <w:szCs w:val="24"/>
        </w:rPr>
        <w:t xml:space="preserve">L'esito complessivo e la sua onestà</w:t>
      </w:r>
    </w:p>
    <w:p>
      <w:pPr>
        <w:spacing w:after="120" w:line="276"/>
        <w:jc w:val="both"/>
      </w:pPr>
      <w:r>
        <w:rPr>
          <w:rFonts w:ascii="Barlow Semi Condensed" w:cs="Barlow Semi Condensed" w:eastAsia="Barlow Semi Condensed" w:hAnsi="Barlow Semi Condensed"/>
          <w:b/>
          <w:bCs/>
          <w:sz w:val="24"/>
          <w:szCs w:val="24"/>
        </w:rPr>
        <w:t xml:space="preserve">L'esito complessivo di questa Fase, misurato sulla matrice, è dunque modesto rispetto all'attesa. La quinta evidenza aveva il maggiore potere discriminante potenziale; il potenziale si è realizzato in misura limitata, perché tre dei quattro elementi non hanno superato il test per difetto di documentazione.</w:t>
      </w:r>
    </w:p>
    <w:p>
      <w:pPr>
        <w:spacing w:after="120" w:line="276"/>
        <w:jc w:val="both"/>
      </w:pPr>
      <w:r>
        <w:rPr>
          <w:rFonts w:ascii="Barlow Semi Condensed" w:cs="Barlow Semi Condensed" w:eastAsia="Barlow Semi Condensed" w:hAnsi="Barlow Semi Condensed"/>
          <w:b/>
          <w:bCs/>
          <w:sz w:val="24"/>
          <w:szCs w:val="24"/>
        </w:rPr>
        <w:t xml:space="preserve">Occorre dire con esattezza che cosa questo significhi, perché la formulazione si presta a due letture opposte ed entrambe sarebbero errate.</w:t>
      </w:r>
    </w:p>
    <w:p>
      <w:pPr>
        <w:spacing w:after="120" w:line="276"/>
        <w:jc w:val="both"/>
      </w:pPr>
      <w:r>
        <w:rPr>
          <w:rFonts w:ascii="Barlow Semi Condensed" w:cs="Barlow Semi Condensed" w:eastAsia="Barlow Semi Condensed" w:hAnsi="Barlow Semi Condensed"/>
          <w:b/>
          <w:bCs/>
          <w:sz w:val="24"/>
          <w:szCs w:val="24"/>
        </w:rPr>
        <w:t xml:space="preserve">Non significa che le omissioni non vi siano state. Significa che, con gli atti di cui quest'opera dispone, non è accertato che vi siano state.</w:t>
      </w:r>
    </w:p>
    <w:p>
      <w:pPr>
        <w:spacing w:after="120" w:line="276"/>
        <w:jc w:val="both"/>
      </w:pPr>
      <w:r>
        <w:rPr>
          <w:rFonts w:ascii="Barlow Semi Condensed" w:cs="Barlow Semi Condensed" w:eastAsia="Barlow Semi Condensed" w:hAnsi="Barlow Semi Condensed"/>
          <w:b/>
          <w:bCs/>
          <w:sz w:val="24"/>
          <w:szCs w:val="24"/>
        </w:rPr>
        <w:t xml:space="preserve">Non significa che gli accertamenti siano preclusi. Significa che essi richiedono documentazione determinata, che è stata identificata per genere e per sede, e che non è stata acquisita.</w:t>
      </w:r>
    </w:p>
    <w:p>
      <w:pPr>
        <w:spacing w:after="120" w:line="276"/>
        <w:jc w:val="both"/>
      </w:pPr>
      <w:r>
        <w:rPr>
          <w:rFonts w:ascii="Barlow Semi Condensed" w:cs="Barlow Semi Condensed" w:eastAsia="Barlow Semi Condensed" w:hAnsi="Barlow Semi Condensed"/>
          <w:b/>
          <w:bCs/>
          <w:sz w:val="24"/>
          <w:szCs w:val="24"/>
        </w:rPr>
        <w:t xml:space="preserve">La differenza fra queste due letture e quella corretta è la differenza fra un caso chiuso, un caso archiviato e un caso aperto. Questo è un caso aperto, e la Fase lo lascia più aperto di come lo ha trovato, avendo precisato che cosa manchi.</w:t>
      </w:r>
    </w:p>
    <w:p>
      <w:pPr>
        <w:pStyle w:val="Heading2"/>
        <w:spacing w:after="100" w:before="200"/>
      </w:pPr>
      <w:r>
        <w:rPr>
          <w:rFonts w:ascii="Barlow Semi Condensed" w:cs="Barlow Semi Condensed" w:eastAsia="Barlow Semi Condensed" w:hAnsi="Barlow Semi Condensed"/>
          <w:sz w:val="24"/>
          <w:szCs w:val="24"/>
        </w:rPr>
        <w:t xml:space="preserve">Il risultato che la Fase produce comunque</w:t>
      </w:r>
    </w:p>
    <w:p>
      <w:pPr>
        <w:spacing w:after="120" w:line="276"/>
        <w:jc w:val="both"/>
      </w:pPr>
      <w:r>
        <w:rPr>
          <w:rFonts w:ascii="Barlow Semi Condensed" w:cs="Barlow Semi Condensed" w:eastAsia="Barlow Semi Condensed" w:hAnsi="Barlow Semi Condensed"/>
          <w:b/>
          <w:bCs/>
          <w:sz w:val="24"/>
          <w:szCs w:val="24"/>
        </w:rPr>
        <w:t xml:space="preserve">Vi è però un risultato che la Fase produce e che non dipende dall'esito del test, e conviene isolarlo perché è il suo contributo maggiore.</w:t>
      </w:r>
    </w:p>
    <w:p>
      <w:pPr>
        <w:spacing w:after="120" w:line="276"/>
        <w:jc w:val="both"/>
      </w:pPr>
      <w:r>
        <w:rPr>
          <w:rFonts w:ascii="Barlow Semi Condensed" w:cs="Barlow Semi Condensed" w:eastAsia="Barlow Semi Condensed" w:hAnsi="Barlow Semi Condensed"/>
          <w:b/>
          <w:bCs/>
          <w:sz w:val="24"/>
          <w:szCs w:val="24"/>
        </w:rPr>
        <w:t xml:space="preserve">La Fase ha accertato che, durante i cinquantacinque giorni, un soggetto rimasto ignoto compì un atto deliberato di interferenza nelle indagini, immettendo un falso nel circuito informativo.</w:t>
      </w:r>
    </w:p>
    <w:p>
      <w:pPr>
        <w:spacing w:after="120" w:line="276"/>
        <w:jc w:val="both"/>
      </w:pPr>
      <w:r>
        <w:rPr>
          <w:rFonts w:ascii="Barlow Semi Condensed" w:cs="Barlow Semi Condensed" w:eastAsia="Barlow Semi Condensed" w:hAnsi="Barlow Semi Condensed"/>
          <w:b/>
          <w:bCs/>
          <w:sz w:val="24"/>
          <w:szCs w:val="24"/>
        </w:rPr>
        <w:t xml:space="preserve">Questo è accertato in stato di sciolto e non dipende da alcuna ipotesi. Esso stabilisce che sulla vicenda operarono almeno tre soggetti: i rapitori, le istituzioni, e un terzo capace di produrre falso credibile e interessato a produrlo.</w:t>
      </w:r>
    </w:p>
    <w:p>
      <w:pPr>
        <w:spacing w:after="120" w:line="276"/>
        <w:jc w:val="both"/>
      </w:pPr>
      <w:r>
        <w:rPr>
          <w:rFonts w:ascii="Barlow Semi Condensed" w:cs="Barlow Semi Condensed" w:eastAsia="Barlow Semi Condensed" w:hAnsi="Barlow Semi Condensed"/>
          <w:b/>
          <w:bCs/>
          <w:sz w:val="24"/>
          <w:szCs w:val="24"/>
        </w:rPr>
        <w:t xml:space="preserve">Chi fosse tale terzo non è accertato. Che vi fosse, sì. È il fatto più solido che questa Fase consegna, ed è più di quanto le altre tre evidenze abbiano prodotto insieme.</w:t>
      </w:r>
    </w:p>
    <w:p>
      <w:pPr>
        <w:pStyle w:val="Heading2"/>
        <w:spacing w:after="100" w:before="200"/>
      </w:pPr>
      <w:r>
        <w:rPr>
          <w:rFonts w:ascii="Barlow Semi Condensed" w:cs="Barlow Semi Condensed" w:eastAsia="Barlow Semi Condensed" w:hAnsi="Barlow Semi Condensed"/>
          <w:sz w:val="24"/>
          <w:szCs w:val="24"/>
        </w:rPr>
        <w:t xml:space="preserve">Capitolo cinquantesimo — Bilancio della Fase Quinta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durante il periodo fu compiuto un atto deliberato di produzione di falso nel circuito informativo delle indagini, e che ne conseguirono operazioni di ricerca con esito negativo.</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dell'ottobre 1978 non fu esaustivo, e l'inadempimento è accertato in stato di sciolto.</w:t>
      </w:r>
    </w:p>
    <w:p>
      <w:pPr>
        <w:spacing w:after="120" w:line="276"/>
        <w:jc w:val="both"/>
      </w:pPr>
      <w:r>
        <w:rPr>
          <w:rFonts w:ascii="Barlow Semi Condensed" w:cs="Barlow Semi Condensed" w:eastAsia="Barlow Semi Condensed" w:hAnsi="Barlow Semi Condensed"/>
          <w:b/>
          <w:bCs/>
          <w:sz w:val="24"/>
          <w:szCs w:val="24"/>
        </w:rPr>
        <w:t xml:space="preserve">È accertato che una base dell'organizzazione fu individuata per circostanza fortuita e non per attività di indagine, in costanza di prigionia; che un controllo era stato effettuato in quella via senza esito; e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b/>
          <w:bCs/>
          <w:sz w:val="24"/>
          <w:szCs w:val="24"/>
        </w:rPr>
        <w:t xml:space="preserve">È accertato che una ricerca di dimensioni eccezionali fu condotta per cinquantacinque giorni senza produrre la localizzazione.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che alcuna delle circostanze esaminate costituisca omissione deliberata.</w:t>
      </w:r>
    </w:p>
    <w:p>
      <w:pPr>
        <w:spacing w:after="120" w:line="276"/>
        <w:jc w:val="both"/>
      </w:pPr>
      <w:r>
        <w:rPr>
          <w:rFonts w:ascii="Barlow Semi Condensed" w:cs="Barlow Semi Condensed" w:eastAsia="Barlow Semi Condensed" w:hAnsi="Barlow Semi Condensed"/>
          <w:b/>
          <w:bCs/>
          <w:sz w:val="24"/>
          <w:szCs w:val="24"/>
        </w:rPr>
        <w:t xml:space="preserve">Non sono accertati l'autore né la finalità della produzione di falso.</w:t>
      </w:r>
    </w:p>
    <w:p>
      <w:pPr>
        <w:spacing w:after="120" w:line="276"/>
        <w:jc w:val="both"/>
      </w:pPr>
      <w:r>
        <w:rPr>
          <w:rFonts w:ascii="Barlow Semi Condensed" w:cs="Barlow Semi Condensed" w:eastAsia="Barlow Semi Condensed" w:hAnsi="Barlow Semi Condensed"/>
          <w:b/>
          <w:bCs/>
          <w:sz w:val="24"/>
          <w:szCs w:val="24"/>
        </w:rPr>
        <w:t xml:space="preserve">Non è accertata la causa dell'incompletezza del rinvenimento documentale, restando aperte tre spiegazioni.</w:t>
      </w:r>
    </w:p>
    <w:p>
      <w:pPr>
        <w:spacing w:after="120" w:line="276"/>
        <w:jc w:val="both"/>
      </w:pPr>
      <w:r>
        <w:rPr>
          <w:rFonts w:ascii="Barlow Semi Condensed" w:cs="Barlow Semi Condensed" w:eastAsia="Barlow Semi Condensed" w:hAnsi="Barlow Semi Condensed"/>
          <w:b/>
          <w:bCs/>
          <w:sz w:val="24"/>
          <w:szCs w:val="24"/>
        </w:rPr>
        <w:t xml:space="preserve">Non è accertata l'inadeguatezza della ricerca, per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Gli strumenti istituiti</w:t>
      </w:r>
    </w:p>
    <w:p>
      <w:pPr>
        <w:spacing w:after="120" w:line="276"/>
        <w:jc w:val="both"/>
      </w:pPr>
      <w:r>
        <w:rPr>
          <w:rFonts w:ascii="Barlow Semi Condensed" w:cs="Barlow Semi Condensed" w:eastAsia="Barlow Semi Condensed" w:hAnsi="Barlow Semi Condensed"/>
          <w:b/>
          <w:bCs/>
          <w:sz w:val="24"/>
          <w:szCs w:val="24"/>
        </w:rPr>
        <w:t xml:space="preserve">La Fase istituisce, per le successive e per le edizioni future, tre strumenti.</w:t>
      </w:r>
    </w:p>
    <w:p>
      <w:pPr>
        <w:spacing w:after="120" w:line="276"/>
        <w:jc w:val="both"/>
      </w:pPr>
      <w:r>
        <w:rPr>
          <w:rFonts w:ascii="Barlow Semi Condensed" w:cs="Barlow Semi Condensed" w:eastAsia="Barlow Semi Condensed" w:hAnsi="Barlow Semi Condensed"/>
          <w:b/>
          <w:bCs/>
          <w:sz w:val="24"/>
          <w:szCs w:val="24"/>
        </w:rPr>
        <w:t xml:space="preserve">Il test in tre tempi — dovere, inadempimento, spiegabilità — con la regola che nessun tempo si salta e che l'arresto del test si dichiara anziché sostituirvi una valutazione.</w:t>
      </w:r>
    </w:p>
    <w:p>
      <w:pPr>
        <w:spacing w:after="120" w:line="276"/>
        <w:jc w:val="both"/>
      </w:pPr>
      <w:r>
        <w:rPr>
          <w:rFonts w:ascii="Barlow Semi Condensed" w:cs="Barlow Semi Condensed" w:eastAsia="Barlow Semi Condensed" w:hAnsi="Barlow Semi Condensed"/>
          <w:b/>
          <w:bCs/>
          <w:sz w:val="24"/>
          <w:szCs w:val="24"/>
        </w:rPr>
        <w:t xml:space="preserve">La tipologia in quattro classi delle omissioni, con la prova propria di ciascuna.</w:t>
      </w:r>
    </w:p>
    <w:p>
      <w:pPr>
        <w:spacing w:after="120" w:line="276"/>
        <w:jc w:val="both"/>
      </w:pPr>
      <w:r>
        <w:rPr>
          <w:rFonts w:ascii="Barlow Semi Condensed" w:cs="Barlow Semi Condensed" w:eastAsia="Barlow Semi Condensed" w:hAnsi="Barlow Semi Condensed"/>
          <w:b/>
          <w:bCs/>
          <w:sz w:val="24"/>
          <w:szCs w:val="24"/>
        </w:rPr>
        <w:t xml:space="preserve">Le tre condizioni di validità dell'argomento dell'accumulo — base, indipendenza, assenza di selezione a posteriori — con la disposizione che vieta l'impiego dell'argomento finché non siano soddisfatte.</w:t>
      </w:r>
    </w:p>
    <w:p>
      <w:pPr>
        <w:pStyle w:val="Heading2"/>
        <w:spacing w:after="100" w:before="200"/>
      </w:pPr>
      <w:r>
        <w:rPr>
          <w:rFonts w:ascii="Barlow Semi Condensed" w:cs="Barlow Semi Condensed" w:eastAsia="Barlow Semi Condensed" w:hAnsi="Barlow Semi Condensed"/>
          <w:sz w:val="24"/>
          <w:szCs w:val="24"/>
        </w:rPr>
        <w:t xml:space="preserve">Il costo dichiarato</w:t>
      </w:r>
    </w:p>
    <w:p>
      <w:pPr>
        <w:spacing w:after="120" w:line="276"/>
        <w:jc w:val="both"/>
      </w:pPr>
      <w:r>
        <w:rPr>
          <w:rFonts w:ascii="Barlow Semi Condensed" w:cs="Barlow Semi Condensed" w:eastAsia="Barlow Semi Condensed" w:hAnsi="Barlow Semi Condensed"/>
          <w:b/>
          <w:bCs/>
          <w:sz w:val="24"/>
          <w:szCs w:val="24"/>
        </w:rPr>
        <w:t xml:space="preserve">La terza disposizione priva l'opera dell'argomento più efficace disponibile in questa materia, e il costo si dichiara apertamente.</w:t>
      </w:r>
    </w:p>
    <w:p>
      <w:pPr>
        <w:spacing w:after="120" w:line="276"/>
        <w:jc w:val="both"/>
      </w:pPr>
      <w:r>
        <w:rPr>
          <w:rFonts w:ascii="Barlow Semi Condensed" w:cs="Barlow Semi Condensed" w:eastAsia="Barlow Semi Condensed" w:hAnsi="Barlow Semi Condensed"/>
          <w:b/>
          <w:bCs/>
          <w:sz w:val="24"/>
          <w:szCs w:val="24"/>
        </w:rPr>
        <w:t xml:space="preserve">Si dichiara altresì la ragione per la quale il costo si accetta. L'argomento dell'accumulo, impiegato senza le sue condizioni, non è un argomento debole che rafforzi una tesi fondata: è un argomento nullo che la indebolisce, perché espone la tesi che sostiene alla più facile delle confutazioni. Chi costruisca su di esso costruisce su ciò che il primo lettore avvertito abbatte.</w:t>
      </w:r>
    </w:p>
    <w:p>
      <w:pPr>
        <w:pStyle w:val="Heading2"/>
        <w:spacing w:after="100" w:before="200"/>
      </w:pPr>
      <w:r>
        <w:rPr>
          <w:rFonts w:ascii="Barlow Semi Condensed" w:cs="Barlow Semi Condensed" w:eastAsia="Barlow Semi Condensed" w:hAnsi="Barlow Semi Condensed"/>
          <w:sz w:val="24"/>
          <w:szCs w:val="24"/>
        </w:rPr>
        <w:t xml:space="preserve">La tavola delle acquisizioni mancanti</w:t>
      </w:r>
    </w:p>
    <w:p>
      <w:pPr>
        <w:spacing w:after="120" w:line="276"/>
        <w:jc w:val="both"/>
      </w:pPr>
      <w:r>
        <w:rPr>
          <w:rFonts w:ascii="Barlow Semi Condensed" w:cs="Barlow Semi Condensed" w:eastAsia="Barlow Semi Condensed" w:hAnsi="Barlow Semi Condensed"/>
          <w:b/>
          <w:bCs/>
          <w:sz w:val="24"/>
          <w:szCs w:val="24"/>
        </w:rPr>
        <w:t xml:space="preserve">Si iscrivono in tavola, in ordine di rendimento atteso decrescente, le acquisizioni documentali che questa Fase ha identificate come necessarie.</w:t>
      </w:r>
    </w:p>
    <w:p>
      <w:pPr>
        <w:spacing w:after="120" w:line="276"/>
        <w:jc w:val="both"/>
      </w:pPr>
      <w:r>
        <w:rPr>
          <w:rFonts w:ascii="Barlow Semi Condensed" w:cs="Barlow Semi Condensed" w:eastAsia="Barlow Semi Condensed" w:hAnsi="Barlow Semi Condensed"/>
          <w:b/>
          <w:bCs/>
          <w:sz w:val="24"/>
          <w:szCs w:val="24"/>
        </w:rPr>
        <w:t xml:space="preserve">Prima: i verbali, i rilievi e la descrizione delle modalità e degli strumenti della perquisizione dell'ottobre 1978 nell'immobile milanese, confrontati con quelli dell'ottobre 1990. È l'acquisizione dalla quale dipende uno scioglimento determinato, e la sola della Fase per la quale la via di discriminazione sia indicata con precisione.</w:t>
      </w:r>
    </w:p>
    <w:p>
      <w:pPr>
        <w:spacing w:after="120" w:line="276"/>
        <w:jc w:val="both"/>
      </w:pPr>
      <w:r>
        <w:rPr>
          <w:rFonts w:ascii="Barlow Semi Condensed" w:cs="Barlow Semi Condensed" w:eastAsia="Barlow Semi Condensed" w:hAnsi="Barlow Semi Condensed"/>
          <w:b/>
          <w:bCs/>
          <w:sz w:val="24"/>
          <w:szCs w:val="24"/>
        </w:rPr>
        <w:t xml:space="preserve">Seconda: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b/>
          <w:bCs/>
          <w:sz w:val="24"/>
          <w:szCs w:val="24"/>
        </w:rPr>
        <w:t xml:space="preserve">Terza: le direttive impartite per i controlli e la documentazione del controllo effettuato in via Gradoli.</w:t>
      </w:r>
    </w:p>
    <w:p>
      <w:pPr>
        <w:spacing w:after="120" w:line="276"/>
        <w:jc w:val="both"/>
      </w:pPr>
      <w:r>
        <w:rPr>
          <w:rFonts w:ascii="Barlow Semi Condensed" w:cs="Barlow Semi Condensed" w:eastAsia="Barlow Semi Condensed" w:hAnsi="Barlow Semi Condensed"/>
          <w:b/>
          <w:bCs/>
          <w:sz w:val="24"/>
          <w:szCs w:val="24"/>
        </w:rPr>
        <w:t xml:space="preserve">Quarta: la documentazione analitica della ricerca condotta nei cinquantacinque giorni — zone controllate, modalità, criteri di selezione, motivazione delle esclusioni — necessaria a colmare il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Quinta: la documentazione idonea alle due vie comparative del Capitolo quarantasettesimo, per operazioni analoghe dei medesimi uffici nel medesimo periodo.</w:t>
      </w:r>
    </w:p>
    <w:p>
      <w:pPr>
        <w:spacing w:after="120" w:line="276"/>
        <w:jc w:val="both"/>
      </w:pPr>
      <w:r>
        <w:rPr>
          <w:rFonts w:ascii="Barlow Semi Condensed" w:cs="Barlow Semi Condensed" w:eastAsia="Barlow Semi Condensed" w:hAnsi="Barlow Semi Condensed"/>
          <w:b/>
          <w:bCs/>
          <w:sz w:val="24"/>
          <w:szCs w:val="24"/>
        </w:rPr>
        <w:t xml:space="preserve">Sesta: il collasso genealogico delle fonti impiegate in questa materia, per verificare quante catene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Quinta, le omissioni. Materia: quattro elementi consegnati, esaminati con test in tre tempi.</w:t>
      </w:r>
    </w:p>
    <w:p>
      <w:pPr>
        <w:spacing w:after="120" w:line="276"/>
        <w:jc w:val="both"/>
      </w:pPr>
      <w:r>
        <w:rPr>
          <w:rFonts w:ascii="Barlow Semi Condensed" w:cs="Barlow Semi Condensed" w:eastAsia="Barlow Semi Condensed" w:hAnsi="Barlow Semi Condensed"/>
          <w:b/>
          <w:bCs/>
          <w:sz w:val="24"/>
          <w:szCs w:val="24"/>
        </w:rPr>
        <w:t xml:space="preserve">Esito: un accertamento in stato di sciolto quanto alla natura deliberata di un atto di interferenza; un inadempimento accertato con spiegabilità aperta; due test arrestati per difetto di elementi. Tre strumenti istituiti. Sei acquisizioni documentali iscritte in tavola.</w:t>
      </w:r>
    </w:p>
    <w:p>
      <w:pPr>
        <w:spacing w:after="120" w:line="276"/>
        <w:jc w:val="both"/>
      </w:pPr>
      <w:r>
        <w:rPr>
          <w:rFonts w:ascii="Barlow Semi Condensed" w:cs="Barlow Semi Condensed" w:eastAsia="Barlow Semi Condensed" w:hAnsi="Barlow Semi Condensed"/>
          <w:b/>
          <w:bCs/>
          <w:sz w:val="24"/>
          <w:szCs w:val="24"/>
        </w:rPr>
        <w:t xml:space="preserve">Riga di esito nullo. Nessuna delle circostanze esaminate è risultata qualificabile come omissione deliberata allo stato degli atti. L'esito negativo è registrato con la dignità che gli compete e non è una assoluzione: è la constatazione che il test si è arrestato per mancanza di carte, e le carte mancanti sono state nominate.</w:t>
      </w:r>
    </w:p>
    <w:p>
      <w:pPr>
        <w:spacing w:after="120" w:line="276"/>
        <w:jc w:val="both"/>
      </w:pPr>
      <w:r>
        <w:rPr>
          <w:rFonts w:ascii="Barlow Semi Condensed" w:cs="Barlow Semi Condensed" w:eastAsia="Barlow Semi Condensed" w:hAnsi="Barlow Semi Condensed"/>
          <w:b/>
          <w:bCs/>
          <w:sz w:val="24"/>
          <w:szCs w:val="24"/>
        </w:rPr>
        <w:t xml:space="preserve">Riga di avvertenza. La Fase non ha attribuito condotte a persone. Le funzioni sono state designate come tali, e la ragione è enunciata al Capitolo quarantunesimo: ciò che gli atti documentano è che una funzione non compì un atto, non che la persona che la esercitava volle non compierlo.</w:t>
      </w:r>
    </w:p>
    <w:p>
      <w:pPr>
        <w:spacing w:after="120" w:line="276"/>
        <w:jc w:val="both"/>
      </w:pPr>
      <w:r>
        <w:rPr>
          <w:rFonts w:ascii="Barlow Semi Condensed" w:cs="Barlow Semi Condensed" w:eastAsia="Barlow Semi Condensed" w:hAnsi="Barlow Semi Condensed"/>
          <w:b/>
          <w:bCs/>
          <w:sz w:val="24"/>
          <w:szCs w:val="24"/>
        </w:rPr>
        <w:t xml:space="preserve">Riga di consegna. Si consegna alla Fase Sesta l'accertamento dell'esistenza di un terzo soggetto operante sulla vicenda, capace di produrre falso credibile e interessato a produrlo. È il fatto più solido prodotto da questa Fase, ed è alla Fase degli attori che compete stabilire, se sarà possibile, chi esso fosse.</w:t>
      </w:r>
    </w:p>
    <w:p>
      <w:pPr>
        <w:pStyle w:val="Heading2"/>
        <w:spacing w:after="100" w:before="200"/>
      </w:pPr>
      <w:r>
        <w:rPr>
          <w:rFonts w:ascii="Barlow Semi Condensed" w:cs="Barlow Semi Condensed" w:eastAsia="Barlow Semi Condensed" w:hAnsi="Barlow Semi Condensed"/>
          <w:sz w:val="24"/>
          <w:szCs w:val="24"/>
        </w:rPr>
        <w:t xml:space="preserve">FASE SESTA — GLI ATTORI</w:t>
      </w:r>
    </w:p>
    <w:p>
      <w:pPr>
        <w:spacing w:after="120" w:line="276"/>
        <w:jc w:val="both"/>
      </w:pPr>
      <w:r>
        <w:rPr>
          <w:rFonts w:ascii="Barlow Semi Condensed" w:cs="Barlow Semi Condensed" w:eastAsia="Barlow Semi Condensed" w:hAnsi="Barlow Semi Condensed"/>
          <w:b/>
          <w:bCs/>
          <w:sz w:val="24"/>
          <w:szCs w:val="24"/>
        </w:rPr>
        <w:t xml:space="preserve">Dove si separano chi esegui, chi organizzo e chi volle; si applica la scala del vincolo ai dichiaranti; e si dichiara vuoto il terzo livello.</w:t>
      </w:r>
    </w:p>
    <w:p>
      <w:pPr>
        <w:pStyle w:val="Heading2"/>
        <w:spacing w:after="100" w:before="200"/>
      </w:pPr>
      <w:r>
        <w:rPr>
          <w:rFonts w:ascii="Barlow Semi Condensed" w:cs="Barlow Semi Condensed" w:eastAsia="Barlow Semi Condensed" w:hAnsi="Barlow Semi Condensed"/>
          <w:sz w:val="24"/>
          <w:szCs w:val="24"/>
        </w:rPr>
        <w:t xml:space="preserve">Capitolo cinquantunesimo — I tre livelli di responsabilità</w:t>
      </w:r>
    </w:p>
    <w:p>
      <w:pPr>
        <w:spacing w:after="120" w:line="276"/>
        <w:jc w:val="both"/>
      </w:pPr>
      <w:r>
        <w:rPr>
          <w:rFonts w:ascii="Barlow Semi Condensed" w:cs="Barlow Semi Condensed" w:eastAsia="Barlow Semi Condensed" w:hAnsi="Barlow Semi Condensed"/>
          <w:b/>
          <w:bCs/>
          <w:sz w:val="24"/>
          <w:szCs w:val="24"/>
        </w:rPr>
        <w:t xml:space="preserve">Questa Fase ha per oggetto gli attori. Essa è quella nella quale la struttura rinnovata dell'opera si giustifica maggiormente, perché la struttura anteriore teneva insieme in una sola Fase ciò che qui si tiene distinto: chi eseguì, chi organizzò, chi volle.</w:t>
      </w:r>
    </w:p>
    <w:p>
      <w:pPr>
        <w:pStyle w:val="Heading2"/>
        <w:spacing w:after="100" w:before="200"/>
      </w:pPr>
      <w:r>
        <w:rPr>
          <w:rFonts w:ascii="Barlow Semi Condensed" w:cs="Barlow Semi Condensed" w:eastAsia="Barlow Semi Condensed" w:hAnsi="Barlow Semi Condensed"/>
          <w:sz w:val="24"/>
          <w:szCs w:val="24"/>
        </w:rPr>
        <w:t xml:space="preserve">Perché i tre livelli non si confondono</w:t>
      </w:r>
    </w:p>
    <w:p>
      <w:pPr>
        <w:spacing w:after="120" w:line="276"/>
        <w:jc w:val="both"/>
      </w:pPr>
      <w:r>
        <w:rPr>
          <w:rFonts w:ascii="Barlow Semi Condensed" w:cs="Barlow Semi Condensed" w:eastAsia="Barlow Semi Condensed" w:hAnsi="Barlow Semi Condensed"/>
          <w:b/>
          <w:bCs/>
          <w:sz w:val="24"/>
          <w:szCs w:val="24"/>
        </w:rPr>
        <w:t xml:space="preserve">La distinzione non è di grado ma di natura, e ciascun livello richiede una prova diversa.</w:t>
      </w:r>
    </w:p>
    <w:p>
      <w:pPr>
        <w:spacing w:after="120" w:line="276"/>
        <w:jc w:val="both"/>
      </w:pPr>
      <w:r>
        <w:rPr>
          <w:rFonts w:ascii="Barlow Semi Condensed" w:cs="Barlow Semi Condensed" w:eastAsia="Barlow Semi Condensed" w:hAnsi="Barlow Semi Condensed"/>
          <w:b/>
          <w:bCs/>
          <w:sz w:val="24"/>
          <w:szCs w:val="24"/>
        </w:rPr>
        <w:t xml:space="preserve">Il primo livello è l'esecuzione. Chi impugnò le armi, chi guidò i veicoli, chi custodì il prigioniero. La prova richiesta è quella ordinaria del fatto criminoso: rilievi, riscontri, dichiarazioni riscontrate. È il livello sul quale la giurisdizione ha competenza propria e si è pronunciata.</w:t>
      </w:r>
    </w:p>
    <w:p>
      <w:pPr>
        <w:spacing w:after="120" w:line="276"/>
        <w:jc w:val="both"/>
      </w:pPr>
      <w:r>
        <w:rPr>
          <w:rFonts w:ascii="Barlow Semi Condensed" w:cs="Barlow Semi Condensed" w:eastAsia="Barlow Semi Condensed" w:hAnsi="Barlow Semi Condensed"/>
          <w:b/>
          <w:bCs/>
          <w:sz w:val="24"/>
          <w:szCs w:val="24"/>
        </w:rPr>
        <w:t xml:space="preserve">Il secondo livello è l'organizzazione. Chi decise l'operazione, ne stabilì il bersaglio e il momento, ne coordinò le fasi. La prova richiesta è quella dell'appartenenza a un organismo decisionale e della partecipazione alla deliberazione. Essa è più difficile della prima perché non lascia tracce materiali, e poggia in misura prevalente su dichiarazioni.</w:t>
      </w:r>
    </w:p>
    <w:p>
      <w:pPr>
        <w:spacing w:after="120" w:line="276"/>
        <w:jc w:val="both"/>
      </w:pPr>
      <w:r>
        <w:rPr>
          <w:rFonts w:ascii="Barlow Semi Condensed" w:cs="Barlow Semi Condensed" w:eastAsia="Barlow Semi Condensed" w:hAnsi="Barlow Semi Condensed"/>
          <w:b/>
          <w:bCs/>
          <w:sz w:val="24"/>
          <w:szCs w:val="24"/>
        </w:rPr>
        <w:t xml:space="preserve">Il terzo livello è la volontà ultima. Chi volle che l'operazione avvenisse, se diverso da chi la deliberò. La prova richiesta è quella dell'esistenza di una determinazione esterna all'organismo che deliberò, e della sua efficacia su di esso.</w:t>
      </w:r>
    </w:p>
    <w:p>
      <w:pPr>
        <w:pStyle w:val="Heading2"/>
        <w:spacing w:after="100" w:before="200"/>
      </w:pPr>
      <w:r>
        <w:rPr>
          <w:rFonts w:ascii="Barlow Semi Condensed" w:cs="Barlow Semi Condensed" w:eastAsia="Barlow Semi Condensed" w:hAnsi="Barlow Semi Condensed"/>
          <w:sz w:val="24"/>
          <w:szCs w:val="24"/>
        </w:rPr>
        <w:t xml:space="preserve">La confusione da evitare</w:t>
      </w:r>
    </w:p>
    <w:p>
      <w:pPr>
        <w:spacing w:after="120" w:line="276"/>
        <w:jc w:val="both"/>
      </w:pPr>
      <w:r>
        <w:rPr>
          <w:rFonts w:ascii="Barlow Semi Condensed" w:cs="Barlow Semi Condensed" w:eastAsia="Barlow Semi Condensed" w:hAnsi="Barlow Semi Condensed"/>
          <w:b/>
          <w:bCs/>
          <w:sz w:val="24"/>
          <w:szCs w:val="24"/>
        </w:rPr>
        <w:t xml:space="preserve">La confusione più diffusa consiste nel trattare i tre livelli come una scala verso l'alto, sulla quale si sale per gradi: accertati gli esecutori, si risale agli organizzatori; accertati gli organizzatori, si risale ai mandanti.</w:t>
      </w:r>
    </w:p>
    <w:p>
      <w:pPr>
        <w:spacing w:after="120" w:line="276"/>
        <w:jc w:val="both"/>
      </w:pPr>
      <w:r>
        <w:rPr>
          <w:rFonts w:ascii="Barlow Semi Condensed" w:cs="Barlow Semi Condensed" w:eastAsia="Barlow Semi Condensed" w:hAnsi="Barlow Semi Condensed"/>
          <w:b/>
          <w:bCs/>
          <w:sz w:val="24"/>
          <w:szCs w:val="24"/>
        </w:rPr>
        <w:t xml:space="preserve">Questa rappresentazione è ingannevole per una ragione precisa: essa presuppone che il terzo livello esista. Ma l'esistenza del terzo livello è essa stessa una proposizione da provare, e non una conseguenza dei primi due.</w:t>
      </w:r>
    </w:p>
    <w:p>
      <w:pPr>
        <w:spacing w:after="120" w:line="276"/>
        <w:jc w:val="both"/>
      </w:pPr>
      <w:r>
        <w:rPr>
          <w:rFonts w:ascii="Barlow Semi Condensed" w:cs="Barlow Semi Condensed" w:eastAsia="Barlow Semi Condensed" w:hAnsi="Barlow Semi Condensed"/>
          <w:b/>
          <w:bCs/>
          <w:sz w:val="24"/>
          <w:szCs w:val="24"/>
        </w:rPr>
        <w:t xml:space="preserve">Un'operazione può avere due livelli soltanto. Un organismo che deliberi autonomamente e faccia eseguire da propri membri esaurisce la catena. Che vi sia un terzo livello è ipotesi, non struttura necessaria.</w:t>
      </w:r>
    </w:p>
    <w:p>
      <w:pPr>
        <w:spacing w:after="120" w:line="276"/>
        <w:jc w:val="both"/>
      </w:pPr>
      <w:r>
        <w:rPr>
          <w:rFonts w:ascii="Barlow Semi Condensed" w:cs="Barlow Semi Condensed" w:eastAsia="Barlow Semi Condensed" w:hAnsi="Barlow Semi Condensed"/>
          <w:b/>
          <w:bCs/>
          <w:sz w:val="24"/>
          <w:szCs w:val="24"/>
        </w:rPr>
        <w:t xml:space="preserve">Chi tratti la risalita come un cammino obbligato è indotto a cercare il terzo livello perché la scala lo prevede, e a trovarlo perché lo cerca. La scala non lo prevede: la scala ha tanti gradini quanti la prova ne stabilisce.</w:t>
      </w:r>
    </w:p>
    <w:p>
      <w:pPr>
        <w:pStyle w:val="Heading2"/>
        <w:spacing w:after="100" w:before="200"/>
      </w:pPr>
      <w:r>
        <w:rPr>
          <w:rFonts w:ascii="Barlow Semi Condensed" w:cs="Barlow Semi Condensed" w:eastAsia="Barlow Semi Condensed" w:hAnsi="Barlow Semi Condensed"/>
          <w:sz w:val="24"/>
          <w:szCs w:val="24"/>
        </w:rPr>
        <w:t xml:space="preserve">La disposizione della Fase</w:t>
      </w:r>
    </w:p>
    <w:p>
      <w:pPr>
        <w:spacing w:after="120" w:line="276"/>
        <w:jc w:val="both"/>
      </w:pPr>
      <w:r>
        <w:rPr>
          <w:rFonts w:ascii="Barlow Semi Condensed" w:cs="Barlow Semi Condensed" w:eastAsia="Barlow Semi Condensed" w:hAnsi="Barlow Semi Condensed"/>
          <w:b/>
          <w:bCs/>
          <w:sz w:val="24"/>
          <w:szCs w:val="24"/>
        </w:rPr>
        <w:t xml:space="preserve">Ne discende la disposizione seguente. I tre livelli sono esaminati separatamente, ciascuno con la propria prova, e nessuno è impiegato come premessa dell'altro.</w:t>
      </w:r>
    </w:p>
    <w:p>
      <w:pPr>
        <w:spacing w:after="120" w:line="276"/>
        <w:jc w:val="both"/>
      </w:pPr>
      <w:r>
        <w:rPr>
          <w:rFonts w:ascii="Barlow Semi Condensed" w:cs="Barlow Semi Condensed" w:eastAsia="Barlow Semi Condensed" w:hAnsi="Barlow Semi Condensed"/>
          <w:b/>
          <w:bCs/>
          <w:sz w:val="24"/>
          <w:szCs w:val="24"/>
        </w:rPr>
        <w:t xml:space="preserve">In particolare, l'accertamento del primo livello non fonda alcuna presunzione sul secondo, e l'accertamento del secondo non fonda alcuna presunzione sul terzo. Il terzo livello sarà dichiarato accertato se e solo se prove proprie lo sostengono, e sarà dichiarato non accertato in caso contrario, senza che la sua vacanza sia colmata da inferenze.</w:t>
      </w:r>
    </w:p>
    <w:p>
      <w:pPr>
        <w:pStyle w:val="Heading2"/>
        <w:spacing w:after="100" w:before="200"/>
      </w:pPr>
      <w:r>
        <w:rPr>
          <w:rFonts w:ascii="Barlow Semi Condensed" w:cs="Barlow Semi Condensed" w:eastAsia="Barlow Semi Condensed" w:hAnsi="Barlow Semi Condensed"/>
          <w:sz w:val="24"/>
          <w:szCs w:val="24"/>
        </w:rPr>
        <w:t xml:space="preserve">La designazione</w:t>
      </w:r>
    </w:p>
    <w:p>
      <w:pPr>
        <w:spacing w:after="120" w:line="276"/>
        <w:jc w:val="both"/>
      </w:pPr>
      <w:r>
        <w:rPr>
          <w:rFonts w:ascii="Barlow Semi Condensed" w:cs="Barlow Semi Condensed" w:eastAsia="Barlow Semi Condensed" w:hAnsi="Barlow Semi Condensed"/>
          <w:b/>
          <w:bCs/>
          <w:sz w:val="24"/>
          <w:szCs w:val="24"/>
        </w:rPr>
        <w:t xml:space="preserve">Si conferma in questa Fase, e vi si applica con particolare rigore, la disciplina della designazione per funzione.</w:t>
      </w:r>
    </w:p>
    <w:p>
      <w:pPr>
        <w:spacing w:after="120" w:line="276"/>
        <w:jc w:val="both"/>
      </w:pPr>
      <w:r>
        <w:rPr>
          <w:rFonts w:ascii="Barlow Semi Condensed" w:cs="Barlow Semi Condensed" w:eastAsia="Barlow Semi Condensed" w:hAnsi="Barlow Semi Condensed"/>
          <w:b/>
          <w:bCs/>
          <w:sz w:val="24"/>
          <w:szCs w:val="24"/>
        </w:rPr>
        <w:t xml:space="preserve">Le persone condannate con sentenza definitiva per i fatti sono note e i loro nomi sono negli atti pubblici. Quest'opera non li ripete, e conviene dire perché, poiché qui la ragione non è la stessa dei Capitoli precedenti.</w:t>
      </w:r>
    </w:p>
    <w:p>
      <w:pPr>
        <w:spacing w:after="120" w:line="276"/>
        <w:jc w:val="both"/>
      </w:pPr>
      <w:r>
        <w:rPr>
          <w:rFonts w:ascii="Barlow Semi Condensed" w:cs="Barlow Semi Condensed" w:eastAsia="Barlow Semi Condensed" w:hAnsi="Barlow Semi Condensed"/>
          <w:b/>
          <w:bCs/>
          <w:sz w:val="24"/>
          <w:szCs w:val="24"/>
        </w:rPr>
        <w:t xml:space="preserve">Non è per proteggerle: la condanna definitiva è un fatto pubblico e la sua menzione non offende alcuno.</w:t>
      </w:r>
    </w:p>
    <w:p>
      <w:pPr>
        <w:spacing w:after="120" w:line="276"/>
        <w:jc w:val="both"/>
      </w:pPr>
      <w:r>
        <w:rPr>
          <w:rFonts w:ascii="Barlow Semi Condensed" w:cs="Barlow Semi Condensed" w:eastAsia="Barlow Semi Condensed" w:hAnsi="Barlow Semi Condensed"/>
          <w:b/>
          <w:bCs/>
          <w:sz w:val="24"/>
          <w:szCs w:val="24"/>
        </w:rPr>
        <w:t xml:space="preserve">È perché la ripetizione dei nomi non aggiunge nulla all'oggetto di questa Fase, che non è l'individuazione delle persone — già compiuta dalla giurisdizione, che ne ha titolo — ma la ricostruzione della struttura della responsabilità. Per tale ricostruzione ciò che rileva è il ruolo, e il ruolo si designa per funzione.</w:t>
      </w:r>
    </w:p>
    <w:p>
      <w:pPr>
        <w:spacing w:after="120" w:line="276"/>
        <w:jc w:val="both"/>
      </w:pPr>
      <w:r>
        <w:rPr>
          <w:rFonts w:ascii="Barlow Semi Condensed" w:cs="Barlow Semi Condensed" w:eastAsia="Barlow Semi Condensed" w:hAnsi="Barlow Semi Condensed"/>
          <w:b/>
          <w:bCs/>
          <w:sz w:val="24"/>
          <w:szCs w:val="24"/>
        </w:rPr>
        <w:t xml:space="preserve">Vi è inoltre una ragione di misura. Un registro che elenchi nomi di condannati produce, per il solo effetto dell'elenco,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Capitolo cinquantaduesimo — La scala del vincolo applicata ai dichiaranti</w:t>
      </w:r>
    </w:p>
    <w:p>
      <w:pPr>
        <w:spacing w:after="120" w:line="276"/>
        <w:jc w:val="both"/>
      </w:pPr>
      <w:r>
        <w:rPr>
          <w:rFonts w:ascii="Barlow Semi Condensed" w:cs="Barlow Semi Condensed" w:eastAsia="Barlow Semi Condensed" w:hAnsi="Barlow Semi Condensed"/>
          <w:b/>
          <w:bCs/>
          <w:sz w:val="24"/>
          <w:szCs w:val="24"/>
        </w:rPr>
        <w:t xml:space="preserve">La Fase Quarta ha raccomandato di applicare la scala del vincolo, istituita per le carte della prigionia, anche alle dichiarazioni delle persone coinvolte. Si dà qui esecuzione alla raccomandazione, perché questa Fase poggia su tali dichiarazioni più di ogni altra.</w:t>
      </w:r>
    </w:p>
    <w:p>
      <w:pPr>
        <w:pStyle w:val="Heading2"/>
        <w:spacing w:after="100" w:before="200"/>
      </w:pPr>
      <w:r>
        <w:rPr>
          <w:rFonts w:ascii="Barlow Semi Condensed" w:cs="Barlow Semi Condensed" w:eastAsia="Barlow Semi Condensed" w:hAnsi="Barlow Semi Condensed"/>
          <w:sz w:val="24"/>
          <w:szCs w:val="24"/>
        </w:rPr>
        <w:t xml:space="preserve">Perché la scala si applica</w:t>
      </w:r>
    </w:p>
    <w:p>
      <w:pPr>
        <w:spacing w:after="120" w:line="276"/>
        <w:jc w:val="both"/>
      </w:pPr>
      <w:r>
        <w:rPr>
          <w:rFonts w:ascii="Barlow Semi Condensed" w:cs="Barlow Semi Condensed" w:eastAsia="Barlow Semi Condensed" w:hAnsi="Barlow Semi Condensed"/>
          <w:b/>
          <w:bCs/>
          <w:sz w:val="24"/>
          <w:szCs w:val="24"/>
        </w:rPr>
        <w:t xml:space="preserve">La Fase Terza ha accertato che una parte preponderante della ricostruzione degli attori poggia su dichiarazioni rese da persone coinvolte, in tempi successivi ai fatti e con revisioni.</w:t>
      </w:r>
    </w:p>
    <w:p>
      <w:pPr>
        <w:spacing w:after="120" w:line="276"/>
        <w:jc w:val="both"/>
      </w:pPr>
      <w:r>
        <w:rPr>
          <w:rFonts w:ascii="Barlow Semi Condensed" w:cs="Barlow Semi Condensed" w:eastAsia="Barlow Semi Condensed" w:hAnsi="Barlow Semi Condensed"/>
          <w:b/>
          <w:bCs/>
          <w:sz w:val="24"/>
          <w:szCs w:val="24"/>
        </w:rPr>
        <w:t xml:space="preserve">Tali dichiarazioni sono enunciati resi sotto vincolo. Il vincolo è di natura diversa da quello della prigionia, ed è di tre specie.</w:t>
      </w:r>
    </w:p>
    <w:p>
      <w:pPr>
        <w:spacing w:after="120" w:line="276"/>
        <w:jc w:val="both"/>
      </w:pPr>
      <w:r>
        <w:rPr>
          <w:rFonts w:ascii="Barlow Semi Condensed" w:cs="Barlow Semi Condensed" w:eastAsia="Barlow Semi Condensed" w:hAnsi="Barlow Semi Condensed"/>
          <w:b/>
          <w:bCs/>
          <w:sz w:val="24"/>
          <w:szCs w:val="24"/>
        </w:rPr>
        <w:t xml:space="preserve">Prima specie: il vincolo processuale. Chi dichiara mentre è sottoposto a procedimento, o ne attende gli effetti, dichiara in condizione nella quale il contenuto incide sulla propria posizione.</w:t>
      </w:r>
    </w:p>
    <w:p>
      <w:pPr>
        <w:spacing w:after="120" w:line="276"/>
        <w:jc w:val="both"/>
      </w:pPr>
      <w:r>
        <w:rPr>
          <w:rFonts w:ascii="Barlow Semi Condensed" w:cs="Barlow Semi Condensed" w:eastAsia="Barlow Semi Condensed" w:hAnsi="Barlow Semi Condensed"/>
          <w:b/>
          <w:bCs/>
          <w:sz w:val="24"/>
          <w:szCs w:val="24"/>
        </w:rPr>
        <w:t xml:space="preserve">Seconda specie: il vincolo di appartenenza. Chi dichiara restando legato, anche solo idealmente, a un gruppo dichiara in condizione nella quale il contenuto incide sui compagni.</w:t>
      </w:r>
    </w:p>
    <w:p>
      <w:pPr>
        <w:spacing w:after="120" w:line="276"/>
        <w:jc w:val="both"/>
      </w:pPr>
      <w:r>
        <w:rPr>
          <w:rFonts w:ascii="Barlow Semi Condensed" w:cs="Barlow Semi Condensed" w:eastAsia="Barlow Semi Condensed" w:hAnsi="Barlow Semi Condensed"/>
          <w:b/>
          <w:bCs/>
          <w:sz w:val="24"/>
          <w:szCs w:val="24"/>
        </w:rPr>
        <w:t xml:space="preserve">Terza specie: il vincolo di coerenza. Chi ha già dichiarato dichiara in condizione nella quale il contenuto incide sulla credibilità delle proprie dichiarazioni anteriori. È il vincolo meno riconosciuto e il più insidioso, perché opera anche su chi non abbia più interesse processuale né appartenenza.</w:t>
      </w:r>
    </w:p>
    <w:p>
      <w:pPr>
        <w:pStyle w:val="Heading2"/>
        <w:spacing w:after="100" w:before="200"/>
      </w:pPr>
      <w:r>
        <w:rPr>
          <w:rFonts w:ascii="Barlow Semi Condensed" w:cs="Barlow Semi Condensed" w:eastAsia="Barlow Semi Condensed" w:hAnsi="Barlow Semi Condensed"/>
          <w:sz w:val="24"/>
          <w:szCs w:val="24"/>
        </w:rPr>
        <w:t xml:space="preserve">I quattro gradi applicati</w:t>
      </w:r>
    </w:p>
    <w:p>
      <w:pPr>
        <w:spacing w:after="120" w:line="276"/>
        <w:jc w:val="both"/>
      </w:pPr>
      <w:r>
        <w:rPr>
          <w:rFonts w:ascii="Barlow Semi Condensed" w:cs="Barlow Semi Condensed" w:eastAsia="Barlow Semi Condensed" w:hAnsi="Barlow Semi Condensed"/>
          <w:b/>
          <w:bCs/>
          <w:sz w:val="24"/>
          <w:szCs w:val="24"/>
        </w:rPr>
        <w:t xml:space="preserve">Primo grado, non vincolato: enunciati il cui contenuto è indifferente rispetto alla posizione del dichiarante, dei suoi compagni e delle sue dichiarazioni anteriori.</w:t>
      </w:r>
    </w:p>
    <w:p>
      <w:pPr>
        <w:spacing w:after="120" w:line="276"/>
        <w:jc w:val="both"/>
      </w:pPr>
      <w:r>
        <w:rPr>
          <w:rFonts w:ascii="Barlow Semi Condensed" w:cs="Barlow Semi Condensed" w:eastAsia="Barlow Semi Condensed" w:hAnsi="Barlow Semi Condensed"/>
          <w:b/>
          <w:bCs/>
          <w:sz w:val="24"/>
          <w:szCs w:val="24"/>
        </w:rPr>
        <w:t xml:space="preserve">Secondo grado, debolmente vincolato: enunciati che incidono su materie di interesse generico, e che sono coerenti con elementi materiali accertati indipendentemente.</w:t>
      </w:r>
    </w:p>
    <w:p>
      <w:pPr>
        <w:spacing w:after="120" w:line="276"/>
        <w:jc w:val="both"/>
      </w:pPr>
      <w:r>
        <w:rPr>
          <w:rFonts w:ascii="Barlow Semi Condensed" w:cs="Barlow Semi Condensed" w:eastAsia="Barlow Semi Condensed" w:hAnsi="Barlow Semi Condensed"/>
          <w:b/>
          <w:bCs/>
          <w:sz w:val="24"/>
          <w:szCs w:val="24"/>
        </w:rPr>
        <w:t xml:space="preserve">Terzo grado, fortemente vincolato: enunciati che attribuiscono condotte, a sé o ad altri, e che incidono su posizioni processuali. Vi rientra la quasi totalità delle attribuzioni individuali.</w:t>
      </w:r>
    </w:p>
    <w:p>
      <w:pPr>
        <w:spacing w:after="120" w:line="276"/>
        <w:jc w:val="both"/>
      </w:pPr>
      <w:r>
        <w:rPr>
          <w:rFonts w:ascii="Barlow Semi Condensed" w:cs="Barlow Semi Condensed" w:eastAsia="Barlow Semi Condensed" w:hAnsi="Barlow Semi Condensed"/>
          <w:b/>
          <w:bCs/>
          <w:sz w:val="24"/>
          <w:szCs w:val="24"/>
        </w:rPr>
        <w:t xml:space="preserve">Quarto grado, di provenienza dubbia: enunciati sopravvenuti che modificano attribuzioni anteriori senza che sia dichiarato il motivo del mutamento.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b/>
          <w:bCs/>
          <w:sz w:val="24"/>
          <w:szCs w:val="24"/>
        </w:rPr>
        <w:t xml:space="preserve">Ne discende la disposizione che governa questa Fase.</w:t>
      </w:r>
    </w:p>
    <w:p>
      <w:pPr>
        <w:spacing w:after="120" w:line="276"/>
        <w:jc w:val="both"/>
      </w:pPr>
      <w:r>
        <w:rPr>
          <w:rFonts w:ascii="Barlow Semi Condensed" w:cs="Barlow Semi Condensed" w:eastAsia="Barlow Semi Condensed" w:hAnsi="Barlow Semi Condensed"/>
          <w:b/>
          <w:bCs/>
          <w:sz w:val="24"/>
          <w:szCs w:val="24"/>
        </w:rPr>
        <w:t xml:space="preserve">Gli enunciati di terzo grado attestano che il dichiarante li ha resi, e null'altro. Essi non sono impiegati come prova dell'attribuzione che contengono, se non ove riscontrati da elementi indipendenti.</w:t>
      </w:r>
    </w:p>
    <w:p>
      <w:pPr>
        <w:spacing w:after="120" w:line="276"/>
        <w:jc w:val="both"/>
      </w:pPr>
      <w:r>
        <w:rPr>
          <w:rFonts w:ascii="Barlow Semi Condensed" w:cs="Barlow Semi Condensed" w:eastAsia="Barlow Semi Condensed" w:hAnsi="Barlow Semi Condensed"/>
          <w:b/>
          <w:bCs/>
          <w:sz w:val="24"/>
          <w:szCs w:val="24"/>
        </w:rPr>
        <w:t xml:space="preserve">La disposizione ha un effetto che va dichiarato senza attenuazioni: essa priva questa Fase della maggior parte delle attribuzioni individuali correntemente accolte.</w:t>
      </w:r>
    </w:p>
    <w:p>
      <w:pPr>
        <w:spacing w:after="120" w:line="276"/>
        <w:jc w:val="both"/>
      </w:pPr>
      <w:r>
        <w:rPr>
          <w:rFonts w:ascii="Barlow Semi Condensed" w:cs="Barlow Semi Condensed" w:eastAsia="Barlow Semi Condensed" w:hAnsi="Barlow Semi Condensed"/>
          <w:b/>
          <w:bCs/>
          <w:sz w:val="24"/>
          <w:szCs w:val="24"/>
        </w:rPr>
        <w:t xml:space="preserve">Occorre però precisare immediatamente ciò che la disposizione non tocca, perché altrimenti si presterebbe a un fraintendimento grave.</w:t>
      </w:r>
    </w:p>
    <w:p>
      <w:pPr>
        <w:spacing w:after="120" w:line="276"/>
        <w:jc w:val="both"/>
      </w:pPr>
      <w:r>
        <w:rPr>
          <w:rFonts w:ascii="Barlow Semi Condensed" w:cs="Barlow Semi Condensed" w:eastAsia="Barlow Semi Condensed" w:hAnsi="Barlow Semi Condensed"/>
          <w:b/>
          <w:bCs/>
          <w:sz w:val="24"/>
          <w:szCs w:val="24"/>
        </w:rPr>
        <w:t xml:space="preserve">Essa non tocca gli accertamenti giudiziari. Le sentenze definitive hanno accertato responsabilità individuali secondo le regole del processo, che comprendono la valutazione di attendibilità dei dichiaranti condotta nel contraddittorio delle parti, con strumenti che un registro non possiede. Quest'opera non riesamina gli accertamenti giudiziari e non ne mette in discussione la validità.</w:t>
      </w:r>
    </w:p>
    <w:p>
      <w:pPr>
        <w:spacing w:after="120" w:line="276"/>
        <w:jc w:val="both"/>
      </w:pPr>
      <w:r>
        <w:rPr>
          <w:rFonts w:ascii="Barlow Semi Condensed" w:cs="Barlow Semi Condensed" w:eastAsia="Barlow Semi Condensed" w:hAnsi="Barlow Semi Condensed"/>
          <w:b/>
          <w:bCs/>
          <w:sz w:val="24"/>
          <w:szCs w:val="24"/>
        </w:rPr>
        <w:t xml:space="preserve">La disposizione tocca l'uso storiografico delle dichiarazioni oltre il perimetro dell'accertato in giudizio: le attribuzioni non consacrate in sentenza, le ricostruzioni di dettaglio, le versioni successive che modificano il quadro. Su queste, e solo su queste, la scala opera.</w:t>
      </w:r>
    </w:p>
    <w:p>
      <w:pPr>
        <w:pStyle w:val="Heading2"/>
        <w:spacing w:after="100" w:before="200"/>
      </w:pPr>
      <w:r>
        <w:rPr>
          <w:rFonts w:ascii="Barlow Semi Condensed" w:cs="Barlow Semi Condensed" w:eastAsia="Barlow Semi Condensed" w:hAnsi="Barlow Semi Condensed"/>
          <w:sz w:val="24"/>
          <w:szCs w:val="24"/>
        </w:rPr>
        <w:t xml:space="preserve">Capitolo cinquantatreesimo — Il collasso genealogico delle fonti</w:t>
      </w:r>
    </w:p>
    <w:p>
      <w:pPr>
        <w:spacing w:after="120" w:line="276"/>
        <w:jc w:val="both"/>
      </w:pPr>
      <w:r>
        <w:rPr>
          <w:rFonts w:ascii="Barlow Semi Condensed" w:cs="Barlow Semi Condensed" w:eastAsia="Barlow Semi Condensed" w:hAnsi="Barlow Semi Condensed"/>
          <w:b/>
          <w:bCs/>
          <w:sz w:val="24"/>
          <w:szCs w:val="24"/>
        </w:rPr>
        <w:t xml:space="preserve">La Fase Quinta ha iscritto in tavola una verifica che qui si esegue in linea di principio, essendo indispensabile a questa Fase: stabilire quante catene di fonti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b/>
          <w:bCs/>
          <w:sz w:val="24"/>
          <w:szCs w:val="24"/>
        </w:rPr>
        <w:t xml:space="preserve">Una convergenza di fonti ha valore probatorio se e solo se le fonti sono indipendenti. Se sei fonti convergono su un punto, ma tutte e sei discendono da un medesimo evento originario, la convergenza è di uno e non di sei.</w:t>
      </w:r>
    </w:p>
    <w:p>
      <w:pPr>
        <w:spacing w:after="120" w:line="276"/>
        <w:jc w:val="both"/>
      </w:pPr>
      <w:r>
        <w:rPr>
          <w:rFonts w:ascii="Barlow Semi Condensed" w:cs="Barlow Semi Condensed" w:eastAsia="Barlow Semi Condensed" w:hAnsi="Barlow Semi Condensed"/>
          <w:b/>
          <w:bCs/>
          <w:sz w:val="24"/>
          <w:szCs w:val="24"/>
        </w:rPr>
        <w:t xml:space="preserve">Il problema è che la discendenza non è visibile nella forma in cui le fonti si presentano. Una sentenza, una relazione parlamentare, una monografia e un articolo appaiono come quattro fonti distinte, di natura e autorità diverse; ma se tutte e quattro riprendono la medesima dichiarazione, esse sono quattro esposizioni di una fonte sola.</w:t>
      </w:r>
    </w:p>
    <w:p>
      <w:pPr>
        <w:pStyle w:val="Heading2"/>
        <w:spacing w:after="100" w:before="200"/>
      </w:pPr>
      <w:r>
        <w:rPr>
          <w:rFonts w:ascii="Barlow Semi Condensed" w:cs="Barlow Semi Condensed" w:eastAsia="Barlow Semi Condensed" w:hAnsi="Barlow Semi Condensed"/>
          <w:sz w:val="24"/>
          <w:szCs w:val="24"/>
        </w:rPr>
        <w:t xml:space="preserve">La regola del collasso</w:t>
      </w:r>
    </w:p>
    <w:p>
      <w:pPr>
        <w:spacing w:after="120" w:line="276"/>
        <w:jc w:val="both"/>
      </w:pPr>
      <w:r>
        <w:rPr>
          <w:rFonts w:ascii="Barlow Semi Condensed" w:cs="Barlow Semi Condensed" w:eastAsia="Barlow Semi Condensed" w:hAnsi="Barlow Semi Condensed"/>
          <w:b/>
          <w:bCs/>
          <w:sz w:val="24"/>
          <w:szCs w:val="24"/>
        </w:rPr>
        <w:t xml:space="preserve">La regola è la seguente: prima di computare una convergenza, si risale ciascuna fonte fino al suo evento originario, e si contano gli eventi originari, non le fonti.</w:t>
      </w:r>
    </w:p>
    <w:p>
      <w:pPr>
        <w:spacing w:after="120" w:line="276"/>
        <w:jc w:val="both"/>
      </w:pPr>
      <w:r>
        <w:rPr>
          <w:rFonts w:ascii="Barlow Semi Condensed" w:cs="Barlow Semi Condensed" w:eastAsia="Barlow Semi Condensed" w:hAnsi="Barlow Semi Condensed"/>
          <w:b/>
          <w:bCs/>
          <w:sz w:val="24"/>
          <w:szCs w:val="24"/>
        </w:rPr>
        <w:t xml:space="preserve">Un evento originario è un atto irripetibile dal quale l'informazione entrò nel circuito: una dichiarazione resa, un sequestro effettuato, un rilievo eseguito, un documento formato. Tutto ciò che ne discende — riprese, citazioni, elaborazioni, valutazioni di sedi qualificate — non aggiunge una catena.</w:t>
      </w:r>
    </w:p>
    <w:p>
      <w:pPr>
        <w:spacing w:after="120" w:line="276"/>
        <w:jc w:val="both"/>
      </w:pPr>
      <w:r>
        <w:rPr>
          <w:rFonts w:ascii="Barlow Semi Condensed" w:cs="Barlow Semi Condensed" w:eastAsia="Barlow Semi Condensed" w:hAnsi="Barlow Semi Condensed"/>
          <w:b/>
          <w:bCs/>
          <w:sz w:val="24"/>
          <w:szCs w:val="24"/>
        </w:rPr>
        <w:t xml:space="preserve">Ne segue una conseguenza che sorprende e che va enunciata: l'autorevolezza della sede non genera indipendenza. Una relazione parlamentare che riprenda una dichiarazione non costituisce una fonte indipendente rispetto alla dichiarazione. Essa ne costituisce una valutazione qualificata, il che ha valore proprio, ma non è una seconda attestazione del fatto.</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b/>
          <w:bCs/>
          <w:sz w:val="24"/>
          <w:szCs w:val="24"/>
        </w:rPr>
        <w:t xml:space="preserve">Applicata alla ricostruzione degli attori, la regola produce un effetto rilevante e va dichiarato per genere, non essendo stata condotta la verifica analitica.</w:t>
      </w:r>
    </w:p>
    <w:p>
      <w:pPr>
        <w:spacing w:after="120" w:line="276"/>
        <w:jc w:val="both"/>
      </w:pPr>
      <w:r>
        <w:rPr>
          <w:rFonts w:ascii="Barlow Semi Condensed" w:cs="Barlow Semi Condensed" w:eastAsia="Barlow Semi Condensed" w:hAnsi="Barlow Semi Condensed"/>
          <w:b/>
          <w:bCs/>
          <w:sz w:val="24"/>
          <w:szCs w:val="24"/>
        </w:rPr>
        <w:t xml:space="preserve">Le attribuzioni individuali relative all'esecuzione, alla custodia e all'uccisione discendono, per la parte non sostenuta da rilievo materiale, da un numero di eventi originari assai minore del numero delle fonti che le espongono. Gli eventi originari sono le dichiarazioni rese dalle persone coinvolte, e sono numericamente pochi.</w:t>
      </w:r>
    </w:p>
    <w:p>
      <w:pPr>
        <w:spacing w:after="120" w:line="276"/>
        <w:jc w:val="both"/>
      </w:pPr>
      <w:r>
        <w:rPr>
          <w:rFonts w:ascii="Barlow Semi Condensed" w:cs="Barlow Semi Condensed" w:eastAsia="Barlow Semi Condensed" w:hAnsi="Barlow Semi Condensed"/>
          <w:b/>
          <w:bCs/>
          <w:sz w:val="24"/>
          <w:szCs w:val="24"/>
        </w:rPr>
        <w:t xml:space="preserve">Ne segue che la sensazione di solidità che il lettore ricava dalla molteplicità delle esposizioni concordanti è, in misura non determinata, un artefatto della propagazione.</w:t>
      </w:r>
    </w:p>
    <w:p>
      <w:pPr>
        <w:pStyle w:val="Heading2"/>
        <w:spacing w:after="100" w:before="200"/>
      </w:pPr>
      <w:r>
        <w:rPr>
          <w:rFonts w:ascii="Barlow Semi Condensed" w:cs="Barlow Semi Condensed" w:eastAsia="Barlow Semi Condensed" w:hAnsi="Barlow Semi Condensed"/>
          <w:sz w:val="24"/>
          <w:szCs w:val="24"/>
        </w:rPr>
        <w:t xml:space="preserve">Il limite di questa applicazione</w:t>
      </w:r>
    </w:p>
    <w:p>
      <w:pPr>
        <w:spacing w:after="120" w:line="276"/>
        <w:jc w:val="both"/>
      </w:pPr>
      <w:r>
        <w:rPr>
          <w:rFonts w:ascii="Barlow Semi Condensed" w:cs="Barlow Semi Condensed" w:eastAsia="Barlow Semi Condensed" w:hAnsi="Barlow Semi Condensed"/>
          <w:b/>
          <w:bCs/>
          <w:sz w:val="24"/>
          <w:szCs w:val="24"/>
        </w:rPr>
        <w:t xml:space="preserve">Si dichiara il limite di quanto qui si afferma.</w:t>
      </w:r>
    </w:p>
    <w:p>
      <w:pPr>
        <w:spacing w:after="120" w:line="276"/>
        <w:jc w:val="both"/>
      </w:pPr>
      <w:r>
        <w:rPr>
          <w:rFonts w:ascii="Barlow Semi Condensed" w:cs="Barlow Semi Condensed" w:eastAsia="Barlow Semi Condensed" w:hAnsi="Barlow Semi Condensed"/>
          <w:b/>
          <w:bCs/>
          <w:sz w:val="24"/>
          <w:szCs w:val="24"/>
        </w:rPr>
        <w:t xml:space="preserve">La verifica genealogica analitica — fonte per fonte, con individuazione dell'evento originario di ciascuna — non è stata condotta. Ciò che si afferma è di genere: che la propagazione vi sia stata, e che il numero degli eventi originari sia minore del numero delle fonti.</w:t>
      </w:r>
    </w:p>
    <w:p>
      <w:pPr>
        <w:spacing w:after="120" w:line="276"/>
        <w:jc w:val="both"/>
      </w:pPr>
      <w:r>
        <w:rPr>
          <w:rFonts w:ascii="Barlow Semi Condensed" w:cs="Barlow Semi Condensed" w:eastAsia="Barlow Semi Condensed" w:hAnsi="Barlow Semi Condensed"/>
          <w:b/>
          <w:bCs/>
          <w:sz w:val="24"/>
          <w:szCs w:val="24"/>
        </w:rPr>
        <w:t xml:space="preserve">La misura di tale scarto non è dichiarata perché non è stata presa. Chiunque volesse contestare l'affermazione avrebbe l'onere agevole di indicare eventi originari ulteriori; e chiunque volesse sostenerla avrebbe l'onere di condurre la verifica.</w:t>
      </w:r>
    </w:p>
    <w:p>
      <w:pPr>
        <w:spacing w:after="120" w:line="276"/>
        <w:jc w:val="both"/>
      </w:pPr>
      <w:r>
        <w:rPr>
          <w:rFonts w:ascii="Barlow Semi Condensed" w:cs="Barlow Semi Condensed" w:eastAsia="Barlow Semi Condensed" w:hAnsi="Barlow Semi Condensed"/>
          <w:b/>
          <w:bCs/>
          <w:sz w:val="24"/>
          <w:szCs w:val="24"/>
        </w:rPr>
        <w:t xml:space="preserve">Si iscrive in tavola come acquisizione necessaria, con la precisazione che essa è condizione preliminare di qualunque computo di convergenza in questa Fase e nelle successive.</w:t>
      </w:r>
    </w:p>
    <w:p>
      <w:pPr>
        <w:pStyle w:val="Heading2"/>
        <w:spacing w:after="100" w:before="200"/>
      </w:pPr>
      <w:r>
        <w:rPr>
          <w:rFonts w:ascii="Barlow Semi Condensed" w:cs="Barlow Semi Condensed" w:eastAsia="Barlow Semi Condensed" w:hAnsi="Barlow Semi Condensed"/>
          <w:sz w:val="24"/>
          <w:szCs w:val="24"/>
        </w:rPr>
        <w:t xml:space="preserve">Capitolo cinquantaquattresimo — Il primo livello: l'esecuzione</w:t>
      </w:r>
    </w:p>
    <w:p>
      <w:pPr>
        <w:pStyle w:val="Heading2"/>
        <w:spacing w:after="100" w:before="200"/>
      </w:pPr>
      <w:r>
        <w:rPr>
          <w:rFonts w:ascii="Barlow Semi Condensed" w:cs="Barlow Semi Condensed" w:eastAsia="Barlow Semi Condensed" w:hAnsi="Barlow Semi Condensed"/>
          <w:sz w:val="24"/>
          <w:szCs w:val="24"/>
        </w:rPr>
        <w:t xml:space="preserve">Ciò che è accertato in sede giudiziaria</w:t>
      </w:r>
    </w:p>
    <w:p>
      <w:pPr>
        <w:spacing w:after="120" w:line="276"/>
        <w:jc w:val="both"/>
      </w:pPr>
      <w:r>
        <w:rPr>
          <w:rFonts w:ascii="Barlow Semi Condensed" w:cs="Barlow Semi Condensed" w:eastAsia="Barlow Semi Condensed" w:hAnsi="Barlow Semi Condensed"/>
          <w:b/>
          <w:bCs/>
          <w:sz w:val="24"/>
          <w:szCs w:val="24"/>
        </w:rPr>
        <w:t xml:space="preserve">È accertato, per sentenza definitiva, che i fatti furono commessi da appartenenti a una organizzazione armata clandestina; che essi agirono in numero plurimo nell'agguato; che la custodia del prigioniero fu effettuata da appartenenti alla medesima organizzazione in un appartamento della città; e che l'uccisione fu commessa da appartenenti a essa.</w:t>
      </w:r>
    </w:p>
    <w:p>
      <w:pPr>
        <w:spacing w:after="120" w:line="276"/>
        <w:jc w:val="both"/>
      </w:pPr>
      <w:r>
        <w:rPr>
          <w:rFonts w:ascii="Barlow Semi Condensed" w:cs="Barlow Semi Condensed" w:eastAsia="Barlow Semi Condensed" w:hAnsi="Barlow Semi Condensed"/>
          <w:b/>
          <w:bCs/>
          <w:sz w:val="24"/>
          <w:szCs w:val="24"/>
        </w:rPr>
        <w:t xml:space="preserve">Le persone ritenute responsabili sono individuate nelle sentenze, che hanno autorità propria e non sono riesaminate in questa sede.</w:t>
      </w:r>
    </w:p>
    <w:p>
      <w:pPr>
        <w:pStyle w:val="Heading2"/>
        <w:spacing w:after="100" w:before="200"/>
      </w:pPr>
      <w:r>
        <w:rPr>
          <w:rFonts w:ascii="Barlow Semi Condensed" w:cs="Barlow Semi Condensed" w:eastAsia="Barlow Semi Condensed" w:hAnsi="Barlow Semi Condensed"/>
          <w:sz w:val="24"/>
          <w:szCs w:val="24"/>
        </w:rPr>
        <w:t xml:space="preserve">Lo statuto di tale accertamento in quest'opera</w:t>
      </w:r>
    </w:p>
    <w:p>
      <w:pPr>
        <w:spacing w:after="120" w:line="276"/>
        <w:jc w:val="both"/>
      </w:pPr>
      <w:r>
        <w:rPr>
          <w:rFonts w:ascii="Barlow Semi Condensed" w:cs="Barlow Semi Condensed" w:eastAsia="Barlow Semi Condensed" w:hAnsi="Barlow Semi Condensed"/>
          <w:b/>
          <w:bCs/>
          <w:sz w:val="24"/>
          <w:szCs w:val="24"/>
        </w:rPr>
        <w:t xml:space="preserve">Un accertamento giudiziario definitivo è, per quest'opera, una fonte di rango elevato, e vi è recepito.</w:t>
      </w:r>
    </w:p>
    <w:p>
      <w:pPr>
        <w:spacing w:after="120" w:line="276"/>
        <w:jc w:val="both"/>
      </w:pPr>
      <w:r>
        <w:rPr>
          <w:rFonts w:ascii="Barlow Semi Condensed" w:cs="Barlow Semi Condensed" w:eastAsia="Barlow Semi Condensed" w:hAnsi="Barlow Semi Condensed"/>
          <w:b/>
          <w:bCs/>
          <w:sz w:val="24"/>
          <w:szCs w:val="24"/>
        </w:rPr>
        <w:t xml:space="preserve">Occorre però precisarne l'estensione, perché il recepimento non è illimitato.</w:t>
      </w:r>
    </w:p>
    <w:p>
      <w:pPr>
        <w:spacing w:after="120" w:line="276"/>
        <w:jc w:val="both"/>
      </w:pPr>
      <w:r>
        <w:rPr>
          <w:rFonts w:ascii="Barlow Semi Condensed" w:cs="Barlow Semi Condensed" w:eastAsia="Barlow Semi Condensed" w:hAnsi="Barlow Semi Condensed"/>
          <w:b/>
          <w:bCs/>
          <w:sz w:val="24"/>
          <w:szCs w:val="24"/>
        </w:rPr>
        <w:t xml:space="preserve">Il processo accerta la responsabilità penale di persone determinate per fatti determinati, e in ciò ha competenza esclusiva e autorità piena. Esso non accerta, e non pretende di accertare, la ricostruzione storica completa dell'evento: molte circostanze irrilevanti ai fini dell'imputazione non sono oggetto di accertamento, e molte questioni restano fuori dal thema decidendum.</w:t>
      </w:r>
    </w:p>
    <w:p>
      <w:pPr>
        <w:spacing w:after="120" w:line="276"/>
        <w:jc w:val="both"/>
      </w:pPr>
      <w:r>
        <w:rPr>
          <w:rFonts w:ascii="Barlow Semi Condensed" w:cs="Barlow Semi Condensed" w:eastAsia="Barlow Semi Condensed" w:hAnsi="Barlow Semi Condensed"/>
          <w:b/>
          <w:bCs/>
          <w:sz w:val="24"/>
          <w:szCs w:val="24"/>
        </w:rPr>
        <w:t xml:space="preserve">Ne segue che l'accertamento del primo livello è pieno quanto alle responsabilità individuali dichiarate, e non copre le circostanze di contorno che le sentenze non hanno dovuto accertare.</w:t>
      </w:r>
    </w:p>
    <w:p>
      <w:pPr>
        <w:pStyle w:val="Heading2"/>
        <w:spacing w:after="100" w:before="200"/>
      </w:pPr>
      <w:r>
        <w:rPr>
          <w:rFonts w:ascii="Barlow Semi Condensed" w:cs="Barlow Semi Condensed" w:eastAsia="Barlow Semi Condensed" w:hAnsi="Barlow Semi Condensed"/>
          <w:sz w:val="24"/>
          <w:szCs w:val="24"/>
        </w:rPr>
        <w:t xml:space="preserve">Ciò che resta non accertato al primo livello</w:t>
      </w:r>
    </w:p>
    <w:p>
      <w:pPr>
        <w:spacing w:after="120" w:line="276"/>
        <w:jc w:val="both"/>
      </w:pPr>
      <w:r>
        <w:rPr>
          <w:rFonts w:ascii="Barlow Semi Condensed" w:cs="Barlow Semi Condensed" w:eastAsia="Barlow Semi Condensed" w:hAnsi="Barlow Semi Condensed"/>
          <w:b/>
          <w:bCs/>
          <w:sz w:val="24"/>
          <w:szCs w:val="24"/>
        </w:rPr>
        <w:t xml:space="preserve">Restano non accertati, come già la Fase Terza ha registrato: il numero esatto dei presenti sul luogo dell'agguato; l'attribuzione individuale dei singoli colpi oltre quanto accertato; la presenza di soggetti ulteriori non identificati.</w:t>
      </w:r>
    </w:p>
    <w:p>
      <w:pPr>
        <w:spacing w:after="120" w:line="276"/>
        <w:jc w:val="both"/>
      </w:pPr>
      <w:r>
        <w:rPr>
          <w:rFonts w:ascii="Barlow Semi Condensed" w:cs="Barlow Semi Condensed" w:eastAsia="Barlow Semi Condensed" w:hAnsi="Barlow Semi Condensed"/>
          <w:b/>
          <w:bCs/>
          <w:sz w:val="24"/>
          <w:szCs w:val="24"/>
        </w:rPr>
        <w:t xml:space="preserve">Su quest'ultimo punto si è a lungo discusso, e conviene indicarne lo statuto con esattezza.</w:t>
      </w:r>
    </w:p>
    <w:p>
      <w:pPr>
        <w:spacing w:after="120" w:line="276"/>
        <w:jc w:val="both"/>
      </w:pPr>
      <w:r>
        <w:rPr>
          <w:rFonts w:ascii="Barlow Semi Condensed" w:cs="Barlow Semi Condensed" w:eastAsia="Barlow Semi Condensed" w:hAnsi="Barlow Semi Condensed"/>
          <w:b/>
          <w:bCs/>
          <w:sz w:val="24"/>
          <w:szCs w:val="24"/>
        </w:rPr>
        <w:t xml:space="preserve">L'ipotesi della presenza di soggetti ulteriori sul luogo dell'agguato è stata formulata sulla base di elementi di natura diversa: testimonianze, valutazioni tecniche, considerazioni sulla dinamica. Essa non è stata accolta negli accertamenti giudiziari; non è stata, per quanto risulta a quest'opera, esclusa in modo definitivo.</w:t>
      </w:r>
    </w:p>
    <w:p>
      <w:pPr>
        <w:spacing w:after="120" w:line="276"/>
        <w:jc w:val="both"/>
      </w:pPr>
      <w:r>
        <w:rPr>
          <w:rFonts w:ascii="Barlow Semi Condensed" w:cs="Barlow Semi Condensed" w:eastAsia="Barlow Semi Condensed" w:hAnsi="Barlow Semi Condensed"/>
          <w:b/>
          <w:bCs/>
          <w:sz w:val="24"/>
          <w:szCs w:val="24"/>
        </w:rPr>
        <w:t xml:space="preserve">Lo statuto è dunque quello del dubbio, e la condizione di scioglimento è indicabile: elementi materiali riferibili a persone diverse da quelle accertate, ovvero dichiarazioni provenienti da eventi originari distinti da quelli già noti e riscontrate indipendentemente.</w:t>
      </w:r>
    </w:p>
    <w:p>
      <w:pPr>
        <w:pStyle w:val="Heading2"/>
        <w:spacing w:after="100" w:before="200"/>
      </w:pPr>
      <w:r>
        <w:rPr>
          <w:rFonts w:ascii="Barlow Semi Condensed" w:cs="Barlow Semi Condensed" w:eastAsia="Barlow Semi Condensed" w:hAnsi="Barlow Semi Condensed"/>
          <w:sz w:val="24"/>
          <w:szCs w:val="24"/>
        </w:rPr>
        <w:t xml:space="preserve">Un rilievo sulla natura della prova disponibile</w:t>
      </w:r>
    </w:p>
    <w:p>
      <w:pPr>
        <w:spacing w:after="120" w:line="276"/>
        <w:jc w:val="both"/>
      </w:pPr>
      <w:r>
        <w:rPr>
          <w:rFonts w:ascii="Barlow Semi Condensed" w:cs="Barlow Semi Condensed" w:eastAsia="Barlow Semi Condensed" w:hAnsi="Barlow Semi Condensed"/>
          <w:b/>
          <w:bCs/>
          <w:sz w:val="24"/>
          <w:szCs w:val="24"/>
        </w:rPr>
        <w:t xml:space="preserve">Si segnala, perché rileva per l'intera Fase, la ripartizione della prova al primo livello.</w:t>
      </w:r>
    </w:p>
    <w:p>
      <w:pPr>
        <w:spacing w:after="120" w:line="276"/>
        <w:jc w:val="both"/>
      </w:pPr>
      <w:r>
        <w:rPr>
          <w:rFonts w:ascii="Barlow Semi Condensed" w:cs="Barlow Semi Condensed" w:eastAsia="Barlow Semi Condensed" w:hAnsi="Barlow Semi Condensed"/>
          <w:b/>
          <w:bCs/>
          <w:sz w:val="24"/>
          <w:szCs w:val="24"/>
        </w:rPr>
        <w:t xml:space="preserve">Poggiano su rilievo materiale: la pluralità degli agenti; le modalità dell'agguato; l'esistenza e la collocazione del luogo di custodia; la causa della morte.</w:t>
      </w:r>
    </w:p>
    <w:p>
      <w:pPr>
        <w:spacing w:after="120" w:line="276"/>
        <w:jc w:val="both"/>
      </w:pPr>
      <w:r>
        <w:rPr>
          <w:rFonts w:ascii="Barlow Semi Condensed" w:cs="Barlow Semi Condensed" w:eastAsia="Barlow Semi Condensed" w:hAnsi="Barlow Semi Condensed"/>
          <w:b/>
          <w:bCs/>
          <w:sz w:val="24"/>
          <w:szCs w:val="24"/>
        </w:rPr>
        <w:t xml:space="preserve">Poggiano in misura preponderante su dichiarazione: l'identità dei singoli partecipanti; la ripartizione dei ruoli; l'identità di chi custodì e di chi uccise.</w:t>
      </w:r>
    </w:p>
    <w:p>
      <w:pPr>
        <w:spacing w:after="120" w:line="276"/>
        <w:jc w:val="both"/>
      </w:pPr>
      <w:r>
        <w:rPr>
          <w:rFonts w:ascii="Barlow Semi Condensed" w:cs="Barlow Semi Condensed" w:eastAsia="Barlow Semi Condensed" w:hAnsi="Barlow Semi Condensed"/>
          <w:b/>
          <w:bCs/>
          <w:sz w:val="24"/>
          <w:szCs w:val="24"/>
        </w:rPr>
        <w:t xml:space="preserve">La ripartizione è la medesima già rilevata dalla Fase Terza e si conferma. Essa comporta che il primo livello sia solido nella sua struttura e meno solido nella sua individuazione: si sa come avvenne meglio di quanto si sappia per mano di chi, e ciò che si sa della seconda materia dipende da chi lo ha dichiarato.</w:t>
      </w:r>
    </w:p>
    <w:p>
      <w:pPr>
        <w:pStyle w:val="Heading2"/>
        <w:spacing w:after="100" w:before="200"/>
      </w:pPr>
      <w:r>
        <w:rPr>
          <w:rFonts w:ascii="Barlow Semi Condensed" w:cs="Barlow Semi Condensed" w:eastAsia="Barlow Semi Condensed" w:hAnsi="Barlow Semi Condensed"/>
          <w:sz w:val="24"/>
          <w:szCs w:val="24"/>
        </w:rPr>
        <w:t xml:space="preserve">Capitolo cinquantacinquesimo — Le revisioni dell'attribuzione e ciò che insegnano</w:t>
      </w:r>
    </w:p>
    <w:p>
      <w:pPr>
        <w:spacing w:after="120" w:line="276"/>
        <w:jc w:val="both"/>
      </w:pPr>
      <w:r>
        <w:rPr>
          <w:rFonts w:ascii="Barlow Semi Condensed" w:cs="Barlow Semi Condensed" w:eastAsia="Barlow Semi Condensed" w:hAnsi="Barlow Semi Condensed"/>
          <w:b/>
          <w:bCs/>
          <w:sz w:val="24"/>
          <w:szCs w:val="24"/>
        </w:rPr>
        <w:t xml:space="preserve">La ricostruzione degli attori ha conosciuto revisioni. Esse costituiscono, di per sé, un dato metodologico di primo rilievo, e vanno esaminate come tale prima e indipendentemente dal loro contenuto.</w:t>
      </w:r>
    </w:p>
    <w:p>
      <w:pPr>
        <w:pStyle w:val="Heading2"/>
        <w:spacing w:after="100" w:before="200"/>
      </w:pPr>
      <w:r>
        <w:rPr>
          <w:rFonts w:ascii="Barlow Semi Condensed" w:cs="Barlow Semi Condensed" w:eastAsia="Barlow Semi Condensed" w:hAnsi="Barlow Semi Condensed"/>
          <w:sz w:val="24"/>
          <w:szCs w:val="24"/>
        </w:rPr>
        <w:t xml:space="preserve">Il fatto delle revisioni</w:t>
      </w:r>
    </w:p>
    <w:p>
      <w:pPr>
        <w:spacing w:after="120" w:line="276"/>
        <w:jc w:val="both"/>
      </w:pPr>
      <w:r>
        <w:rPr>
          <w:rFonts w:ascii="Barlow Semi Condensed" w:cs="Barlow Semi Condensed" w:eastAsia="Barlow Semi Condensed" w:hAnsi="Barlow Semi Condensed"/>
          <w:b/>
          <w:bCs/>
          <w:sz w:val="24"/>
          <w:szCs w:val="24"/>
        </w:rPr>
        <w:t xml:space="preserve">È accertato che la ricostruzione dell'attribuzione individuale delle condotte è mutata in più occasioni nell'arco dei decenni, e che i mutamenti hanno riguardato elementi non marginali: il numero dei presenti, l'identità di chi custodì il prigioniero, l'identità di chi lo uccise.</w:t>
      </w:r>
    </w:p>
    <w:p>
      <w:pPr>
        <w:spacing w:after="120" w:line="276"/>
        <w:jc w:val="both"/>
      </w:pPr>
      <w:r>
        <w:rPr>
          <w:rFonts w:ascii="Barlow Semi Condensed" w:cs="Barlow Semi Condensed" w:eastAsia="Barlow Semi Condensed" w:hAnsi="Barlow Semi Condensed"/>
          <w:b/>
          <w:bCs/>
          <w:sz w:val="24"/>
          <w:szCs w:val="24"/>
        </w:rPr>
        <w:t xml:space="preserve">È accertato che i mutamenti sono derivati in misura preponderante da dichiarazioni sopravvenute di persone coinvolte, e non da acquisizioni materiali.</w:t>
      </w:r>
    </w:p>
    <w:p>
      <w:pPr>
        <w:pStyle w:val="Heading2"/>
        <w:spacing w:after="100" w:before="200"/>
      </w:pPr>
      <w:r>
        <w:rPr>
          <w:rFonts w:ascii="Barlow Semi Condensed" w:cs="Barlow Semi Condensed" w:eastAsia="Barlow Semi Condensed" w:hAnsi="Barlow Semi Condensed"/>
          <w:sz w:val="24"/>
          <w:szCs w:val="24"/>
        </w:rPr>
        <w:t xml:space="preserve">Le tre letture del fatto delle revisioni</w:t>
      </w:r>
    </w:p>
    <w:p>
      <w:pPr>
        <w:spacing w:after="120" w:line="276"/>
        <w:jc w:val="both"/>
      </w:pPr>
      <w:r>
        <w:rPr>
          <w:rFonts w:ascii="Barlow Semi Condensed" w:cs="Barlow Semi Condensed" w:eastAsia="Barlow Semi Condensed" w:hAnsi="Barlow Semi Condensed"/>
          <w:b/>
          <w:bCs/>
          <w:sz w:val="24"/>
          <w:szCs w:val="24"/>
        </w:rPr>
        <w:t xml:space="preserve">Il fatto ammette tre letture, che vanno tenute distinte perché conducono a conseguenze diverse.</w:t>
      </w:r>
    </w:p>
    <w:p>
      <w:pPr>
        <w:spacing w:after="120" w:line="276"/>
        <w:jc w:val="both"/>
      </w:pPr>
      <w:r>
        <w:rPr>
          <w:rFonts w:ascii="Barlow Semi Condensed" w:cs="Barlow Semi Condensed" w:eastAsia="Barlow Semi Condensed" w:hAnsi="Barlow Semi Condensed"/>
          <w:b/>
          <w:bCs/>
          <w:sz w:val="24"/>
          <w:szCs w:val="24"/>
        </w:rPr>
        <w:t xml:space="preserve">Prima lettura: le revisioni sono progresso conoscitivo. Nuove dichiarazioni hanno corretto errori precedenti, e la ricostruzione attuale è più esatta delle anteriori.</w:t>
      </w:r>
    </w:p>
    <w:p>
      <w:pPr>
        <w:spacing w:after="120" w:line="276"/>
        <w:jc w:val="both"/>
      </w:pPr>
      <w:r>
        <w:rPr>
          <w:rFonts w:ascii="Barlow Semi Condensed" w:cs="Barlow Semi Condensed" w:eastAsia="Barlow Semi Condensed" w:hAnsi="Barlow Semi Condensed"/>
          <w:b/>
          <w:bCs/>
          <w:sz w:val="24"/>
          <w:szCs w:val="24"/>
        </w:rPr>
        <w:t xml:space="preserve">Seconda lettura: le revisioni sono assestamento strategico. Le dichiarazioni successive hanno modificato il quadro per ragioni attinenti alla posizione dei dichiaranti, e la ricostruzione attuale non è più vera ma più conveniente.</w:t>
      </w:r>
    </w:p>
    <w:p>
      <w:pPr>
        <w:spacing w:after="120" w:line="276"/>
        <w:jc w:val="both"/>
      </w:pPr>
      <w:r>
        <w:rPr>
          <w:rFonts w:ascii="Barlow Semi Condensed" w:cs="Barlow Semi Condensed" w:eastAsia="Barlow Semi Condensed" w:hAnsi="Barlow Semi Condensed"/>
          <w:b/>
          <w:bCs/>
          <w:sz w:val="24"/>
          <w:szCs w:val="24"/>
        </w:rPr>
        <w:t xml:space="preserve">Terza lettura: le revisioni sono conseguenza della natura della fonte. Una ricostruzione che poggi su dichiarazioni muta quando mutano i dichiaranti, e continuerà a mutare finché la fonte resterà quella. La ricostruzione attuale non è né più vera né meno vera: è la versione corrente di una serie non conclusa.</w:t>
      </w:r>
    </w:p>
    <w:p>
      <w:pPr>
        <w:pStyle w:val="Heading2"/>
        <w:spacing w:after="100" w:before="200"/>
      </w:pPr>
      <w:r>
        <w:rPr>
          <w:rFonts w:ascii="Barlow Semi Condensed" w:cs="Barlow Semi Condensed" w:eastAsia="Barlow Semi Condensed" w:hAnsi="Barlow Semi Condensed"/>
          <w:sz w:val="24"/>
          <w:szCs w:val="24"/>
        </w:rPr>
        <w:t xml:space="preserve">La lettura che quest'opera adotta</w:t>
      </w:r>
    </w:p>
    <w:p>
      <w:pPr>
        <w:spacing w:after="120" w:line="276"/>
        <w:jc w:val="both"/>
      </w:pPr>
      <w:r>
        <w:rPr>
          <w:rFonts w:ascii="Barlow Semi Condensed" w:cs="Barlow Semi Condensed" w:eastAsia="Barlow Semi Condensed" w:hAnsi="Barlow Semi Condensed"/>
          <w:b/>
          <w:bCs/>
          <w:sz w:val="24"/>
          <w:szCs w:val="24"/>
        </w:rPr>
        <w:t xml:space="preserve">Quest'opera adotta la terza lettura, e conviene motivare la scelta perché non è neutra.</w:t>
      </w:r>
    </w:p>
    <w:p>
      <w:pPr>
        <w:spacing w:after="120" w:line="276"/>
        <w:jc w:val="both"/>
      </w:pPr>
      <w:r>
        <w:rPr>
          <w:rFonts w:ascii="Barlow Semi Condensed" w:cs="Barlow Semi Condensed" w:eastAsia="Barlow Semi Condensed" w:hAnsi="Barlow Semi Condensed"/>
          <w:b/>
          <w:bCs/>
          <w:sz w:val="24"/>
          <w:szCs w:val="24"/>
        </w:rPr>
        <w:t xml:space="preserve">La prima lettura presuppone che le dichiarazioni successive siano più attendibili delle anteriori. Nulla lo garantisce: il tempo che passa deteriora la memoria e attenua i vincoli processuali, e i due effetti agiscono in direzioni opposte sulla attendibilità.</w:t>
      </w:r>
    </w:p>
    <w:p>
      <w:pPr>
        <w:spacing w:after="120" w:line="276"/>
        <w:jc w:val="both"/>
      </w:pPr>
      <w:r>
        <w:rPr>
          <w:rFonts w:ascii="Barlow Semi Condensed" w:cs="Barlow Semi Condensed" w:eastAsia="Barlow Semi Condensed" w:hAnsi="Barlow Semi Condensed"/>
          <w:b/>
          <w:bCs/>
          <w:sz w:val="24"/>
          <w:szCs w:val="24"/>
        </w:rPr>
        <w:t xml:space="preserve">La seconda lettura presuppone una intenzione nei dichiaranti che non è accertata e che, ove attribuita senza prova, violerebbe la disciplina dell'opera sulle persone.</w:t>
      </w:r>
    </w:p>
    <w:p>
      <w:pPr>
        <w:spacing w:after="120" w:line="276"/>
        <w:jc w:val="both"/>
      </w:pPr>
      <w:r>
        <w:rPr>
          <w:rFonts w:ascii="Barlow Semi Condensed" w:cs="Barlow Semi Condensed" w:eastAsia="Barlow Semi Condensed" w:hAnsi="Barlow Semi Condensed"/>
          <w:b/>
          <w:bCs/>
          <w:sz w:val="24"/>
          <w:szCs w:val="24"/>
        </w:rPr>
        <w:t xml:space="preserve">La terza lettura non presuppone nulla. Essa constata una proprietà della fonte: le ricostruzioni fondate su dichiarazioni sono revisionabili per costruzione. Ed è una constatazione verificabile, poiché è precisamente ciò che è accaduto.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b/>
          <w:bCs/>
          <w:sz w:val="24"/>
          <w:szCs w:val="24"/>
        </w:rPr>
        <w:t xml:space="preserve">Ne discende una disposizione che quest'opera adotta e che è, credo, il contributo maggiore di questo Capitolo.</w:t>
      </w:r>
    </w:p>
    <w:p>
      <w:pPr>
        <w:spacing w:after="120" w:line="276"/>
        <w:jc w:val="both"/>
      </w:pPr>
      <w:r>
        <w:rPr>
          <w:rFonts w:ascii="Barlow Semi Condensed" w:cs="Barlow Semi Condensed" w:eastAsia="Barlow Semi Condensed" w:hAnsi="Barlow Semi Condensed"/>
          <w:b/>
          <w:bCs/>
          <w:sz w:val="24"/>
          <w:szCs w:val="24"/>
        </w:rPr>
        <w:t xml:space="preserve">La ricostruzione attuale dell'attribuzione individuale è iscritta come versione corrente e non come acquisizione definitiva. Essa è impiegata con menzione di tale statuto, e la sua eventuale futura revisione non costituirà smentita dell'opera ma conferma della qualificazione qui apposta.</w:t>
      </w:r>
    </w:p>
    <w:p>
      <w:pPr>
        <w:spacing w:after="120" w:line="276"/>
        <w:jc w:val="both"/>
      </w:pPr>
      <w:r>
        <w:rPr>
          <w:rFonts w:ascii="Barlow Semi Condensed" w:cs="Barlow Semi Condensed" w:eastAsia="Barlow Semi Condensed" w:hAnsi="Barlow Semi Condensed"/>
          <w:b/>
          <w:bCs/>
          <w:sz w:val="24"/>
          <w:szCs w:val="24"/>
        </w:rPr>
        <w:t xml:space="preserve">Questa disposizione ha un vantaggio pratico che merita di essere segnalato: essa immunizza l'opera dall'obsolescenza. Un registro che dichiari definitiva una ricostruzione revisionabile è smentito dalla prima revisione; un registro che ne dichiari la natura resta valido attraverso le revisioni, perché ciò che ha affermato è vero anche dopo.</w:t>
      </w:r>
    </w:p>
    <w:p>
      <w:pPr>
        <w:pStyle w:val="Heading2"/>
        <w:spacing w:after="100" w:before="200"/>
      </w:pPr>
      <w:r>
        <w:rPr>
          <w:rFonts w:ascii="Barlow Semi Condensed" w:cs="Barlow Semi Condensed" w:eastAsia="Barlow Semi Condensed" w:hAnsi="Barlow Semi Condensed"/>
          <w:sz w:val="24"/>
          <w:szCs w:val="24"/>
        </w:rPr>
        <w:t xml:space="preserve">Un rilievo sulla direzione delle revisioni</w:t>
      </w:r>
    </w:p>
    <w:p>
      <w:pPr>
        <w:spacing w:after="120" w:line="276"/>
        <w:jc w:val="both"/>
      </w:pPr>
      <w:r>
        <w:rPr>
          <w:rFonts w:ascii="Barlow Semi Condensed" w:cs="Barlow Semi Condensed" w:eastAsia="Barlow Semi Condensed" w:hAnsi="Barlow Semi Condensed"/>
          <w:b/>
          <w:bCs/>
          <w:sz w:val="24"/>
          <w:szCs w:val="24"/>
        </w:rPr>
        <w:t xml:space="preserve">Si segnala infine, come dato non interpretato, una circostanza che merita esame ulteriore.</w:t>
      </w:r>
    </w:p>
    <w:p>
      <w:pPr>
        <w:spacing w:after="120" w:line="276"/>
        <w:jc w:val="both"/>
      </w:pPr>
      <w:r>
        <w:rPr>
          <w:rFonts w:ascii="Barlow Semi Condensed" w:cs="Barlow Semi Condensed" w:eastAsia="Barlow Semi Condensed" w:hAnsi="Barlow Semi Condensed"/>
          <w:b/>
          <w:bCs/>
          <w:sz w:val="24"/>
          <w:szCs w:val="24"/>
        </w:rPr>
        <w:t xml:space="preserve">Le revisioni intervenute hanno avuto, per quanto risulta, direzione prevalente di ampliamento: hanno aggiunto soggetti o modificato attribuzioni verso una maggiore articolazione, anziché ridurre.</w:t>
      </w:r>
    </w:p>
    <w:p>
      <w:pPr>
        <w:spacing w:after="120" w:line="276"/>
        <w:jc w:val="both"/>
      </w:pPr>
      <w:r>
        <w:rPr>
          <w:rFonts w:ascii="Barlow Semi Condensed" w:cs="Barlow Semi Condensed" w:eastAsia="Barlow Semi Condensed" w:hAnsi="Barlow Semi Condensed"/>
          <w:b/>
          <w:bCs/>
          <w:sz w:val="24"/>
          <w:szCs w:val="24"/>
        </w:rPr>
        <w:t xml:space="preserve">Il dato è registrato e non interpretato, perché la sua interpretazione richiederebbe la verifica che l'ampliamento non sia esso stesso un artefatto della selezione — le revisioni che ampliano essendo più notiziabili e dunque più ricordate di quelle che riducono. È il medesimo problema di selezione a posteriori esposto al Capitolo quarantasettesimo, e si applica qui la medesima cautela.</w:t>
      </w:r>
    </w:p>
    <w:p>
      <w:pPr>
        <w:pStyle w:val="Heading2"/>
        <w:spacing w:after="100" w:before="200"/>
      </w:pPr>
      <w:r>
        <w:rPr>
          <w:rFonts w:ascii="Barlow Semi Condensed" w:cs="Barlow Semi Condensed" w:eastAsia="Barlow Semi Condensed" w:hAnsi="Barlow Semi Condensed"/>
          <w:sz w:val="24"/>
          <w:szCs w:val="24"/>
        </w:rPr>
        <w:t xml:space="preserve">Capitolo cinquantaseiesimo — Il secondo livello: l'organizzazione</w:t>
      </w:r>
    </w:p>
    <w:p>
      <w:pPr>
        <w:pStyle w:val="Heading2"/>
        <w:spacing w:after="100" w:before="200"/>
      </w:pPr>
      <w:r>
        <w:rPr>
          <w:rFonts w:ascii="Barlow Semi Condensed" w:cs="Barlow Semi Condensed" w:eastAsia="Barlow Semi Condensed" w:hAnsi="Barlow Semi Condensed"/>
          <w:sz w:val="24"/>
          <w:szCs w:val="24"/>
        </w:rPr>
        <w:t xml:space="preserve">Che cosa si accerta a questo livello</w:t>
      </w:r>
    </w:p>
    <w:p>
      <w:pPr>
        <w:spacing w:after="120" w:line="276"/>
        <w:jc w:val="both"/>
      </w:pPr>
      <w:r>
        <w:rPr>
          <w:rFonts w:ascii="Barlow Semi Condensed" w:cs="Barlow Semi Condensed" w:eastAsia="Barlow Semi Condensed" w:hAnsi="Barlow Semi Condensed"/>
          <w:b/>
          <w:bCs/>
          <w:sz w:val="24"/>
          <w:szCs w:val="24"/>
        </w:rPr>
        <w:t xml:space="preserve">Il secondo livello riguarda chi deliberò l'operazione: la scelta del bersaglio, del momento, delle modalità; la direzione delle fasi; la decisione sull'esito.</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l'organizzazione disponeva di un organismo direttivo; che l'operazione fu deliberata in tale sede; che la sua conduzione fu diretta e non lasciata all'iniziativa degli esecutori; e che le decisioni relative alla gestione dei cinquantacinque giorni, compresa quella finale, furono assunte in sede direttiva.</w:t>
      </w:r>
    </w:p>
    <w:p>
      <w:pPr>
        <w:spacing w:after="120" w:line="276"/>
        <w:jc w:val="both"/>
      </w:pPr>
      <w:r>
        <w:rPr>
          <w:rFonts w:ascii="Barlow Semi Condensed" w:cs="Barlow Semi Condensed" w:eastAsia="Barlow Semi Condensed" w:hAnsi="Barlow Semi Condensed"/>
          <w:b/>
          <w:bCs/>
          <w:sz w:val="24"/>
          <w:szCs w:val="24"/>
        </w:rPr>
        <w:t xml:space="preserve">Questi elementi risultano dagli accertamenti giudiziari e dalle dichiarazioni riscontrate.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con la precisione che il livello richiederebbe, quali persone determinate abbiano concorso a ciascuna deliberazione, in quale sede materiale e con quale procedura.</w:t>
      </w:r>
    </w:p>
    <w:p>
      <w:pPr>
        <w:spacing w:after="120" w:line="276"/>
        <w:jc w:val="both"/>
      </w:pPr>
      <w:r>
        <w:rPr>
          <w:rFonts w:ascii="Barlow Semi Condensed" w:cs="Barlow Semi Condensed" w:eastAsia="Barlow Semi Condensed" w:hAnsi="Barlow Semi Condensed"/>
          <w:b/>
          <w:bCs/>
          <w:sz w:val="24"/>
          <w:szCs w:val="24"/>
        </w:rPr>
        <w:t xml:space="preserve">La ragione è di natura della fonte: le deliberazioni di un organismo clandestino non producono verbali. Ciò che se ne sa proviene da dichiarazioni, e a esse si applica la scala del Capitolo cinquantaduesimo. Gli enunciati che attribuiscono partecipazione a deliberazioni sono, quasi senza eccezione, di terzo grado.</w:t>
      </w:r>
    </w:p>
    <w:p>
      <w:pPr>
        <w:pStyle w:val="Heading2"/>
        <w:spacing w:after="100" w:before="200"/>
      </w:pPr>
      <w:r>
        <w:rPr>
          <w:rFonts w:ascii="Barlow Semi Condensed" w:cs="Barlow Semi Condensed" w:eastAsia="Barlow Semi Condensed" w:hAnsi="Barlow Semi Condensed"/>
          <w:sz w:val="24"/>
          <w:szCs w:val="24"/>
        </w:rPr>
        <w:t xml:space="preserve">La questione della sufficienza</w:t>
      </w:r>
    </w:p>
    <w:p>
      <w:pPr>
        <w:spacing w:after="120" w:line="276"/>
        <w:jc w:val="both"/>
      </w:pPr>
      <w:r>
        <w:rPr>
          <w:rFonts w:ascii="Barlow Semi Condensed" w:cs="Barlow Semi Condensed" w:eastAsia="Barlow Semi Condensed" w:hAnsi="Barlow Semi Condensed"/>
          <w:b/>
          <w:bCs/>
          <w:sz w:val="24"/>
          <w:szCs w:val="24"/>
        </w:rPr>
        <w:t xml:space="preserve">Si pone a questo livello la questione che decide il passaggio al terzo, e va posta con esattezza.</w:t>
      </w:r>
    </w:p>
    <w:p>
      <w:pPr>
        <w:spacing w:after="120" w:line="276"/>
        <w:jc w:val="both"/>
      </w:pPr>
      <w:r>
        <w:rPr>
          <w:rFonts w:ascii="Barlow Semi Condensed" w:cs="Barlow Semi Condensed" w:eastAsia="Barlow Semi Condensed" w:hAnsi="Barlow Semi Condensed"/>
          <w:b/>
          <w:bCs/>
          <w:sz w:val="24"/>
          <w:szCs w:val="24"/>
        </w:rPr>
        <w:t xml:space="preserve">La questione è la seguente: l'organismo direttivo accertato era sufficiente a concepire e condurre l'operazione, ovvero l'operazione eccede ciò che quell'organismo poteva concepire e condurre?</w:t>
      </w:r>
    </w:p>
    <w:p>
      <w:pPr>
        <w:spacing w:after="120" w:line="276"/>
        <w:jc w:val="both"/>
      </w:pPr>
      <w:r>
        <w:rPr>
          <w:rFonts w:ascii="Barlow Semi Condensed" w:cs="Barlow Semi Condensed" w:eastAsia="Barlow Semi Condensed" w:hAnsi="Barlow Semi Condensed"/>
          <w:b/>
          <w:bCs/>
          <w:sz w:val="24"/>
          <w:szCs w:val="24"/>
        </w:rPr>
        <w:t xml:space="preserve">La Fase Terza ha misurato lo scarto e ha stabilito che esso sussiste su due punti: l'esito di fuoco e la composizione simultanea del dispositivo, per entrambi i quali la via di acquisizione della capacità non è documentata.</w:t>
      </w:r>
    </w:p>
    <w:p>
      <w:pPr>
        <w:spacing w:after="120" w:line="276"/>
        <w:jc w:val="both"/>
      </w:pPr>
      <w:r>
        <w:rPr>
          <w:rFonts w:ascii="Barlow Semi Condensed" w:cs="Barlow Semi Condensed" w:eastAsia="Barlow Semi Condensed" w:hAnsi="Barlow Semi Condensed"/>
          <w:b/>
          <w:bCs/>
          <w:sz w:val="24"/>
          <w:szCs w:val="24"/>
        </w:rPr>
        <w:t xml:space="preserve">Occorre qui essere precisi su che cosa lo scarto comporti a questo livello. Esso riguarda la capacità operativa e non la capacità deliberativa. Che manchi documentazione su come una capacità sia stata acquisita non stabilisce che manchi la capacità di decidere di impiegarla.</w:t>
      </w:r>
    </w:p>
    <w:p>
      <w:pPr>
        <w:spacing w:after="120" w:line="276"/>
        <w:jc w:val="both"/>
      </w:pPr>
      <w:r>
        <w:rPr>
          <w:rFonts w:ascii="Barlow Semi Condensed" w:cs="Barlow Semi Condensed" w:eastAsia="Barlow Semi Condensed" w:hAnsi="Barlow Semi Condensed"/>
          <w:b/>
          <w:bCs/>
          <w:sz w:val="24"/>
          <w:szCs w:val="24"/>
        </w:rPr>
        <w:t xml:space="preserve">La distinzione è sottile e decisiva. Un organismo può deliberare autonomamente una operazione avvalendosi di capacità acquisite altrove e in altri tempi. Ciò non lo rende eterodiretto: lo rende dotato.</w:t>
      </w:r>
    </w:p>
    <w:p>
      <w:pPr>
        <w:pStyle w:val="Heading2"/>
        <w:spacing w:after="100" w:before="200"/>
      </w:pPr>
      <w:r>
        <w:rPr>
          <w:rFonts w:ascii="Barlow Semi Condensed" w:cs="Barlow Semi Condensed" w:eastAsia="Barlow Semi Condensed" w:hAnsi="Barlow Semi Condensed"/>
          <w:sz w:val="24"/>
          <w:szCs w:val="24"/>
        </w:rPr>
        <w:t xml:space="preserve">La conclusione del livello</w:t>
      </w:r>
    </w:p>
    <w:p>
      <w:pPr>
        <w:spacing w:after="120" w:line="276"/>
        <w:jc w:val="both"/>
      </w:pPr>
      <w:r>
        <w:rPr>
          <w:rFonts w:ascii="Barlow Semi Condensed" w:cs="Barlow Semi Condensed" w:eastAsia="Barlow Semi Condensed" w:hAnsi="Barlow Semi Condensed"/>
          <w:b/>
          <w:bCs/>
          <w:sz w:val="24"/>
          <w:szCs w:val="24"/>
        </w:rPr>
        <w:t xml:space="preserve">Si conclude dunque: il secondo livello è accertato nella sua esistenza e nella sua funzione; non è accertato nella sua composizione individuale se non nei limiti degli accertamenti giudiziari; e non risulta, dagli elementi disponibili, insufficiente a concepire e dirigere l'operazione.</w:t>
      </w:r>
    </w:p>
    <w:p>
      <w:pPr>
        <w:spacing w:after="120" w:line="276"/>
        <w:jc w:val="both"/>
      </w:pPr>
      <w:r>
        <w:rPr>
          <w:rFonts w:ascii="Barlow Semi Condensed" w:cs="Barlow Semi Condensed" w:eastAsia="Barlow Semi Condensed" w:hAnsi="Barlow Semi Condensed"/>
          <w:b/>
          <w:bCs/>
          <w:sz w:val="24"/>
          <w:szCs w:val="24"/>
        </w:rPr>
        <w:t xml:space="preserve">Quest'ultima proposizione è negativa e va letta come tale: non risulta insufficiente non significa che sia accertato che fosse sufficiente. Significa che gli elementi disponibili non stabiliscono l'insufficienza, e dunque non impongono la ricerca di un livello ulteriore.</w:t>
      </w:r>
    </w:p>
    <w:p>
      <w:pPr>
        <w:spacing w:after="120" w:line="276"/>
        <w:jc w:val="both"/>
      </w:pPr>
      <w:r>
        <w:rPr>
          <w:rFonts w:ascii="Barlow Semi Condensed" w:cs="Barlow Semi Condensed" w:eastAsia="Barlow Semi Condensed" w:hAnsi="Barlow Semi Condensed"/>
          <w:b/>
          <w:bCs/>
          <w:sz w:val="24"/>
          <w:szCs w:val="24"/>
        </w:rPr>
        <w:t xml:space="preserve">Se il livello ulteriore esista è questione autonoma, ed è quella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cinquantasettesimo — Il terzo livello, e perché resta vuoto</w:t>
      </w:r>
    </w:p>
    <w:p>
      <w:pPr>
        <w:pStyle w:val="Heading2"/>
        <w:spacing w:after="100" w:before="200"/>
      </w:pPr>
      <w:r>
        <w:rPr>
          <w:rFonts w:ascii="Barlow Semi Condensed" w:cs="Barlow Semi Condensed" w:eastAsia="Barlow Semi Condensed" w:hAnsi="Barlow Semi Condensed"/>
          <w:sz w:val="24"/>
          <w:szCs w:val="24"/>
        </w:rPr>
        <w:t xml:space="preserve">La questione</w:t>
      </w:r>
    </w:p>
    <w:p>
      <w:pPr>
        <w:spacing w:after="120" w:line="276"/>
        <w:jc w:val="both"/>
      </w:pPr>
      <w:r>
        <w:rPr>
          <w:rFonts w:ascii="Barlow Semi Condensed" w:cs="Barlow Semi Condensed" w:eastAsia="Barlow Semi Condensed" w:hAnsi="Barlow Semi Condensed"/>
          <w:b/>
          <w:bCs/>
          <w:sz w:val="24"/>
          <w:szCs w:val="24"/>
        </w:rPr>
        <w:t xml:space="preserve">Il terzo livello riguarda l'esistenza di una volontà esterna all'organismo che deliberò, e la sua efficacia su di esso.</w:t>
      </w:r>
    </w:p>
    <w:p>
      <w:pPr>
        <w:spacing w:after="120" w:line="276"/>
        <w:jc w:val="both"/>
      </w:pPr>
      <w:r>
        <w:rPr>
          <w:rFonts w:ascii="Barlow Semi Condensed" w:cs="Barlow Semi Condensed" w:eastAsia="Barlow Semi Condensed" w:hAnsi="Barlow Semi Condensed"/>
          <w:b/>
          <w:bCs/>
          <w:sz w:val="24"/>
          <w:szCs w:val="24"/>
        </w:rPr>
        <w:t xml:space="preserve">La questione non è se qualcuno avesse interesse all'esito. Molti l'avevano, e la Fase Seconda li ha censiti. La questione è se una volontà esterna abbia determinato la deliberazione.</w:t>
      </w:r>
    </w:p>
    <w:p>
      <w:pPr>
        <w:pStyle w:val="Heading2"/>
        <w:spacing w:after="100" w:before="200"/>
      </w:pPr>
      <w:r>
        <w:rPr>
          <w:rFonts w:ascii="Barlow Semi Condensed" w:cs="Barlow Semi Condensed" w:eastAsia="Barlow Semi Condensed" w:hAnsi="Barlow Semi Condensed"/>
          <w:sz w:val="24"/>
          <w:szCs w:val="24"/>
        </w:rPr>
        <w:t xml:space="preserve">Ciò che occorrerebbe provare</w:t>
      </w:r>
    </w:p>
    <w:p>
      <w:pPr>
        <w:spacing w:after="120" w:line="276"/>
        <w:jc w:val="both"/>
      </w:pPr>
      <w:r>
        <w:rPr>
          <w:rFonts w:ascii="Barlow Semi Condensed" w:cs="Barlow Semi Condensed" w:eastAsia="Barlow Semi Condensed" w:hAnsi="Barlow Semi Condensed"/>
          <w:b/>
          <w:bCs/>
          <w:sz w:val="24"/>
          <w:szCs w:val="24"/>
        </w:rPr>
        <w:t xml:space="preserve">Perché il terzo livello sia accertato occorrono tre proposizioni, ciascuna delle quali richiede prova propria.</w:t>
      </w:r>
    </w:p>
    <w:p>
      <w:pPr>
        <w:spacing w:after="120" w:line="276"/>
        <w:jc w:val="both"/>
      </w:pPr>
      <w:r>
        <w:rPr>
          <w:rFonts w:ascii="Barlow Semi Condensed" w:cs="Barlow Semi Condensed" w:eastAsia="Barlow Semi Condensed" w:hAnsi="Barlow Semi Condensed"/>
          <w:b/>
          <w:bCs/>
          <w:sz w:val="24"/>
          <w:szCs w:val="24"/>
        </w:rPr>
        <w:t xml:space="preserve">Prima: che esistesse un soggetto esterno con volontà determinata quanto all'operazione.</w:t>
      </w:r>
    </w:p>
    <w:p>
      <w:pPr>
        <w:spacing w:after="120" w:line="276"/>
        <w:jc w:val="both"/>
      </w:pPr>
      <w:r>
        <w:rPr>
          <w:rFonts w:ascii="Barlow Semi Condensed" w:cs="Barlow Semi Condensed" w:eastAsia="Barlow Semi Condensed" w:hAnsi="Barlow Semi Condensed"/>
          <w:b/>
          <w:bCs/>
          <w:sz w:val="24"/>
          <w:szCs w:val="24"/>
        </w:rPr>
        <w:t xml:space="preserve">Seconda: che tale volontà si sia trasmessa all'organismo che deliberò.</w:t>
      </w:r>
    </w:p>
    <w:p>
      <w:pPr>
        <w:spacing w:after="120" w:line="276"/>
        <w:jc w:val="both"/>
      </w:pPr>
      <w:r>
        <w:rPr>
          <w:rFonts w:ascii="Barlow Semi Condensed" w:cs="Barlow Semi Condensed" w:eastAsia="Barlow Semi Condensed" w:hAnsi="Barlow Semi Condensed"/>
          <w:b/>
          <w:bCs/>
          <w:sz w:val="24"/>
          <w:szCs w:val="24"/>
        </w:rPr>
        <w:t xml:space="preserve">Terza: che la trasmissione abbia avuto efficacia sulla deliberazione.</w:t>
      </w:r>
    </w:p>
    <w:p>
      <w:pPr>
        <w:spacing w:after="120" w:line="276"/>
        <w:jc w:val="both"/>
      </w:pPr>
      <w:r>
        <w:rPr>
          <w:rFonts w:ascii="Barlow Semi Condensed" w:cs="Barlow Semi Condensed" w:eastAsia="Barlow Semi Condensed" w:hAnsi="Barlow Semi Condensed"/>
          <w:b/>
          <w:bCs/>
          <w:sz w:val="24"/>
          <w:szCs w:val="24"/>
        </w:rPr>
        <w:t xml:space="preserve">Le tre proposizioni sono in sequenza necessaria: la seconda presuppone la prima, la terza presuppone la seconda. Nessuna può essere inferita dalle altre.</w:t>
      </w:r>
    </w:p>
    <w:p>
      <w:pPr>
        <w:pStyle w:val="Heading2"/>
        <w:spacing w:after="100" w:before="200"/>
      </w:pPr>
      <w:r>
        <w:rPr>
          <w:rFonts w:ascii="Barlow Semi Condensed" w:cs="Barlow Semi Condensed" w:eastAsia="Barlow Semi Condensed" w:hAnsi="Barlow Semi Condensed"/>
          <w:sz w:val="24"/>
          <w:szCs w:val="24"/>
        </w:rPr>
        <w:t xml:space="preserve">Lo stato degli atti</w:t>
      </w:r>
    </w:p>
    <w:p>
      <w:pPr>
        <w:spacing w:after="120" w:line="276"/>
        <w:jc w:val="both"/>
      </w:pPr>
      <w:r>
        <w:rPr>
          <w:rFonts w:ascii="Barlow Semi Condensed" w:cs="Barlow Semi Condensed" w:eastAsia="Barlow Semi Condensed" w:hAnsi="Barlow Semi Condensed"/>
          <w:b/>
          <w:bCs/>
          <w:sz w:val="24"/>
          <w:szCs w:val="24"/>
        </w:rPr>
        <w:t xml:space="preserve">Allo stato degli atti che quest'opera ha potuto interrogare, nessuna delle tre proposizioni è accertata.</w:t>
      </w:r>
    </w:p>
    <w:p>
      <w:pPr>
        <w:spacing w:after="120" w:line="276"/>
        <w:jc w:val="both"/>
      </w:pPr>
      <w:r>
        <w:rPr>
          <w:rFonts w:ascii="Barlow Semi Condensed" w:cs="Barlow Semi Condensed" w:eastAsia="Barlow Semi Condensed" w:hAnsi="Barlow Semi Condensed"/>
          <w:b/>
          <w:bCs/>
          <w:sz w:val="24"/>
          <w:szCs w:val="24"/>
        </w:rPr>
        <w:t xml:space="preserve">Sulla prima: non risulta acquisito alcun atto che documenti una volontà esterna determinata quanto all'operazione. Risulta acquisita, e la Fase Seconda l'ha registrata, la documentazione di ostilità politica di più soggetti verso la politica del rapito; ma l'ostilità politica non è volontà determinata quanto a un atto, e il passaggio dall'una all'altra è il salto che l'opera vieta.</w:t>
      </w:r>
    </w:p>
    <w:p>
      <w:pPr>
        <w:spacing w:after="120" w:line="276"/>
        <w:jc w:val="both"/>
      </w:pPr>
      <w:r>
        <w:rPr>
          <w:rFonts w:ascii="Barlow Semi Condensed" w:cs="Barlow Semi Condensed" w:eastAsia="Barlow Semi Condensed" w:hAnsi="Barlow Semi Condensed"/>
          <w:b/>
          <w:bCs/>
          <w:sz w:val="24"/>
          <w:szCs w:val="24"/>
        </w:rPr>
        <w:t xml:space="preserve">Sulla seconda: non risulta acquisito alcun elemento che documenti una via di trasmissione.</w:t>
      </w:r>
    </w:p>
    <w:p>
      <w:pPr>
        <w:spacing w:after="120" w:line="276"/>
        <w:jc w:val="both"/>
      </w:pPr>
      <w:r>
        <w:rPr>
          <w:rFonts w:ascii="Barlow Semi Condensed" w:cs="Barlow Semi Condensed" w:eastAsia="Barlow Semi Condensed" w:hAnsi="Barlow Semi Condensed"/>
          <w:b/>
          <w:bCs/>
          <w:sz w:val="24"/>
          <w:szCs w:val="24"/>
        </w:rPr>
        <w:t xml:space="preserve">Sulla terza: non essendo accertate le prime due, non si pone.</w:t>
      </w:r>
    </w:p>
    <w:p>
      <w:pPr>
        <w:pStyle w:val="Heading2"/>
        <w:spacing w:after="100" w:before="200"/>
      </w:pPr>
      <w:r>
        <w:rPr>
          <w:rFonts w:ascii="Barlow Semi Condensed" w:cs="Barlow Semi Condensed" w:eastAsia="Barlow Semi Condensed" w:hAnsi="Barlow Semi Condensed"/>
          <w:sz w:val="24"/>
          <w:szCs w:val="24"/>
        </w:rPr>
        <w:t xml:space="preserve">La vacanza e il suo statuto</w:t>
      </w:r>
    </w:p>
    <w:p>
      <w:pPr>
        <w:spacing w:after="120" w:line="276"/>
        <w:jc w:val="both"/>
      </w:pPr>
      <w:r>
        <w:rPr>
          <w:rFonts w:ascii="Barlow Semi Condensed" w:cs="Barlow Semi Condensed" w:eastAsia="Barlow Semi Condensed" w:hAnsi="Barlow Semi Condensed"/>
          <w:b/>
          <w:bCs/>
          <w:sz w:val="24"/>
          <w:szCs w:val="24"/>
        </w:rPr>
        <w:t xml:space="preserve">Il terzo livello resta dunque vuoto, e occorre dire con precisione che cosa la vacanza significhi, perché essa è il punto sul quale l'intera opera sarà giudicata.</w:t>
      </w:r>
    </w:p>
    <w:p>
      <w:pPr>
        <w:spacing w:after="120" w:line="276"/>
        <w:jc w:val="both"/>
      </w:pPr>
      <w:r>
        <w:rPr>
          <w:rFonts w:ascii="Barlow Semi Condensed" w:cs="Barlow Semi Condensed" w:eastAsia="Barlow Semi Condensed" w:hAnsi="Barlow Semi Condensed"/>
          <w:b/>
          <w:bCs/>
          <w:sz w:val="24"/>
          <w:szCs w:val="24"/>
        </w:rPr>
        <w:t xml:space="preserve">La vacanza non significa che il terzo livello non esista. Significa che la sua esistenza non è accertata.</w:t>
      </w:r>
    </w:p>
    <w:p>
      <w:pPr>
        <w:spacing w:after="120" w:line="276"/>
        <w:jc w:val="both"/>
      </w:pPr>
      <w:r>
        <w:rPr>
          <w:rFonts w:ascii="Barlow Semi Condensed" w:cs="Barlow Semi Condensed" w:eastAsia="Barlow Semi Condensed" w:hAnsi="Barlow Semi Condensed"/>
          <w:b/>
          <w:bCs/>
          <w:sz w:val="24"/>
          <w:szCs w:val="24"/>
        </w:rPr>
        <w:t xml:space="preserve">La vacanza non significa che la ricerca sia conclusa. Significa che gli atti finora acquisiti non la riempiono.</w:t>
      </w:r>
    </w:p>
    <w:p>
      <w:pPr>
        <w:spacing w:after="120" w:line="276"/>
        <w:jc w:val="both"/>
      </w:pPr>
      <w:r>
        <w:rPr>
          <w:rFonts w:ascii="Barlow Semi Condensed" w:cs="Barlow Semi Condensed" w:eastAsia="Barlow Semi Condensed" w:hAnsi="Barlow Semi Condensed"/>
          <w:b/>
          <w:bCs/>
          <w:sz w:val="24"/>
          <w:szCs w:val="24"/>
        </w:rPr>
        <w:t xml:space="preserve">La vacanza non è, in alcun senso, una assoluzione di alcuno. Un registro non assolve e non condanna: constata che cosa gli atti stabiliscano.</w:t>
      </w:r>
    </w:p>
    <w:p>
      <w:pPr>
        <w:pStyle w:val="Heading2"/>
        <w:spacing w:after="100" w:before="200"/>
      </w:pPr>
      <w:r>
        <w:rPr>
          <w:rFonts w:ascii="Barlow Semi Condensed" w:cs="Barlow Semi Condensed" w:eastAsia="Barlow Semi Condensed" w:hAnsi="Barlow Semi Condensed"/>
          <w:sz w:val="24"/>
          <w:szCs w:val="24"/>
        </w:rPr>
        <w:t xml:space="preserve">Perché la vacanza si dichiara anziché colmarsi</w:t>
      </w:r>
    </w:p>
    <w:p>
      <w:pPr>
        <w:spacing w:after="120" w:line="276"/>
        <w:jc w:val="both"/>
      </w:pPr>
      <w:r>
        <w:rPr>
          <w:rFonts w:ascii="Barlow Semi Condensed" w:cs="Barlow Semi Condensed" w:eastAsia="Barlow Semi Condensed" w:hAnsi="Barlow Semi Condensed"/>
          <w:b/>
          <w:bCs/>
          <w:sz w:val="24"/>
          <w:szCs w:val="24"/>
        </w:rPr>
        <w:t xml:space="preserve">Occorre infine dire perché quest'opera lascia il livello vuoto anziché indicarvi il candidato più verosimile, che è ciò che la maggior parte della letteratura fa.</w:t>
      </w:r>
    </w:p>
    <w:p>
      <w:pPr>
        <w:spacing w:after="120" w:line="276"/>
        <w:jc w:val="both"/>
      </w:pPr>
      <w:r>
        <w:rPr>
          <w:rFonts w:ascii="Barlow Semi Condensed" w:cs="Barlow Semi Condensed" w:eastAsia="Barlow Semi Condensed" w:hAnsi="Barlow Semi Condensed"/>
          <w:b/>
          <w:bCs/>
          <w:sz w:val="24"/>
          <w:szCs w:val="24"/>
        </w:rPr>
        <w:t xml:space="preserve">La ragione non è prudenza. È che un livello riempito senza prova produce tre danni, tutti maggiori del beneficio di una narrazione compiuta.</w:t>
      </w:r>
    </w:p>
    <w:p>
      <w:pPr>
        <w:spacing w:after="120" w:line="276"/>
        <w:jc w:val="both"/>
      </w:pPr>
      <w:r>
        <w:rPr>
          <w:rFonts w:ascii="Barlow Semi Condensed" w:cs="Barlow Semi Condensed" w:eastAsia="Barlow Semi Condensed" w:hAnsi="Barlow Semi Condensed"/>
          <w:b/>
          <w:bCs/>
          <w:sz w:val="24"/>
          <w:szCs w:val="24"/>
        </w:rPr>
        <w:t xml:space="preserve">Primo danno: esso rende l'opera confutabile nel punto sbagliato. Chi voglia screditare l'insieme attaccherà l'anello non provato, e travolgerà con esso anche ciò che è provato.</w:t>
      </w:r>
    </w:p>
    <w:p>
      <w:pPr>
        <w:spacing w:after="120" w:line="276"/>
        <w:jc w:val="both"/>
      </w:pPr>
      <w:r>
        <w:rPr>
          <w:rFonts w:ascii="Barlow Semi Condensed" w:cs="Barlow Semi Condensed" w:eastAsia="Barlow Semi Condensed" w:hAnsi="Barlow Semi Condensed"/>
          <w:b/>
          <w:bCs/>
          <w:sz w:val="24"/>
          <w:szCs w:val="24"/>
        </w:rPr>
        <w:t xml:space="preserve">Secondo danno: esso chiude la ricerca. Un livello dichiarato riempito non si scava più, e se il riempimento è errato l'errore si consolida.</w:t>
      </w:r>
    </w:p>
    <w:p>
      <w:pPr>
        <w:spacing w:after="120" w:line="276"/>
        <w:jc w:val="both"/>
      </w:pPr>
      <w:r>
        <w:rPr>
          <w:rFonts w:ascii="Barlow Semi Condensed" w:cs="Barlow Semi Condensed" w:eastAsia="Barlow Semi Condensed" w:hAnsi="Barlow Semi Condensed"/>
          <w:b/>
          <w:bCs/>
          <w:sz w:val="24"/>
          <w:szCs w:val="24"/>
        </w:rPr>
        <w:t xml:space="preserve">Terzo danno, e il più grave: esso attribuisce a persone o a istituzioni una responsabilità che gli atti non accertano. È l'atto che l'opera esiste per non compiere, e non diventa lecito perché compiuto in nome di una verità che si ritiene di conoscere.</w:t>
      </w:r>
    </w:p>
    <w:p>
      <w:pPr>
        <w:pStyle w:val="Heading2"/>
        <w:spacing w:after="100" w:before="200"/>
      </w:pPr>
      <w:r>
        <w:rPr>
          <w:rFonts w:ascii="Barlow Semi Condensed" w:cs="Barlow Semi Condensed" w:eastAsia="Barlow Semi Condensed" w:hAnsi="Barlow Semi Condensed"/>
          <w:sz w:val="24"/>
          <w:szCs w:val="24"/>
        </w:rPr>
        <w:t xml:space="preserve">Che cosa la vacanza consegna</w:t>
      </w:r>
    </w:p>
    <w:p>
      <w:pPr>
        <w:spacing w:after="120" w:line="276"/>
        <w:jc w:val="both"/>
      </w:pPr>
      <w:r>
        <w:rPr>
          <w:rFonts w:ascii="Barlow Semi Condensed" w:cs="Barlow Semi Condensed" w:eastAsia="Barlow Semi Condensed" w:hAnsi="Barlow Semi Condensed"/>
          <w:b/>
          <w:bCs/>
          <w:sz w:val="24"/>
          <w:szCs w:val="24"/>
        </w:rPr>
        <w:t xml:space="preserve">La vacanza consegna alla Fase Settima, e alle edizioni future, l'elenco delle acquisizioni che la riempirebbero: atti che documentino una determinazione esterna quanto all'operazione; atti che documentino una via di trasmissione; atti che documentino l'efficacia della trasmissione.</w:t>
      </w:r>
    </w:p>
    <w:p>
      <w:pPr>
        <w:spacing w:after="120" w:line="276"/>
        <w:jc w:val="both"/>
      </w:pPr>
      <w:r>
        <w:rPr>
          <w:rFonts w:ascii="Barlow Semi Condensed" w:cs="Barlow Semi Condensed" w:eastAsia="Barlow Semi Condensed" w:hAnsi="Barlow Semi Condensed"/>
          <w:b/>
          <w:bCs/>
          <w:sz w:val="24"/>
          <w:szCs w:val="24"/>
        </w:rPr>
        <w:t xml:space="preserve">Le sedi presso le quali tali atti potrebbero trovarsi sono in parte identificate e in parte non accessibili con gli strumenti impiegati. L'elenco è nella tavola.</w:t>
      </w:r>
    </w:p>
    <w:p>
      <w:pPr>
        <w:pStyle w:val="Heading2"/>
        <w:spacing w:after="100" w:before="200"/>
      </w:pPr>
      <w:r>
        <w:rPr>
          <w:rFonts w:ascii="Barlow Semi Condensed" w:cs="Barlow Semi Condensed" w:eastAsia="Barlow Semi Condensed" w:hAnsi="Barlow Semi Condensed"/>
          <w:sz w:val="24"/>
          <w:szCs w:val="24"/>
        </w:rPr>
        <w:t xml:space="preserve">Capitolo cinquantottesimo — Il terzo soggetto</w:t>
      </w:r>
    </w:p>
    <w:p>
      <w:pPr>
        <w:spacing w:after="120" w:line="276"/>
        <w:jc w:val="both"/>
      </w:pPr>
      <w:r>
        <w:rPr>
          <w:rFonts w:ascii="Barlow Semi Condensed" w:cs="Barlow Semi Condensed" w:eastAsia="Barlow Semi Condensed" w:hAnsi="Barlow Semi Condensed"/>
          <w:b/>
          <w:bCs/>
          <w:sz w:val="24"/>
          <w:szCs w:val="24"/>
        </w:rPr>
        <w:t xml:space="preserve">La Fase Quinta ha consegnato a questa il fatto più solido che essa abbia prodotto: l'accertamento che sulla vicenda operò un terzo soggetto, distinto dai rapitori e dalle istituzioni, capace di produrre falso credibile e interessato a produrlo. Compete a questa Fase stabilire, se possibile, chi esso fosse.</w:t>
      </w:r>
    </w:p>
    <w:p>
      <w:pPr>
        <w:pStyle w:val="Heading2"/>
        <w:spacing w:after="100" w:before="200"/>
      </w:pPr>
      <w:r>
        <w:rPr>
          <w:rFonts w:ascii="Barlow Semi Condensed" w:cs="Barlow Semi Condensed" w:eastAsia="Barlow Semi Condensed" w:hAnsi="Barlow Semi Condensed"/>
          <w:sz w:val="24"/>
          <w:szCs w:val="24"/>
        </w:rPr>
        <w:t xml:space="preserve">Ciò che è accertato del terzo soggetto</w:t>
      </w:r>
    </w:p>
    <w:p>
      <w:pPr>
        <w:spacing w:after="120" w:line="276"/>
        <w:jc w:val="both"/>
      </w:pPr>
      <w:r>
        <w:rPr>
          <w:rFonts w:ascii="Barlow Semi Condensed" w:cs="Barlow Semi Condensed" w:eastAsia="Barlow Semi Condensed" w:hAnsi="Barlow Semi Condensed"/>
          <w:b/>
          <w:bCs/>
          <w:sz w:val="24"/>
          <w:szCs w:val="24"/>
        </w:rPr>
        <w:t xml:space="preserve">È accertato che esso esisteva, per la ragione logica esposta al Capitolo quarantaquattresimo: un comunicato apocrifo non si forma per errore.</w:t>
      </w:r>
    </w:p>
    <w:p>
      <w:pPr>
        <w:spacing w:after="120" w:line="276"/>
        <w:jc w:val="both"/>
      </w:pPr>
      <w:r>
        <w:rPr>
          <w:rFonts w:ascii="Barlow Semi Condensed" w:cs="Barlow Semi Condensed" w:eastAsia="Barlow Semi Condensed" w:hAnsi="Barlow Semi Condensed"/>
          <w:b/>
          <w:bCs/>
          <w:sz w:val="24"/>
          <w:szCs w:val="24"/>
        </w:rPr>
        <w:t xml:space="preserve">È accertato che esso disponeva delle capacità seguenti: conoscenza delle forme e del linguaggio delle comunicazioni autentiche, sufficiente a produrne una credibile; conoscenza dei canali di immissione, sufficiente a collocarla dove sarebbe stata raccolta come autentica; e tempestività, avendo agito in costanza di prigionia.</w:t>
      </w:r>
    </w:p>
    <w:p>
      <w:pPr>
        <w:spacing w:after="120" w:line="276"/>
        <w:jc w:val="both"/>
      </w:pPr>
      <w:r>
        <w:rPr>
          <w:rFonts w:ascii="Barlow Semi Condensed" w:cs="Barlow Semi Condensed" w:eastAsia="Barlow Semi Condensed" w:hAnsi="Barlow Semi Condensed"/>
          <w:b/>
          <w:bCs/>
          <w:sz w:val="24"/>
          <w:szCs w:val="24"/>
        </w:rPr>
        <w:t xml:space="preserve">È accertato che esso aveva interesse a interferire.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accertata la sua identità. Non è accertata la sua collocazione: se interno a uno degli altri due soggetti, esterno a entrambi, o composito.</w:t>
      </w:r>
    </w:p>
    <w:p>
      <w:pPr>
        <w:pStyle w:val="Heading2"/>
        <w:spacing w:after="100" w:before="200"/>
      </w:pPr>
      <w:r>
        <w:rPr>
          <w:rFonts w:ascii="Barlow Semi Condensed" w:cs="Barlow Semi Condensed" w:eastAsia="Barlow Semi Condensed" w:hAnsi="Barlow Semi Condensed"/>
          <w:sz w:val="24"/>
          <w:szCs w:val="24"/>
        </w:rPr>
        <w:t xml:space="preserve">L'esame delle collocazioni possibili</w:t>
      </w:r>
    </w:p>
    <w:p>
      <w:pPr>
        <w:spacing w:after="120" w:line="276"/>
        <w:jc w:val="both"/>
      </w:pPr>
      <w:r>
        <w:rPr>
          <w:rFonts w:ascii="Barlow Semi Condensed" w:cs="Barlow Semi Condensed" w:eastAsia="Barlow Semi Condensed" w:hAnsi="Barlow Semi Condensed"/>
          <w:b/>
          <w:bCs/>
          <w:sz w:val="24"/>
          <w:szCs w:val="24"/>
        </w:rPr>
        <w:t xml:space="preserve">Si esaminano le collocazioni possibili, e per ciascuna si indica ciò che la sosterrebbe e ciò che la contrasta. Nessuna è accolta.</w:t>
      </w:r>
    </w:p>
    <w:p>
      <w:pPr>
        <w:spacing w:after="120" w:line="276"/>
        <w:jc w:val="both"/>
      </w:pPr>
      <w:r>
        <w:rPr>
          <w:rFonts w:ascii="Barlow Semi Condensed" w:cs="Barlow Semi Condensed" w:eastAsia="Barlow Semi Condensed" w:hAnsi="Barlow Semi Condensed"/>
          <w:b/>
          <w:bCs/>
          <w:sz w:val="24"/>
          <w:szCs w:val="24"/>
        </w:rPr>
        <w:t xml:space="preserve">Prima collocazione: interno all'organizzazione. La sosterrebbe la conoscenza delle forme delle comunicazioni, che è massima all'interno. La contrasta la smentita immediata da parte dell'organizzazione, che avrebbe vanificato l'operazione; e la contrasta la difficoltà di individuare un interesse interno alla produzione di un falso che l'organizzazione stessa doveva poi smentire.</w:t>
      </w:r>
    </w:p>
    <w:p>
      <w:pPr>
        <w:spacing w:after="120" w:line="276"/>
        <w:jc w:val="both"/>
      </w:pPr>
      <w:r>
        <w:rPr>
          <w:rFonts w:ascii="Barlow Semi Condensed" w:cs="Barlow Semi Condensed" w:eastAsia="Barlow Semi Condensed" w:hAnsi="Barlow Semi Condensed"/>
          <w:b/>
          <w:bCs/>
          <w:sz w:val="24"/>
          <w:szCs w:val="24"/>
        </w:rPr>
        <w:t xml:space="preserve">Seconda collocazione: interno agli apparati. La sosterrebbe la conoscenza dei canali di immissione, che è elevata negli apparati; e la sosterrebbe la disponibilità di finalità plausibili fra quelle enumerate al Capitolo quarantaquattresimo. La contrasta l'assenza di qualunque atto acquisito che la documenti.</w:t>
      </w:r>
    </w:p>
    <w:p>
      <w:pPr>
        <w:spacing w:after="120" w:line="276"/>
        <w:jc w:val="both"/>
      </w:pPr>
      <w:r>
        <w:rPr>
          <w:rFonts w:ascii="Barlow Semi Condensed" w:cs="Barlow Semi Condensed" w:eastAsia="Barlow Semi Condensed" w:hAnsi="Barlow Semi Condensed"/>
          <w:b/>
          <w:bCs/>
          <w:sz w:val="24"/>
          <w:szCs w:val="24"/>
        </w:rPr>
        <w:t xml:space="preserve">Terza collocazione: esterno a entrambi. La sosterrebbe la circostanza che ambienti dotati di conoscenze sufficienti esistevano al di fuori dei due soggetti principali. La contrasta la difficoltà di individuare, per un soggetto esterno, un interesse proporzionato al rischio.</w:t>
      </w:r>
    </w:p>
    <w:p>
      <w:pPr>
        <w:spacing w:after="120" w:line="276"/>
        <w:jc w:val="both"/>
      </w:pPr>
      <w:r>
        <w:rPr>
          <w:rFonts w:ascii="Barlow Semi Condensed" w:cs="Barlow Semi Condensed" w:eastAsia="Barlow Semi Condensed" w:hAnsi="Barlow Semi Condensed"/>
          <w:b/>
          <w:bCs/>
          <w:sz w:val="24"/>
          <w:szCs w:val="24"/>
        </w:rPr>
        <w:t xml:space="preserve">Quarta collocazione: composita. Vi rientrano le ipotesi che attribuiscano l'atto alla collaborazione di soggetti di collocazione diversa. Essa è la meno vincolata dalle obiezioni e, per ciò stesso, la meno verificabile: una ipotesi che si adatti a tutte le obiezioni non è confermata dalla propria adattabilità, ne è indebolita.</w:t>
      </w:r>
    </w:p>
    <w:p>
      <w:pPr>
        <w:pStyle w:val="Heading2"/>
        <w:spacing w:after="100" w:before="200"/>
      </w:pPr>
      <w:r>
        <w:rPr>
          <w:rFonts w:ascii="Barlow Semi Condensed" w:cs="Barlow Semi Condensed" w:eastAsia="Barlow Semi Condensed" w:hAnsi="Barlow Semi Condensed"/>
          <w:sz w:val="24"/>
          <w:szCs w:val="24"/>
        </w:rPr>
        <w:t xml:space="preserve">Ciò che discriminerebbe</w:t>
      </w:r>
    </w:p>
    <w:p>
      <w:pPr>
        <w:spacing w:after="120" w:line="276"/>
        <w:jc w:val="both"/>
      </w:pPr>
      <w:r>
        <w:rPr>
          <w:rFonts w:ascii="Barlow Semi Condensed" w:cs="Barlow Semi Condensed" w:eastAsia="Barlow Semi Condensed" w:hAnsi="Barlow Semi Condensed"/>
          <w:b/>
          <w:bCs/>
          <w:sz w:val="24"/>
          <w:szCs w:val="24"/>
        </w:rPr>
        <w:t xml:space="preserve">Si indica ciò che discriminerebbe fra le collocazioni: l'esame materiale del documento apocrifo — supporto, mezzo di scrittura, modalità di confezione — confrontato con quello dei documenti autentici e con le disponibilità dei diversi ambienti; la documentazione della via di immissione e dei tempi; gli atti relativi agli accertamenti condotti all'epoca sulla sua provenienza e ai loro esiti.</w:t>
      </w:r>
    </w:p>
    <w:p>
      <w:pPr>
        <w:spacing w:after="120" w:line="276"/>
        <w:jc w:val="both"/>
      </w:pPr>
      <w:r>
        <w:rPr>
          <w:rFonts w:ascii="Barlow Semi Condensed" w:cs="Barlow Semi Condensed" w:eastAsia="Barlow Semi Condensed" w:hAnsi="Barlow Semi Condensed"/>
          <w:b/>
          <w:bCs/>
          <w:sz w:val="24"/>
          <w:szCs w:val="24"/>
        </w:rPr>
        <w:t xml:space="preserve">Nessuno di tali elementi è stato acquisito nella presente campagna.</w:t>
      </w:r>
    </w:p>
    <w:p>
      <w:pPr>
        <w:pStyle w:val="Heading2"/>
        <w:spacing w:after="100" w:before="200"/>
      </w:pPr>
      <w:r>
        <w:rPr>
          <w:rFonts w:ascii="Barlow Semi Condensed" w:cs="Barlow Semi Condensed" w:eastAsia="Barlow Semi Condensed" w:hAnsi="Barlow Semi Condensed"/>
          <w:sz w:val="24"/>
          <w:szCs w:val="24"/>
        </w:rPr>
        <w:t xml:space="preserve">La rilevanza dell'accertato</w:t>
      </w:r>
    </w:p>
    <w:p>
      <w:pPr>
        <w:spacing w:after="120" w:line="276"/>
        <w:jc w:val="both"/>
      </w:pPr>
      <w:r>
        <w:rPr>
          <w:rFonts w:ascii="Barlow Semi Condensed" w:cs="Barlow Semi Condensed" w:eastAsia="Barlow Semi Condensed" w:hAnsi="Barlow Semi Condensed"/>
          <w:b/>
          <w:bCs/>
          <w:sz w:val="24"/>
          <w:szCs w:val="24"/>
        </w:rPr>
        <w:t xml:space="preserve">Occorre chiudere il Capitolo insistendo su ciò che resta accertato, perché la lunghezza dell'esame delle ipotesi potrebbe farlo perdere di vista.</w:t>
      </w:r>
    </w:p>
    <w:p>
      <w:pPr>
        <w:spacing w:after="120" w:line="276"/>
        <w:jc w:val="both"/>
      </w:pPr>
      <w:r>
        <w:rPr>
          <w:rFonts w:ascii="Barlow Semi Condensed" w:cs="Barlow Semi Condensed" w:eastAsia="Barlow Semi Condensed" w:hAnsi="Barlow Semi Condensed"/>
          <w:b/>
          <w:bCs/>
          <w:sz w:val="24"/>
          <w:szCs w:val="24"/>
        </w:rPr>
        <w:t xml:space="preserve">Che l'identità del terzo soggetto sia ignota non attenua l'accertamento della sua esistenza. E l'esistenza di un terzo soggetto operante deliberatamente sulla vicenda è un fatto di rilievo maggiore di quanto la sua sola formulazione suggerisca: essa stabilisce che la ricostruzione della vicenda a due soggetti — rapitori e istituzioni — è incompleta per accertamento, e non per congettura.</w:t>
      </w:r>
    </w:p>
    <w:p>
      <w:pPr>
        <w:spacing w:after="120" w:line="276"/>
        <w:jc w:val="both"/>
      </w:pPr>
      <w:r>
        <w:rPr>
          <w:rFonts w:ascii="Barlow Semi Condensed" w:cs="Barlow Semi Condensed" w:eastAsia="Barlow Semi Condensed" w:hAnsi="Barlow Semi Condensed"/>
          <w:b/>
          <w:bCs/>
          <w:sz w:val="24"/>
          <w:szCs w:val="24"/>
        </w:rPr>
        <w:t xml:space="preserve">Questo è quanto la Fase Quinta ha prodotto e questa Fase conferma. Non è poco.</w:t>
      </w:r>
    </w:p>
    <w:p>
      <w:pPr>
        <w:pStyle w:val="Heading2"/>
        <w:spacing w:after="100" w:before="200"/>
      </w:pPr>
      <w:r>
        <w:rPr>
          <w:rFonts w:ascii="Barlow Semi Condensed" w:cs="Barlow Semi Condensed" w:eastAsia="Barlow Semi Condensed" w:hAnsi="Barlow Semi Condensed"/>
          <w:sz w:val="24"/>
          <w:szCs w:val="24"/>
        </w:rPr>
        <w:t xml:space="preserve">Capitolo cinquantanovesimo — Gli ambienti, e la regola dell'ingresso in acqua</w:t>
      </w:r>
    </w:p>
    <w:p>
      <w:pPr>
        <w:spacing w:after="120" w:line="276"/>
        <w:jc w:val="both"/>
      </w:pPr>
      <w:r>
        <w:rPr>
          <w:rFonts w:ascii="Barlow Semi Condensed" w:cs="Barlow Semi Condensed" w:eastAsia="Barlow Semi Condensed" w:hAnsi="Barlow Semi Condensed"/>
          <w:b/>
          <w:bCs/>
          <w:sz w:val="24"/>
          <w:szCs w:val="24"/>
        </w:rPr>
        <w:t xml:space="preserve">Resta da trattare ciò che circonda gli attori senza essere attore: gli ambienti, le appartenenze, le prossimità. È la materia sulla quale la letteratura su questa vicenda si è più diffusa, ed è quella nella quale la disciplina dell'opera opera con maggiore severità.</w:t>
      </w:r>
    </w:p>
    <w:p>
      <w:pPr>
        <w:pStyle w:val="Heading2"/>
        <w:spacing w:after="100" w:before="200"/>
      </w:pPr>
      <w:r>
        <w:rPr>
          <w:rFonts w:ascii="Barlow Semi Condensed" w:cs="Barlow Semi Condensed" w:eastAsia="Barlow Semi Condensed" w:hAnsi="Barlow Semi Condensed"/>
          <w:sz w:val="24"/>
          <w:szCs w:val="24"/>
        </w:rPr>
        <w:t xml:space="preserve">La regola applicata</w:t>
      </w:r>
    </w:p>
    <w:p>
      <w:pPr>
        <w:spacing w:after="120" w:line="276"/>
        <w:jc w:val="both"/>
      </w:pPr>
      <w:r>
        <w:rPr>
          <w:rFonts w:ascii="Barlow Semi Condensed" w:cs="Barlow Semi Condensed" w:eastAsia="Barlow Semi Condensed" w:hAnsi="Barlow Semi Condensed"/>
          <w:b/>
          <w:bCs/>
          <w:sz w:val="24"/>
          <w:szCs w:val="24"/>
        </w:rPr>
        <w:t xml:space="preserve">Si applica qui la regola dell'ingresso in acqua, esposta al Capitolo sesto: un nodo profondo è ammesso soltanto se un arco diretto e indipendente lo lega al nucleo del caso; non basta che vi si arrivi per percorso.</w:t>
      </w:r>
    </w:p>
    <w:p>
      <w:pPr>
        <w:spacing w:after="120" w:line="276"/>
        <w:jc w:val="both"/>
      </w:pPr>
      <w:r>
        <w:rPr>
          <w:rFonts w:ascii="Barlow Semi Condensed" w:cs="Barlow Semi Condensed" w:eastAsia="Barlow Semi Condensed" w:hAnsi="Barlow Semi Condensed"/>
          <w:b/>
          <w:bCs/>
          <w:sz w:val="24"/>
          <w:szCs w:val="24"/>
        </w:rPr>
        <w:t xml:space="preserve">La ragione è stata esposta e si richiama: in una rete sociale estesa, due individui qualsiasi risultano collegati attraverso pochi intermediari; la constatazione che esiste un percorso non ha valore informativo, essendo vera quasi sempre.</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b/>
          <w:bCs/>
          <w:sz w:val="24"/>
          <w:szCs w:val="24"/>
        </w:rPr>
        <w:t xml:space="preserve">Applicata agli ambienti evocati a proposito di questa vicenda, la regola produce l'effetto seguente.</w:t>
      </w:r>
    </w:p>
    <w:p>
      <w:pPr>
        <w:spacing w:after="120" w:line="276"/>
        <w:jc w:val="both"/>
      </w:pPr>
      <w:r>
        <w:rPr>
          <w:rFonts w:ascii="Barlow Semi Condensed" w:cs="Barlow Semi Condensed" w:eastAsia="Barlow Semi Condensed" w:hAnsi="Barlow Semi Condensed"/>
          <w:b/>
          <w:bCs/>
          <w:sz w:val="24"/>
          <w:szCs w:val="24"/>
        </w:rPr>
        <w:t xml:space="preserve">Sono ammessi in quest'opera gli ambienti per i quali risulti un arco diretto al nucleo: la partecipazione a un atto, la ricezione di una informazione, l'esercizio di una funzione implicata negli eventi.</w:t>
      </w:r>
    </w:p>
    <w:p>
      <w:pPr>
        <w:spacing w:after="120" w:line="276"/>
        <w:jc w:val="both"/>
      </w:pPr>
      <w:r>
        <w:rPr>
          <w:rFonts w:ascii="Barlow Semi Condensed" w:cs="Barlow Semi Condensed" w:eastAsia="Barlow Semi Condensed" w:hAnsi="Barlow Semi Condensed"/>
          <w:b/>
          <w:bCs/>
          <w:sz w:val="24"/>
          <w:szCs w:val="24"/>
        </w:rPr>
        <w:t xml:space="preserve">Non sono ammessi gli ambienti raggiunti per percorso: l'appartenenza di un funzionario a una associazione; la frequentazione fra persone delle quali l'una abbia avuto ruolo negli eventi; la coincidenza di collocazione geografica; la comunanza di orientamento politico.</w:t>
      </w:r>
    </w:p>
    <w:p>
      <w:pPr>
        <w:spacing w:after="120" w:line="276"/>
        <w:jc w:val="both"/>
      </w:pPr>
      <w:r>
        <w:rPr>
          <w:rFonts w:ascii="Barlow Semi Condensed" w:cs="Barlow Semi Condensed" w:eastAsia="Barlow Semi Condensed" w:hAnsi="Barlow Semi Condensed"/>
          <w:b/>
          <w:bCs/>
          <w:sz w:val="24"/>
          <w:szCs w:val="24"/>
        </w:rPr>
        <w:t xml:space="preserve">Questi ultimi non sono negati: sono dichiarati non ammessi come elementi di ricostruzione, il che è cosa diversa. Un fatto vero e documentato può essere irrilevante, e la dichiarazione di irrilevanza non ne nega la verità.</w:t>
      </w:r>
    </w:p>
    <w:p>
      <w:pPr>
        <w:pStyle w:val="Heading2"/>
        <w:spacing w:after="100" w:before="200"/>
      </w:pPr>
      <w:r>
        <w:rPr>
          <w:rFonts w:ascii="Barlow Semi Condensed" w:cs="Barlow Semi Condensed" w:eastAsia="Barlow Semi Condensed" w:hAnsi="Barlow Semi Condensed"/>
          <w:sz w:val="24"/>
          <w:szCs w:val="24"/>
        </w:rPr>
        <w:t xml:space="preserve">Il costo della regola e la sua ragione</w:t>
      </w:r>
    </w:p>
    <w:p>
      <w:pPr>
        <w:spacing w:after="120" w:line="276"/>
        <w:jc w:val="both"/>
      </w:pPr>
      <w:r>
        <w:rPr>
          <w:rFonts w:ascii="Barlow Semi Condensed" w:cs="Barlow Semi Condensed" w:eastAsia="Barlow Semi Condensed" w:hAnsi="Barlow Semi Condensed"/>
          <w:b/>
          <w:bCs/>
          <w:sz w:val="24"/>
          <w:szCs w:val="24"/>
        </w:rPr>
        <w:t xml:space="preserve">Il costo è considerevole e si dichiara: la regola esclude dall'opera la maggior parte del materiale che circola su questa vicenda.</w:t>
      </w:r>
    </w:p>
    <w:p>
      <w:pPr>
        <w:spacing w:after="120" w:line="276"/>
        <w:jc w:val="both"/>
      </w:pPr>
      <w:r>
        <w:rPr>
          <w:rFonts w:ascii="Barlow Semi Condensed" w:cs="Barlow Semi Condensed" w:eastAsia="Barlow Semi Condensed" w:hAnsi="Barlow Semi Condensed"/>
          <w:b/>
          <w:bCs/>
          <w:sz w:val="24"/>
          <w:szCs w:val="24"/>
        </w:rPr>
        <w:t xml:space="preserve">La ragione per la quale il costo si accetta è stata anticipata al Capitolo sesto e qui si conferma con un argomento ulteriore.</w:t>
      </w:r>
    </w:p>
    <w:p>
      <w:pPr>
        <w:spacing w:after="120" w:line="276"/>
        <w:jc w:val="both"/>
      </w:pPr>
      <w:r>
        <w:rPr>
          <w:rFonts w:ascii="Barlow Semi Condensed" w:cs="Barlow Semi Condensed" w:eastAsia="Barlow Semi Condensed" w:hAnsi="Barlow Semi Condensed"/>
          <w:b/>
          <w:bCs/>
          <w:sz w:val="24"/>
          <w:szCs w:val="24"/>
        </w:rPr>
        <w:t xml:space="preserve">Un'opera che ammetta i collegamenti per percorso non aggiunge conoscenza: aggiunge nodi. E poiché in una rete estesa i nodi raggiungibili sono innumerevoli, l'opera cresce senza limite e senza guadagno. Al termine essa contiene tutto, e ciò che contiene tutto non distingue nulla.</w:t>
      </w:r>
    </w:p>
    <w:p>
      <w:pPr>
        <w:spacing w:after="120" w:line="276"/>
        <w:jc w:val="both"/>
      </w:pPr>
      <w:r>
        <w:rPr>
          <w:rFonts w:ascii="Barlow Semi Condensed" w:cs="Barlow Semi Condensed" w:eastAsia="Barlow Semi Condensed" w:hAnsi="Barlow Semi Condensed"/>
          <w:b/>
          <w:bCs/>
          <w:sz w:val="24"/>
          <w:szCs w:val="24"/>
        </w:rPr>
        <w:t xml:space="preserve">Si osservi che questo esito non è ipotetico: è ciò che è accaduto alla letteratura su questa materia, nella quale il numero dei soggetti evocati eccede di più ordini di grandezza il numero dei soggetti per i quali un arco diretto sia documentato.</w:t>
      </w:r>
    </w:p>
    <w:p>
      <w:pPr>
        <w:pStyle w:val="Heading2"/>
        <w:spacing w:after="100" w:before="200"/>
      </w:pPr>
      <w:r>
        <w:rPr>
          <w:rFonts w:ascii="Barlow Semi Condensed" w:cs="Barlow Semi Condensed" w:eastAsia="Barlow Semi Condensed" w:hAnsi="Barlow Semi Condensed"/>
          <w:sz w:val="24"/>
          <w:szCs w:val="24"/>
        </w:rPr>
        <w:t xml:space="preserve">Una precisazione necessaria</w:t>
      </w:r>
    </w:p>
    <w:p>
      <w:pPr>
        <w:spacing w:after="120" w:line="276"/>
        <w:jc w:val="both"/>
      </w:pPr>
      <w:r>
        <w:rPr>
          <w:rFonts w:ascii="Barlow Semi Condensed" w:cs="Barlow Semi Condensed" w:eastAsia="Barlow Semi Condensed" w:hAnsi="Barlow Semi Condensed"/>
          <w:b/>
          <w:bCs/>
          <w:sz w:val="24"/>
          <w:szCs w:val="24"/>
        </w:rPr>
        <w:t xml:space="preserve">Occorre precisare che la regola non esclude gli ambienti dalla ricerca, ma dalla ricostruzione.</w:t>
      </w:r>
    </w:p>
    <w:p>
      <w:pPr>
        <w:spacing w:after="120" w:line="276"/>
        <w:jc w:val="both"/>
      </w:pPr>
      <w:r>
        <w:rPr>
          <w:rFonts w:ascii="Barlow Semi Condensed" w:cs="Barlow Semi Condensed" w:eastAsia="Barlow Semi Condensed" w:hAnsi="Barlow Semi Condensed"/>
          <w:b/>
          <w:bCs/>
          <w:sz w:val="24"/>
          <w:szCs w:val="24"/>
        </w:rPr>
        <w:t xml:space="preserve">Un ambiente raggiunto per percorso può essere oggetto di indagine: si può cercare se esista, oltre al percorso, un arco diretto. La ricerca è legittima e talvolta produttiva.</w:t>
      </w:r>
    </w:p>
    <w:p>
      <w:pPr>
        <w:spacing w:after="120" w:line="276"/>
        <w:jc w:val="both"/>
      </w:pPr>
      <w:r>
        <w:rPr>
          <w:rFonts w:ascii="Barlow Semi Condensed" w:cs="Barlow Semi Condensed" w:eastAsia="Barlow Semi Condensed" w:hAnsi="Barlow Semi Condensed"/>
          <w:b/>
          <w:bCs/>
          <w:sz w:val="24"/>
          <w:szCs w:val="24"/>
        </w:rPr>
        <w:t xml:space="preserve">Ciò che la regola vieta è di trattare il percorso come se fosse l'arco. Finché l'arco diretto non è documentato, l'ambiente resta materia di ricerca e non entra nella ricostruzione.</w:t>
      </w:r>
    </w:p>
    <w:p>
      <w:pPr>
        <w:spacing w:after="120" w:line="276"/>
        <w:jc w:val="both"/>
      </w:pPr>
      <w:r>
        <w:rPr>
          <w:rFonts w:ascii="Barlow Semi Condensed" w:cs="Barlow Semi Condensed" w:eastAsia="Barlow Semi Condensed" w:hAnsi="Barlow Semi Condensed"/>
          <w:b/>
          <w:bCs/>
          <w:sz w:val="24"/>
          <w:szCs w:val="24"/>
        </w:rPr>
        <w:t xml:space="preserve">La distinzione fra materia di ricerca e materia di ricostruzione è, in fondo, la distinzione che tutta quest'opera osserva: fra ciò che si sta cercando e ciò che si è trovato.</w:t>
      </w:r>
    </w:p>
    <w:p>
      <w:pPr>
        <w:pStyle w:val="Heading2"/>
        <w:spacing w:after="100" w:before="200"/>
      </w:pPr>
      <w:r>
        <w:rPr>
          <w:rFonts w:ascii="Barlow Semi Condensed" w:cs="Barlow Semi Condensed" w:eastAsia="Barlow Semi Condensed" w:hAnsi="Barlow Semi Condensed"/>
          <w:sz w:val="24"/>
          <w:szCs w:val="24"/>
        </w:rPr>
        <w:t xml:space="preserve">Capitolo sessantesimo — Bilancio della Fase Sesta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il primo livello nella sua struttura: pluralità degli agenti, modalità dell'agguato, esistenza e collocazione del luogo di custodia, causa della morte. È accertata, per sentenza definitiva e nei limiti degli accertamenti giudiziari, la responsabilità individuale di persone determinate.</w:t>
      </w:r>
    </w:p>
    <w:p>
      <w:pPr>
        <w:spacing w:after="120" w:line="276"/>
        <w:jc w:val="both"/>
      </w:pPr>
      <w:r>
        <w:rPr>
          <w:rFonts w:ascii="Barlow Semi Condensed" w:cs="Barlow Semi Condensed" w:eastAsia="Barlow Semi Condensed" w:hAnsi="Barlow Semi Condensed"/>
          <w:b/>
          <w:bCs/>
          <w:sz w:val="24"/>
          <w:szCs w:val="24"/>
        </w:rPr>
        <w:t xml:space="preserve">È accertato il secondo livello nella sua esistenza e nella sua funzione: un organismo direttivo deliberò l'operazione, ne diresse la conduzione e assunse le decisioni relative alla gestione del periodo, compresa quella finale.</w:t>
      </w:r>
    </w:p>
    <w:p>
      <w:pPr>
        <w:spacing w:after="120" w:line="276"/>
        <w:jc w:val="both"/>
      </w:pPr>
      <w:r>
        <w:rPr>
          <w:rFonts w:ascii="Barlow Semi Condensed" w:cs="Barlow Semi Condensed" w:eastAsia="Barlow Semi Condensed" w:hAnsi="Barlow Semi Condensed"/>
          <w:b/>
          <w:bCs/>
          <w:sz w:val="24"/>
          <w:szCs w:val="24"/>
        </w:rPr>
        <w:t xml:space="preserve">È accertato che sulla vicenda operò un terzo soggetto, distinto dai rapitori e dalle istituzioni, che compì un atto deliberato di interferenza.</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il terzo livello, in nessuna delle tre proposizioni che lo comporrebbero.</w:t>
      </w:r>
    </w:p>
    <w:p>
      <w:pPr>
        <w:spacing w:after="120" w:line="276"/>
        <w:jc w:val="both"/>
      </w:pPr>
      <w:r>
        <w:rPr>
          <w:rFonts w:ascii="Barlow Semi Condensed" w:cs="Barlow Semi Condensed" w:eastAsia="Barlow Semi Condensed" w:hAnsi="Barlow Semi Condensed"/>
          <w:b/>
          <w:bCs/>
          <w:sz w:val="24"/>
          <w:szCs w:val="24"/>
        </w:rPr>
        <w:t xml:space="preserve">Non è accertata l'identità né la collocazione del terzo soggetto.</w:t>
      </w:r>
    </w:p>
    <w:p>
      <w:pPr>
        <w:spacing w:after="120" w:line="276"/>
        <w:jc w:val="both"/>
      </w:pPr>
      <w:r>
        <w:rPr>
          <w:rFonts w:ascii="Barlow Semi Condensed" w:cs="Barlow Semi Condensed" w:eastAsia="Barlow Semi Condensed" w:hAnsi="Barlow Semi Condensed"/>
          <w:b/>
          <w:bCs/>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b/>
          <w:bCs/>
          <w:sz w:val="24"/>
          <w:szCs w:val="24"/>
        </w:rPr>
        <w:t xml:space="preserve">Non è accertata la presenza di soggetti ulteriori non identificati sul luogo dell'agguato, e non risulta esclusa.</w:t>
      </w:r>
    </w:p>
    <w:p>
      <w:pPr>
        <w:pStyle w:val="Heading2"/>
        <w:spacing w:after="100" w:before="200"/>
      </w:pPr>
      <w:r>
        <w:rPr>
          <w:rFonts w:ascii="Barlow Semi Condensed" w:cs="Barlow Semi Condensed" w:eastAsia="Barlow Semi Condensed" w:hAnsi="Barlow Semi Condensed"/>
          <w:sz w:val="24"/>
          <w:szCs w:val="24"/>
        </w:rPr>
        <w:t xml:space="preserve">Ciò che è dichiarato revisionabile</w:t>
      </w:r>
    </w:p>
    <w:p>
      <w:pPr>
        <w:spacing w:after="120" w:line="276"/>
        <w:jc w:val="both"/>
      </w:pPr>
      <w:r>
        <w:rPr>
          <w:rFonts w:ascii="Barlow Semi Condensed" w:cs="Barlow Semi Condensed" w:eastAsia="Barlow Semi Condensed" w:hAnsi="Barlow Semi Condensed"/>
          <w:b/>
          <w:bCs/>
          <w:sz w:val="24"/>
          <w:szCs w:val="24"/>
        </w:rPr>
        <w:t xml:space="preserve">È dichiarata versione corrente e non acquisizione definitiva la ricostruzione dell'attribuzione individuale delle condotte, per la parte che poggia su dichiarazioni. La qualificazione non è una riserva sull'attendibilità dei singoli: è la constatazione di una proprietà della fonte.</w:t>
      </w:r>
    </w:p>
    <w:p>
      <w:pPr>
        <w:pStyle w:val="Heading2"/>
        <w:spacing w:after="100" w:before="200"/>
      </w:pPr>
      <w:r>
        <w:rPr>
          <w:rFonts w:ascii="Barlow Semi Condensed" w:cs="Barlow Semi Condensed" w:eastAsia="Barlow Semi Condensed" w:hAnsi="Barlow Semi Condensed"/>
          <w:sz w:val="24"/>
          <w:szCs w:val="24"/>
        </w:rPr>
        <w:t xml:space="preserve">Gli strumenti istituiti o applicati</w:t>
      </w:r>
    </w:p>
    <w:p>
      <w:pPr>
        <w:spacing w:after="120" w:line="276"/>
        <w:jc w:val="both"/>
      </w:pPr>
      <w:r>
        <w:rPr>
          <w:rFonts w:ascii="Barlow Semi Condensed" w:cs="Barlow Semi Condensed" w:eastAsia="Barlow Semi Condensed" w:hAnsi="Barlow Semi Condensed"/>
          <w:b/>
          <w:bCs/>
          <w:sz w:val="24"/>
          <w:szCs w:val="24"/>
        </w:rPr>
        <w:t xml:space="preserve">La Fase ha applicato la scala del vincolo ai dichiaranti, con tre specie di vincolo — processuale, di appartenenza, di coerenza — e ha dichiarato che gli enunciati di terzo grado non sono impiegati come prova dell'attribuzione che contengono, salvo riscontro indipendente, e salvo sempre gli accertamenti giudiziari, che non sono riesaminati.</w:t>
      </w:r>
    </w:p>
    <w:p>
      <w:pPr>
        <w:spacing w:after="120" w:line="276"/>
        <w:jc w:val="both"/>
      </w:pPr>
      <w:r>
        <w:rPr>
          <w:rFonts w:ascii="Barlow Semi Condensed" w:cs="Barlow Semi Condensed" w:eastAsia="Barlow Semi Condensed" w:hAnsi="Barlow Semi Condensed"/>
          <w:b/>
          <w:bCs/>
          <w:sz w:val="24"/>
          <w:szCs w:val="24"/>
        </w:rPr>
        <w:t xml:space="preserve">La Fase ha istituito la regola del collasso genealogico: prima di computare una convergenza si contano gli eventi originari e non le fonti, e l'autorevolezza della sede non genera indipendenza.</w:t>
      </w:r>
    </w:p>
    <w:p>
      <w:pPr>
        <w:spacing w:after="120" w:line="276"/>
        <w:jc w:val="both"/>
      </w:pPr>
      <w:r>
        <w:rPr>
          <w:rFonts w:ascii="Barlow Semi Condensed" w:cs="Barlow Semi Condensed" w:eastAsia="Barlow Semi Condensed" w:hAnsi="Barlow Semi Condensed"/>
          <w:b/>
          <w:bCs/>
          <w:sz w:val="24"/>
          <w:szCs w:val="24"/>
        </w:rPr>
        <w:t xml:space="preserve">La Fase ha applicato la regola dell'ingresso in acqua agli ambienti, escludendo dalla ricostruzione, e non dalla ricerca, i nodi raggiunti per percorso.</w:t>
      </w:r>
    </w:p>
    <w:p>
      <w:pPr>
        <w:pStyle w:val="Heading2"/>
        <w:spacing w:after="100" w:before="200"/>
      </w:pPr>
      <w:r>
        <w:rPr>
          <w:rFonts w:ascii="Barlow Semi Condensed" w:cs="Barlow Semi Condensed" w:eastAsia="Barlow Semi Condensed" w:hAnsi="Barlow Semi Condensed"/>
          <w:sz w:val="24"/>
          <w:szCs w:val="24"/>
        </w:rPr>
        <w:t xml:space="preserve">Il risultato principale</w:t>
      </w:r>
    </w:p>
    <w:p>
      <w:pPr>
        <w:spacing w:after="120" w:line="276"/>
        <w:jc w:val="both"/>
      </w:pPr>
      <w:r>
        <w:rPr>
          <w:rFonts w:ascii="Barlow Semi Condensed" w:cs="Barlow Semi Condensed" w:eastAsia="Barlow Semi Condensed" w:hAnsi="Barlow Semi Condensed"/>
          <w:b/>
          <w:bCs/>
          <w:sz w:val="24"/>
          <w:szCs w:val="24"/>
        </w:rPr>
        <w:t xml:space="preserve">Il risultato principale della Fase è la separazione dei tre livelli e il rifiuto di trattarli come una scala da salire.</w:t>
      </w:r>
    </w:p>
    <w:p>
      <w:pPr>
        <w:spacing w:after="120" w:line="276"/>
        <w:jc w:val="both"/>
      </w:pPr>
      <w:r>
        <w:rPr>
          <w:rFonts w:ascii="Barlow Semi Condensed" w:cs="Barlow Semi Condensed" w:eastAsia="Barlow Semi Condensed" w:hAnsi="Barlow Semi Condensed"/>
          <w:b/>
          <w:bCs/>
          <w:sz w:val="24"/>
          <w:szCs w:val="24"/>
        </w:rPr>
        <w:t xml:space="preserve">Ne è conseguita la dichiarazione della vacanza del terzo livello. Essa è, credo, la proposizione più importante dell'intera opera fino a questo punto, e la più esposta al fraintendimento; e per questo è stata circondata al Capitolo cinquantasettesimo da tutte le precisazioni necessarie: non significa che il terzo livello non esista; non significa che la ricerca sia conclusa; non è assoluzione di alcuno.</w:t>
      </w:r>
    </w:p>
    <w:p>
      <w:pPr>
        <w:spacing w:after="120" w:line="276"/>
        <w:jc w:val="both"/>
      </w:pPr>
      <w:r>
        <w:rPr>
          <w:rFonts w:ascii="Barlow Semi Condensed" w:cs="Barlow Semi Condensed" w:eastAsia="Barlow Semi Condensed" w:hAnsi="Barlow Semi Condensed"/>
          <w:b/>
          <w:bCs/>
          <w:sz w:val="24"/>
          <w:szCs w:val="24"/>
        </w:rPr>
        <w:t xml:space="preserve">Significa che, con gli atti disponibili, esso non è accertato. E significa che riempirlo senza prova produrrebbe tre danni maggiori del beneficio: renderebbe l'opera confutabile nel punto sbagliato, chiuderebbe la ricerca, e attribuirebbe responsabilità che gli atti non accertano.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Sesta, gli attori. Materia: tre livelli di responsabilità, scala del vincolo applicata ai dichiaranti, collasso genealogico, terzo soggetto, ambienti.</w:t>
      </w:r>
    </w:p>
    <w:p>
      <w:pPr>
        <w:spacing w:after="120" w:line="276"/>
        <w:jc w:val="both"/>
      </w:pPr>
      <w:r>
        <w:rPr>
          <w:rFonts w:ascii="Barlow Semi Condensed" w:cs="Barlow Semi Condensed" w:eastAsia="Barlow Semi Condensed" w:hAnsi="Barlow Semi Condensed"/>
          <w:b/>
          <w:bCs/>
          <w:sz w:val="24"/>
          <w:szCs w:val="24"/>
        </w:rPr>
        <w:t xml:space="preserve">Esito: primo e secondo livello accertati nella struttura e nella funzione; terzo livello dichiarato vuoto; terzo soggetto accertato quanto all'esistenza e non quanto all'identità; ricostruzione dell'attribuzione individuale qualificata come versione corrente.</w:t>
      </w:r>
    </w:p>
    <w:p>
      <w:pPr>
        <w:spacing w:after="120" w:line="276"/>
        <w:jc w:val="both"/>
      </w:pPr>
      <w:r>
        <w:rPr>
          <w:rFonts w:ascii="Barlow Semi Condensed" w:cs="Barlow Semi Condensed" w:eastAsia="Barlow Semi Condensed" w:hAnsi="Barlow Semi Condensed"/>
          <w:b/>
          <w:bCs/>
          <w:sz w:val="24"/>
          <w:szCs w:val="24"/>
        </w:rPr>
        <w:t xml:space="preserve">Riga di esito nullo. Nessun atto è stato reperito che documenti una volontà esterna determinata quanto all'operazione, né una via di trasmissione, né la sua efficacia. L'esito negativo è registrato con la dignità che gli compete.</w:t>
      </w:r>
    </w:p>
    <w:p>
      <w:pPr>
        <w:spacing w:after="120" w:line="276"/>
        <w:jc w:val="both"/>
      </w:pPr>
      <w:r>
        <w:rPr>
          <w:rFonts w:ascii="Barlow Semi Condensed" w:cs="Barlow Semi Condensed" w:eastAsia="Barlow Semi Condensed" w:hAnsi="Barlow Semi Condensed"/>
          <w:b/>
          <w:bCs/>
          <w:sz w:val="24"/>
          <w:szCs w:val="24"/>
        </w:rPr>
        <w:t xml:space="preserve">Riga di consegna. Si consegna alla Fase Settima: la vacanza del terzo livello con l'elenco delle acquisizioni che la riempirebbero; l'identità ignota del terzo soggetto con le vie di discriminazione indicate; e la verifica genealogica analitica, condizione preliminare di qualunque computo di convergenza.</w:t>
      </w:r>
    </w:p>
    <w:p>
      <w:pPr>
        <w:spacing w:after="120" w:line="276"/>
        <w:jc w:val="both"/>
      </w:pPr>
      <w:r>
        <w:rPr>
          <w:rFonts w:ascii="Barlow Semi Condensed" w:cs="Barlow Semi Condensed" w:eastAsia="Barlow Semi Condensed" w:hAnsi="Barlow Semi Condensed"/>
          <w:b/>
          <w:bCs/>
          <w:sz w:val="24"/>
          <w:szCs w:val="24"/>
        </w:rPr>
        <w:t xml:space="preserve">Riga di avvertenza. La Fase non ha ripetuto i nomi delle persone condannate, che sono negli atti pubblici e non sono qui riesaminati. La ragione è al Capitolo cinquantunesimo: per la ricostruzione della struttura della responsabilità rileva il ruolo, e un elenco di nomi produrrebbe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FASE SETTIMA — IL GIUDIZIO E CIÒ CHE RESTA</w:t>
      </w:r>
    </w:p>
    <w:p>
      <w:pPr>
        <w:spacing w:after="120" w:line="276"/>
        <w:jc w:val="both"/>
      </w:pPr>
      <w:r>
        <w:rPr>
          <w:rFonts w:ascii="Barlow Semi Condensed" w:cs="Barlow Semi Condensed" w:eastAsia="Barlow Semi Condensed" w:hAnsi="Barlow Semi Condensed"/>
          <w:b/>
          <w:bCs/>
          <w:sz w:val="24"/>
          <w:szCs w:val="24"/>
        </w:rPr>
        <w:t xml:space="preserve">Dove si registra cio che le sedi hanno stabilito, cio che l'opera ha stabilito, cio che essa espressamente non sostiene, e la tavola di cio che manca.</w:t>
      </w:r>
    </w:p>
    <w:p>
      <w:pPr>
        <w:pStyle w:val="Heading2"/>
        <w:spacing w:after="100" w:before="200"/>
      </w:pPr>
      <w:r>
        <w:rPr>
          <w:rFonts w:ascii="Barlow Semi Condensed" w:cs="Barlow Semi Condensed" w:eastAsia="Barlow Semi Condensed" w:hAnsi="Barlow Semi Condensed"/>
          <w:sz w:val="24"/>
          <w:szCs w:val="24"/>
        </w:rPr>
        <w:t xml:space="preserve">Capitolo sessantunesimo — L'oggetto della Fase e il rifiuto della conclusione</w:t>
      </w:r>
    </w:p>
    <w:p>
      <w:pPr>
        <w:spacing w:after="120" w:line="276"/>
        <w:jc w:val="both"/>
      </w:pPr>
      <w:r>
        <w:rPr>
          <w:rFonts w:ascii="Barlow Semi Condensed" w:cs="Barlow Semi Condensed" w:eastAsia="Barlow Semi Condensed" w:hAnsi="Barlow Semi Condensed"/>
          <w:b/>
          <w:bCs/>
          <w:sz w:val="24"/>
          <w:szCs w:val="24"/>
        </w:rPr>
        <w:t xml:space="preserve">Questa Fase chiude l'opera. Essa non conclude, e la distinzione va enunciata prima di ogni altra cosa perché governa tutto ciò che segue.</w:t>
      </w:r>
    </w:p>
    <w:p>
      <w:pPr>
        <w:pStyle w:val="Heading2"/>
        <w:spacing w:after="100" w:before="200"/>
      </w:pPr>
      <w:r>
        <w:rPr>
          <w:rFonts w:ascii="Barlow Semi Condensed" w:cs="Barlow Semi Condensed" w:eastAsia="Barlow Semi Condensed" w:hAnsi="Barlow Semi Condensed"/>
          <w:sz w:val="24"/>
          <w:szCs w:val="24"/>
        </w:rPr>
        <w:t xml:space="preserve">Perché un registro non conclude</w:t>
      </w:r>
    </w:p>
    <w:p>
      <w:pPr>
        <w:spacing w:after="120" w:line="276"/>
        <w:jc w:val="both"/>
      </w:pPr>
      <w:r>
        <w:rPr>
          <w:rFonts w:ascii="Barlow Semi Condensed" w:cs="Barlow Semi Condensed" w:eastAsia="Barlow Semi Condensed" w:hAnsi="Barlow Semi Condensed"/>
          <w:b/>
          <w:bCs/>
          <w:sz w:val="24"/>
          <w:szCs w:val="24"/>
        </w:rPr>
        <w:t xml:space="preserve">Una conclusione è un atto: essa dichiara che la ricerca è terminata e che il suo esito è quello. Un registro non può compierlo, per due ragioni che non dipendono dalla volontà di chi lo redige.</w:t>
      </w:r>
    </w:p>
    <w:p>
      <w:pPr>
        <w:spacing w:after="120" w:line="276"/>
        <w:jc w:val="both"/>
      </w:pPr>
      <w:r>
        <w:rPr>
          <w:rFonts w:ascii="Barlow Semi Condensed" w:cs="Barlow Semi Condensed" w:eastAsia="Barlow Semi Condensed" w:hAnsi="Barlow Semi Condensed"/>
          <w:b/>
          <w:bCs/>
          <w:sz w:val="24"/>
          <w:szCs w:val="24"/>
        </w:rPr>
        <w:t xml:space="preserve">La prima è che il registro non possiede tutti gli atti. La Fase Quinta ha censito le acquisizioni documentali necessarie e non conseguite; la Fase Sesta ha dichiarato vuoto un livello per difetto di prova. Concludere in questa condizione significherebbe dichiarare terminata una ricerca che è soltanto interrotta.</w:t>
      </w:r>
    </w:p>
    <w:p>
      <w:pPr>
        <w:spacing w:after="120" w:line="276"/>
        <w:jc w:val="both"/>
      </w:pPr>
      <w:r>
        <w:rPr>
          <w:rFonts w:ascii="Barlow Semi Condensed" w:cs="Barlow Semi Condensed" w:eastAsia="Barlow Semi Condensed" w:hAnsi="Barlow Semi Condensed"/>
          <w:b/>
          <w:bCs/>
          <w:sz w:val="24"/>
          <w:szCs w:val="24"/>
        </w:rPr>
        <w:t xml:space="preserve">La seconda è più profonda. Un caso nel quale è accertato che furono prodotti falsi, che una perquisizione fu incompleta e che materiale fu movimentato prima di essere verbalizzato non può produrre, se onestamente ricostruito, un quadro compiuto. Un quadro compiuto, in un caso siffatto, sarebbe la prova che il ricercatore ha riempito con la propria immaginazione le lacune che gli erano state preparate.</w:t>
      </w:r>
    </w:p>
    <w:p>
      <w:pPr>
        <w:pStyle w:val="Heading2"/>
        <w:spacing w:after="100" w:before="200"/>
      </w:pPr>
      <w:r>
        <w:rPr>
          <w:rFonts w:ascii="Barlow Semi Condensed" w:cs="Barlow Semi Condensed" w:eastAsia="Barlow Semi Condensed" w:hAnsi="Barlow Semi Condensed"/>
          <w:sz w:val="24"/>
          <w:szCs w:val="24"/>
        </w:rPr>
        <w:t xml:space="preserve">Che cosa dunque questa Fase fa</w:t>
      </w:r>
    </w:p>
    <w:p>
      <w:pPr>
        <w:spacing w:after="120" w:line="276"/>
        <w:jc w:val="both"/>
      </w:pPr>
      <w:r>
        <w:rPr>
          <w:rFonts w:ascii="Barlow Semi Condensed" w:cs="Barlow Semi Condensed" w:eastAsia="Barlow Semi Condensed" w:hAnsi="Barlow Semi Condensed"/>
          <w:b/>
          <w:bCs/>
          <w:sz w:val="24"/>
          <w:szCs w:val="24"/>
        </w:rPr>
        <w:t xml:space="preserve">Essa consegna. Registra ciò che le sedi istituzionali hanno stabilito e con quale autorità; registra ciò che l'opera ha stabilito e a quale grado; registra gli esiti negativi in un solo luogo perché acquistino la forza che dispersi non hanno; registra ciò che l'opera espressamente non sostiene; e consegna la tavola di ciò che manca, con l'indicazione della sede presso la quale cercarlo.</w:t>
      </w:r>
    </w:p>
    <w:p>
      <w:pPr>
        <w:spacing w:after="120" w:line="276"/>
        <w:jc w:val="both"/>
      </w:pPr>
      <w:r>
        <w:rPr>
          <w:rFonts w:ascii="Barlow Semi Condensed" w:cs="Barlow Semi Condensed" w:eastAsia="Barlow Semi Condensed" w:hAnsi="Barlow Semi Condensed"/>
          <w:b/>
          <w:bCs/>
          <w:sz w:val="24"/>
          <w:szCs w:val="24"/>
        </w:rPr>
        <w:t xml:space="preserve">Il Capitolo sessantottesimo, dedicato a ciò che l'opera non sostiene, è quello che nessuna delle sei Fasi precedenti poteva contenere, ed è probabilmente il più utile del volume. Una ricerca è giudicabile dalle proprie astensioni non meno che dalle proprie affermazioni; e le astensioni, se non raccolte, restano invisibili.</w:t>
      </w:r>
    </w:p>
    <w:p>
      <w:pPr>
        <w:pStyle w:val="Heading2"/>
        <w:spacing w:after="100" w:before="200"/>
      </w:pPr>
      <w:r>
        <w:rPr>
          <w:rFonts w:ascii="Barlow Semi Condensed" w:cs="Barlow Semi Condensed" w:eastAsia="Barlow Semi Condensed" w:hAnsi="Barlow Semi Condensed"/>
          <w:sz w:val="24"/>
          <w:szCs w:val="24"/>
        </w:rPr>
        <w:t xml:space="preserve">Una avvertenza sul tono</w:t>
      </w:r>
    </w:p>
    <w:p>
      <w:pPr>
        <w:spacing w:after="120" w:line="276"/>
        <w:jc w:val="both"/>
      </w:pPr>
      <w:r>
        <w:rPr>
          <w:rFonts w:ascii="Barlow Semi Condensed" w:cs="Barlow Semi Condensed" w:eastAsia="Barlow Semi Condensed" w:hAnsi="Barlow Semi Condensed"/>
          <w:b/>
          <w:bCs/>
          <w:sz w:val="24"/>
          <w:szCs w:val="24"/>
        </w:rPr>
        <w:t xml:space="preserve">Chi giunga a questa Fase attendendosi il nome di un colpevole non lo troverà, e conviene dirlo qui anziché lasciarlo scoprire alla fine.</w:t>
      </w:r>
    </w:p>
    <w:p>
      <w:pPr>
        <w:spacing w:after="120" w:line="276"/>
        <w:jc w:val="both"/>
      </w:pPr>
      <w:r>
        <w:rPr>
          <w:rFonts w:ascii="Barlow Semi Condensed" w:cs="Barlow Semi Condensed" w:eastAsia="Barlow Semi Condensed" w:hAnsi="Barlow Semi Condensed"/>
          <w:b/>
          <w:bCs/>
          <w:sz w:val="24"/>
          <w:szCs w:val="24"/>
        </w:rPr>
        <w:t xml:space="preserve">Non lo troverà non per prudenza dell'autore. Non lo troverà perché gli atti che quest'opera ha potuto interrogare non lo contengono, e perché il metodo che essa si è data vieta di supplirvi con la verosimiglianza.</w:t>
      </w:r>
    </w:p>
    <w:p>
      <w:pPr>
        <w:spacing w:after="120" w:line="276"/>
        <w:jc w:val="both"/>
      </w:pPr>
      <w:r>
        <w:rPr>
          <w:rFonts w:ascii="Barlow Semi Condensed" w:cs="Barlow Semi Condensed" w:eastAsia="Barlow Semi Condensed" w:hAnsi="Barlow Semi Condensed"/>
          <w:b/>
          <w:bCs/>
          <w:sz w:val="24"/>
          <w:szCs w:val="24"/>
        </w:rPr>
        <w:t xml:space="preserve">Chi ritenga questa astensione una debolezza consideri l'alternativa: un'opera che nominasse un colpevole non provato consegnerebbe al lettore una convinzione al posto di una conoscenza, e la consegnerebbe con l'autorità che l'apparato le conferisce. Sarebbe l'uso peggiore che di un apparato si possa fare.</w:t>
      </w:r>
    </w:p>
    <w:p>
      <w:pPr>
        <w:pStyle w:val="Heading2"/>
        <w:spacing w:after="100" w:before="200"/>
      </w:pPr>
      <w:r>
        <w:rPr>
          <w:rFonts w:ascii="Barlow Semi Condensed" w:cs="Barlow Semi Condensed" w:eastAsia="Barlow Semi Condensed" w:hAnsi="Barlow Semi Condensed"/>
          <w:sz w:val="24"/>
          <w:szCs w:val="24"/>
        </w:rPr>
        <w:t xml:space="preserve">Capitolo sessantaduesimo — Le sedi giudiziarie e l'estensione del loro accertamento</w:t>
      </w:r>
    </w:p>
    <w:p>
      <w:pPr>
        <w:pStyle w:val="Heading2"/>
        <w:spacing w:after="100" w:before="200"/>
      </w:pPr>
      <w:r>
        <w:rPr>
          <w:rFonts w:ascii="Barlow Semi Condensed" w:cs="Barlow Semi Condensed" w:eastAsia="Barlow Semi Condensed" w:hAnsi="Barlow Semi Condensed"/>
          <w:sz w:val="24"/>
          <w:szCs w:val="24"/>
        </w:rPr>
        <w:t xml:space="preserve">Ciò che le sentenze hanno stabilito</w:t>
      </w:r>
    </w:p>
    <w:p>
      <w:pPr>
        <w:spacing w:after="120" w:line="276"/>
        <w:jc w:val="both"/>
      </w:pPr>
      <w:r>
        <w:rPr>
          <w:rFonts w:ascii="Barlow Semi Condensed" w:cs="Barlow Semi Condensed" w:eastAsia="Barlow Semi Condensed" w:hAnsi="Barlow Semi Condensed"/>
          <w:b/>
          <w:bCs/>
          <w:sz w:val="24"/>
          <w:szCs w:val="24"/>
        </w:rPr>
        <w:t xml:space="preserve">Più procedimenti sono stati celebrati sui fatti del 1978, con sentenze definitive. Essi hanno accertato la responsabilità penale di persone determinate, appartenenti all'organizzazione armata che rivendicò l'azione, per il sequestro, per gli omicidi degli uomini della scorta e per l'omicidio del rapito.</w:t>
      </w:r>
    </w:p>
    <w:p>
      <w:pPr>
        <w:spacing w:after="120" w:line="276"/>
        <w:jc w:val="both"/>
      </w:pPr>
      <w:r>
        <w:rPr>
          <w:rFonts w:ascii="Barlow Semi Condensed" w:cs="Barlow Semi Condensed" w:eastAsia="Barlow Semi Condensed" w:hAnsi="Barlow Semi Condensed"/>
          <w:b/>
          <w:bCs/>
          <w:sz w:val="24"/>
          <w:szCs w:val="24"/>
        </w:rPr>
        <w:t xml:space="preserve">Tale accertamento è, per quest'opera, fonte di rango elevato ed è recepito senza riesame. Un registro non riesamina un giudicato: non ne ha titolo, non ne ha gli strumenti, e non dispone del contraddittorio nel quale l'accertamento si è formato.</w:t>
      </w:r>
    </w:p>
    <w:p>
      <w:pPr>
        <w:pStyle w:val="Heading2"/>
        <w:spacing w:after="100" w:before="200"/>
      </w:pPr>
      <w:r>
        <w:rPr>
          <w:rFonts w:ascii="Barlow Semi Condensed" w:cs="Barlow Semi Condensed" w:eastAsia="Barlow Semi Condensed" w:hAnsi="Barlow Semi Condensed"/>
          <w:sz w:val="24"/>
          <w:szCs w:val="24"/>
        </w:rPr>
        <w:t xml:space="preserve">L'estensione, che va dichiarata</w:t>
      </w:r>
    </w:p>
    <w:p>
      <w:pPr>
        <w:spacing w:after="120" w:line="276"/>
        <w:jc w:val="both"/>
      </w:pPr>
      <w:r>
        <w:rPr>
          <w:rFonts w:ascii="Barlow Semi Condensed" w:cs="Barlow Semi Condensed" w:eastAsia="Barlow Semi Condensed" w:hAnsi="Barlow Semi Condensed"/>
          <w:b/>
          <w:bCs/>
          <w:sz w:val="24"/>
          <w:szCs w:val="24"/>
        </w:rPr>
        <w:t xml:space="preserve">Occorre però enunciare con precisione l'estensione di ciò che una sentenza accerta, perché la sua sopravvalutazione e la sua sottovalutazione producono errori opposti e ugualmente gravi.</w:t>
      </w:r>
    </w:p>
    <w:p>
      <w:pPr>
        <w:spacing w:after="120" w:line="276"/>
        <w:jc w:val="both"/>
      </w:pPr>
      <w:r>
        <w:rPr>
          <w:rFonts w:ascii="Barlow Semi Condensed" w:cs="Barlow Semi Condensed" w:eastAsia="Barlow Semi Condensed" w:hAnsi="Barlow Semi Condensed"/>
          <w:b/>
          <w:bCs/>
          <w:sz w:val="24"/>
          <w:szCs w:val="24"/>
        </w:rPr>
        <w:t xml:space="preserve">Il processo accerta la responsabilità penale di persone determinate per fatti determinati. In questo ha competenza esclusiva e autorità piena, e nessuna ricostruzione storica può contraddirlo senza contraddire l'ordinamento.</w:t>
      </w:r>
    </w:p>
    <w:p>
      <w:pPr>
        <w:spacing w:after="120" w:line="276"/>
        <w:jc w:val="both"/>
      </w:pPr>
      <w:r>
        <w:rPr>
          <w:rFonts w:ascii="Barlow Semi Condensed" w:cs="Barlow Semi Condensed" w:eastAsia="Barlow Semi Condensed" w:hAnsi="Barlow Semi Condensed"/>
          <w:b/>
          <w:bCs/>
          <w:sz w:val="24"/>
          <w:szCs w:val="24"/>
        </w:rPr>
        <w:t xml:space="preserve">Il processo non accerta la ricostruzione storica completa dell'evento. Molte circostanze irrilevanti ai fini dell'imputazione non entrano nel thema decidendum e non sono oggetto di accertamento; molte questioni restano fuori perché nessuna parte aveva interesse a introdurle.</w:t>
      </w:r>
    </w:p>
    <w:p>
      <w:pPr>
        <w:spacing w:after="120" w:line="276"/>
        <w:jc w:val="both"/>
      </w:pPr>
      <w:r>
        <w:rPr>
          <w:rFonts w:ascii="Barlow Semi Condensed" w:cs="Barlow Semi Condensed" w:eastAsia="Barlow Semi Condensed" w:hAnsi="Barlow Semi Condensed"/>
          <w:b/>
          <w:bCs/>
          <w:sz w:val="24"/>
          <w:szCs w:val="24"/>
        </w:rPr>
        <w:t xml:space="preserve">Ne discende una conseguenza che ricorre in tutta la letteratura su questa materia e che va nominata: il silenzio di una sentenza su una circostanza non è un accertamento negativo su quella circostanza. Esso attesta che la circostanza non fu oggetto del giudizio, e nulla oltre.</w:t>
      </w:r>
    </w:p>
    <w:p>
      <w:pPr>
        <w:pStyle w:val="Heading2"/>
        <w:spacing w:after="100" w:before="200"/>
      </w:pPr>
      <w:r>
        <w:rPr>
          <w:rFonts w:ascii="Barlow Semi Condensed" w:cs="Barlow Semi Condensed" w:eastAsia="Barlow Semi Condensed" w:hAnsi="Barlow Semi Condensed"/>
          <w:sz w:val="24"/>
          <w:szCs w:val="24"/>
        </w:rPr>
        <w:t xml:space="preserve">L'errore simmetrico</w:t>
      </w:r>
    </w:p>
    <w:p>
      <w:pPr>
        <w:spacing w:after="120" w:line="276"/>
        <w:jc w:val="both"/>
      </w:pPr>
      <w:r>
        <w:rPr>
          <w:rFonts w:ascii="Barlow Semi Condensed" w:cs="Barlow Semi Condensed" w:eastAsia="Barlow Semi Condensed" w:hAnsi="Barlow Semi Condensed"/>
          <w:b/>
          <w:bCs/>
          <w:sz w:val="24"/>
          <w:szCs w:val="24"/>
        </w:rPr>
        <w:t xml:space="preserve">Vale però anche il rovescio, e va detto con eguale fermezza perché è quello che la letteratura commette più spesso.</w:t>
      </w:r>
    </w:p>
    <w:p>
      <w:pPr>
        <w:spacing w:after="120" w:line="276"/>
        <w:jc w:val="both"/>
      </w:pPr>
      <w:r>
        <w:rPr>
          <w:rFonts w:ascii="Barlow Semi Condensed" w:cs="Barlow Semi Condensed" w:eastAsia="Barlow Semi Condensed" w:hAnsi="Barlow Semi Condensed"/>
          <w:b/>
          <w:bCs/>
          <w:sz w:val="24"/>
          <w:szCs w:val="24"/>
        </w:rPr>
        <w:t xml:space="preserve">Dalla constatazione che il processo non ricostruisce tutto non discende che ciò che esso ha accertato sia dubbio. Le responsabilità individuali dichiarate in sentenza definitiva sono accertate, e restano tali quali che siano le questioni rimaste fuori.</w:t>
      </w:r>
    </w:p>
    <w:p>
      <w:pPr>
        <w:spacing w:after="120" w:line="276"/>
        <w:jc w:val="both"/>
      </w:pPr>
      <w:r>
        <w:rPr>
          <w:rFonts w:ascii="Barlow Semi Condensed" w:cs="Barlow Semi Condensed" w:eastAsia="Barlow Semi Condensed" w:hAnsi="Barlow Semi Condensed"/>
          <w:b/>
          <w:bCs/>
          <w:sz w:val="24"/>
          <w:szCs w:val="24"/>
        </w:rPr>
        <w:t xml:space="preserve">Chi impieghi l'incompletezza della ricostruzione giudiziaria per rimettere in discussione ciò che essa ha stabilito compie una operazione che non ha fondamento logico: dall'assenza di accertamento su A non segue l'infondatezza dell'accertamento su B.</w:t>
      </w:r>
    </w:p>
    <w:p>
      <w:pPr>
        <w:pStyle w:val="Heading2"/>
        <w:spacing w:after="100" w:before="200"/>
      </w:pPr>
      <w:r>
        <w:rPr>
          <w:rFonts w:ascii="Barlow Semi Condensed" w:cs="Barlow Semi Condensed" w:eastAsia="Barlow Semi Condensed" w:hAnsi="Barlow Semi Condensed"/>
          <w:sz w:val="24"/>
          <w:szCs w:val="24"/>
        </w:rPr>
        <w:t xml:space="preserve">Il caso della revisione</w:t>
      </w:r>
    </w:p>
    <w:p>
      <w:pPr>
        <w:spacing w:after="120" w:line="276"/>
        <w:jc w:val="both"/>
      </w:pPr>
      <w:r>
        <w:rPr>
          <w:rFonts w:ascii="Barlow Semi Condensed" w:cs="Barlow Semi Condensed" w:eastAsia="Barlow Semi Condensed" w:hAnsi="Barlow Semi Condensed"/>
          <w:b/>
          <w:bCs/>
          <w:sz w:val="24"/>
          <w:szCs w:val="24"/>
        </w:rPr>
        <w:t xml:space="preserve">Va infine registrato che la ricostruzione dell'attribuzione individuale ha conosciuto revisioni in sede giudiziaria e istruttoria, per emersione di elementi successivi. La Fase Terza ne ha esposto la natura e la Fase Sesta ne ha tratto la conseguenza: quella parte della ricostruzione è iscritta come versione corrente e non come acquisizione definitiva.</w:t>
      </w:r>
    </w:p>
    <w:p>
      <w:pPr>
        <w:spacing w:after="120" w:line="276"/>
        <w:jc w:val="both"/>
      </w:pPr>
      <w:r>
        <w:rPr>
          <w:rFonts w:ascii="Barlow Semi Condensed" w:cs="Barlow Semi Condensed" w:eastAsia="Barlow Semi Condensed" w:hAnsi="Barlow Semi Condensed"/>
          <w:b/>
          <w:bCs/>
          <w:sz w:val="24"/>
          <w:szCs w:val="24"/>
        </w:rPr>
        <w:t xml:space="preserve">La qualificazione non intacca il giudicato. Essa riguarda l'uso storiografico della ricostruzione, che è cosa diversa dalla sua efficacia processuale.</w:t>
      </w:r>
    </w:p>
    <w:p>
      <w:pPr>
        <w:pStyle w:val="Heading2"/>
        <w:spacing w:after="100" w:before="200"/>
      </w:pPr>
      <w:r>
        <w:rPr>
          <w:rFonts w:ascii="Barlow Semi Condensed" w:cs="Barlow Semi Condensed" w:eastAsia="Barlow Semi Condensed" w:hAnsi="Barlow Semi Condensed"/>
          <w:sz w:val="24"/>
          <w:szCs w:val="24"/>
        </w:rPr>
        <w:t xml:space="preserve">Capitolo sessantatreesimo — Le commissioni parlamentari e il loro diverso statuto</w:t>
      </w:r>
    </w:p>
    <w:p>
      <w:pPr>
        <w:spacing w:after="120" w:line="276"/>
        <w:jc w:val="both"/>
      </w:pPr>
      <w:r>
        <w:rPr>
          <w:rFonts w:ascii="Barlow Semi Condensed" w:cs="Barlow Semi Condensed" w:eastAsia="Barlow Semi Condensed" w:hAnsi="Barlow Semi Condensed"/>
          <w:b/>
          <w:bCs/>
          <w:sz w:val="24"/>
          <w:szCs w:val="24"/>
        </w:rPr>
        <w:t xml:space="preserve">Sul caso hanno lavorato più commissioni parlamentari d'inchiesta, in legislature successive. Il loro statuto è diverso da quello giudiziario e viene con grande frequenza confuso con esso.</w:t>
      </w:r>
    </w:p>
    <w:p>
      <w:pPr>
        <w:pStyle w:val="Heading2"/>
        <w:spacing w:after="100" w:before="200"/>
      </w:pPr>
      <w:r>
        <w:rPr>
          <w:rFonts w:ascii="Barlow Semi Condensed" w:cs="Barlow Semi Condensed" w:eastAsia="Barlow Semi Condensed" w:hAnsi="Barlow Semi Condensed"/>
          <w:sz w:val="24"/>
          <w:szCs w:val="24"/>
        </w:rPr>
        <w:t xml:space="preserve">Che cosa una commissione fa e che cosa non fa</w:t>
      </w:r>
    </w:p>
    <w:p>
      <w:pPr>
        <w:spacing w:after="120" w:line="276"/>
        <w:jc w:val="both"/>
      </w:pPr>
      <w:r>
        <w:rPr>
          <w:rFonts w:ascii="Barlow Semi Condensed" w:cs="Barlow Semi Condensed" w:eastAsia="Barlow Semi Condensed" w:hAnsi="Barlow Semi Condensed"/>
          <w:b/>
          <w:bCs/>
          <w:sz w:val="24"/>
          <w:szCs w:val="24"/>
        </w:rPr>
        <w:t xml:space="preserve">Una commissione d'inchiesta non accerta responsabilità individuali e non ne ha il potere. Essa indaga, valuta, ricostruisce e riferisce alle Camere.</w:t>
      </w:r>
    </w:p>
    <w:p>
      <w:pPr>
        <w:spacing w:after="120" w:line="276"/>
        <w:jc w:val="both"/>
      </w:pPr>
      <w:r>
        <w:rPr>
          <w:rFonts w:ascii="Barlow Semi Condensed" w:cs="Barlow Semi Condensed" w:eastAsia="Barlow Semi Condensed" w:hAnsi="Barlow Semi Condensed"/>
          <w:b/>
          <w:bCs/>
          <w:sz w:val="24"/>
          <w:szCs w:val="24"/>
        </w:rPr>
        <w:t xml:space="preserve">Le sue relazioni sono, per quest'opera, valutazioni di organo qualificato: fonti di rango elevato, di grande peso, e non equiparabili a un accertamento giudiziario. La differenza non è di autorevolezza ma di natura: l'una stabilisce fatti con effetti sulle persone, l'altra ricostruisce vicende con effetti sulla conoscenza pubblica.</w:t>
      </w:r>
    </w:p>
    <w:p>
      <w:pPr>
        <w:spacing w:after="120" w:line="276"/>
        <w:jc w:val="both"/>
      </w:pPr>
      <w:r>
        <w:rPr>
          <w:rFonts w:ascii="Barlow Semi Condensed" w:cs="Barlow Semi Condensed" w:eastAsia="Barlow Semi Condensed" w:hAnsi="Barlow Semi Condensed"/>
          <w:b/>
          <w:bCs/>
          <w:sz w:val="24"/>
          <w:szCs w:val="24"/>
        </w:rPr>
        <w:t xml:space="preserve">Ne discende che una circostanza affermata in una relazione parlamentare e non accertata in sede giudiziaria non è per ciò stesso falsa, e non è per ciò stesso provata. Essa è ciò che è: la valutazione di un organo qualificato, da impiegare come tale.</w:t>
      </w:r>
    </w:p>
    <w:p>
      <w:pPr>
        <w:pStyle w:val="Heading2"/>
        <w:spacing w:after="100" w:before="200"/>
      </w:pPr>
      <w:r>
        <w:rPr>
          <w:rFonts w:ascii="Barlow Semi Condensed" w:cs="Barlow Semi Condensed" w:eastAsia="Barlow Semi Condensed" w:hAnsi="Barlow Semi Condensed"/>
          <w:sz w:val="24"/>
          <w:szCs w:val="24"/>
        </w:rPr>
        <w:t xml:space="preserve">La non unanimità, che è essa stessa un dato</w:t>
      </w:r>
    </w:p>
    <w:p>
      <w:pPr>
        <w:spacing w:after="120" w:line="276"/>
        <w:jc w:val="both"/>
      </w:pPr>
      <w:r>
        <w:rPr>
          <w:rFonts w:ascii="Barlow Semi Condensed" w:cs="Barlow Semi Condensed" w:eastAsia="Barlow Semi Condensed" w:hAnsi="Barlow Semi Condensed"/>
          <w:b/>
          <w:bCs/>
          <w:sz w:val="24"/>
          <w:szCs w:val="24"/>
        </w:rPr>
        <w:t xml:space="preserve">Vi è un elemento che va registrato con particolare cura perché la divulgazione lo occulta sistematicamente.</w:t>
      </w:r>
    </w:p>
    <w:p>
      <w:pPr>
        <w:spacing w:after="120" w:line="276"/>
        <w:jc w:val="both"/>
      </w:pPr>
      <w:r>
        <w:rPr>
          <w:rFonts w:ascii="Barlow Semi Condensed" w:cs="Barlow Semi Condensed" w:eastAsia="Barlow Semi Condensed" w:hAnsi="Barlow Semi Condensed"/>
          <w:b/>
          <w:bCs/>
          <w:sz w:val="24"/>
          <w:szCs w:val="24"/>
        </w:rPr>
        <w:t xml:space="preserve">Le commissioni che hanno lavorato su questa materia hanno prodotto, su punti rilevanti, elaborati divergenti fra loro: relazioni di maggioranza e di minoranza, contributi individuali di commissari, documenti di gruppo. Le divergenze non riguardano dettagli: riguardano l'esistenza stessa di un mandato esterno, la valutazione della gestione della crisi, la qualificazione di talune condotte.</w:t>
      </w:r>
    </w:p>
    <w:p>
      <w:pPr>
        <w:spacing w:after="120" w:line="276"/>
        <w:jc w:val="both"/>
      </w:pPr>
      <w:r>
        <w:rPr>
          <w:rFonts w:ascii="Barlow Semi Condensed" w:cs="Barlow Semi Condensed" w:eastAsia="Barlow Semi Condensed" w:hAnsi="Barlow Semi Condensed"/>
          <w:b/>
          <w:bCs/>
          <w:sz w:val="24"/>
          <w:szCs w:val="24"/>
        </w:rPr>
        <w:t xml:space="preserve">La non unanimità è un dato di primo ordine, e va dichiarata ogni volta che si citi una commissione. Citare la sola relazione che convenga alla propria ricostruzione, senza menzionare che altre ne sostenevano una diversa nella medesima sede, è una selezione della fonte che produce sul lettore l'effetto di un accertamento là dove vi era un dissenso.</w:t>
      </w:r>
    </w:p>
    <w:p>
      <w:pPr>
        <w:pStyle w:val="Heading2"/>
        <w:spacing w:after="100" w:before="200"/>
      </w:pPr>
      <w:r>
        <w:rPr>
          <w:rFonts w:ascii="Barlow Semi Condensed" w:cs="Barlow Semi Condensed" w:eastAsia="Barlow Semi Condensed" w:hAnsi="Barlow Semi Condensed"/>
          <w:sz w:val="24"/>
          <w:szCs w:val="24"/>
        </w:rPr>
        <w:t xml:space="preserve">Una posizione che va riportata perché contraddice</w:t>
      </w:r>
    </w:p>
    <w:p>
      <w:pPr>
        <w:spacing w:after="120" w:line="276"/>
        <w:jc w:val="both"/>
      </w:pPr>
      <w:r>
        <w:rPr>
          <w:rFonts w:ascii="Barlow Semi Condensed" w:cs="Barlow Semi Condensed" w:eastAsia="Barlow Semi Condensed" w:hAnsi="Barlow Semi Condensed"/>
          <w:b/>
          <w:bCs/>
          <w:sz w:val="24"/>
          <w:szCs w:val="24"/>
        </w:rPr>
        <w:t xml:space="preserve">Si registra, in adempimento dell'obbligo di riportare le evidenze contrarie non meno delle favorevoli, che una delle commissioni ha formulato una posizione articolata sul mandato esterno nella quale condivide l'opinione che l'organizzazione abbia agito secondo un progetto proprio, abbia proceduto secondo un codice proprio e abbia deciso secondo una logica propria, escludendone di conseguenza l'eterodirezione.</w:t>
      </w:r>
    </w:p>
    <w:p>
      <w:pPr>
        <w:spacing w:after="120" w:line="276"/>
        <w:jc w:val="both"/>
      </w:pPr>
      <w:r>
        <w:rPr>
          <w:rFonts w:ascii="Barlow Semi Condensed" w:cs="Barlow Semi Condensed" w:eastAsia="Barlow Semi Condensed" w:hAnsi="Barlow Semi Condensed"/>
          <w:b/>
          <w:bCs/>
          <w:sz w:val="24"/>
          <w:szCs w:val="24"/>
        </w:rPr>
        <w:t xml:space="preserve">Questa posizione è di rango parlamentare e va iscritta nella matrice delle ipotesi concorrenti come evidenza contraria al terzo genere di ipotesi, e non come nota a margine. Essa non chiude la questione, poiché altre sedi hanno sostenuto valutazioni diverse; ma pesa quanto le valutazioni opposte, e chi ometta di riportarla costruisce una matrice sbilanciata.</w:t>
      </w:r>
    </w:p>
    <w:p>
      <w:pPr>
        <w:pStyle w:val="Heading2"/>
        <w:spacing w:after="100" w:before="200"/>
      </w:pPr>
      <w:r>
        <w:rPr>
          <w:rFonts w:ascii="Barlow Semi Condensed" w:cs="Barlow Semi Condensed" w:eastAsia="Barlow Semi Condensed" w:hAnsi="Barlow Semi Condensed"/>
          <w:sz w:val="24"/>
          <w:szCs w:val="24"/>
        </w:rPr>
        <w:t xml:space="preserve">L'ultima commissione e le linee dichiarate aperte</w:t>
      </w:r>
    </w:p>
    <w:p>
      <w:pPr>
        <w:spacing w:after="120" w:line="276"/>
        <w:jc w:val="both"/>
      </w:pPr>
      <w:r>
        <w:rPr>
          <w:rFonts w:ascii="Barlow Semi Condensed" w:cs="Barlow Semi Condensed" w:eastAsia="Barlow Semi Condensed" w:hAnsi="Barlow Semi Condensed"/>
          <w:b/>
          <w:bCs/>
          <w:sz w:val="24"/>
          <w:szCs w:val="24"/>
        </w:rPr>
        <w:t xml:space="preserve">Si registra infine che l'ultima commissione che si è occupata della materia ha dichiarato aperte alcune linee di indagine, e che tale dichiarazione è essa stessa un fatto: essa attesta che l'organo istituzionale che da ultimo ha esaminato il caso non lo ha ritenuto esaurito.</w:t>
      </w:r>
    </w:p>
    <w:p>
      <w:pPr>
        <w:pStyle w:val="Heading2"/>
        <w:spacing w:after="100" w:before="200"/>
      </w:pPr>
      <w:r>
        <w:rPr>
          <w:rFonts w:ascii="Barlow Semi Condensed" w:cs="Barlow Semi Condensed" w:eastAsia="Barlow Semi Condensed" w:hAnsi="Barlow Semi Condensed"/>
          <w:sz w:val="24"/>
          <w:szCs w:val="24"/>
        </w:rPr>
        <w:t xml:space="preserve">Capitolo sessantaquattresimo — Le esequie e la volontà espressa</w:t>
      </w:r>
    </w:p>
    <w:p>
      <w:pPr>
        <w:spacing w:after="120" w:line="276"/>
        <w:jc w:val="both"/>
      </w:pPr>
      <w:r>
        <w:rPr>
          <w:rFonts w:ascii="Barlow Semi Condensed" w:cs="Barlow Semi Condensed" w:eastAsia="Barlow Semi Condensed" w:hAnsi="Barlow Semi Condensed"/>
          <w:b/>
          <w:bCs/>
          <w:sz w:val="24"/>
          <w:szCs w:val="24"/>
        </w:rPr>
        <w:t xml:space="preserve">Si registra qui una vicenda che appartiene agli esiti e non ai fatti, e che l'opera tratta con la brevità che le compete.</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b/>
          <w:bCs/>
          <w:sz w:val="24"/>
          <w:szCs w:val="24"/>
        </w:rPr>
        <w:t xml:space="preserve">L'autore aveva espresso, nelle carte della prigionia, volontà relative alle proprie esequie e alla partecipazione delle autorità.</w:t>
      </w:r>
    </w:p>
    <w:p>
      <w:pPr>
        <w:spacing w:after="120" w:line="276"/>
        <w:jc w:val="both"/>
      </w:pPr>
      <w:r>
        <w:rPr>
          <w:rFonts w:ascii="Barlow Semi Condensed" w:cs="Barlow Semi Condensed" w:eastAsia="Barlow Semi Condensed" w:hAnsi="Barlow Semi Condensed"/>
          <w:b/>
          <w:bCs/>
          <w:sz w:val="24"/>
          <w:szCs w:val="24"/>
        </w:rPr>
        <w:t xml:space="preserve">Dopo il rinvenimento del corpo furono celebrate esequie private secondo tale volontà, e separatamente una cerimonia solenne di Stato, senza il corpo, alla presenza delle massime autorità della Repubblica.</w:t>
      </w:r>
    </w:p>
    <w:p>
      <w:pPr>
        <w:spacing w:after="120" w:line="276"/>
        <w:jc w:val="both"/>
      </w:pPr>
      <w:r>
        <w:rPr>
          <w:rFonts w:ascii="Barlow Semi Condensed" w:cs="Barlow Semi Condensed" w:eastAsia="Barlow Semi Condensed" w:hAnsi="Barlow Semi Condensed"/>
          <w:b/>
          <w:bCs/>
          <w:sz w:val="24"/>
          <w:szCs w:val="24"/>
        </w:rPr>
        <w:t xml:space="preserve">Entrambe le circostanze sono accertate e non controverse.</w:t>
      </w:r>
    </w:p>
    <w:p>
      <w:pPr>
        <w:pStyle w:val="Heading2"/>
        <w:spacing w:after="100" w:before="200"/>
      </w:pPr>
      <w:r>
        <w:rPr>
          <w:rFonts w:ascii="Barlow Semi Condensed" w:cs="Barlow Semi Condensed" w:eastAsia="Barlow Semi Condensed" w:hAnsi="Barlow Semi Condensed"/>
          <w:sz w:val="24"/>
          <w:szCs w:val="24"/>
        </w:rPr>
        <w:t xml:space="preserve">Lo statuto della volontà espressa</w:t>
      </w:r>
    </w:p>
    <w:p>
      <w:pPr>
        <w:spacing w:after="120" w:line="276"/>
        <w:jc w:val="both"/>
      </w:pPr>
      <w:r>
        <w:rPr>
          <w:rFonts w:ascii="Barlow Semi Condensed" w:cs="Barlow Semi Condensed" w:eastAsia="Barlow Semi Condensed" w:hAnsi="Barlow Semi Condensed"/>
          <w:b/>
          <w:bCs/>
          <w:sz w:val="24"/>
          <w:szCs w:val="24"/>
        </w:rPr>
        <w:t xml:space="preserve">Si applica la scala del vincolo istituita dalla Fase Quarta. La disposizione relativa alle esequie appartiene alla classe delle comunicazioni domestiche e riguarda materia priva di interesse specifico per i detentori: essa si colloca al primo o al secondo grado, ed è dunque impiegabile come espressione diretta dell'autore.</w:t>
      </w:r>
    </w:p>
    <w:p>
      <w:pPr>
        <w:spacing w:after="120" w:line="276"/>
        <w:jc w:val="both"/>
      </w:pPr>
      <w:r>
        <w:rPr>
          <w:rFonts w:ascii="Barlow Semi Condensed" w:cs="Barlow Semi Condensed" w:eastAsia="Barlow Semi Condensed" w:hAnsi="Barlow Semi Condensed"/>
          <w:b/>
          <w:bCs/>
          <w:sz w:val="24"/>
          <w:szCs w:val="24"/>
        </w:rPr>
        <w:t xml:space="preserve">Questa è, si osservi, una delle poche proposizioni relative alla volontà del prigioniero che la scala consenta di impiegare senza restrizioni. Le proposizioni politiche sono di terzo grado e non lo consentono; questa sì, perché nessuno aveva interesse a sollecitarla.</w:t>
      </w:r>
    </w:p>
    <w:p>
      <w:pPr>
        <w:pStyle w:val="Heading2"/>
        <w:spacing w:after="100" w:before="200"/>
      </w:pPr>
      <w:r>
        <w:rPr>
          <w:rFonts w:ascii="Barlow Semi Condensed" w:cs="Barlow Semi Condensed" w:eastAsia="Barlow Semi Condensed" w:hAnsi="Barlow Semi Condensed"/>
          <w:sz w:val="24"/>
          <w:szCs w:val="24"/>
        </w:rPr>
        <w:t xml:space="preserve">Ciò che l'opera non dice</w:t>
      </w:r>
    </w:p>
    <w:p>
      <w:pPr>
        <w:spacing w:after="120" w:line="276"/>
        <w:jc w:val="both"/>
      </w:pPr>
      <w:r>
        <w:rPr>
          <w:rFonts w:ascii="Barlow Semi Condensed" w:cs="Barlow Semi Condensed" w:eastAsia="Barlow Semi Condensed" w:hAnsi="Barlow Semi Condensed"/>
          <w:b/>
          <w:bCs/>
          <w:sz w:val="24"/>
          <w:szCs w:val="24"/>
        </w:rPr>
        <w:t xml:space="preserve">L'opera non giudica la decisione di celebrare la cerimonia solenne. Il giudizio è morale e politico, appartiene a chi vi era implicato e a chi ne ha titolo, e non a un registro.</w:t>
      </w:r>
    </w:p>
    <w:p>
      <w:pPr>
        <w:spacing w:after="120" w:line="276"/>
        <w:jc w:val="both"/>
      </w:pPr>
      <w:r>
        <w:rPr>
          <w:rFonts w:ascii="Barlow Semi Condensed" w:cs="Barlow Semi Condensed" w:eastAsia="Barlow Semi Condensed" w:hAnsi="Barlow Semi Condensed"/>
          <w:b/>
          <w:bCs/>
          <w:sz w:val="24"/>
          <w:szCs w:val="24"/>
        </w:rPr>
        <w:t xml:space="preserve">Si registra soltanto, perché è materia di fatto, che la questione fu dibattuta e che il dibattito fu doloroso per le persone coinvolte; e che essa costituisce, per la storia repubblicana, uno dei punti nei quali la distanza fra la volontà di un uomo e le esigenze dello Stato si è manifestata nella forma più visibile.</w:t>
      </w:r>
    </w:p>
    <w:p>
      <w:pPr>
        <w:spacing w:after="120" w:line="276"/>
        <w:jc w:val="both"/>
      </w:pPr>
      <w:r>
        <w:rPr>
          <w:rFonts w:ascii="Barlow Semi Condensed" w:cs="Barlow Semi Condensed" w:eastAsia="Barlow Semi Condensed" w:hAnsi="Barlow Semi Condensed"/>
          <w:b/>
          <w:bCs/>
          <w:sz w:val="24"/>
          <w:szCs w:val="24"/>
        </w:rPr>
        <w:t xml:space="preserve">Oltre questo l'opera non va, e si ferma qui volontariamente.</w:t>
      </w:r>
    </w:p>
    <w:p>
      <w:pPr>
        <w:pStyle w:val="Heading2"/>
        <w:spacing w:after="100" w:before="200"/>
      </w:pPr>
      <w:r>
        <w:rPr>
          <w:rFonts w:ascii="Barlow Semi Condensed" w:cs="Barlow Semi Condensed" w:eastAsia="Barlow Semi Condensed" w:hAnsi="Barlow Semi Condensed"/>
          <w:sz w:val="24"/>
          <w:szCs w:val="24"/>
        </w:rPr>
        <w:t xml:space="preserve">Capitolo sessantacinquesimo — Il censimento degli Stati Zero</w:t>
      </w:r>
    </w:p>
    <w:p>
      <w:pPr>
        <w:spacing w:after="120" w:line="276"/>
        <w:jc w:val="both"/>
      </w:pPr>
      <w:r>
        <w:rPr>
          <w:rFonts w:ascii="Barlow Semi Condensed" w:cs="Barlow Semi Condensed" w:eastAsia="Barlow Semi Condensed" w:hAnsi="Barlow Semi Condensed"/>
          <w:b/>
          <w:bCs/>
          <w:sz w:val="24"/>
          <w:szCs w:val="24"/>
        </w:rPr>
        <w:t xml:space="preserve">Si raccolgono qui, in un solo luogo, tutti gli esiti negativi delle sei Fasi precedenti. La raccolta non è una formalità contabile: dispersi, gli esiti negativi non producono effetto; riuniti, essi costituiscono una mappa.</w:t>
      </w:r>
    </w:p>
    <w:p>
      <w:pPr>
        <w:pStyle w:val="Heading2"/>
        <w:spacing w:after="100" w:before="200"/>
      </w:pPr>
      <w:r>
        <w:rPr>
          <w:rFonts w:ascii="Barlow Semi Condensed" w:cs="Barlow Semi Condensed" w:eastAsia="Barlow Semi Condensed" w:hAnsi="Barlow Semi Condensed"/>
          <w:sz w:val="24"/>
          <w:szCs w:val="24"/>
        </w:rPr>
        <w:t xml:space="preserve">Perché la raccolta è necessaria</w:t>
      </w:r>
    </w:p>
    <w:p>
      <w:pPr>
        <w:spacing w:after="120" w:line="276"/>
        <w:jc w:val="both"/>
      </w:pPr>
      <w:r>
        <w:rPr>
          <w:rFonts w:ascii="Barlow Semi Condensed" w:cs="Barlow Semi Condensed" w:eastAsia="Barlow Semi Condensed" w:hAnsi="Barlow Semi Condensed"/>
          <w:b/>
          <w:bCs/>
          <w:sz w:val="24"/>
          <w:szCs w:val="24"/>
        </w:rPr>
        <w:t xml:space="preserve">Un esito negativo enunciato nella sede in cui fu ottenuto viene letto come una difficoltà locale. Gli stessi esiti letti insieme mostrano una figura, e la figura dice dove la conoscenza si interrompe e per quale ragione.</w:t>
      </w:r>
    </w:p>
    <w:p>
      <w:pPr>
        <w:spacing w:after="120" w:line="276"/>
        <w:jc w:val="both"/>
      </w:pPr>
      <w:r>
        <w:rPr>
          <w:rFonts w:ascii="Barlow Semi Condensed" w:cs="Barlow Semi Condensed" w:eastAsia="Barlow Semi Condensed" w:hAnsi="Barlow Semi Condensed"/>
          <w:b/>
          <w:bCs/>
          <w:sz w:val="24"/>
          <w:szCs w:val="24"/>
        </w:rPr>
        <w:t xml:space="preserve">Vi è inoltre una ragione di onestà espositiva. Un lettore che percorra sei Fasi di risultanze riceve, dall'accumulo, l'impressione che la ricerca abbia trovato ciò che cercava. Il censimento degli esiti negativi restituisce la proporzione: quanto è stato cercato e non trovato, accanto a quanto è stato trovato.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Seconda</w:t>
      </w:r>
    </w:p>
    <w:p>
      <w:pPr>
        <w:spacing w:after="120" w:line="276"/>
        <w:jc w:val="both"/>
      </w:pPr>
      <w:r>
        <w:rPr>
          <w:rFonts w:ascii="Barlow Semi Condensed" w:cs="Barlow Semi Condensed" w:eastAsia="Barlow Semi Condensed" w:hAnsi="Barlow Semi Condensed"/>
          <w:b/>
          <w:bCs/>
          <w:sz w:val="24"/>
          <w:szCs w:val="24"/>
        </w:rPr>
        <w:t xml:space="preserve">Non è stato reperito alcun atto che colleghi l'influenza documentata delle potenze straniere all'atto materiale, e ciò vale simmetricamente per entrambi i versanti.</w:t>
      </w:r>
    </w:p>
    <w:p>
      <w:pPr>
        <w:spacing w:after="120" w:line="276"/>
        <w:jc w:val="both"/>
      </w:pPr>
      <w:r>
        <w:rPr>
          <w:rFonts w:ascii="Barlow Semi Condensed" w:cs="Barlow Semi Condensed" w:eastAsia="Barlow Semi Condensed" w:hAnsi="Barlow Semi Condensed"/>
          <w:b/>
          <w:bCs/>
          <w:sz w:val="24"/>
          <w:szCs w:val="24"/>
        </w:rPr>
        <w:t xml:space="preserve">Tredici archivi remoti rilevanti non sono risultati interrogabili con gli strumenti impiegati.</w:t>
      </w:r>
    </w:p>
    <w:p>
      <w:pPr>
        <w:spacing w:after="120" w:line="276"/>
        <w:jc w:val="both"/>
      </w:pPr>
      <w:r>
        <w:rPr>
          <w:rFonts w:ascii="Barlow Semi Condensed" w:cs="Barlow Semi Condensed" w:eastAsia="Barlow Semi Condensed" w:hAnsi="Barlow Semi Condensed"/>
          <w:b/>
          <w:bCs/>
          <w:sz w:val="24"/>
          <w:szCs w:val="24"/>
        </w:rPr>
        <w:t xml:space="preserve">La verifica statistica sull'addensamento degli eventi attorno alle scadenze dell'integrazione europea ha dato esito nullo a tutti i raggi esaminati, con conferma nel controllo di robustezza. È l'unico esito escludente prodotto dall'opera, ed è stato ottenuto per misura e non per argomentazione.</w:t>
      </w:r>
    </w:p>
    <w:p>
      <w:pPr>
        <w:pStyle w:val="Heading2"/>
        <w:spacing w:after="100" w:before="200"/>
      </w:pPr>
      <w:r>
        <w:rPr>
          <w:rFonts w:ascii="Barlow Semi Condensed" w:cs="Barlow Semi Condensed" w:eastAsia="Barlow Semi Condensed" w:hAnsi="Barlow Semi Condensed"/>
          <w:sz w:val="24"/>
          <w:szCs w:val="24"/>
        </w:rPr>
        <w:t xml:space="preserve">Gli esiti negativi della Fase Terza</w:t>
      </w:r>
    </w:p>
    <w:p>
      <w:pPr>
        <w:spacing w:after="120" w:line="276"/>
        <w:jc w:val="both"/>
      </w:pPr>
      <w:r>
        <w:rPr>
          <w:rFonts w:ascii="Barlow Semi Condensed" w:cs="Barlow Semi Condensed" w:eastAsia="Barlow Semi Condensed" w:hAnsi="Barlow Semi Condensed"/>
          <w:b/>
          <w:bCs/>
          <w:sz w:val="24"/>
          <w:szCs w:val="24"/>
        </w:rPr>
        <w:t xml:space="preserve">La ricerca condotta per cinquantacinque giorni con risorse eccezionali non ha prodotto la localizzazione del prigioniero.</w:t>
      </w:r>
    </w:p>
    <w:p>
      <w:pPr>
        <w:spacing w:after="120" w:line="276"/>
        <w:jc w:val="both"/>
      </w:pPr>
      <w:r>
        <w:rPr>
          <w:rFonts w:ascii="Barlow Semi Condensed" w:cs="Barlow Semi Condensed" w:eastAsia="Barlow Semi Condensed" w:hAnsi="Barlow Semi Condensed"/>
          <w:b/>
          <w:bCs/>
          <w:sz w:val="24"/>
          <w:szCs w:val="24"/>
        </w:rPr>
        <w:t xml:space="preserve">Non risulta acquisita documentazione oggettiva contemporanea sul percorso e sui luoghi intermedi del trasferimento successivo al prelevamento.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Quarta</w:t>
      </w:r>
    </w:p>
    <w:p>
      <w:pPr>
        <w:spacing w:after="120" w:line="276"/>
        <w:jc w:val="both"/>
      </w:pPr>
      <w:r>
        <w:rPr>
          <w:rFonts w:ascii="Barlow Semi Condensed" w:cs="Barlow Semi Condensed" w:eastAsia="Barlow Semi Condensed" w:hAnsi="Barlow Semi Condensed"/>
          <w:b/>
          <w:bCs/>
          <w:sz w:val="24"/>
          <w:szCs w:val="24"/>
        </w:rPr>
        <w:t xml:space="preserve">Non è stata acquisita la documentazione contemporanea della prima operazione di rinvenimento documentale, necessaria a discriminare fra le tre spiegazioni della sua incompletezza.</w:t>
      </w:r>
    </w:p>
    <w:p>
      <w:pPr>
        <w:spacing w:after="120" w:line="276"/>
        <w:jc w:val="both"/>
      </w:pPr>
      <w:r>
        <w:rPr>
          <w:rFonts w:ascii="Barlow Semi Condensed" w:cs="Barlow Semi Condensed" w:eastAsia="Barlow Semi Condensed" w:hAnsi="Barlow Semi Condensed"/>
          <w:b/>
          <w:bCs/>
          <w:sz w:val="24"/>
          <w:szCs w:val="24"/>
        </w:rPr>
        <w:t xml:space="preserve">La completezza del corpus documentale complessivamente disponibile non è accertata e non può essere presunta.</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Quinta</w:t>
      </w:r>
    </w:p>
    <w:p>
      <w:pPr>
        <w:spacing w:after="120" w:line="276"/>
        <w:jc w:val="both"/>
      </w:pPr>
      <w:r>
        <w:rPr>
          <w:rFonts w:ascii="Barlow Semi Condensed" w:cs="Barlow Semi Condensed" w:eastAsia="Barlow Semi Condensed" w:hAnsi="Barlow Semi Condensed"/>
          <w:b/>
          <w:bCs/>
          <w:sz w:val="24"/>
          <w:szCs w:val="24"/>
        </w:rPr>
        <w:t xml:space="preserve">Non risulta acquisita la documentazione che stabilisca quali modalità di controllo fossero prescritte e quali impiegate nella via poi risultata sede di una base.</w:t>
      </w:r>
    </w:p>
    <w:p>
      <w:pPr>
        <w:spacing w:after="120" w:line="276"/>
        <w:jc w:val="both"/>
      </w:pPr>
      <w:r>
        <w:rPr>
          <w:rFonts w:ascii="Barlow Semi Condensed" w:cs="Barlow Semi Condensed" w:eastAsia="Barlow Semi Condensed" w:hAnsi="Barlow Semi Condensed"/>
          <w:b/>
          <w:bCs/>
          <w:sz w:val="24"/>
          <w:szCs w:val="24"/>
        </w:rPr>
        <w:t xml:space="preserve">Non risultano acquisiti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b/>
          <w:bCs/>
          <w:sz w:val="24"/>
          <w:szCs w:val="24"/>
        </w:rPr>
        <w:t xml:space="preserve">Non risulta acquisita la documentazione analitica della ricerca dei cinquantacinque giorni, necessaria a colmare il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Non risulta condotta alcuna comparazione con operazioni analoghe dei medesimi uffici nel medesimo periodo, senza la quale l'argomento dell'accumulo resta privo delle proprie condizioni di validità.</w:t>
      </w:r>
    </w:p>
    <w:p>
      <w:pPr>
        <w:spacing w:after="120" w:line="276"/>
        <w:jc w:val="both"/>
      </w:pPr>
      <w:r>
        <w:rPr>
          <w:rFonts w:ascii="Barlow Semi Condensed" w:cs="Barlow Semi Condensed" w:eastAsia="Barlow Semi Condensed" w:hAnsi="Barlow Semi Condensed"/>
          <w:b/>
          <w:bCs/>
          <w:sz w:val="24"/>
          <w:szCs w:val="24"/>
        </w:rPr>
        <w:t xml:space="preserve">Non sono accertati l'autore né la finalità della produzione di falso quanto alla finalità; l'autore è stato successivamente identificato in sede processuale, ma il mandante e lo scopo restano ignoti.</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Sesta</w:t>
      </w:r>
    </w:p>
    <w:p>
      <w:pPr>
        <w:spacing w:after="120" w:line="276"/>
        <w:jc w:val="both"/>
      </w:pPr>
      <w:r>
        <w:rPr>
          <w:rFonts w:ascii="Barlow Semi Condensed" w:cs="Barlow Semi Condensed" w:eastAsia="Barlow Semi Condensed" w:hAnsi="Barlow Semi Condensed"/>
          <w:b/>
          <w:bCs/>
          <w:sz w:val="24"/>
          <w:szCs w:val="24"/>
        </w:rPr>
        <w:t xml:space="preserve">Non risulta acquisito alcun atto che documenti una volontà esterna determinata quanto all'operazione, né una via di trasmissione, né la sua efficacia. Il terzo livello di responsabilità resta vuoto per difetto di prova su tutte e tre le proposizioni che lo comporrebbero.</w:t>
      </w:r>
    </w:p>
    <w:p>
      <w:pPr>
        <w:spacing w:after="120" w:line="276"/>
        <w:jc w:val="both"/>
      </w:pPr>
      <w:r>
        <w:rPr>
          <w:rFonts w:ascii="Barlow Semi Condensed" w:cs="Barlow Semi Condensed" w:eastAsia="Barlow Semi Condensed" w:hAnsi="Barlow Semi Condensed"/>
          <w:b/>
          <w:bCs/>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b/>
          <w:bCs/>
          <w:sz w:val="24"/>
          <w:szCs w:val="24"/>
        </w:rPr>
        <w:t xml:space="preserve">Non è accertata, e non risulta esclusa, la presenza di soggetti ulteriori non identificati sul luogo dell'agguato.</w:t>
      </w:r>
    </w:p>
    <w:p>
      <w:pPr>
        <w:spacing w:after="120" w:line="276"/>
        <w:jc w:val="both"/>
      </w:pPr>
      <w:r>
        <w:rPr>
          <w:rFonts w:ascii="Barlow Semi Condensed" w:cs="Barlow Semi Condensed" w:eastAsia="Barlow Semi Condensed" w:hAnsi="Barlow Semi Condensed"/>
          <w:b/>
          <w:bCs/>
          <w:sz w:val="24"/>
          <w:szCs w:val="24"/>
        </w:rPr>
        <w:t xml:space="preserve">Non risulta condotta la verifica genealogica analitica delle fonti,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La figura che ne risulta</w:t>
      </w:r>
    </w:p>
    <w:p>
      <w:pPr>
        <w:spacing w:after="120" w:line="276"/>
        <w:jc w:val="both"/>
      </w:pPr>
      <w:r>
        <w:rPr>
          <w:rFonts w:ascii="Barlow Semi Condensed" w:cs="Barlow Semi Condensed" w:eastAsia="Barlow Semi Condensed" w:hAnsi="Barlow Semi Condensed"/>
          <w:b/>
          <w:bCs/>
          <w:sz w:val="24"/>
          <w:szCs w:val="24"/>
        </w:rPr>
        <w:t xml:space="preserve">Il censimento restituisce venti esiti negativi, dei quali uno solo è escludente e diciannove sono lacune.</w:t>
      </w:r>
    </w:p>
    <w:p>
      <w:pPr>
        <w:spacing w:after="120" w:line="276"/>
        <w:jc w:val="both"/>
      </w:pPr>
      <w:r>
        <w:rPr>
          <w:rFonts w:ascii="Barlow Semi Condensed" w:cs="Barlow Semi Condensed" w:eastAsia="Barlow Semi Condensed" w:hAnsi="Barlow Semi Condensed"/>
          <w:b/>
          <w:bCs/>
          <w:sz w:val="24"/>
          <w:szCs w:val="24"/>
        </w:rPr>
        <w:t xml:space="preserve">E la loro distribuzione dice una cosa che nessuno di essi diceva da solo: le lacune non sono distribuite a caso. Esse si concentrano sulla documentazione dell'azione degli apparati — modalità dei controlli, valutazione delle segnalazioni, conduzione delle ricerche, verbali delle perquisizioni — e non sulla documentazione dell'azione dell'organizzazione, che è invece abbondante.</w:t>
      </w:r>
    </w:p>
    <w:p>
      <w:pPr>
        <w:spacing w:after="120" w:line="276"/>
        <w:jc w:val="both"/>
      </w:pPr>
      <w:r>
        <w:rPr>
          <w:rFonts w:ascii="Barlow Semi Condensed" w:cs="Barlow Semi Condensed" w:eastAsia="Barlow Semi Condensed" w:hAnsi="Barlow Semi Condensed"/>
          <w:b/>
          <w:bCs/>
          <w:sz w:val="24"/>
          <w:szCs w:val="24"/>
        </w:rPr>
        <w:t xml:space="preserve">Questa constatazione non prova nulla e non è formulata come prova. Essa è registrata per quello che è: una proprietà misurabile della distribuzione delle lacune, che tre spiegazioni possono rendere conto — la naturale minore accessibilità degli archivi di sicurezza, l'orientamento della ricerca dell'opera, oppure una selezione operata a monte. Nessuna delle tre è accertata.</w:t>
      </w:r>
    </w:p>
    <w:p>
      <w:pPr>
        <w:pStyle w:val="Heading2"/>
        <w:spacing w:after="100" w:before="200"/>
      </w:pPr>
      <w:r>
        <w:rPr>
          <w:rFonts w:ascii="Barlow Semi Condensed" w:cs="Barlow Semi Condensed" w:eastAsia="Barlow Semi Condensed" w:hAnsi="Barlow Semi Condensed"/>
          <w:sz w:val="24"/>
          <w:szCs w:val="24"/>
        </w:rPr>
        <w:t xml:space="preserve">Capitolo sessantaseiesimo — La mappa delle lacune come fonte</w:t>
      </w:r>
    </w:p>
    <w:p>
      <w:pPr>
        <w:spacing w:after="120" w:line="276"/>
        <w:jc w:val="both"/>
      </w:pPr>
      <w:r>
        <w:rPr>
          <w:rFonts w:ascii="Barlow Semi Condensed" w:cs="Barlow Semi Condensed" w:eastAsia="Barlow Semi Condensed" w:hAnsi="Barlow Semi Condensed"/>
          <w:b/>
          <w:bCs/>
          <w:sz w:val="24"/>
          <w:szCs w:val="24"/>
        </w:rPr>
        <w:t xml:space="preserve">Si trae qui la conseguenza del censimento precedente, con la cautela che essa richiede.</w:t>
      </w:r>
    </w:p>
    <w:p>
      <w:pPr>
        <w:pStyle w:val="Heading2"/>
        <w:spacing w:after="100" w:before="200"/>
      </w:pPr>
      <w:r>
        <w:rPr>
          <w:rFonts w:ascii="Barlow Semi Condensed" w:cs="Barlow Semi Condensed" w:eastAsia="Barlow Semi Condensed" w:hAnsi="Barlow Semi Condensed"/>
          <w:sz w:val="24"/>
          <w:szCs w:val="24"/>
        </w:rPr>
        <w:t xml:space="preserve">L'argomento nella sua forma forte, e perché non regge</w:t>
      </w:r>
    </w:p>
    <w:p>
      <w:pPr>
        <w:spacing w:after="120" w:line="276"/>
        <w:jc w:val="both"/>
      </w:pPr>
      <w:r>
        <w:rPr>
          <w:rFonts w:ascii="Barlow Semi Condensed" w:cs="Barlow Semi Condensed" w:eastAsia="Barlow Semi Condensed" w:hAnsi="Barlow Semi Condensed"/>
          <w:b/>
          <w:bCs/>
          <w:sz w:val="24"/>
          <w:szCs w:val="24"/>
        </w:rPr>
        <w:t xml:space="preserve">L'argomento si presenta da sé, ed è questo: in un caso nel quale è accertato che furono prodotti falsi e che una perquisizione fu incompleta, la distribuzione delle lacune non può essere casuale; e poiché essa si concentra sulla documentazione degli apparati, gli apparati hanno prodotto quelle lacune.</w:t>
      </w:r>
    </w:p>
    <w:p>
      <w:pPr>
        <w:spacing w:after="120" w:line="276"/>
        <w:jc w:val="both"/>
      </w:pPr>
      <w:r>
        <w:rPr>
          <w:rFonts w:ascii="Barlow Semi Condensed" w:cs="Barlow Semi Condensed" w:eastAsia="Barlow Semi Condensed" w:hAnsi="Barlow Semi Condensed"/>
          <w:b/>
          <w:bCs/>
          <w:sz w:val="24"/>
          <w:szCs w:val="24"/>
        </w:rPr>
        <w:t xml:space="preserve">L'argomento non regge, e conviene dire con precisione dove si rompe.</w:t>
      </w:r>
    </w:p>
    <w:p>
      <w:pPr>
        <w:spacing w:after="120" w:line="276"/>
        <w:jc w:val="both"/>
      </w:pPr>
      <w:r>
        <w:rPr>
          <w:rFonts w:ascii="Barlow Semi Condensed" w:cs="Barlow Semi Condensed" w:eastAsia="Barlow Semi Condensed" w:hAnsi="Barlow Semi Condensed"/>
          <w:b/>
          <w:bCs/>
          <w:sz w:val="24"/>
          <w:szCs w:val="24"/>
        </w:rPr>
        <w:t xml:space="preserve">Esso presuppone un termine di riferimento che non esiste: quale distribuzione delle lacune sarebbe normale in una ricerca su fatti di questa natura. Senza quel termine, la constatazione che le lacune si concentrano da una parte non è una misura di anomalia: è una descrizione della distribuzione osservata.</w:t>
      </w:r>
    </w:p>
    <w:p>
      <w:pPr>
        <w:spacing w:after="120" w:line="276"/>
        <w:jc w:val="both"/>
      </w:pPr>
      <w:r>
        <w:rPr>
          <w:rFonts w:ascii="Barlow Semi Condensed" w:cs="Barlow Semi Condensed" w:eastAsia="Barlow Semi Condensed" w:hAnsi="Barlow Semi Condensed"/>
          <w:b/>
          <w:bCs/>
          <w:sz w:val="24"/>
          <w:szCs w:val="24"/>
        </w:rPr>
        <w:t xml:space="preserve">Esso presuppone inoltre l'indipendenza fra le lacune, che non è accertata. Se un solo archivio non accessibile contiene molti dei documenti mancanti, venti lacune non sono venti eventi: sono uno con diciannove ripercussioni.</w:t>
      </w:r>
    </w:p>
    <w:p>
      <w:pPr>
        <w:spacing w:after="120" w:line="276"/>
        <w:jc w:val="both"/>
      </w:pPr>
      <w:r>
        <w:rPr>
          <w:rFonts w:ascii="Barlow Semi Condensed" w:cs="Barlow Semi Condensed" w:eastAsia="Barlow Semi Condensed" w:hAnsi="Barlow Semi Condensed"/>
          <w:b/>
          <w:bCs/>
          <w:sz w:val="24"/>
          <w:szCs w:val="24"/>
        </w:rPr>
        <w:t xml:space="preserve">Esso è infine esposto alla selezione a posteriori descritta al Capitolo quarantasettesimo: chi cerchi le lacune dopo aver formulato l'ipotesi trova quelle che la sostengono, perché è quelle che riconosce come pertinenti.</w:t>
      </w:r>
    </w:p>
    <w:p>
      <w:pPr>
        <w:pStyle w:val="Heading2"/>
        <w:spacing w:after="100" w:before="200"/>
      </w:pPr>
      <w:r>
        <w:rPr>
          <w:rFonts w:ascii="Barlow Semi Condensed" w:cs="Barlow Semi Condensed" w:eastAsia="Barlow Semi Condensed" w:hAnsi="Barlow Semi Condensed"/>
          <w:sz w:val="24"/>
          <w:szCs w:val="24"/>
        </w:rPr>
        <w:t xml:space="preserve">L'argomento nella sua forma debole, che invece regge</w:t>
      </w:r>
    </w:p>
    <w:p>
      <w:pPr>
        <w:spacing w:after="120" w:line="276"/>
        <w:jc w:val="both"/>
      </w:pPr>
      <w:r>
        <w:rPr>
          <w:rFonts w:ascii="Barlow Semi Condensed" w:cs="Barlow Semi Condensed" w:eastAsia="Barlow Semi Condensed" w:hAnsi="Barlow Semi Condensed"/>
          <w:b/>
          <w:bCs/>
          <w:sz w:val="24"/>
          <w:szCs w:val="24"/>
        </w:rPr>
        <w:t xml:space="preserve">Ciò che regge è assai più modesto e assai più solido.</w:t>
      </w:r>
    </w:p>
    <w:p>
      <w:pPr>
        <w:spacing w:after="120" w:line="276"/>
        <w:jc w:val="both"/>
      </w:pPr>
      <w:r>
        <w:rPr>
          <w:rFonts w:ascii="Barlow Semi Condensed" w:cs="Barlow Semi Condensed" w:eastAsia="Barlow Semi Condensed" w:hAnsi="Barlow Semi Condensed"/>
          <w:b/>
          <w:bCs/>
          <w:sz w:val="24"/>
          <w:szCs w:val="24"/>
        </w:rPr>
        <w:t xml:space="preserve">La mappa delle lacune è verificabile. Ciascuna delle venti voci indica un documento determinato, una sede determinata, una procedura determinata. Chiunque può controllare se quel documento esista e se sia accessibile.</w:t>
      </w:r>
    </w:p>
    <w:p>
      <w:pPr>
        <w:spacing w:after="120" w:line="276"/>
        <w:jc w:val="both"/>
      </w:pPr>
      <w:r>
        <w:rPr>
          <w:rFonts w:ascii="Barlow Semi Condensed" w:cs="Barlow Semi Condensed" w:eastAsia="Barlow Semi Condensed" w:hAnsi="Barlow Semi Condensed"/>
          <w:b/>
          <w:bCs/>
          <w:sz w:val="24"/>
          <w:szCs w:val="24"/>
        </w:rPr>
        <w:t xml:space="preserve">Le spiegazioni della loro distribuzione non sono verificabili allo stato, e ne esistono tre concorrenti.</w:t>
      </w:r>
    </w:p>
    <w:p>
      <w:pPr>
        <w:spacing w:after="120" w:line="276"/>
        <w:jc w:val="both"/>
      </w:pPr>
      <w:r>
        <w:rPr>
          <w:rFonts w:ascii="Barlow Semi Condensed" w:cs="Barlow Semi Condensed" w:eastAsia="Barlow Semi Condensed" w:hAnsi="Barlow Semi Condensed"/>
          <w:b/>
          <w:bCs/>
          <w:sz w:val="24"/>
          <w:szCs w:val="24"/>
        </w:rPr>
        <w:t xml:space="preserve">Ne discende la regola d'uso: la mappa vale più delle spiegazioni della mappa. Essa è uno strumento di lavoro per chi voglia proseguire, e non è un argomento a sostegno di alcuna tesi.</w:t>
      </w:r>
    </w:p>
    <w:p>
      <w:pPr>
        <w:pStyle w:val="Heading2"/>
        <w:spacing w:after="100" w:before="200"/>
      </w:pPr>
      <w:r>
        <w:rPr>
          <w:rFonts w:ascii="Barlow Semi Condensed" w:cs="Barlow Semi Condensed" w:eastAsia="Barlow Semi Condensed" w:hAnsi="Barlow Semi Condensed"/>
          <w:sz w:val="24"/>
          <w:szCs w:val="24"/>
        </w:rPr>
        <w:t xml:space="preserve">Perché questo è il modo corretto di trattare un'assenza</w:t>
      </w:r>
    </w:p>
    <w:p>
      <w:pPr>
        <w:spacing w:after="120" w:line="276"/>
        <w:jc w:val="both"/>
      </w:pPr>
      <w:r>
        <w:rPr>
          <w:rFonts w:ascii="Barlow Semi Condensed" w:cs="Barlow Semi Condensed" w:eastAsia="Barlow Semi Condensed" w:hAnsi="Barlow Semi Condensed"/>
          <w:b/>
          <w:bCs/>
          <w:sz w:val="24"/>
          <w:szCs w:val="24"/>
        </w:rPr>
        <w:t xml:space="preserve">In un campo dove le prove sono state manipolate, l'assenza è la tentazione principale, perché non può essere confutata: chi affermi che un documento manca perché fu distrutto propone una tesi che nessun documento può smentire, essendo appunto il documento a mancare.</w:t>
      </w:r>
    </w:p>
    <w:p>
      <w:pPr>
        <w:spacing w:after="120" w:line="276"/>
        <w:jc w:val="both"/>
      </w:pPr>
      <w:r>
        <w:rPr>
          <w:rFonts w:ascii="Barlow Semi Condensed" w:cs="Barlow Semi Condensed" w:eastAsia="Barlow Semi Condensed" w:hAnsi="Barlow Semi Condensed"/>
          <w:b/>
          <w:bCs/>
          <w:sz w:val="24"/>
          <w:szCs w:val="24"/>
        </w:rPr>
        <w:t xml:space="preserve">La sola disciplina possibile è quella qui adottata: registrare l'assenza con la precisione con cui si registrerebbe una presenza, elencare le spiegazioni concorrenti senza sceglierne alcuna, e indicare che cosa discriminerebbe fra esse.</w:t>
      </w:r>
    </w:p>
    <w:p>
      <w:pPr>
        <w:spacing w:after="120" w:line="276"/>
        <w:jc w:val="both"/>
      </w:pPr>
      <w:r>
        <w:rPr>
          <w:rFonts w:ascii="Barlow Semi Condensed" w:cs="Barlow Semi Condensed" w:eastAsia="Barlow Semi Condensed" w:hAnsi="Barlow Semi Condensed"/>
          <w:b/>
          <w:bCs/>
          <w:sz w:val="24"/>
          <w:szCs w:val="24"/>
        </w:rPr>
        <w:t xml:space="preserve">Ciò trasforma l'assenza da argomento in compito. È meno appagante e produce più lavoro; ed è l'unica cosa che, dopo, qualcun altro possa verificare.</w:t>
      </w:r>
    </w:p>
    <w:p>
      <w:pPr>
        <w:pStyle w:val="Heading2"/>
        <w:spacing w:after="100" w:before="200"/>
      </w:pPr>
      <w:r>
        <w:rPr>
          <w:rFonts w:ascii="Barlow Semi Condensed" w:cs="Barlow Semi Condensed" w:eastAsia="Barlow Semi Condensed" w:hAnsi="Barlow Semi Condensed"/>
          <w:sz w:val="24"/>
          <w:szCs w:val="24"/>
        </w:rPr>
        <w:t xml:space="preserve">Capitolo sessantasettesimo — Ciò che l'opera ha stabilito</w:t>
      </w:r>
    </w:p>
    <w:p>
      <w:pPr>
        <w:spacing w:after="120" w:line="276"/>
        <w:jc w:val="both"/>
      </w:pPr>
      <w:r>
        <w:rPr>
          <w:rFonts w:ascii="Barlow Semi Condensed" w:cs="Barlow Semi Condensed" w:eastAsia="Barlow Semi Condensed" w:hAnsi="Barlow Semi Condensed"/>
          <w:b/>
          <w:bCs/>
          <w:sz w:val="24"/>
          <w:szCs w:val="24"/>
        </w:rPr>
        <w:t xml:space="preserve">Si raccolgono qui le acquisizioni positive, ordinate per solidità decrescente. L'ordine non è cronologico ed è esso stesso un giudizio, dichiarato come tale.</w:t>
      </w:r>
    </w:p>
    <w:p>
      <w:pPr>
        <w:pStyle w:val="Heading2"/>
        <w:spacing w:after="100" w:before="200"/>
      </w:pPr>
      <w:r>
        <w:rPr>
          <w:rFonts w:ascii="Barlow Semi Condensed" w:cs="Barlow Semi Condensed" w:eastAsia="Barlow Semi Condensed" w:hAnsi="Barlow Semi Condensed"/>
          <w:sz w:val="24"/>
          <w:szCs w:val="24"/>
        </w:rPr>
        <w:t xml:space="preserve">Prima acquisizione. L'esistenza di un terzo soggetto</w:t>
      </w:r>
    </w:p>
    <w:p>
      <w:pPr>
        <w:spacing w:after="120" w:line="276"/>
        <w:jc w:val="both"/>
      </w:pPr>
      <w:r>
        <w:rPr>
          <w:rFonts w:ascii="Barlow Semi Condensed" w:cs="Barlow Semi Condensed" w:eastAsia="Barlow Semi Condensed" w:hAnsi="Barlow Semi Condensed"/>
          <w:b/>
          <w:bCs/>
          <w:sz w:val="24"/>
          <w:szCs w:val="24"/>
        </w:rPr>
        <w:t xml:space="preserve">È accertato che durante i cinquantacinque giorni un soggetto distinto dall'organizzazione e dalle istituzioni compì un atto deliberato di interferenza nelle indagini, immettendo nel circuito informativo un documento apocrifo.</w:t>
      </w:r>
    </w:p>
    <w:p>
      <w:pPr>
        <w:spacing w:after="120" w:line="276"/>
        <w:jc w:val="both"/>
      </w:pPr>
      <w:r>
        <w:rPr>
          <w:rFonts w:ascii="Barlow Semi Condensed" w:cs="Barlow Semi Condensed" w:eastAsia="Barlow Semi Condensed" w:hAnsi="Barlow Semi Condensed"/>
          <w:b/>
          <w:bCs/>
          <w:sz w:val="24"/>
          <w:szCs w:val="24"/>
        </w:rPr>
        <w:t xml:space="preserve">L'accertamento è di natura logica prima che documentale: un comunicato apocrifo non si forma per errore, e richiede che qualcuno lo confezioni in modo credibile e lo immetta dove sarà raccolto come autentico.</w:t>
      </w:r>
    </w:p>
    <w:p>
      <w:pPr>
        <w:spacing w:after="120" w:line="276"/>
        <w:jc w:val="both"/>
      </w:pPr>
      <w:r>
        <w:rPr>
          <w:rFonts w:ascii="Barlow Semi Condensed" w:cs="Barlow Semi Condensed" w:eastAsia="Barlow Semi Condensed" w:hAnsi="Barlow Semi Condensed"/>
          <w:b/>
          <w:bCs/>
          <w:sz w:val="24"/>
          <w:szCs w:val="24"/>
        </w:rPr>
        <w:t xml:space="preserve">Ne discende che la ricostruzione della vicenda a due soggetti è incompleta per accertamento e non per congettura. L'identità dell'autore è stata successivamente stabilita in sede processuale; il mandante e la finalità restano ignoti.</w:t>
      </w:r>
    </w:p>
    <w:p>
      <w:pPr>
        <w:spacing w:after="120" w:line="276"/>
        <w:jc w:val="both"/>
      </w:pPr>
      <w:r>
        <w:rPr>
          <w:rFonts w:ascii="Barlow Semi Condensed" w:cs="Barlow Semi Condensed" w:eastAsia="Barlow Semi Condensed" w:hAnsi="Barlow Semi Condensed"/>
          <w:b/>
          <w:bCs/>
          <w:sz w:val="24"/>
          <w:szCs w:val="24"/>
        </w:rPr>
        <w:t xml:space="preserve">È la più solida delle acquisizioni perché non dipende da alcuna ipotesi.</w:t>
      </w:r>
    </w:p>
    <w:p>
      <w:pPr>
        <w:pStyle w:val="Heading2"/>
        <w:spacing w:after="100" w:before="200"/>
      </w:pPr>
      <w:r>
        <w:rPr>
          <w:rFonts w:ascii="Barlow Semi Condensed" w:cs="Barlow Semi Condensed" w:eastAsia="Barlow Semi Condensed" w:hAnsi="Barlow Semi Condensed"/>
          <w:sz w:val="24"/>
          <w:szCs w:val="24"/>
        </w:rPr>
        <w:t xml:space="preserve">Seconda acquisizione. L'inverificabilità permanente prodotta da una irregolarità</w:t>
      </w:r>
    </w:p>
    <w:p>
      <w:pPr>
        <w:spacing w:after="120" w:line="276"/>
        <w:jc w:val="both"/>
      </w:pPr>
      <w:r>
        <w:rPr>
          <w:rFonts w:ascii="Barlow Semi Condensed" w:cs="Barlow Semi Condensed" w:eastAsia="Barlow Semi Condensed" w:hAnsi="Barlow Semi Condensed"/>
          <w:b/>
          <w:bCs/>
          <w:sz w:val="24"/>
          <w:szCs w:val="24"/>
        </w:rPr>
        <w:t xml:space="preserve">È accertato che il fascicolo degli scritti fu asportato dal luogo della perquisizione prima che i fogli fossero numerati, che ciò avvenne nonostante l'opposizione dell'ufficiale responsabile del luogo, e che l'accertamento è stato compiuto in sede giudiziaria oltre che ammesso in sede parlamentare da chi lo compì.</w:t>
      </w:r>
    </w:p>
    <w:p>
      <w:pPr>
        <w:spacing w:after="120" w:line="276"/>
        <w:jc w:val="both"/>
      </w:pPr>
      <w:r>
        <w:rPr>
          <w:rFonts w:ascii="Barlow Semi Condensed" w:cs="Barlow Semi Condensed" w:eastAsia="Barlow Semi Condensed" w:hAnsi="Barlow Semi Condensed"/>
          <w:b/>
          <w:bCs/>
          <w:sz w:val="24"/>
          <w:szCs w:val="24"/>
        </w:rPr>
        <w:t xml:space="preserve">La conseguenza va enunciata con esattezza: essa non prova che qualcosa fu sottratto e non prova che nulla lo fu. Essa ha prodotto una condizione nella quale la questione non è più decidibile, poiché l'unico modo di stabilirlo era contare i fogli prima, e l'irregolarità consistette nel non contarli.</w:t>
      </w:r>
    </w:p>
    <w:p>
      <w:pPr>
        <w:spacing w:after="120" w:line="276"/>
        <w:jc w:val="both"/>
      </w:pPr>
      <w:r>
        <w:rPr>
          <w:rFonts w:ascii="Barlow Semi Condensed" w:cs="Barlow Semi Condensed" w:eastAsia="Barlow Semi Condensed" w:hAnsi="Barlow Semi Condensed"/>
          <w:b/>
          <w:bCs/>
          <w:sz w:val="24"/>
          <w:szCs w:val="24"/>
        </w:rPr>
        <w:t xml:space="preserve">Questa acquisizione non richiede di attribuire ad alcuno una intenzione, e vale identica quale che essa fosse.</w:t>
      </w:r>
    </w:p>
    <w:p>
      <w:pPr>
        <w:pStyle w:val="Heading2"/>
        <w:spacing w:after="100" w:before="200"/>
      </w:pPr>
      <w:r>
        <w:rPr>
          <w:rFonts w:ascii="Barlow Semi Condensed" w:cs="Barlow Semi Condensed" w:eastAsia="Barlow Semi Condensed" w:hAnsi="Barlow Semi Condensed"/>
          <w:sz w:val="24"/>
          <w:szCs w:val="24"/>
        </w:rPr>
        <w:t xml:space="preserve">Terza acquisizione. L'incompletezza accertata di una perquisizione</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dell'ottobre 1978 non fu esaustivo, essendo stato effettuato nel medesimo immobile, dodici anni dopo, un secondo rinvenimento.</w:t>
      </w:r>
    </w:p>
    <w:p>
      <w:pPr>
        <w:spacing w:after="120" w:line="276"/>
        <w:jc w:val="both"/>
      </w:pPr>
      <w:r>
        <w:rPr>
          <w:rFonts w:ascii="Barlow Semi Condensed" w:cs="Barlow Semi Condensed" w:eastAsia="Barlow Semi Condensed" w:hAnsi="Barlow Semi Condensed"/>
          <w:b/>
          <w:bCs/>
          <w:sz w:val="24"/>
          <w:szCs w:val="24"/>
        </w:rPr>
        <w:t xml:space="preserve">La causa non è accertata e tre spiegazioni restano aperte. Il rilievo tecnico successivo ha però escluso che il vano fosse stato aperto in precedenza, sicché l'ipotesi della sottrazione non regge e resta quella della ricerca che non trovò.</w:t>
      </w:r>
    </w:p>
    <w:p>
      <w:pPr>
        <w:spacing w:after="120" w:line="276"/>
        <w:jc w:val="both"/>
      </w:pPr>
      <w:r>
        <w:rPr>
          <w:rFonts w:ascii="Barlow Semi Condensed" w:cs="Barlow Semi Condensed" w:eastAsia="Barlow Semi Condensed" w:hAnsi="Barlow Semi Condensed"/>
          <w:b/>
          <w:bCs/>
          <w:sz w:val="24"/>
          <w:szCs w:val="24"/>
        </w:rPr>
        <w:t xml:space="preserve">Ne discende, in via permanente, che la completezza del corpus documentale disponibile non può essere presunta.</w:t>
      </w:r>
    </w:p>
    <w:p>
      <w:pPr>
        <w:pStyle w:val="Heading2"/>
        <w:spacing w:after="100" w:before="200"/>
      </w:pPr>
      <w:r>
        <w:rPr>
          <w:rFonts w:ascii="Barlow Semi Condensed" w:cs="Barlow Semi Condensed" w:eastAsia="Barlow Semi Condensed" w:hAnsi="Barlow Semi Condensed"/>
          <w:sz w:val="24"/>
          <w:szCs w:val="24"/>
        </w:rPr>
        <w:t xml:space="preserve">Quarta acquisizione. La ripartizione della ricostruzione fra rilievo e dichiarazione</w:t>
      </w:r>
    </w:p>
    <w:p>
      <w:pPr>
        <w:spacing w:after="120" w:line="276"/>
        <w:jc w:val="both"/>
      </w:pPr>
      <w:r>
        <w:rPr>
          <w:rFonts w:ascii="Barlow Semi Condensed" w:cs="Barlow Semi Condensed" w:eastAsia="Barlow Semi Condensed" w:hAnsi="Barlow Semi Condensed"/>
          <w:b/>
          <w:bCs/>
          <w:sz w:val="24"/>
          <w:szCs w:val="24"/>
        </w:rPr>
        <w:t xml:space="preserve">È accertato che la ricostruzione del fatto si ripartisce in due parti di solidità diversa. Poggiano su rilievo materiale, e sono stabili: il luogo e la dinamica dell'agguato, i decessi e le loro cause, la natura delle basi, il rinvenimento e la causa della morte. Poggiano in misura preponderante su dichiarazione, e sono revisionabili: il numero dei partecipanti, il percorso del trasferimento, l'attribuzione individuale dei colpi e dell'esecuzione.</w:t>
      </w:r>
    </w:p>
    <w:p>
      <w:pPr>
        <w:spacing w:after="120" w:line="276"/>
        <w:jc w:val="both"/>
      </w:pPr>
      <w:r>
        <w:rPr>
          <w:rFonts w:ascii="Barlow Semi Condensed" w:cs="Barlow Semi Condensed" w:eastAsia="Barlow Semi Condensed" w:hAnsi="Barlow Semi Condensed"/>
          <w:b/>
          <w:bCs/>
          <w:sz w:val="24"/>
          <w:szCs w:val="24"/>
        </w:rPr>
        <w:t xml:space="preserve">Si sa come avvenne meglio di quanto si sappia per mano di chi.</w:t>
      </w:r>
    </w:p>
    <w:p>
      <w:pPr>
        <w:pStyle w:val="Heading2"/>
        <w:spacing w:after="100" w:before="200"/>
      </w:pPr>
      <w:r>
        <w:rPr>
          <w:rFonts w:ascii="Barlow Semi Condensed" w:cs="Barlow Semi Condensed" w:eastAsia="Barlow Semi Condensed" w:hAnsi="Barlow Semi Condensed"/>
          <w:sz w:val="24"/>
          <w:szCs w:val="24"/>
        </w:rPr>
        <w:t xml:space="preserve">Quinta acquisizione. La coincidenza della data</w:t>
      </w:r>
    </w:p>
    <w:p>
      <w:pPr>
        <w:spacing w:after="120" w:line="276"/>
        <w:jc w:val="both"/>
      </w:pPr>
      <w:r>
        <w:rPr>
          <w:rFonts w:ascii="Barlow Semi Condensed" w:cs="Barlow Semi Condensed" w:eastAsia="Barlow Semi Condensed" w:hAnsi="Barlow Semi Condensed"/>
          <w:b/>
          <w:bCs/>
          <w:sz w:val="24"/>
          <w:szCs w:val="24"/>
        </w:rPr>
        <w:t xml:space="preserve">È accertato che il giorno dell'azione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Che la coincidenza sia stata cercata è proposizione altamente verosimile e comunemente accolta; essa non è accertata, e la distinzione è mantenuta.</w:t>
      </w:r>
    </w:p>
    <w:p>
      <w:pPr>
        <w:pStyle w:val="Heading2"/>
        <w:spacing w:after="100" w:before="200"/>
      </w:pPr>
      <w:r>
        <w:rPr>
          <w:rFonts w:ascii="Barlow Semi Condensed" w:cs="Barlow Semi Condensed" w:eastAsia="Barlow Semi Condensed" w:hAnsi="Barlow Semi Condensed"/>
          <w:sz w:val="24"/>
          <w:szCs w:val="24"/>
        </w:rPr>
        <w:t xml:space="preserve">Sesta acquisizione. I due livelli di responsabilità accertati</w:t>
      </w:r>
    </w:p>
    <w:p>
      <w:pPr>
        <w:spacing w:after="120" w:line="276"/>
        <w:jc w:val="both"/>
      </w:pPr>
      <w:r>
        <w:rPr>
          <w:rFonts w:ascii="Barlow Semi Condensed" w:cs="Barlow Semi Condensed" w:eastAsia="Barlow Semi Condensed" w:hAnsi="Barlow Semi Condensed"/>
          <w:b/>
          <w:bCs/>
          <w:sz w:val="24"/>
          <w:szCs w:val="24"/>
        </w:rPr>
        <w:t xml:space="preserve">È accertato il primo livello nella sua struttura e, per sentenza definitiva, nelle responsabilità individuali dichiarate. È accertato il secondo livello nella sua esistenza e nella sua funzione: un organismo direttivo deliberò l'operazione, ne diresse la conduzione e assunse le decisioni relative alla gestione del periodo.</w:t>
      </w:r>
    </w:p>
    <w:p>
      <w:pPr>
        <w:spacing w:after="120" w:line="276"/>
        <w:jc w:val="both"/>
      </w:pPr>
      <w:r>
        <w:rPr>
          <w:rFonts w:ascii="Barlow Semi Condensed" w:cs="Barlow Semi Condensed" w:eastAsia="Barlow Semi Condensed" w:hAnsi="Barlow Semi Condensed"/>
          <w:b/>
          <w:bCs/>
          <w:sz w:val="24"/>
          <w:szCs w:val="24"/>
        </w:rPr>
        <w:t xml:space="preserve">Non risulta, dagli elementi disponibili, che tale organismo fosse insufficiente a concepire e dirigere l'operazione. La proposizione è negativa e va letta come tale.</w:t>
      </w:r>
    </w:p>
    <w:p>
      <w:pPr>
        <w:pStyle w:val="Heading2"/>
        <w:spacing w:after="100" w:before="200"/>
      </w:pPr>
      <w:r>
        <w:rPr>
          <w:rFonts w:ascii="Barlow Semi Condensed" w:cs="Barlow Semi Condensed" w:eastAsia="Barlow Semi Condensed" w:hAnsi="Barlow Semi Condensed"/>
          <w:sz w:val="24"/>
          <w:szCs w:val="24"/>
        </w:rPr>
        <w:t xml:space="preserve">Capitolo sessantottesimo — Ciò che l'opera non sostiene</w:t>
      </w:r>
    </w:p>
    <w:p>
      <w:pPr>
        <w:spacing w:after="120" w:line="276"/>
        <w:jc w:val="both"/>
      </w:pPr>
      <w:r>
        <w:rPr>
          <w:rFonts w:ascii="Barlow Semi Condensed" w:cs="Barlow Semi Condensed" w:eastAsia="Barlow Semi Condensed" w:hAnsi="Barlow Semi Condensed"/>
          <w:b/>
          <w:bCs/>
          <w:sz w:val="24"/>
          <w:szCs w:val="24"/>
        </w:rPr>
        <w:t xml:space="preserve">Si raccolgono qui le astensioni. Il Capitolo è quello che nessuna delle sei Fasi precedenti poteva contenere, e credo sia il più utile del volume: una ricerca è giudicabile dalle proprie astensioni non meno che dalle proprie affermazioni, e le astensioni, se non raccolte, restano invisibili.</w:t>
      </w:r>
    </w:p>
    <w:p>
      <w:pPr>
        <w:spacing w:after="120" w:line="276"/>
        <w:jc w:val="both"/>
      </w:pPr>
      <w:r>
        <w:rPr>
          <w:rFonts w:ascii="Barlow Semi Condensed" w:cs="Barlow Semi Condensed" w:eastAsia="Barlow Semi Condensed" w:hAnsi="Barlow Semi Condensed"/>
          <w:b/>
          <w:bCs/>
          <w:sz w:val="24"/>
          <w:szCs w:val="24"/>
        </w:rPr>
        <w:t xml:space="preserve">Ciascuna è motivata nella sede in cui fu presa, e nessuna è una negazione: sono constatazioni di ciò che gli atti non stabiliscono.</w:t>
      </w:r>
    </w:p>
    <w:p>
      <w:pPr>
        <w:pStyle w:val="Heading2"/>
        <w:spacing w:after="100" w:before="200"/>
      </w:pPr>
      <w:r>
        <w:rPr>
          <w:rFonts w:ascii="Barlow Semi Condensed" w:cs="Barlow Semi Condensed" w:eastAsia="Barlow Semi Condensed" w:hAnsi="Barlow Semi Condensed"/>
          <w:sz w:val="24"/>
          <w:szCs w:val="24"/>
        </w:rPr>
        <w:t xml:space="preserve">Sul movente</w:t>
      </w:r>
    </w:p>
    <w:p>
      <w:pPr>
        <w:spacing w:after="120" w:line="276"/>
        <w:jc w:val="both"/>
      </w:pPr>
      <w:r>
        <w:rPr>
          <w:rFonts w:ascii="Barlow Semi Condensed" w:cs="Barlow Semi Condensed" w:eastAsia="Barlow Semi Condensed" w:hAnsi="Barlow Semi Condensed"/>
          <w:b/>
          <w:bCs/>
          <w:sz w:val="24"/>
          <w:szCs w:val="24"/>
        </w:rPr>
        <w:t xml:space="preserve">L'opera non sostiene alcuna delle quattro famiglie di ipotesi sul movente. La matrice del Capitolo diciannovesimo ha stabilito che nessuna è esclusa dalle evidenze disponibili e che nessuna è provata.</w:t>
      </w:r>
    </w:p>
    <w:p>
      <w:pPr>
        <w:spacing w:after="120" w:line="276"/>
        <w:jc w:val="both"/>
      </w:pPr>
      <w:r>
        <w:rPr>
          <w:rFonts w:ascii="Barlow Semi Condensed" w:cs="Barlow Semi Condensed" w:eastAsia="Barlow Semi Condensed" w:hAnsi="Barlow Semi Condensed"/>
          <w:b/>
          <w:bCs/>
          <w:sz w:val="24"/>
          <w:szCs w:val="24"/>
        </w:rPr>
        <w:t xml:space="preserve">L'opera non sostiene che la domanda a chi giova selezioni un sospetto in questo caso. Essa ne seleziona due, per ragioni fra loro incompatibili, e pertanto non discrimina.</w:t>
      </w:r>
    </w:p>
    <w:p>
      <w:pPr>
        <w:pStyle w:val="Heading2"/>
        <w:spacing w:after="100" w:before="200"/>
      </w:pPr>
      <w:r>
        <w:rPr>
          <w:rFonts w:ascii="Barlow Semi Condensed" w:cs="Barlow Semi Condensed" w:eastAsia="Barlow Semi Condensed" w:hAnsi="Barlow Semi Condensed"/>
          <w:sz w:val="24"/>
          <w:szCs w:val="24"/>
        </w:rPr>
        <w:t xml:space="preserve">Sul terzo livello</w:t>
      </w:r>
    </w:p>
    <w:p>
      <w:pPr>
        <w:spacing w:after="120" w:line="276"/>
        <w:jc w:val="both"/>
      </w:pPr>
      <w:r>
        <w:rPr>
          <w:rFonts w:ascii="Barlow Semi Condensed" w:cs="Barlow Semi Condensed" w:eastAsia="Barlow Semi Condensed" w:hAnsi="Barlow Semi Condensed"/>
          <w:b/>
          <w:bCs/>
          <w:sz w:val="24"/>
          <w:szCs w:val="24"/>
        </w:rPr>
        <w:t xml:space="preserve">L'opera non sostiene che esista un mandante esterno all'organismo che deliberò. Non sostiene neppure che non esista.</w:t>
      </w:r>
    </w:p>
    <w:p>
      <w:pPr>
        <w:spacing w:after="120" w:line="276"/>
        <w:jc w:val="both"/>
      </w:pPr>
      <w:r>
        <w:rPr>
          <w:rFonts w:ascii="Barlow Semi Condensed" w:cs="Barlow Semi Condensed" w:eastAsia="Barlow Semi Condensed" w:hAnsi="Barlow Semi Condensed"/>
          <w:b/>
          <w:bCs/>
          <w:sz w:val="24"/>
          <w:szCs w:val="24"/>
        </w:rPr>
        <w:t xml:space="preserve">Non sostiene che l'ostilità politica documentata di più soggetti verso la politica del rapito costituisca movente. L'ostilità politica non è volontà determinata quanto a un atto.</w:t>
      </w:r>
    </w:p>
    <w:p>
      <w:pPr>
        <w:pStyle w:val="Heading2"/>
        <w:spacing w:after="100" w:before="200"/>
      </w:pPr>
      <w:r>
        <w:rPr>
          <w:rFonts w:ascii="Barlow Semi Condensed" w:cs="Barlow Semi Condensed" w:eastAsia="Barlow Semi Condensed" w:hAnsi="Barlow Semi Condensed"/>
          <w:sz w:val="24"/>
          <w:szCs w:val="24"/>
        </w:rPr>
        <w:t xml:space="preserve">Sulle omissioni</w:t>
      </w:r>
    </w:p>
    <w:p>
      <w:pPr>
        <w:spacing w:after="120" w:line="276"/>
        <w:jc w:val="both"/>
      </w:pPr>
      <w:r>
        <w:rPr>
          <w:rFonts w:ascii="Barlow Semi Condensed" w:cs="Barlow Semi Condensed" w:eastAsia="Barlow Semi Condensed" w:hAnsi="Barlow Semi Condensed"/>
          <w:b/>
          <w:bCs/>
          <w:sz w:val="24"/>
          <w:szCs w:val="24"/>
        </w:rPr>
        <w:t xml:space="preserve">L'opera non sostiene che alcuna delle omissioni esaminate fosse deliberata. Il test in tre tempi si è arrestato al secondo o al terzo per difetto di elementi in tutti i casi tranne uno, e in quell'uno l'inadempimento è accertato mentre la sua ragione non lo è.</w:t>
      </w:r>
    </w:p>
    <w:p>
      <w:pPr>
        <w:spacing w:after="120" w:line="276"/>
        <w:jc w:val="both"/>
      </w:pPr>
      <w:r>
        <w:rPr>
          <w:rFonts w:ascii="Barlow Semi Condensed" w:cs="Barlow Semi Condensed" w:eastAsia="Barlow Semi Condensed" w:hAnsi="Barlow Semi Condensed"/>
          <w:b/>
          <w:bCs/>
          <w:sz w:val="24"/>
          <w:szCs w:val="24"/>
        </w:rPr>
        <w:t xml:space="preserve">L'opera non sostiene che la ricerca dei cinquantacinque giorni fu simulata, né ostacolata, né soltanto inefficiente. L'esito nullo è compatibile con tutte e tre le spiegazioni e non discrimina fra esse.</w:t>
      </w:r>
    </w:p>
    <w:p>
      <w:pPr>
        <w:spacing w:after="120" w:line="276"/>
        <w:jc w:val="both"/>
      </w:pPr>
      <w:r>
        <w:rPr>
          <w:rFonts w:ascii="Barlow Semi Condensed" w:cs="Barlow Semi Condensed" w:eastAsia="Barlow Semi Condensed" w:hAnsi="Barlow Semi Condensed"/>
          <w:b/>
          <w:bCs/>
          <w:sz w:val="24"/>
          <w:szCs w:val="24"/>
        </w:rPr>
        <w:t xml:space="preserve">L'opera non impiega l'argomento dell'accumulo, mancandone le tre condizioni di validità. La disposizione la priva dell'argomento più efficace disponibile in questa materia, e il costo è dichiarato.</w:t>
      </w:r>
    </w:p>
    <w:p>
      <w:pPr>
        <w:pStyle w:val="Heading2"/>
        <w:spacing w:after="100" w:before="200"/>
      </w:pPr>
      <w:r>
        <w:rPr>
          <w:rFonts w:ascii="Barlow Semi Condensed" w:cs="Barlow Semi Condensed" w:eastAsia="Barlow Semi Condensed" w:hAnsi="Barlow Semi Condensed"/>
          <w:sz w:val="24"/>
          <w:szCs w:val="24"/>
        </w:rPr>
        <w:t xml:space="preserve">Sulle carte</w:t>
      </w:r>
    </w:p>
    <w:p>
      <w:pPr>
        <w:spacing w:after="120" w:line="276"/>
        <w:jc w:val="both"/>
      </w:pPr>
      <w:r>
        <w:rPr>
          <w:rFonts w:ascii="Barlow Semi Condensed" w:cs="Barlow Semi Condensed" w:eastAsia="Barlow Semi Condensed" w:hAnsi="Barlow Semi Condensed"/>
          <w:b/>
          <w:bCs/>
          <w:sz w:val="24"/>
          <w:szCs w:val="24"/>
        </w:rPr>
        <w:t xml:space="preserve">L'opera non sostiene che le carte della prigionia provino alcun fatto esterno alla prigionia, in assenza di riscontro indipendente. Ciò vale per la totalità degli enunciati del materiale non epistolare relativi a vicende della vita politica.</w:t>
      </w:r>
    </w:p>
    <w:p>
      <w:pPr>
        <w:spacing w:after="120" w:line="276"/>
        <w:jc w:val="both"/>
      </w:pPr>
      <w:r>
        <w:rPr>
          <w:rFonts w:ascii="Barlow Semi Condensed" w:cs="Barlow Semi Condensed" w:eastAsia="Barlow Semi Condensed" w:hAnsi="Barlow Semi Condensed"/>
          <w:b/>
          <w:bCs/>
          <w:sz w:val="24"/>
          <w:szCs w:val="24"/>
        </w:rPr>
        <w:t xml:space="preserve">L'opera non sostiene che l'autore avesse mutato le proprie posizioni anteriori, né che le avesse conservate. Gli enunciati pertinenti sono di terzo grado e attestano che quelle parole furono scritte, e null'altro.</w:t>
      </w:r>
    </w:p>
    <w:p>
      <w:pPr>
        <w:spacing w:after="120" w:line="276"/>
        <w:jc w:val="both"/>
      </w:pPr>
      <w:r>
        <w:rPr>
          <w:rFonts w:ascii="Barlow Semi Condensed" w:cs="Barlow Semi Condensed" w:eastAsia="Barlow Semi Condensed" w:hAnsi="Barlow Semi Condensed"/>
          <w:b/>
          <w:bCs/>
          <w:sz w:val="24"/>
          <w:szCs w:val="24"/>
        </w:rPr>
        <w:t xml:space="preserve">L'opera non trae alcun argomento da ciò che nelle carte non si trova, per la ragione logica del Capitolo trentaquattresimo e per quella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Sulle persone</w:t>
      </w:r>
    </w:p>
    <w:p>
      <w:pPr>
        <w:spacing w:after="120" w:line="276"/>
        <w:jc w:val="both"/>
      </w:pPr>
      <w:r>
        <w:rPr>
          <w:rFonts w:ascii="Barlow Semi Condensed" w:cs="Barlow Semi Condensed" w:eastAsia="Barlow Semi Condensed" w:hAnsi="Barlow Semi Condensed"/>
          <w:b/>
          <w:bCs/>
          <w:sz w:val="24"/>
          <w:szCs w:val="24"/>
        </w:rPr>
        <w:t xml:space="preserve">L'opera non attribuisce ad alcuna persona responsabilità che le fonti non accertino. Le funzioni sono designate come tali ove la funzione basti a identificare l'atto, e la designazione per nome è riservata ai casi in cui nessuna funzione basti — segnatamente alle vittime.</w:t>
      </w:r>
    </w:p>
    <w:p>
      <w:pPr>
        <w:spacing w:after="120" w:line="276"/>
        <w:jc w:val="both"/>
      </w:pPr>
      <w:r>
        <w:rPr>
          <w:rFonts w:ascii="Barlow Semi Condensed" w:cs="Barlow Semi Condensed" w:eastAsia="Barlow Semi Condensed" w:hAnsi="Barlow Semi Condensed"/>
          <w:b/>
          <w:bCs/>
          <w:sz w:val="24"/>
          <w:szCs w:val="24"/>
        </w:rPr>
        <w:t xml:space="preserve">L'opera non trae alcuna conseguenza dalla morte improvvisa di un ufficiale alla vigilia di una attesa audizione parlamentare. Il fatto è registrato; chi ne tragga una conseguenza compie il salto che l'opera vieta.</w:t>
      </w:r>
    </w:p>
    <w:p>
      <w:pPr>
        <w:spacing w:after="120" w:line="276"/>
        <w:jc w:val="both"/>
      </w:pPr>
      <w:r>
        <w:rPr>
          <w:rFonts w:ascii="Barlow Semi Condensed" w:cs="Barlow Semi Condensed" w:eastAsia="Barlow Semi Condensed" w:hAnsi="Barlow Semi Condensed"/>
          <w:b/>
          <w:bCs/>
          <w:sz w:val="24"/>
          <w:szCs w:val="24"/>
        </w:rPr>
        <w:t xml:space="preserve">L'opera non psicoanalizza alcuno. Le categorie impiegate per descrivere il comportamento degli archivi si riferiscono agli archivi.</w:t>
      </w:r>
    </w:p>
    <w:p>
      <w:pPr>
        <w:pStyle w:val="Heading2"/>
        <w:spacing w:after="100" w:before="200"/>
      </w:pPr>
      <w:r>
        <w:rPr>
          <w:rFonts w:ascii="Barlow Semi Condensed" w:cs="Barlow Semi Condensed" w:eastAsia="Barlow Semi Condensed" w:hAnsi="Barlow Semi Condensed"/>
          <w:sz w:val="24"/>
          <w:szCs w:val="24"/>
        </w:rPr>
        <w:t xml:space="preserve">Su ciò che circonda</w:t>
      </w:r>
    </w:p>
    <w:p>
      <w:pPr>
        <w:spacing w:after="120" w:line="276"/>
        <w:jc w:val="both"/>
      </w:pPr>
      <w:r>
        <w:rPr>
          <w:rFonts w:ascii="Barlow Semi Condensed" w:cs="Barlow Semi Condensed" w:eastAsia="Barlow Semi Condensed" w:hAnsi="Barlow Semi Condensed"/>
          <w:b/>
          <w:bCs/>
          <w:sz w:val="24"/>
          <w:szCs w:val="24"/>
        </w:rPr>
        <w:t xml:space="preserve">L'opera non ammette nella ricostruzione gli ambienti raggiunti per percorso e non per arco diretto documentato. Appartenenze, frequentazioni, prossimità geografiche e comunanze di orientamento non sono negate: sono dichiarate non ammesse come elementi di ricostruzione, il che è cosa diversa.</w:t>
      </w:r>
    </w:p>
    <w:p>
      <w:pPr>
        <w:pStyle w:val="Heading2"/>
        <w:spacing w:after="100" w:before="200"/>
      </w:pPr>
      <w:r>
        <w:rPr>
          <w:rFonts w:ascii="Barlow Semi Condensed" w:cs="Barlow Semi Condensed" w:eastAsia="Barlow Semi Condensed" w:hAnsi="Barlow Semi Condensed"/>
          <w:sz w:val="24"/>
          <w:szCs w:val="24"/>
        </w:rPr>
        <w:t xml:space="preserve">Una avvertenza finale sulle astensioni</w:t>
      </w:r>
    </w:p>
    <w:p>
      <w:pPr>
        <w:spacing w:after="120" w:line="276"/>
        <w:jc w:val="both"/>
      </w:pPr>
      <w:r>
        <w:rPr>
          <w:rFonts w:ascii="Barlow Semi Condensed" w:cs="Barlow Semi Condensed" w:eastAsia="Barlow Semi Condensed" w:hAnsi="Barlow Semi Condensed"/>
          <w:b/>
          <w:bCs/>
          <w:sz w:val="24"/>
          <w:szCs w:val="24"/>
        </w:rPr>
        <w:t xml:space="preserve">Nessuna delle astensioni qui raccolte è definitiva. Ciascuna è riferita allo stato degli atti, e ciascuna cadrebbe se l'atto indicato nella tavola comparisse.</w:t>
      </w:r>
    </w:p>
    <w:p>
      <w:pPr>
        <w:spacing w:after="120" w:line="276"/>
        <w:jc w:val="both"/>
      </w:pPr>
      <w:r>
        <w:rPr>
          <w:rFonts w:ascii="Barlow Semi Condensed" w:cs="Barlow Semi Condensed" w:eastAsia="Barlow Semi Condensed" w:hAnsi="Barlow Semi Condensed"/>
          <w:b/>
          <w:bCs/>
          <w:sz w:val="24"/>
          <w:szCs w:val="24"/>
        </w:rPr>
        <w:t xml:space="preserve">Un'astensione non è una posizione: è una condizione di attesa, e la tavola dice che cosa si attende.</w:t>
      </w:r>
    </w:p>
    <w:p>
      <w:pPr>
        <w:pStyle w:val="Heading2"/>
        <w:spacing w:after="100" w:before="200"/>
      </w:pPr>
      <w:r>
        <w:rPr>
          <w:rFonts w:ascii="Barlow Semi Condensed" w:cs="Barlow Semi Condensed" w:eastAsia="Barlow Semi Condensed" w:hAnsi="Barlow Semi Condensed"/>
          <w:sz w:val="24"/>
          <w:szCs w:val="24"/>
        </w:rPr>
        <w:t xml:space="preserve">Capitolo sessantanovesimo — La tavola consegnata</w:t>
      </w:r>
    </w:p>
    <w:p>
      <w:pPr>
        <w:spacing w:after="120" w:line="276"/>
        <w:jc w:val="both"/>
      </w:pPr>
      <w:r>
        <w:rPr>
          <w:rFonts w:ascii="Barlow Semi Condensed" w:cs="Barlow Semi Condensed" w:eastAsia="Barlow Semi Condensed" w:hAnsi="Barlow Semi Condensed"/>
          <w:b/>
          <w:bCs/>
          <w:sz w:val="24"/>
          <w:szCs w:val="24"/>
        </w:rPr>
        <w:t xml:space="preserve">Si consegnano qui le acquisizioni documentali che l'opera ha identificate come necessarie e non conseguite, ordinate per rendimento atteso decrescente. L'ordine è un giudizio dell'autore ed è dichiarato come tale.</w:t>
      </w:r>
    </w:p>
    <w:p>
      <w:pPr>
        <w:pStyle w:val="Heading2"/>
        <w:spacing w:after="100" w:before="200"/>
      </w:pPr>
      <w:r>
        <w:rPr>
          <w:rFonts w:ascii="Barlow Semi Condensed" w:cs="Barlow Semi Condensed" w:eastAsia="Barlow Semi Condensed" w:hAnsi="Barlow Semi Condensed"/>
          <w:sz w:val="24"/>
          <w:szCs w:val="24"/>
        </w:rPr>
        <w:t xml:space="preserve">Prima. I verbali della perquisizione dell'ottobre 1978</w:t>
      </w:r>
    </w:p>
    <w:p>
      <w:pPr>
        <w:spacing w:after="120" w:line="276"/>
        <w:jc w:val="both"/>
      </w:pPr>
      <w:r>
        <w:rPr>
          <w:rFonts w:ascii="Barlow Semi Condensed" w:cs="Barlow Semi Condensed" w:eastAsia="Barlow Semi Condensed" w:hAnsi="Barlow Semi Condensed"/>
          <w:b/>
          <w:bCs/>
          <w:sz w:val="24"/>
          <w:szCs w:val="24"/>
        </w:rPr>
        <w:t xml:space="preserve">Confrontati con quelli del secondo rinvenimento del 1990: verbali, rilievi, descrizione delle modalità e degli strumenti impiegati.</w:t>
      </w:r>
    </w:p>
    <w:p>
      <w:pPr>
        <w:spacing w:after="120" w:line="276"/>
        <w:jc w:val="both"/>
      </w:pPr>
      <w:r>
        <w:rPr>
          <w:rFonts w:ascii="Barlow Semi Condensed" w:cs="Barlow Semi Condensed" w:eastAsia="Barlow Semi Condensed" w:hAnsi="Barlow Semi Condensed"/>
          <w:b/>
          <w:bCs/>
          <w:sz w:val="24"/>
          <w:szCs w:val="24"/>
        </w:rPr>
        <w:t xml:space="preserve">È la sola voce della tavola per la quale la via di discriminazione sia indicata con precisione. Due delle tre spiegazioni predicono che la documentazione non rechi menzione di esame delle strutture murarie e che gli strumenti non fossero idonei a rilevare intercapedini; la terza predice il contrario. Le predizioni sono incompatibili e verificabili sui medesimi atti.</w:t>
      </w:r>
    </w:p>
    <w:p>
      <w:pPr>
        <w:pStyle w:val="Heading2"/>
        <w:spacing w:after="100" w:before="200"/>
      </w:pPr>
      <w:r>
        <w:rPr>
          <w:rFonts w:ascii="Barlow Semi Condensed" w:cs="Barlow Semi Condensed" w:eastAsia="Barlow Semi Condensed" w:hAnsi="Barlow Semi Condensed"/>
          <w:sz w:val="24"/>
          <w:szCs w:val="24"/>
        </w:rPr>
        <w:t xml:space="preserve">Seconda. Gli atti sull'indicazione toponomastica</w:t>
      </w:r>
    </w:p>
    <w:p>
      <w:pPr>
        <w:spacing w:after="120" w:line="276"/>
        <w:jc w:val="both"/>
      </w:pPr>
      <w:r>
        <w:rPr>
          <w:rFonts w:ascii="Barlow Semi Condensed" w:cs="Barlow Semi Condensed" w:eastAsia="Barlow Semi Condensed" w:hAnsi="Barlow Semi Condensed"/>
          <w:b/>
          <w:bCs/>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Terza. Le direttive dei controlli</w:t>
      </w:r>
    </w:p>
    <w:p>
      <w:pPr>
        <w:spacing w:after="120" w:line="276"/>
        <w:jc w:val="both"/>
      </w:pPr>
      <w:r>
        <w:rPr>
          <w:rFonts w:ascii="Barlow Semi Condensed" w:cs="Barlow Semi Condensed" w:eastAsia="Barlow Semi Condensed" w:hAnsi="Barlow Semi Condensed"/>
          <w:b/>
          <w:bCs/>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Quarta. La documentazione analitica della ricerca</w:t>
      </w:r>
    </w:p>
    <w:p>
      <w:pPr>
        <w:spacing w:after="120" w:line="276"/>
        <w:jc w:val="both"/>
      </w:pPr>
      <w:r>
        <w:rPr>
          <w:rFonts w:ascii="Barlow Semi Condensed" w:cs="Barlow Semi Condensed" w:eastAsia="Barlow Semi Condensed" w:hAnsi="Barlow Semi Condensed"/>
          <w:b/>
          <w:bCs/>
          <w:sz w:val="24"/>
          <w:szCs w:val="24"/>
        </w:rPr>
        <w:t xml:space="preserve">Zone controllate, modalità, criteri di selezione e motivazione delle esclusioni durante i cinquantacinque giorni. È l'acquisizione che colmerebbe il difetto di termine di riferimento e renderebbe valutabile l'adeguatezza.</w:t>
      </w:r>
    </w:p>
    <w:p>
      <w:pPr>
        <w:pStyle w:val="Heading2"/>
        <w:spacing w:after="100" w:before="200"/>
      </w:pPr>
      <w:r>
        <w:rPr>
          <w:rFonts w:ascii="Barlow Semi Condensed" w:cs="Barlow Semi Condensed" w:eastAsia="Barlow Semi Condensed" w:hAnsi="Barlow Semi Condensed"/>
          <w:sz w:val="24"/>
          <w:szCs w:val="24"/>
        </w:rPr>
        <w:t xml:space="preserve">Quinta. Le due vie comparative</w:t>
      </w:r>
    </w:p>
    <w:p>
      <w:pPr>
        <w:spacing w:after="120" w:line="276"/>
        <w:jc w:val="both"/>
      </w:pPr>
      <w:r>
        <w:rPr>
          <w:rFonts w:ascii="Barlow Semi Condensed" w:cs="Barlow Semi Condensed" w:eastAsia="Barlow Semi Condensed" w:hAnsi="Barlow Semi Condensed"/>
          <w:b/>
          <w:bCs/>
          <w:sz w:val="24"/>
          <w:szCs w:val="24"/>
        </w:rPr>
        <w:t xml:space="preserve">Documentazione idonea alla comparazione con operazioni analoghe dei medesimi uffici nel medesimo periodo, e comparazione interna fra adempimenti diligenti e non diligenti entro la medesima operazione. Senza almeno una delle due, l'argomento dell'accumulo resta privo delle proprie condizioni.</w:t>
      </w:r>
    </w:p>
    <w:p>
      <w:pPr>
        <w:pStyle w:val="Heading2"/>
        <w:spacing w:after="100" w:before="200"/>
      </w:pPr>
      <w:r>
        <w:rPr>
          <w:rFonts w:ascii="Barlow Semi Condensed" w:cs="Barlow Semi Condensed" w:eastAsia="Barlow Semi Condensed" w:hAnsi="Barlow Semi Condensed"/>
          <w:sz w:val="24"/>
          <w:szCs w:val="24"/>
        </w:rPr>
        <w:t xml:space="preserve">Sesta. L'esame materiale del documento apocrifo</w:t>
      </w:r>
    </w:p>
    <w:p>
      <w:pPr>
        <w:spacing w:after="120" w:line="276"/>
        <w:jc w:val="both"/>
      </w:pPr>
      <w:r>
        <w:rPr>
          <w:rFonts w:ascii="Barlow Semi Condensed" w:cs="Barlow Semi Condensed" w:eastAsia="Barlow Semi Condensed" w:hAnsi="Barlow Semi Condensed"/>
          <w:b/>
          <w:bCs/>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Settima. La verifica genealogica delle fonti</w:t>
      </w:r>
    </w:p>
    <w:p>
      <w:pPr>
        <w:spacing w:after="120" w:line="276"/>
        <w:jc w:val="both"/>
      </w:pPr>
      <w:r>
        <w:rPr>
          <w:rFonts w:ascii="Barlow Semi Condensed" w:cs="Barlow Semi Condensed" w:eastAsia="Barlow Semi Condensed" w:hAnsi="Barlow Semi Condensed"/>
          <w:b/>
          <w:bCs/>
          <w:sz w:val="24"/>
          <w:szCs w:val="24"/>
        </w:rPr>
        <w:t xml:space="preserve">Risalita di ciascuna fonte al proprio evento originario, per stabilire quante catene realmente indipendenti sussistano. È condizione preliminare di qualunque computo di convergenza, e non è stata condotta.</w:t>
      </w:r>
    </w:p>
    <w:p>
      <w:pPr>
        <w:pStyle w:val="Heading2"/>
        <w:spacing w:after="100" w:before="200"/>
      </w:pPr>
      <w:r>
        <w:rPr>
          <w:rFonts w:ascii="Barlow Semi Condensed" w:cs="Barlow Semi Condensed" w:eastAsia="Barlow Semi Condensed" w:hAnsi="Barlow Semi Condensed"/>
          <w:sz w:val="24"/>
          <w:szCs w:val="24"/>
        </w:rPr>
        <w:t xml:space="preserve">Ottava. Le direttrici dichiarate aperte</w:t>
      </w:r>
    </w:p>
    <w:p>
      <w:pPr>
        <w:spacing w:after="120" w:line="276"/>
        <w:jc w:val="both"/>
      </w:pPr>
      <w:r>
        <w:rPr>
          <w:rFonts w:ascii="Barlow Semi Condensed" w:cs="Barlow Semi Condensed" w:eastAsia="Barlow Semi Condensed" w:hAnsi="Barlow Semi Condensed"/>
          <w:b/>
          <w:bCs/>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Nona. Il repertorio delle denominazioni</w:t>
      </w:r>
    </w:p>
    <w:p>
      <w:pPr>
        <w:spacing w:after="120" w:line="276"/>
        <w:jc w:val="both"/>
      </w:pPr>
      <w:r>
        <w:rPr>
          <w:rFonts w:ascii="Barlow Semi Condensed" w:cs="Barlow Semi Condensed" w:eastAsia="Barlow Semi Condensed" w:hAnsi="Barlow Semi Condensed"/>
          <w:b/>
          <w:bCs/>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Nota sulla tavola</w:t>
      </w:r>
    </w:p>
    <w:p>
      <w:pPr>
        <w:spacing w:after="120" w:line="276"/>
        <w:jc w:val="both"/>
      </w:pPr>
      <w:r>
        <w:rPr>
          <w:rFonts w:ascii="Barlow Semi Condensed" w:cs="Barlow Semi Condensed" w:eastAsia="Barlow Semi Condensed" w:hAnsi="Barlow Semi Condensed"/>
          <w:b/>
          <w:bCs/>
          <w:sz w:val="24"/>
          <w:szCs w:val="24"/>
        </w:rPr>
        <w:t xml:space="preserve">Nessuna di queste voci richiede una decisione metodologica. Tutte richiedono un accesso.</w:t>
      </w:r>
    </w:p>
    <w:p>
      <w:pPr>
        <w:spacing w:after="120" w:line="276"/>
        <w:jc w:val="both"/>
      </w:pPr>
      <w:r>
        <w:rPr>
          <w:rFonts w:ascii="Barlow Semi Condensed" w:cs="Barlow Semi Condensed" w:eastAsia="Barlow Semi Condensed" w:hAnsi="Barlow Semi Condensed"/>
          <w:b/>
          <w:bCs/>
          <w:sz w:val="24"/>
          <w:szCs w:val="24"/>
        </w:rPr>
        <w:t xml:space="preserve">È una circostanza che merita di essere notata: giunta al termine di settanta Capitoli, l'opera non è ferma per difetto di metodo. È ferma davanti a porte di archivio.</w:t>
      </w:r>
    </w:p>
    <w:p>
      <w:pPr>
        <w:pStyle w:val="Heading2"/>
        <w:spacing w:after="100" w:before="200"/>
      </w:pPr>
      <w:r>
        <w:rPr>
          <w:rFonts w:ascii="Barlow Semi Condensed" w:cs="Barlow Semi Condensed" w:eastAsia="Barlow Semi Condensed" w:hAnsi="Barlow Semi Condensed"/>
          <w:sz w:val="24"/>
          <w:szCs w:val="24"/>
        </w:rPr>
        <w:t xml:space="preserve">Capitolo settantesimo — Chiusura</w:t>
      </w:r>
    </w:p>
    <w:p>
      <w:pPr>
        <w:pStyle w:val="Heading2"/>
        <w:spacing w:after="100" w:before="200"/>
      </w:pPr>
      <w:r>
        <w:rPr>
          <w:rFonts w:ascii="Barlow Semi Condensed" w:cs="Barlow Semi Condensed" w:eastAsia="Barlow Semi Condensed" w:hAnsi="Barlow Semi Condensed"/>
          <w:sz w:val="24"/>
          <w:szCs w:val="24"/>
        </w:rPr>
        <w:t xml:space="preserve">Che cosa è stato fatto</w:t>
      </w:r>
    </w:p>
    <w:p>
      <w:pPr>
        <w:spacing w:after="120" w:line="276"/>
        <w:jc w:val="both"/>
      </w:pPr>
      <w:r>
        <w:rPr>
          <w:rFonts w:ascii="Barlow Semi Condensed" w:cs="Barlow Semi Condensed" w:eastAsia="Barlow Semi Condensed" w:hAnsi="Barlow Semi Condensed"/>
          <w:b/>
          <w:bCs/>
          <w:sz w:val="24"/>
          <w:szCs w:val="24"/>
        </w:rPr>
        <w:t xml:space="preserve">Settanta Capitoli in sette Fasi. La prima ha esposto le regole e descritto la persona. La seconda ha censito le ragioni dichiarate e attribuite e ha costruito la matrice. La terza ha ricostruito il fatto distinguendo il rilievo dalla dichiarazione. La quarta ha stabilito lo statuto delle carte e istituito la scala del vincolo. La quinta ha esaminato le omissioni con il test in tre tempi. La sesta ha separato i tre livelli di responsabilità e ha dichiarato vuoto il terzo. La settima ha consegnato.</w:t>
      </w:r>
    </w:p>
    <w:p>
      <w:pPr>
        <w:pStyle w:val="Heading2"/>
        <w:spacing w:after="100" w:before="200"/>
      </w:pPr>
      <w:r>
        <w:rPr>
          <w:rFonts w:ascii="Barlow Semi Condensed" w:cs="Barlow Semi Condensed" w:eastAsia="Barlow Semi Condensed" w:hAnsi="Barlow Semi Condensed"/>
          <w:sz w:val="24"/>
          <w:szCs w:val="24"/>
        </w:rPr>
        <w:t xml:space="preserve">Che cosa non è stato trovato</w:t>
      </w:r>
    </w:p>
    <w:p>
      <w:pPr>
        <w:spacing w:after="120" w:line="276"/>
        <w:jc w:val="both"/>
      </w:pPr>
      <w:r>
        <w:rPr>
          <w:rFonts w:ascii="Barlow Semi Condensed" w:cs="Barlow Semi Condensed" w:eastAsia="Barlow Semi Condensed" w:hAnsi="Barlow Semi Condensed"/>
          <w:b/>
          <w:bCs/>
          <w:sz w:val="24"/>
          <w:szCs w:val="24"/>
        </w:rPr>
        <w:t xml:space="preserve">Il movente ultimo non è accertato. Il terzo livello di responsabilità non è accertato. Nessuna delle omissioni esaminate è qualificata come deliberata. L'identità del mandante del solo atto di interferenza accertato resta ignota.</w:t>
      </w:r>
    </w:p>
    <w:p>
      <w:pPr>
        <w:pStyle w:val="Heading2"/>
        <w:spacing w:after="100" w:before="200"/>
      </w:pPr>
      <w:r>
        <w:rPr>
          <w:rFonts w:ascii="Barlow Semi Condensed" w:cs="Barlow Semi Condensed" w:eastAsia="Barlow Semi Condensed" w:hAnsi="Barlow Semi Condensed"/>
          <w:sz w:val="24"/>
          <w:szCs w:val="24"/>
        </w:rPr>
        <w:t xml:space="preserve">Perché questo non è un fallimento</w:t>
      </w:r>
    </w:p>
    <w:p>
      <w:pPr>
        <w:spacing w:after="120" w:line="276"/>
        <w:jc w:val="both"/>
      </w:pPr>
      <w:r>
        <w:rPr>
          <w:rFonts w:ascii="Barlow Semi Condensed" w:cs="Barlow Semi Condensed" w:eastAsia="Barlow Semi Condensed" w:hAnsi="Barlow Semi Condensed"/>
          <w:b/>
          <w:bCs/>
          <w:sz w:val="24"/>
          <w:szCs w:val="24"/>
        </w:rPr>
        <w:t xml:space="preserve">Un caso nel quale è accertato che furono prodotti falsi, che materiale fu movimentato prima di essere verbalizzato e che una perquisizione risultò incompleta non può produrre, se onestamente ricostruito, un quadro compiuto.</w:t>
      </w:r>
    </w:p>
    <w:p>
      <w:pPr>
        <w:spacing w:after="120" w:line="276"/>
        <w:jc w:val="both"/>
      </w:pPr>
      <w:r>
        <w:rPr>
          <w:rFonts w:ascii="Barlow Semi Condensed" w:cs="Barlow Semi Condensed" w:eastAsia="Barlow Semi Condensed" w:hAnsi="Barlow Semi Condensed"/>
          <w:b/>
          <w:bCs/>
          <w:sz w:val="24"/>
          <w:szCs w:val="24"/>
        </w:rPr>
        <w:t xml:space="preserve">Un quadro compiuto, in un caso siffatto, non sarebbe il segno che la ricerca è riuscita. Sarebbe il segno che il ricercatore ha riempito con la propria immaginazione le lacune che gli erano state preparate — e avrebbe fatto, senza volerlo, esattamente ciò che chi le preparò desiderava: sostituire al vuoto una materia contestabile, rendendo contestabile con essa anche il vuoto.</w:t>
      </w:r>
    </w:p>
    <w:p>
      <w:pPr>
        <w:pStyle w:val="Heading2"/>
        <w:spacing w:after="100" w:before="200"/>
      </w:pPr>
      <w:r>
        <w:rPr>
          <w:rFonts w:ascii="Barlow Semi Condensed" w:cs="Barlow Semi Condensed" w:eastAsia="Barlow Semi Condensed" w:hAnsi="Barlow Semi Condensed"/>
          <w:sz w:val="24"/>
          <w:szCs w:val="24"/>
        </w:rPr>
        <w:t xml:space="preserve">Che cosa dunque l'opera lascia</w:t>
      </w:r>
    </w:p>
    <w:p>
      <w:pPr>
        <w:spacing w:after="120" w:line="276"/>
        <w:jc w:val="both"/>
      </w:pPr>
      <w:r>
        <w:rPr>
          <w:rFonts w:ascii="Barlow Semi Condensed" w:cs="Barlow Semi Condensed" w:eastAsia="Barlow Semi Condensed" w:hAnsi="Barlow Semi Condensed"/>
          <w:b/>
          <w:bCs/>
          <w:sz w:val="24"/>
          <w:szCs w:val="24"/>
        </w:rPr>
        <w:t xml:space="preserve">Lascia una mappa. Di ciò che è accertato, con il grado di ciascuna acquisizione. Di ciò che non lo è, con la condizione del suo scioglimento. Di ciò che manca, con la sede presso la quale cercarlo. E di ciò che l'opera espressamente non sostiene, con la ragione di ciascuna astensione.</w:t>
      </w:r>
    </w:p>
    <w:p>
      <w:pPr>
        <w:spacing w:after="120" w:line="276"/>
        <w:jc w:val="both"/>
      </w:pPr>
      <w:r>
        <w:rPr>
          <w:rFonts w:ascii="Barlow Semi Condensed" w:cs="Barlow Semi Condensed" w:eastAsia="Barlow Semi Condensed" w:hAnsi="Barlow Semi Condensed"/>
          <w:b/>
          <w:bCs/>
          <w:sz w:val="24"/>
          <w:szCs w:val="24"/>
        </w:rPr>
        <w:t xml:space="preserve">È meno di quanto la letteratura su questa materia promette, ed è tutto ciò che gli atti consentono.</w:t>
      </w:r>
    </w:p>
    <w:p>
      <w:pPr>
        <w:pStyle w:val="Heading2"/>
        <w:spacing w:after="100" w:before="200"/>
      </w:pPr>
      <w:r>
        <w:rPr>
          <w:rFonts w:ascii="Barlow Semi Condensed" w:cs="Barlow Semi Condensed" w:eastAsia="Barlow Semi Condensed" w:hAnsi="Barlow Semi Condensed"/>
          <w:sz w:val="24"/>
          <w:szCs w:val="24"/>
        </w:rPr>
        <w:t xml:space="preserve">L'ultima cosa, che non appartiene al metodo</w:t>
      </w:r>
    </w:p>
    <w:p>
      <w:pPr>
        <w:spacing w:after="120" w:line="276"/>
        <w:jc w:val="both"/>
      </w:pPr>
      <w:r>
        <w:rPr>
          <w:rFonts w:ascii="Barlow Semi Condensed" w:cs="Barlow Semi Condensed" w:eastAsia="Barlow Semi Condensed" w:hAnsi="Barlow Semi Condensed"/>
          <w:b/>
          <w:bCs/>
          <w:sz w:val="24"/>
          <w:szCs w:val="24"/>
        </w:rPr>
        <w:t xml:space="preserve">Al centro di questa materia vi è la morte di un uomo, e vi sono le morti di cinque uomini che quella mattina lo accompagnavano al lavoro. La Fase Prima lo ha detto in apertura e conviene ripeterlo in chiusura, perché settanta Capitoli di apparato hanno la capacità di farlo dimenticare.</w:t>
      </w:r>
    </w:p>
    <w:p>
      <w:pPr>
        <w:spacing w:after="120" w:line="276"/>
        <w:jc w:val="both"/>
      </w:pPr>
      <w:r>
        <w:rPr>
          <w:rFonts w:ascii="Barlow Semi Condensed" w:cs="Barlow Semi Condensed" w:eastAsia="Barlow Semi Condensed" w:hAnsi="Barlow Semi Condensed"/>
          <w:b/>
          <w:bCs/>
          <w:sz w:val="24"/>
          <w:szCs w:val="24"/>
        </w:rPr>
        <w:t xml:space="preserve">Oreste Leonardi. Domenico Ricci. Raffaele Iozzino. Giulio Rivera. Francesco Zizzi.</w:t>
      </w:r>
    </w:p>
    <w:p>
      <w:pPr>
        <w:spacing w:after="120" w:line="276"/>
        <w:jc w:val="both"/>
      </w:pPr>
      <w:r>
        <w:rPr>
          <w:rFonts w:ascii="Barlow Semi Condensed" w:cs="Barlow Semi Condensed" w:eastAsia="Barlow Semi Condensed" w:hAnsi="Barlow Semi Condensed"/>
          <w:b/>
          <w:bCs/>
          <w:sz w:val="24"/>
          <w:szCs w:val="24"/>
        </w:rPr>
        <w:t xml:space="preserve">Di loro l'opera ha scritto il nome per intero, in deroga alla propria disciplina di designazione, perché nel loro caso nessuna funzione basta.</w:t>
      </w:r>
    </w:p>
    <w:p>
      <w:pPr>
        <w:spacing w:after="120" w:line="276"/>
        <w:jc w:val="both"/>
      </w:pPr>
      <w:r>
        <w:rPr>
          <w:rFonts w:ascii="Barlow Semi Condensed" w:cs="Barlow Semi Condensed" w:eastAsia="Barlow Semi Condensed" w:hAnsi="Barlow Semi Condensed"/>
          <w:b/>
          <w:bCs/>
          <w:sz w:val="24"/>
          <w:szCs w:val="24"/>
        </w:rPr>
        <w:t xml:space="preserve">E per Aldo Moro l'opera non ha trovato il perché. Lo dichiara qui, in ultimo, senza attenuazioni: dopo quasi cinquant'anni, cinque processi, più commissioni parlamentari e settanta Capitoli, la ragione per la quale quell'uomo fu ucciso non è accertata.</w:t>
      </w:r>
    </w:p>
    <w:p>
      <w:pPr>
        <w:spacing w:after="120" w:line="276"/>
        <w:jc w:val="both"/>
      </w:pPr>
      <w:r>
        <w:rPr>
          <w:rFonts w:ascii="Barlow Semi Condensed" w:cs="Barlow Semi Condensed" w:eastAsia="Barlow Semi Condensed" w:hAnsi="Barlow Semi Condensed"/>
          <w:b/>
          <w:bCs/>
          <w:sz w:val="24"/>
          <w:szCs w:val="24"/>
        </w:rPr>
        <w:t xml:space="preserve">Chi dica il contrario offra le sue carte. L'opera ha detto quali cercare.</w:t>
      </w:r>
    </w:p>
    <w:p>
      <w:pPr>
        <w:pStyle w:val="Heading2"/>
        <w:spacing w:after="100" w:before="200"/>
      </w:pPr>
      <w:r>
        <w:rPr>
          <w:rFonts w:ascii="Barlow Semi Condensed" w:cs="Barlow Semi Condensed" w:eastAsia="Barlow Semi Condensed" w:hAnsi="Barlow Semi Condensed"/>
          <w:sz w:val="24"/>
          <w:szCs w:val="24"/>
        </w:rPr>
        <w:t xml:space="preserve">Colophon</w:t>
      </w:r>
    </w:p>
    <w:p>
      <w:pPr>
        <w:spacing w:after="120" w:line="276"/>
        <w:jc w:val="both"/>
      </w:pPr>
      <w:r>
        <w:rPr>
          <w:rFonts w:ascii="Barlow Semi Condensed" w:cs="Barlow Semi Condensed" w:eastAsia="Barlow Semi Condensed" w:hAnsi="Barlow Semi Condensed"/>
          <w:b/>
          <w:bCs/>
          <w:sz w:val="24"/>
          <w:szCs w:val="24"/>
        </w:rPr>
        <w:t xml:space="preserve">ALDO MORO. IL REGISTRO DEI CINQUANTACINQUE GIORNI. Opera seconda, avviata dal Registro V77. Sette Fasi, settanta Capitoli. Resta sovrana la Regola di Ferro: dove la fonte documenta, l'opera certifica; dove la fonte tace, l'opera indaga e non afferma. Fluido il metodo, ferreo lo standard. Autore e direttore dell'opera: Luigi De Michele.</w:t>
      </w:r>
    </w:p>
    <w:p>
      <w:pPr>
        <w:pStyle w:val="Heading2"/>
        <w:spacing w:after="100" w:before="200"/>
      </w:pPr>
      <w:r>
        <w:rPr>
          <w:rFonts w:ascii="Barlow Semi Condensed" w:cs="Barlow Semi Condensed" w:eastAsia="Barlow Semi Condensed" w:hAnsi="Barlow Semi Condensed"/>
          <w:sz w:val="24"/>
          <w:szCs w:val="24"/>
        </w:rPr>
        <w:t xml:space="preserve">APPENDICE ALLA FASE SETTIMA — TAVOLA ACCRESCIUTA DELLE ACQUISIZIONI NECESSARIE</w:t>
      </w:r>
    </w:p>
    <w:p>
      <w:pPr>
        <w:spacing w:after="120" w:line="276"/>
        <w:jc w:val="both"/>
      </w:pPr>
      <w:r>
        <w:rPr>
          <w:rFonts w:ascii="Barlow Semi Condensed" w:cs="Barlow Semi Condensed" w:eastAsia="Barlow Semi Condensed" w:hAnsi="Barlow Semi Condensed"/>
          <w:b/>
          <w:bCs/>
          <w:sz w:val="24"/>
          <w:szCs w:val="24"/>
        </w:rPr>
        <w:t xml:space="preserve">Diciannove voci, con oggetto, sede, condizione di chiusura e condizione di smentita. Prodotta il 15 agosto 2026 per recepimento della sola parte documentale di una ricognizione operativa esterna. I settanta Capitoli restano settanta.</w:t>
      </w:r>
    </w:p>
    <w:p>
      <w:pPr>
        <w:pStyle w:val="Heading2"/>
        <w:spacing w:after="100" w:before="200"/>
      </w:pPr>
      <w:r>
        <w:rPr>
          <w:rFonts w:ascii="Barlow Semi Condensed" w:cs="Barlow Semi Condensed" w:eastAsia="Barlow Semi Condensed" w:hAnsi="Barlow Semi Condensed"/>
          <w:sz w:val="24"/>
          <w:szCs w:val="24"/>
        </w:rPr>
        <w:t xml:space="preserve">Atto di edizione dell'appendice</w:t>
      </w:r>
    </w:p>
    <w:p>
      <w:pPr>
        <w:spacing w:after="120" w:line="276"/>
        <w:jc w:val="both"/>
      </w:pPr>
      <w:r>
        <w:rPr>
          <w:rFonts w:ascii="Barlow Semi Condensed" w:cs="Barlow Semi Condensed" w:eastAsia="Barlow Semi Condensed" w:hAnsi="Barlow Semi Condensed"/>
          <w:b/>
          <w:bCs/>
          <w:sz w:val="24"/>
          <w:szCs w:val="24"/>
        </w:rPr>
        <w:t xml:space="preserve">La presente è appendice alla Fase Settima e ne accresce il Capitolo sessantanovesimo, dedicato alla tavola delle acquisizioni necessarie e non conseguite. Essa non modifica alcun Capitolo dell'opera e non ne aggiunge di nuovi: i settanta restano settanta.</w:t>
      </w:r>
    </w:p>
    <w:p>
      <w:pPr>
        <w:spacing w:after="120" w:line="276"/>
        <w:jc w:val="both"/>
      </w:pPr>
      <w:r>
        <w:rPr>
          <w:rFonts w:ascii="Barlow Semi Condensed" w:cs="Barlow Semi Condensed" w:eastAsia="Barlow Semi Condensed" w:hAnsi="Barlow Semi Condensed"/>
          <w:b/>
          <w:bCs/>
          <w:sz w:val="24"/>
          <w:szCs w:val="24"/>
        </w:rPr>
        <w:t xml:space="preserve">L'accrescimento discende da una ricognizione condotta il quindici agosto duemilaventisei, la quale ha prodotto un memorandum operativo destinato a chi conduca ricerche archivistiche. Quel memorandum è documento estraneo all'opera e non vi entra. Ne entra qui la sola parte che appartenga al genere dell'opera, ed è la tavola degli obiettivi documentali.</w:t>
      </w:r>
    </w:p>
    <w:p>
      <w:pPr>
        <w:pStyle w:val="Heading2"/>
        <w:spacing w:after="100" w:before="200"/>
      </w:pPr>
      <w:r>
        <w:rPr>
          <w:rFonts w:ascii="Barlow Semi Condensed" w:cs="Barlow Semi Condensed" w:eastAsia="Barlow Semi Condensed" w:hAnsi="Barlow Semi Condensed"/>
          <w:sz w:val="24"/>
          <w:szCs w:val="24"/>
        </w:rPr>
        <w:t xml:space="preserve">Il confine, dichiarato prima di ogni altra cosa</w:t>
      </w:r>
    </w:p>
    <w:p>
      <w:pPr>
        <w:spacing w:after="120" w:line="276"/>
        <w:jc w:val="both"/>
      </w:pPr>
      <w:r>
        <w:rPr>
          <w:rFonts w:ascii="Barlow Semi Condensed" w:cs="Barlow Semi Condensed" w:eastAsia="Barlow Semi Condensed" w:hAnsi="Barlow Semi Condensed"/>
          <w:b/>
          <w:bCs/>
          <w:sz w:val="24"/>
          <w:szCs w:val="24"/>
        </w:rPr>
        <w:t xml:space="preserve">Il memorandum contiene una distribuzione di propensioni soggettive fra scenari alternativi, espressa in percentuali, e una rinormalizzazione di tali propensioni condotta su ordine del committente escludendo uno degli scenari.</w:t>
      </w:r>
    </w:p>
    <w:p>
      <w:pPr>
        <w:spacing w:after="120" w:line="276"/>
        <w:jc w:val="both"/>
      </w:pPr>
      <w:r>
        <w:rPr>
          <w:rFonts w:ascii="Barlow Semi Condensed" w:cs="Barlow Semi Condensed" w:eastAsia="Barlow Semi Condensed" w:hAnsi="Barlow Semi Condensed"/>
          <w:b/>
          <w:bCs/>
          <w:sz w:val="24"/>
          <w:szCs w:val="24"/>
        </w:rPr>
        <w:t xml:space="preserve">Nulla di ciò entra nell'opera, e la ragione va enunciata perché non si tratta di cautela ma di natura.</w:t>
      </w:r>
    </w:p>
    <w:p>
      <w:pPr>
        <w:spacing w:after="120" w:line="276"/>
        <w:jc w:val="both"/>
      </w:pPr>
      <w:r>
        <w:rPr>
          <w:rFonts w:ascii="Barlow Semi Condensed" w:cs="Barlow Semi Condensed" w:eastAsia="Barlow Semi Condensed" w:hAnsi="Barlow Semi Condensed"/>
          <w:b/>
          <w:bCs/>
          <w:sz w:val="24"/>
          <w:szCs w:val="24"/>
        </w:rPr>
        <w:t xml:space="preserve">L'opera non gradua le proprie aspettative. Essa gradua le proposizioni secondo le fonti che le sostengono, e non secondo la fiducia che l'autore ripone in esse. Una percentuale di propensione è una misura dello stato mentale di chi ricerca, non dello stato degli atti; e per quanto onestamente dichiarata, essa non ha alcun posto in un registro che si è dato la regola di non affermare oltre la fonte.</w:t>
      </w:r>
    </w:p>
    <w:p>
      <w:pPr>
        <w:spacing w:after="120" w:line="276"/>
        <w:jc w:val="both"/>
      </w:pPr>
      <w:r>
        <w:rPr>
          <w:rFonts w:ascii="Barlow Semi Condensed" w:cs="Barlow Semi Condensed" w:eastAsia="Barlow Semi Condensed" w:hAnsi="Barlow Semi Condensed"/>
          <w:b/>
          <w:bCs/>
          <w:sz w:val="24"/>
          <w:szCs w:val="24"/>
        </w:rPr>
        <w:t xml:space="preserve">Vi è inoltre una ragione pratica, che l'esperienza di questa materia impone. Una propensione soggettiva pubblicata dentro un'opera documentale viene letta, dal lettore successivo, come una risultanza dell'opera. Essa acquista, per sola collocazione, un'autorità che chi la formulò non intendeva conferirle. È il meccanismo per il quale opinioni prudenti diventano, a distanza di anni, tesi attribuite.</w:t>
      </w:r>
    </w:p>
    <w:p>
      <w:pPr>
        <w:spacing w:after="120" w:line="276"/>
        <w:jc w:val="both"/>
      </w:pPr>
      <w:r>
        <w:rPr>
          <w:rFonts w:ascii="Barlow Semi Condensed" w:cs="Barlow Semi Condensed" w:eastAsia="Barlow Semi Condensed" w:hAnsi="Barlow Semi Condensed"/>
          <w:b/>
          <w:bCs/>
          <w:sz w:val="24"/>
          <w:szCs w:val="24"/>
        </w:rPr>
        <w:t xml:space="preserve">Entrano invece nell'opera gli obiettivi documentali, poiché essi appartengono al genere che l'opera già pratica: la Fase Quinta ne ha iscritti sei, la Fase Settima nove. Un obiettivo documentale non è una convinzione: è l'indicazione di un documento, di una sede e di una procedura, ed è verificabile da chiunque.</w:t>
      </w:r>
    </w:p>
    <w:p>
      <w:pPr>
        <w:pStyle w:val="Heading2"/>
        <w:spacing w:after="100" w:before="200"/>
      </w:pPr>
      <w:r>
        <w:rPr>
          <w:rFonts w:ascii="Barlow Semi Condensed" w:cs="Barlow Semi Condensed" w:eastAsia="Barlow Semi Condensed" w:hAnsi="Barlow Semi Condensed"/>
          <w:sz w:val="24"/>
          <w:szCs w:val="24"/>
        </w:rPr>
        <w:t xml:space="preserve">La tavola accresciuta</w:t>
      </w:r>
    </w:p>
    <w:p>
      <w:pPr>
        <w:spacing w:after="120" w:line="276"/>
        <w:jc w:val="both"/>
      </w:pPr>
      <w:r>
        <w:rPr>
          <w:rFonts w:ascii="Barlow Semi Condensed" w:cs="Barlow Semi Condensed" w:eastAsia="Barlow Semi Condensed" w:hAnsi="Barlow Semi Condensed"/>
          <w:b/>
          <w:bCs/>
          <w:sz w:val="24"/>
          <w:szCs w:val="24"/>
        </w:rPr>
        <w:t xml:space="preserve">Si riporta la tavola nella sua estensione attuale. Le voci dalla prima alla nona sono quelle già iscritte al Capitolo sessantanovesimo e sono qui ripetute per intero, poiché la cumulatività preservativa vieta il rinvio abbreviato in materia di lacune: chi legga la tavola deve trovarla completa nel luogo in cui la trova. Le voci dalla decima alla diciannovesima sono nuove.</w:t>
      </w:r>
    </w:p>
    <w:p>
      <w:pPr>
        <w:spacing w:after="120" w:line="276"/>
        <w:jc w:val="both"/>
      </w:pPr>
      <w:r>
        <w:rPr>
          <w:rFonts w:ascii="Barlow Semi Condensed" w:cs="Barlow Semi Condensed" w:eastAsia="Barlow Semi Condensed" w:hAnsi="Barlow Semi Condensed"/>
          <w:b/>
          <w:bCs/>
          <w:sz w:val="24"/>
          <w:szCs w:val="24"/>
        </w:rPr>
        <w:t xml:space="preserve">Per ciascuna voce si indicano l'oggetto, la sede e la condizione della sua chiusura. Per le voci nuove si indica altresì, ove ricorra, la condizione della sua smentita, secondo la disciplina che impone di dichiarare in anticipo che cosa costituirebbe esito contrario.</w:t>
      </w:r>
    </w:p>
    <w:p>
      <w:pPr>
        <w:pStyle w:val="Heading2"/>
        <w:spacing w:after="100" w:before="200"/>
      </w:pPr>
      <w:r>
        <w:rPr>
          <w:rFonts w:ascii="Barlow Semi Condensed" w:cs="Barlow Semi Condensed" w:eastAsia="Barlow Semi Condensed" w:hAnsi="Barlow Semi Condensed"/>
          <w:sz w:val="24"/>
          <w:szCs w:val="24"/>
        </w:rPr>
        <w:t xml:space="preserve">Voce prima — I verbali della perquisizione dell'ottobre 1978</w:t>
      </w:r>
    </w:p>
    <w:p>
      <w:pPr>
        <w:spacing w:after="120" w:line="276"/>
        <w:jc w:val="both"/>
      </w:pPr>
      <w:r>
        <w:rPr>
          <w:rFonts w:ascii="Barlow Semi Condensed" w:cs="Barlow Semi Condensed" w:eastAsia="Barlow Semi Condensed" w:hAnsi="Barlow Semi Condensed"/>
          <w:b/>
          <w:bCs/>
          <w:sz w:val="24"/>
          <w:szCs w:val="24"/>
        </w:rPr>
        <w:t xml:space="preserve">Verbali, rilievi, descrizione delle modalità e degli strumenti impiegati, confrontati con quelli del secondo rinvenimento del 1990. Sede: archivio del tribunale competente per territorio.</w:t>
      </w:r>
    </w:p>
    <w:p>
      <w:pPr>
        <w:spacing w:after="120" w:line="276"/>
        <w:jc w:val="both"/>
      </w:pPr>
      <w:r>
        <w:rPr>
          <w:rFonts w:ascii="Barlow Semi Condensed" w:cs="Barlow Semi Condensed" w:eastAsia="Barlow Semi Condensed" w:hAnsi="Barlow Semi Condensed"/>
          <w:b/>
          <w:bCs/>
          <w:sz w:val="24"/>
          <w:szCs w:val="24"/>
        </w:rPr>
        <w:t xml:space="preserve">È la sola voce della tavola per la quale la via di discriminazione sia indicata con precisione: due delle tre spiegazioni dell'incompletezza predicono che la documentazione non rechi menzione di esame delle strutture murarie; la terza predice il contrario.</w:t>
      </w:r>
    </w:p>
    <w:p>
      <w:pPr>
        <w:pStyle w:val="Heading2"/>
        <w:spacing w:after="100" w:before="200"/>
      </w:pPr>
      <w:r>
        <w:rPr>
          <w:rFonts w:ascii="Barlow Semi Condensed" w:cs="Barlow Semi Condensed" w:eastAsia="Barlow Semi Condensed" w:hAnsi="Barlow Semi Condensed"/>
          <w:sz w:val="24"/>
          <w:szCs w:val="24"/>
        </w:rPr>
        <w:t xml:space="preserve">Voce seconda — Gli atti sull'indicazione toponomastica</w:t>
      </w:r>
    </w:p>
    <w:p>
      <w:pPr>
        <w:spacing w:after="120" w:line="276"/>
        <w:jc w:val="both"/>
      </w:pPr>
      <w:r>
        <w:rPr>
          <w:rFonts w:ascii="Barlow Semi Condensed" w:cs="Barlow Semi Condensed" w:eastAsia="Barlow Semi Condensed" w:hAnsi="Barlow Semi Condensed"/>
          <w:b/>
          <w:bCs/>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Voce terza — Le direttive dei controlli</w:t>
      </w:r>
    </w:p>
    <w:p>
      <w:pPr>
        <w:spacing w:after="120" w:line="276"/>
        <w:jc w:val="both"/>
      </w:pPr>
      <w:r>
        <w:rPr>
          <w:rFonts w:ascii="Barlow Semi Condensed" w:cs="Barlow Semi Condensed" w:eastAsia="Barlow Semi Condensed" w:hAnsi="Barlow Semi Condensed"/>
          <w:b/>
          <w:bCs/>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Voce quarta — La documentazione analitica della ricerca</w:t>
      </w:r>
    </w:p>
    <w:p>
      <w:pPr>
        <w:spacing w:after="120" w:line="276"/>
        <w:jc w:val="both"/>
      </w:pPr>
      <w:r>
        <w:rPr>
          <w:rFonts w:ascii="Barlow Semi Condensed" w:cs="Barlow Semi Condensed" w:eastAsia="Barlow Semi Condensed" w:hAnsi="Barlow Semi Condensed"/>
          <w:b/>
          <w:bCs/>
          <w:sz w:val="24"/>
          <w:szCs w:val="24"/>
        </w:rPr>
        <w:t xml:space="preserve">Zone controllate, modalità, criteri di selezione e motivazione delle esclusioni durante i cinquantacinque giorni. È l'acquisizione che colmerebbe il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Voce quinta — Le due vie comparative</w:t>
      </w:r>
    </w:p>
    <w:p>
      <w:pPr>
        <w:spacing w:after="120" w:line="276"/>
        <w:jc w:val="both"/>
      </w:pPr>
      <w:r>
        <w:rPr>
          <w:rFonts w:ascii="Barlow Semi Condensed" w:cs="Barlow Semi Condensed" w:eastAsia="Barlow Semi Condensed" w:hAnsi="Barlow Semi Condensed"/>
          <w:b/>
          <w:bCs/>
          <w:sz w:val="24"/>
          <w:szCs w:val="24"/>
        </w:rPr>
        <w:t xml:space="preserve">Documentazione idonea alla comparazione con operazioni analoghe dei medesimi uffici nel medesimo biennio, e comparazione interna fra adempimenti diligenti e non diligenti entro la medesima operazione.</w:t>
      </w:r>
    </w:p>
    <w:p>
      <w:pPr>
        <w:spacing w:after="120" w:line="276"/>
        <w:jc w:val="both"/>
      </w:pPr>
      <w:r>
        <w:rPr>
          <w:rFonts w:ascii="Barlow Semi Condensed" w:cs="Barlow Semi Condensed" w:eastAsia="Barlow Semi Condensed" w:hAnsi="Barlow Semi Condensed"/>
          <w:b/>
          <w:bCs/>
          <w:sz w:val="24"/>
          <w:szCs w:val="24"/>
        </w:rPr>
        <w:t xml:space="preserve">Si segnala che questa voce ha assunto, nella ricognizione successiva, rango superiore a quello che le fu attribuito. Essa è oggi da ritenersi la voce dalla quale dipende l'intera valutazione delle omissioni: finché non è conseguita, la questione se gli inadempimenti riscontrati siano ordinari o anomali resta indecidibile, e ogni discussione su di essa è contrapposizione di impressioni.</w:t>
      </w:r>
    </w:p>
    <w:p>
      <w:pPr>
        <w:pStyle w:val="Heading2"/>
        <w:spacing w:after="100" w:before="200"/>
      </w:pPr>
      <w:r>
        <w:rPr>
          <w:rFonts w:ascii="Barlow Semi Condensed" w:cs="Barlow Semi Condensed" w:eastAsia="Barlow Semi Condensed" w:hAnsi="Barlow Semi Condensed"/>
          <w:sz w:val="24"/>
          <w:szCs w:val="24"/>
        </w:rPr>
        <w:t xml:space="preserve">Voce sesta — L'esame materiale del documento apocrifo</w:t>
      </w:r>
    </w:p>
    <w:p>
      <w:pPr>
        <w:spacing w:after="120" w:line="276"/>
        <w:jc w:val="both"/>
      </w:pPr>
      <w:r>
        <w:rPr>
          <w:rFonts w:ascii="Barlow Semi Condensed" w:cs="Barlow Semi Condensed" w:eastAsia="Barlow Semi Condensed" w:hAnsi="Barlow Semi Condensed"/>
          <w:b/>
          <w:bCs/>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Voce settima — La verifica genealogica delle fonti</w:t>
      </w:r>
    </w:p>
    <w:p>
      <w:pPr>
        <w:spacing w:after="120" w:line="276"/>
        <w:jc w:val="both"/>
      </w:pPr>
      <w:r>
        <w:rPr>
          <w:rFonts w:ascii="Barlow Semi Condensed" w:cs="Barlow Semi Condensed" w:eastAsia="Barlow Semi Condensed" w:hAnsi="Barlow Semi Condensed"/>
          <w:b/>
          <w:bCs/>
          <w:sz w:val="24"/>
          <w:szCs w:val="24"/>
        </w:rPr>
        <w:t xml:space="preserve">Risalita di ciascuna fonte al proprio evento originario, per stabilire quante catene realmente indipendenti sussistano. È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Voce ottava — Le direttrici dichiarate aperte</w:t>
      </w:r>
    </w:p>
    <w:p>
      <w:pPr>
        <w:spacing w:after="120" w:line="276"/>
        <w:jc w:val="both"/>
      </w:pPr>
      <w:r>
        <w:rPr>
          <w:rFonts w:ascii="Barlow Semi Condensed" w:cs="Barlow Semi Condensed" w:eastAsia="Barlow Semi Condensed" w:hAnsi="Barlow Semi Condensed"/>
          <w:b/>
          <w:bCs/>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Voce nona — Il repertorio delle denominazioni</w:t>
      </w:r>
    </w:p>
    <w:p>
      <w:pPr>
        <w:spacing w:after="120" w:line="276"/>
        <w:jc w:val="both"/>
      </w:pPr>
      <w:r>
        <w:rPr>
          <w:rFonts w:ascii="Barlow Semi Condensed" w:cs="Barlow Semi Condensed" w:eastAsia="Barlow Semi Condensed" w:hAnsi="Barlow Semi Condensed"/>
          <w:b/>
          <w:bCs/>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Voce decima — Il documento cifrato del diciassette febbraio 1978</w:t>
      </w:r>
    </w:p>
    <w:p>
      <w:pPr>
        <w:spacing w:after="120" w:line="276"/>
        <w:jc w:val="both"/>
      </w:pPr>
      <w:r>
        <w:rPr>
          <w:rFonts w:ascii="Barlow Semi Condensed" w:cs="Barlow Semi Condensed" w:eastAsia="Barlow Semi Condensed" w:hAnsi="Barlow Semi Condensed"/>
          <w:b/>
          <w:bCs/>
          <w:sz w:val="24"/>
          <w:szCs w:val="24"/>
        </w:rPr>
        <w:t xml:space="preserve">Oggetto: un documento datato un mese anteriore ai fatti, proveniente da fonte cifrata la cui identità è stata sciolta, rintracciato da una Commissione parlamentare. Sede: archivio storico della Camera dei deputati, fondi della Commissione che lo rintracciò.</w:t>
      </w:r>
    </w:p>
    <w:p>
      <w:pPr>
        <w:spacing w:after="120" w:line="276"/>
        <w:jc w:val="both"/>
      </w:pPr>
      <w:r>
        <w:rPr>
          <w:rFonts w:ascii="Barlow Semi Condensed" w:cs="Barlow Semi Condensed" w:eastAsia="Barlow Semi Condensed" w:hAnsi="Barlow Semi Condensed"/>
          <w:b/>
          <w:bCs/>
          <w:sz w:val="24"/>
          <w:szCs w:val="24"/>
        </w:rPr>
        <w:t xml:space="preserve">Chiusura: acquisizione del testo integrale, dei destinatari italiani, del protocollo di ricezione, e degli atti che ne documentino la trasmissione, la valutazione o l'archiviazione.</w:t>
      </w:r>
    </w:p>
    <w:p>
      <w:pPr>
        <w:spacing w:after="120" w:line="276"/>
        <w:jc w:val="both"/>
      </w:pPr>
      <w:r>
        <w:rPr>
          <w:rFonts w:ascii="Barlow Semi Condensed" w:cs="Barlow Semi Condensed" w:eastAsia="Barlow Semi Condensed" w:hAnsi="Barlow Semi Condensed"/>
          <w:b/>
          <w:bCs/>
          <w:sz w:val="24"/>
          <w:szCs w:val="24"/>
        </w:rPr>
        <w:t xml:space="preserve">Smentita: contenuto generico, del genere che i canali informativi producono in quantità; ovvero presenza regolare degli atti di trasmissione conseguenti.</w:t>
      </w:r>
    </w:p>
    <w:p>
      <w:pPr>
        <w:pStyle w:val="Heading2"/>
        <w:spacing w:after="100" w:before="200"/>
      </w:pPr>
      <w:r>
        <w:rPr>
          <w:rFonts w:ascii="Barlow Semi Condensed" w:cs="Barlow Semi Condensed" w:eastAsia="Barlow Semi Condensed" w:hAnsi="Barlow Semi Condensed"/>
          <w:sz w:val="24"/>
          <w:szCs w:val="24"/>
        </w:rPr>
        <w:t xml:space="preserve">Voce undicesima — I flussi informativi dei cinquantacinque giorni</w:t>
      </w:r>
    </w:p>
    <w:p>
      <w:pPr>
        <w:spacing w:after="120" w:line="276"/>
        <w:jc w:val="both"/>
      </w:pPr>
      <w:r>
        <w:rPr>
          <w:rFonts w:ascii="Barlow Semi Condensed" w:cs="Barlow Semi Condensed" w:eastAsia="Barlow Semi Condensed" w:hAnsi="Barlow Semi Condensed"/>
          <w:b/>
          <w:bCs/>
          <w:sz w:val="24"/>
          <w:szCs w:val="24"/>
        </w:rPr>
        <w:t xml:space="preserve">Oggetto: non i contenuti delle informazioni ma la loro circolazione; quali trasmissioni risultino agli atti e quali no. Sede: registri di protocollo in entrata e in uscita degli uffici coinvolti, per il periodo dei fatti e per il mese successivo.</w:t>
      </w:r>
    </w:p>
    <w:p>
      <w:pPr>
        <w:spacing w:after="120" w:line="276"/>
        <w:jc w:val="both"/>
      </w:pPr>
      <w:r>
        <w:rPr>
          <w:rFonts w:ascii="Barlow Semi Condensed" w:cs="Barlow Semi Condensed" w:eastAsia="Barlow Semi Condensed" w:hAnsi="Barlow Semi Condensed"/>
          <w:b/>
          <w:bCs/>
          <w:sz w:val="24"/>
          <w:szCs w:val="24"/>
        </w:rPr>
        <w:t xml:space="preserve">Chiusura: individuazione di atti entrati in un ufficio e non usciti, in assenza di annotazione che ne dia ragione.</w:t>
      </w:r>
    </w:p>
    <w:p>
      <w:pPr>
        <w:spacing w:after="120" w:line="276"/>
        <w:jc w:val="both"/>
      </w:pPr>
      <w:r>
        <w:rPr>
          <w:rFonts w:ascii="Barlow Semi Condensed" w:cs="Barlow Semi Condensed" w:eastAsia="Barlow Semi Condensed" w:hAnsi="Barlow Semi Condensed"/>
          <w:b/>
          <w:bCs/>
          <w:sz w:val="24"/>
          <w:szCs w:val="24"/>
        </w:rPr>
        <w:t xml:space="preserve">Smentita: rinvenimento degli atti di trasmissione, ovvero constatazione che il flusso non fosse dovuto.</w:t>
      </w:r>
    </w:p>
    <w:p>
      <w:pPr>
        <w:pStyle w:val="Heading2"/>
        <w:spacing w:after="100" w:before="200"/>
      </w:pPr>
      <w:r>
        <w:rPr>
          <w:rFonts w:ascii="Barlow Semi Condensed" w:cs="Barlow Semi Condensed" w:eastAsia="Barlow Semi Condensed" w:hAnsi="Barlow Semi Condensed"/>
          <w:sz w:val="24"/>
          <w:szCs w:val="24"/>
        </w:rPr>
        <w:t xml:space="preserve">Voce dodicesima — Il registro delle segnalazioni archiviate</w:t>
      </w:r>
    </w:p>
    <w:p>
      <w:pPr>
        <w:spacing w:after="120" w:line="276"/>
        <w:jc w:val="both"/>
      </w:pPr>
      <w:r>
        <w:rPr>
          <w:rFonts w:ascii="Barlow Semi Condensed" w:cs="Barlow Semi Condensed" w:eastAsia="Barlow Semi Condensed" w:hAnsi="Barlow Semi Condensed"/>
          <w:b/>
          <w:bCs/>
          <w:sz w:val="24"/>
          <w:szCs w:val="24"/>
        </w:rPr>
        <w:t xml:space="preserve">Oggetto: il rapporto fra segnalazioni verificate e segnalazioni archiviate senza verifica, e l'autorità che dispose l'archiviazione. Sede: uffici che raccoglievano le segnalazioni.</w:t>
      </w:r>
    </w:p>
    <w:p>
      <w:pPr>
        <w:spacing w:after="120" w:line="276"/>
        <w:jc w:val="both"/>
      </w:pPr>
      <w:r>
        <w:rPr>
          <w:rFonts w:ascii="Barlow Semi Condensed" w:cs="Barlow Semi Condensed" w:eastAsia="Barlow Semi Condensed" w:hAnsi="Barlow Semi Condensed"/>
          <w:b/>
          <w:bCs/>
          <w:sz w:val="24"/>
          <w:szCs w:val="24"/>
        </w:rPr>
        <w:t xml:space="preserve">Chiusura: accertamento della distribuzione delle archiviazioni.</w:t>
      </w:r>
    </w:p>
    <w:p>
      <w:pPr>
        <w:spacing w:after="120" w:line="276"/>
        <w:jc w:val="both"/>
      </w:pPr>
      <w:r>
        <w:rPr>
          <w:rFonts w:ascii="Barlow Semi Condensed" w:cs="Barlow Semi Condensed" w:eastAsia="Barlow Semi Condensed" w:hAnsi="Barlow Semi Condensed"/>
          <w:b/>
          <w:bCs/>
          <w:sz w:val="24"/>
          <w:szCs w:val="24"/>
        </w:rPr>
        <w:t xml:space="preserve">Smentita: distribuzione proporzionata al volume e alla qualità delle segnalazioni ricevute.</w:t>
      </w:r>
    </w:p>
    <w:p>
      <w:pPr>
        <w:pStyle w:val="Heading2"/>
        <w:spacing w:after="100" w:before="200"/>
      </w:pPr>
      <w:r>
        <w:rPr>
          <w:rFonts w:ascii="Barlow Semi Condensed" w:cs="Barlow Semi Condensed" w:eastAsia="Barlow Semi Condensed" w:hAnsi="Barlow Semi Condensed"/>
          <w:sz w:val="24"/>
          <w:szCs w:val="24"/>
        </w:rPr>
        <w:t xml:space="preserve">Voce tredicesima — Il biglietto di via Gradoli</w:t>
      </w:r>
    </w:p>
    <w:p>
      <w:pPr>
        <w:spacing w:after="120" w:line="276"/>
        <w:jc w:val="both"/>
      </w:pPr>
      <w:r>
        <w:rPr>
          <w:rFonts w:ascii="Barlow Semi Condensed" w:cs="Barlow Semi Condensed" w:eastAsia="Barlow Semi Condensed" w:hAnsi="Barlow Semi Condensed"/>
          <w:b/>
          <w:bCs/>
          <w:sz w:val="24"/>
          <w:szCs w:val="24"/>
        </w:rPr>
        <w:t xml:space="preserve">Oggetto: identità del funzionario destinatario, ufficio di appartenenza, registro di corrispondenza del periodo. Sede: ufficio di servizio del funzionario; atti del procedimento nel quale la circostanza fu riferita.</w:t>
      </w:r>
    </w:p>
    <w:p>
      <w:pPr>
        <w:spacing w:after="120" w:line="276"/>
        <w:jc w:val="both"/>
      </w:pPr>
      <w:r>
        <w:rPr>
          <w:rFonts w:ascii="Barlow Semi Condensed" w:cs="Barlow Semi Condensed" w:eastAsia="Barlow Semi Condensed" w:hAnsi="Barlow Semi Condensed"/>
          <w:b/>
          <w:bCs/>
          <w:sz w:val="24"/>
          <w:szCs w:val="24"/>
        </w:rPr>
        <w:t xml:space="preserve">Chiusura: qualunque elemento documentale che muova la questione, oggi ferma allo stallo fra due dichiarazioni opposte.</w:t>
      </w:r>
    </w:p>
    <w:p>
      <w:pPr>
        <w:spacing w:after="120" w:line="276"/>
        <w:jc w:val="both"/>
      </w:pPr>
      <w:r>
        <w:rPr>
          <w:rFonts w:ascii="Barlow Semi Condensed" w:cs="Barlow Semi Condensed" w:eastAsia="Barlow Semi Condensed" w:hAnsi="Barlow Semi Condensed"/>
          <w:b/>
          <w:bCs/>
          <w:sz w:val="24"/>
          <w:szCs w:val="24"/>
        </w:rPr>
        <w:t xml:space="preserve">Smentita: elementi che qualifichino la testimonianza come deformata da narrazioni successive, ipotesi sostenuta da ricercatori che hanno riletto le carte e non verificata.</w:t>
      </w:r>
    </w:p>
    <w:p>
      <w:pPr>
        <w:pStyle w:val="Heading2"/>
        <w:spacing w:after="100" w:before="200"/>
      </w:pPr>
      <w:r>
        <w:rPr>
          <w:rFonts w:ascii="Barlow Semi Condensed" w:cs="Barlow Semi Condensed" w:eastAsia="Barlow Semi Condensed" w:hAnsi="Barlow Semi Condensed"/>
          <w:sz w:val="24"/>
          <w:szCs w:val="24"/>
        </w:rPr>
        <w:t xml:space="preserve">Voce quattordicesima — Le fonti confidenziali attive nel marzo 1978</w:t>
      </w:r>
    </w:p>
    <w:p>
      <w:pPr>
        <w:spacing w:after="120" w:line="276"/>
        <w:jc w:val="both"/>
      </w:pPr>
      <w:r>
        <w:rPr>
          <w:rFonts w:ascii="Barlow Semi Condensed" w:cs="Barlow Semi Condensed" w:eastAsia="Barlow Semi Condensed" w:hAnsi="Barlow Semi Condensed"/>
          <w:b/>
          <w:bCs/>
          <w:sz w:val="24"/>
          <w:szCs w:val="24"/>
        </w:rPr>
        <w:t xml:space="preserve">Oggetto: esistenza di una gestione di fonti nel periodo dei fatti, e destinazione delle informazioni da esse provenienti. Sede: archivi delle divisioni che trattavano le fonti; registri dei compensi, che sopravvivono là dove i fascicoli non sopravvivono.</w:t>
      </w:r>
    </w:p>
    <w:p>
      <w:pPr>
        <w:spacing w:after="120" w:line="276"/>
        <w:jc w:val="both"/>
      </w:pPr>
      <w:r>
        <w:rPr>
          <w:rFonts w:ascii="Barlow Semi Condensed" w:cs="Barlow Semi Condensed" w:eastAsia="Barlow Semi Condensed" w:hAnsi="Barlow Semi Condensed"/>
          <w:b/>
          <w:bCs/>
          <w:sz w:val="24"/>
          <w:szCs w:val="24"/>
        </w:rPr>
        <w:t xml:space="preserve">Chiusura: accertamento dell'esistenza della gestione e della trasmissione o mancata trasmissione delle informazioni.</w:t>
      </w:r>
    </w:p>
    <w:p>
      <w:pPr>
        <w:spacing w:after="120" w:line="276"/>
        <w:jc w:val="both"/>
      </w:pPr>
      <w:r>
        <w:rPr>
          <w:rFonts w:ascii="Barlow Semi Condensed" w:cs="Barlow Semi Condensed" w:eastAsia="Barlow Semi Condensed" w:hAnsi="Barlow Semi Condensed"/>
          <w:b/>
          <w:bCs/>
          <w:sz w:val="24"/>
          <w:szCs w:val="24"/>
        </w:rPr>
        <w:t xml:space="preserve">Smentita: assenza di gestione nel periodo, ovvero regolarità della trasmissione.</w:t>
      </w:r>
    </w:p>
    <w:p>
      <w:pPr>
        <w:pStyle w:val="Heading2"/>
        <w:spacing w:after="100" w:before="200"/>
      </w:pPr>
      <w:r>
        <w:rPr>
          <w:rFonts w:ascii="Barlow Semi Condensed" w:cs="Barlow Semi Condensed" w:eastAsia="Barlow Semi Condensed" w:hAnsi="Barlow Semi Condensed"/>
          <w:sz w:val="24"/>
          <w:szCs w:val="24"/>
        </w:rPr>
        <w:t xml:space="preserve">Voce quindicesima — I documenti rinvenuti a Dusseldorf</w:t>
      </w:r>
    </w:p>
    <w:p>
      <w:pPr>
        <w:spacing w:after="120" w:line="276"/>
        <w:jc w:val="both"/>
      </w:pPr>
      <w:r>
        <w:rPr>
          <w:rFonts w:ascii="Barlow Semi Condensed" w:cs="Barlow Semi Condensed" w:eastAsia="Barlow Semi Condensed" w:hAnsi="Barlow Semi Condensed"/>
          <w:b/>
          <w:bCs/>
          <w:sz w:val="24"/>
          <w:szCs w:val="24"/>
        </w:rPr>
        <w:t xml:space="preserve">Oggetto: i documenti attestanti i contatti fra le due organizzazioni, rinvenuti sul corpo di un militante tedesco ucciso nel 1978, e i verbali relativi ai suoi movimenti in Italia nei mesi anteriori. Sede: archivi della polizia federale tedesca e della magistratura competente.</w:t>
      </w:r>
    </w:p>
    <w:p>
      <w:pPr>
        <w:spacing w:after="120" w:line="276"/>
        <w:jc w:val="both"/>
      </w:pPr>
      <w:r>
        <w:rPr>
          <w:rFonts w:ascii="Barlow Semi Condensed" w:cs="Barlow Semi Condensed" w:eastAsia="Barlow Semi Condensed" w:hAnsi="Barlow Semi Condensed"/>
          <w:b/>
          <w:bCs/>
          <w:sz w:val="24"/>
          <w:szCs w:val="24"/>
        </w:rPr>
        <w:t xml:space="preserve">Chiusura: acquisizione dei documenti e dei verbali di sorveglianza.</w:t>
      </w:r>
    </w:p>
    <w:p>
      <w:pPr>
        <w:spacing w:after="120" w:line="276"/>
        <w:jc w:val="both"/>
      </w:pPr>
      <w:r>
        <w:rPr>
          <w:rFonts w:ascii="Barlow Semi Condensed" w:cs="Barlow Semi Condensed" w:eastAsia="Barlow Semi Condensed" w:hAnsi="Barlow Semi Condensed"/>
          <w:b/>
          <w:bCs/>
          <w:sz w:val="24"/>
          <w:szCs w:val="24"/>
        </w:rPr>
        <w:t xml:space="preserve">Smentita: assenza di sorveglianza sui viaggi italiani.</w:t>
      </w:r>
    </w:p>
    <w:p>
      <w:pPr>
        <w:spacing w:after="120" w:line="276"/>
        <w:jc w:val="both"/>
      </w:pPr>
      <w:r>
        <w:rPr>
          <w:rFonts w:ascii="Barlow Semi Condensed" w:cs="Barlow Semi Condensed" w:eastAsia="Barlow Semi Condensed" w:hAnsi="Barlow Semi Condensed"/>
          <w:b/>
          <w:bCs/>
          <w:sz w:val="24"/>
          <w:szCs w:val="24"/>
        </w:rPr>
        <w:t xml:space="preserve">Si segnala che questo è l'arco internazionale meglio documentato dell'intera vicenda ed è fra i meno battuti.</w:t>
      </w:r>
    </w:p>
    <w:p>
      <w:pPr>
        <w:pStyle w:val="Heading2"/>
        <w:spacing w:after="100" w:before="200"/>
      </w:pPr>
      <w:r>
        <w:rPr>
          <w:rFonts w:ascii="Barlow Semi Condensed" w:cs="Barlow Semi Condensed" w:eastAsia="Barlow Semi Condensed" w:hAnsi="Barlow Semi Condensed"/>
          <w:sz w:val="24"/>
          <w:szCs w:val="24"/>
        </w:rPr>
        <w:t xml:space="preserve">Voce sedicesima — Il trattamento del comprimario dell'autore del falso</w:t>
      </w:r>
    </w:p>
    <w:p>
      <w:pPr>
        <w:spacing w:after="120" w:line="276"/>
        <w:jc w:val="both"/>
      </w:pPr>
      <w:r>
        <w:rPr>
          <w:rFonts w:ascii="Barlow Semi Condensed" w:cs="Barlow Semi Condensed" w:eastAsia="Barlow Semi Condensed" w:hAnsi="Barlow Semi Condensed"/>
          <w:b/>
          <w:bCs/>
          <w:sz w:val="24"/>
          <w:szCs w:val="24"/>
        </w:rPr>
        <w:t xml:space="preserve">Oggetto: quale ufficio trattasse come fonte confidenziale il comprimario dell'autore del documento apocrifo, qualificato negli atti come confidente anche a significativi livelli. Sede: archivi delle divisioni che trattavano le fonti; annotazioni di servizio.</w:t>
      </w:r>
    </w:p>
    <w:p>
      <w:pPr>
        <w:spacing w:after="120" w:line="276"/>
        <w:jc w:val="both"/>
      </w:pPr>
      <w:r>
        <w:rPr>
          <w:rFonts w:ascii="Barlow Semi Condensed" w:cs="Barlow Semi Condensed" w:eastAsia="Barlow Semi Condensed" w:hAnsi="Barlow Semi Condensed"/>
          <w:b/>
          <w:bCs/>
          <w:sz w:val="24"/>
          <w:szCs w:val="24"/>
        </w:rPr>
        <w:t xml:space="preserve">Chiusura: accertamento della relazione fiduciaria e della sua epoca. Si precisa che rilevano le annotazioni del 1978 e del 1979, e non quelle successive al 1984, quando la vicenda era già emersa e le annotazioni potevano essere redatte in funzione di essa.</w:t>
      </w:r>
    </w:p>
    <w:p>
      <w:pPr>
        <w:spacing w:after="120" w:line="276"/>
        <w:jc w:val="both"/>
      </w:pPr>
      <w:r>
        <w:rPr>
          <w:rFonts w:ascii="Barlow Semi Condensed" w:cs="Barlow Semi Condensed" w:eastAsia="Barlow Semi Condensed" w:hAnsi="Barlow Semi Condensed"/>
          <w:b/>
          <w:bCs/>
          <w:sz w:val="24"/>
          <w:szCs w:val="24"/>
        </w:rPr>
        <w:t xml:space="preserve">Smentita: assenza di trattamento nel periodo, ovvero trattamento avviato soltanto dopo i fatti.</w:t>
      </w:r>
    </w:p>
    <w:p>
      <w:pPr>
        <w:pStyle w:val="Heading2"/>
        <w:spacing w:after="100" w:before="200"/>
      </w:pPr>
      <w:r>
        <w:rPr>
          <w:rFonts w:ascii="Barlow Semi Condensed" w:cs="Barlow Semi Condensed" w:eastAsia="Barlow Semi Condensed" w:hAnsi="Barlow Semi Condensed"/>
          <w:sz w:val="24"/>
          <w:szCs w:val="24"/>
        </w:rPr>
        <w:t xml:space="preserve">Voce diciassettesima — La serie dei documenti apocrifi successivi</w:t>
      </w:r>
    </w:p>
    <w:p>
      <w:pPr>
        <w:spacing w:after="120" w:line="276"/>
        <w:jc w:val="both"/>
      </w:pPr>
      <w:r>
        <w:rPr>
          <w:rFonts w:ascii="Barlow Semi Condensed" w:cs="Barlow Semi Condensed" w:eastAsia="Barlow Semi Condensed" w:hAnsi="Barlow Semi Condensed"/>
          <w:b/>
          <w:bCs/>
          <w:sz w:val="24"/>
          <w:szCs w:val="24"/>
        </w:rPr>
        <w:t xml:space="preserve">Oggetto: le date, i destinatari, il contenuto e gli effetti dei documenti apocrifi di apparente provenienza brigatista che il medesimo autore fece rinvenire, in almeno quattro occasioni distinte, negli anni successivi al 1978. Sede: atti dei procedimenti relativi a ciascun episodio.</w:t>
      </w:r>
    </w:p>
    <w:p>
      <w:pPr>
        <w:spacing w:after="120" w:line="276"/>
        <w:jc w:val="both"/>
      </w:pPr>
      <w:r>
        <w:rPr>
          <w:rFonts w:ascii="Barlow Semi Condensed" w:cs="Barlow Semi Condensed" w:eastAsia="Barlow Semi Condensed" w:hAnsi="Barlow Semi Condensed"/>
          <w:b/>
          <w:bCs/>
          <w:sz w:val="24"/>
          <w:szCs w:val="24"/>
        </w:rPr>
        <w:t xml:space="preserve">Chiusura: trattamento dei quattro episodi come serie unitaria anziché come episodi separati, con accertamento della direzione degli effetti prodotti.</w:t>
      </w:r>
    </w:p>
    <w:p>
      <w:pPr>
        <w:spacing w:after="120" w:line="276"/>
        <w:jc w:val="both"/>
      </w:pPr>
      <w:r>
        <w:rPr>
          <w:rFonts w:ascii="Barlow Semi Condensed" w:cs="Barlow Semi Condensed" w:eastAsia="Barlow Semi Condensed" w:hAnsi="Barlow Semi Condensed"/>
          <w:b/>
          <w:bCs/>
          <w:sz w:val="24"/>
          <w:szCs w:val="24"/>
        </w:rPr>
        <w:t xml:space="preserve">Smentita: effetti divergenti fra loro, che indicherebbero iniziativa autonoma per fini propri.</w:t>
      </w:r>
    </w:p>
    <w:p>
      <w:pPr>
        <w:pStyle w:val="Heading2"/>
        <w:spacing w:after="100" w:before="200"/>
      </w:pPr>
      <w:r>
        <w:rPr>
          <w:rFonts w:ascii="Barlow Semi Condensed" w:cs="Barlow Semi Condensed" w:eastAsia="Barlow Semi Condensed" w:hAnsi="Barlow Semi Condensed"/>
          <w:sz w:val="24"/>
          <w:szCs w:val="24"/>
        </w:rPr>
        <w:t xml:space="preserve">Voce diciottesima — La catena delle armi</w:t>
      </w:r>
    </w:p>
    <w:p>
      <w:pPr>
        <w:spacing w:after="120" w:line="276"/>
        <w:jc w:val="both"/>
      </w:pPr>
      <w:r>
        <w:rPr>
          <w:rFonts w:ascii="Barlow Semi Condensed" w:cs="Barlow Semi Condensed" w:eastAsia="Barlow Semi Condensed" w:hAnsi="Barlow Semi Condensed"/>
          <w:b/>
          <w:bCs/>
          <w:sz w:val="24"/>
          <w:szCs w:val="24"/>
        </w:rPr>
        <w:t xml:space="preserve">Oggetto: la ricostruzione completa del lotto al quale appartiene l'arma impiegata il nove maggio: importazione, via, detenzioni successive, riemersioni in altri procedimenti. Sede: archivi balistici; atti dei procedimenti nei quali armi del lotto sono riemerse.</w:t>
      </w:r>
    </w:p>
    <w:p>
      <w:pPr>
        <w:spacing w:after="120" w:line="276"/>
        <w:jc w:val="both"/>
      </w:pPr>
      <w:r>
        <w:rPr>
          <w:rFonts w:ascii="Barlow Semi Condensed" w:cs="Barlow Semi Condensed" w:eastAsia="Barlow Semi Condensed" w:hAnsi="Barlow Semi Condensed"/>
          <w:b/>
          <w:bCs/>
          <w:sz w:val="24"/>
          <w:szCs w:val="24"/>
        </w:rPr>
        <w:t xml:space="preserve">Chiusura: compilazione della catena per intero.</w:t>
      </w:r>
    </w:p>
    <w:p>
      <w:pPr>
        <w:spacing w:after="120" w:line="276"/>
        <w:jc w:val="both"/>
      </w:pPr>
      <w:r>
        <w:rPr>
          <w:rFonts w:ascii="Barlow Semi Condensed" w:cs="Barlow Semi Condensed" w:eastAsia="Barlow Semi Condensed" w:hAnsi="Barlow Semi Condensed"/>
          <w:b/>
          <w:bCs/>
          <w:sz w:val="24"/>
          <w:szCs w:val="24"/>
        </w:rPr>
        <w:t xml:space="preserve">Smentita: catena che resti interna al medesimo ambiente.</w:t>
      </w:r>
    </w:p>
    <w:p>
      <w:pPr>
        <w:spacing w:after="120" w:line="276"/>
        <w:jc w:val="both"/>
      </w:pPr>
      <w:r>
        <w:rPr>
          <w:rFonts w:ascii="Barlow Semi Condensed" w:cs="Barlow Semi Condensed" w:eastAsia="Barlow Semi Condensed" w:hAnsi="Barlow Semi Condensed"/>
          <w:b/>
          <w:bCs/>
          <w:sz w:val="24"/>
          <w:szCs w:val="24"/>
        </w:rPr>
        <w:t xml:space="preserve">Si ricorda che il dato tecnico sulla fabbricazione è al grado massimo e ogni inferenza sulla provenienza operativa al grado minimo, e che la presente voce non è diretta a promuovere la seconda ma a documentare la circolazione.</w:t>
      </w:r>
    </w:p>
    <w:p>
      <w:pPr>
        <w:pStyle w:val="Heading2"/>
        <w:spacing w:after="100" w:before="200"/>
      </w:pPr>
      <w:r>
        <w:rPr>
          <w:rFonts w:ascii="Barlow Semi Condensed" w:cs="Barlow Semi Condensed" w:eastAsia="Barlow Semi Condensed" w:hAnsi="Barlow Semi Condensed"/>
          <w:sz w:val="24"/>
          <w:szCs w:val="24"/>
        </w:rPr>
        <w:t xml:space="preserve">Voce diciannovesima — Il lotto degli ordigni sottratti nel 1972</w:t>
      </w:r>
    </w:p>
    <w:p>
      <w:pPr>
        <w:spacing w:after="120" w:line="276"/>
        <w:jc w:val="both"/>
      </w:pPr>
      <w:r>
        <w:rPr>
          <w:rFonts w:ascii="Barlow Semi Condensed" w:cs="Barlow Semi Condensed" w:eastAsia="Barlow Semi Condensed" w:hAnsi="Barlow Semi Condensed"/>
          <w:b/>
          <w:bCs/>
          <w:sz w:val="24"/>
          <w:szCs w:val="24"/>
        </w:rPr>
        <w:t xml:space="preserve">Oggetto: la mappa completa delle riemersioni dello stock di centotrentacinque bombe a mano sottratte da un deposito militare elvetico il sedici novembre 1972, con data, luogo e ambiente detentore di ciascuna. Sede: archivi elvetici e italiani; atti dei procedimenti in cui ordigni del lotto sono riemersi.</w:t>
      </w:r>
    </w:p>
    <w:p>
      <w:pPr>
        <w:spacing w:after="120" w:line="276"/>
        <w:jc w:val="both"/>
      </w:pPr>
      <w:r>
        <w:rPr>
          <w:rFonts w:ascii="Barlow Semi Condensed" w:cs="Barlow Semi Condensed" w:eastAsia="Barlow Semi Condensed" w:hAnsi="Barlow Semi Condensed"/>
          <w:b/>
          <w:bCs/>
          <w:sz w:val="24"/>
          <w:szCs w:val="24"/>
        </w:rPr>
        <w:t xml:space="preserve">Chiusura: compilazione della mappa.</w:t>
      </w:r>
    </w:p>
    <w:p>
      <w:pPr>
        <w:spacing w:after="120" w:line="276"/>
        <w:jc w:val="both"/>
      </w:pPr>
      <w:r>
        <w:rPr>
          <w:rFonts w:ascii="Barlow Semi Condensed" w:cs="Barlow Semi Condensed" w:eastAsia="Barlow Semi Condensed" w:hAnsi="Barlow Semi Condensed"/>
          <w:b/>
          <w:bCs/>
          <w:sz w:val="24"/>
          <w:szCs w:val="24"/>
        </w:rPr>
        <w:t xml:space="preserve">Smentita: distribuzione concentrata in un solo ambiente.</w:t>
      </w:r>
    </w:p>
    <w:p>
      <w:pPr>
        <w:spacing w:after="120" w:line="276"/>
        <w:jc w:val="both"/>
      </w:pPr>
      <w:r>
        <w:rPr>
          <w:rFonts w:ascii="Barlow Semi Condensed" w:cs="Barlow Semi Condensed" w:eastAsia="Barlow Semi Condensed" w:hAnsi="Barlow Semi Condensed"/>
          <w:b/>
          <w:bCs/>
          <w:sz w:val="24"/>
          <w:szCs w:val="24"/>
        </w:rPr>
        <w:t xml:space="preserve">Si segnala che è il solo filone dell'intera vicenda che poggi su oggetti numerati, e che non risulta mai essere stato compilato per intero.</w:t>
      </w:r>
    </w:p>
    <w:p>
      <w:pPr>
        <w:pStyle w:val="Heading2"/>
        <w:spacing w:after="100" w:before="200"/>
      </w:pPr>
      <w:r>
        <w:rPr>
          <w:rFonts w:ascii="Barlow Semi Condensed" w:cs="Barlow Semi Condensed" w:eastAsia="Barlow Semi Condensed" w:hAnsi="Barlow Semi Condensed"/>
          <w:sz w:val="24"/>
          <w:szCs w:val="24"/>
        </w:rPr>
        <w:t xml:space="preserve">Nota sulla tavola accresciuta</w:t>
      </w:r>
    </w:p>
    <w:p>
      <w:pPr>
        <w:spacing w:after="120" w:line="276"/>
        <w:jc w:val="both"/>
      </w:pPr>
      <w:r>
        <w:rPr>
          <w:rFonts w:ascii="Barlow Semi Condensed" w:cs="Barlow Semi Condensed" w:eastAsia="Barlow Semi Condensed" w:hAnsi="Barlow Semi Condensed"/>
          <w:b/>
          <w:bCs/>
          <w:sz w:val="24"/>
          <w:szCs w:val="24"/>
        </w:rPr>
        <w:t xml:space="preserve">Si conferma quanto già osservato al Capitolo sessantanovesimo, e con maggior forza ora che le voci sono diciannove: nessuna di esse richiede una decisione metodologica. Tutte richiedono un accesso.</w:t>
      </w:r>
    </w:p>
    <w:p>
      <w:pPr>
        <w:spacing w:after="120" w:line="276"/>
        <w:jc w:val="both"/>
      </w:pPr>
      <w:r>
        <w:rPr>
          <w:rFonts w:ascii="Barlow Semi Condensed" w:cs="Barlow Semi Condensed" w:eastAsia="Barlow Semi Condensed" w:hAnsi="Barlow Semi Condensed"/>
          <w:b/>
          <w:bCs/>
          <w:sz w:val="24"/>
          <w:szCs w:val="24"/>
        </w:rPr>
        <w:t xml:space="preserve">Giunta al termine dei settanta Capitoli, e accresciuta la tavola di dieci voci, l'opera non è ferma per difetto di metodo. È ferma davanti a porte di archivio, e le porte sono ora nominate una per una.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Cantiere: tavola delle acquisizioni necessarie. Materia: accrescimento da nove a diciannove voci per recepimento della sola parte documentale di una ricognizione operativa esterna.</w:t>
      </w:r>
    </w:p>
    <w:p>
      <w:pPr>
        <w:spacing w:after="120" w:line="276"/>
        <w:jc w:val="both"/>
      </w:pPr>
      <w:r>
        <w:rPr>
          <w:rFonts w:ascii="Barlow Semi Condensed" w:cs="Barlow Semi Condensed" w:eastAsia="Barlow Semi Condensed" w:hAnsi="Barlow Semi Condensed"/>
          <w:b/>
          <w:bCs/>
          <w:sz w:val="24"/>
          <w:szCs w:val="24"/>
        </w:rPr>
        <w:t xml:space="preserve">Esito: dieci voci nuove, ciascuna con oggetto, sede, condizione di chiusura e condizione di smentita. Una voce anteriore, la quinta, è elevata di rango per riconoscimento della sua natura pregiudiziale rispetto all'intera valutazione delle omissioni.</w:t>
      </w:r>
    </w:p>
    <w:p>
      <w:pPr>
        <w:spacing w:after="120" w:line="276"/>
        <w:jc w:val="both"/>
      </w:pPr>
      <w:r>
        <w:rPr>
          <w:rFonts w:ascii="Barlow Semi Condensed" w:cs="Barlow Semi Condensed" w:eastAsia="Barlow Semi Condensed" w:hAnsi="Barlow Semi Condensed"/>
          <w:b/>
          <w:bCs/>
          <w:sz w:val="24"/>
          <w:szCs w:val="24"/>
        </w:rPr>
        <w:t xml:space="preserve">Riga di esclusione dichiarata. Non sono recepiti nell'opera, e restano nel documento operativo esterno, la distribuzione di propensioni soggettive fra scenari alternativi e la sua rinormalizzazione. L'esclusione è motivata al principio della presente appendice e non è di cautela ma di natura: l'opera gradua le proposizioni secondo le fonti e non secondo la fiducia dell'autore.</w:t>
      </w:r>
    </w:p>
    <w:p>
      <w:pPr>
        <w:spacing w:after="120" w:line="276"/>
        <w:jc w:val="both"/>
      </w:pPr>
      <w:r>
        <w:rPr>
          <w:rFonts w:ascii="Barlow Semi Condensed" w:cs="Barlow Semi Condensed" w:eastAsia="Barlow Semi Condensed" w:hAnsi="Barlow Semi Condensed"/>
          <w:b/>
          <w:bCs/>
          <w:sz w:val="24"/>
          <w:szCs w:val="24"/>
        </w:rPr>
        <w:t xml:space="preserve">Riga di avvertenza. Chi conduca gli accertamenti qui iscritti registri gli esiti negativi con la medesima precisione degli esiti positivi, e tenga distinto ciò che il documento attesta da ciò che egli ne inferisce. La seconda distinzione va scritta e non tenuta a mente.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ALLA FASE SETTIMA, tavola accresciuta delle acquisizioni necessarie, quindici agosto duemilaventisei. I settanta Capitoli restano settanta. Resta sovrana la Regola di Ferro: dove la fonte documenta, l'opera certifica; dove la fonte tace, l'opera indaga e non afferma.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quindicesimo · Il Registro dei cinquantacinque giorni, opera seconda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42.751 parole in 9 sezioni; la più ampia è §9 Altre sezioni, con 42.469.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1.157 paragrafi in 9 sezioni, 129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Appendici · L'apparato dei gradi (indice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1.822 parole in 7 sezioni; la più ampia è §7 Lettura d'insieme dell'apparato, con 366.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15 paragrafi in 7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Relazione sui lavori in stile moroteo (pastiche dichiarato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829 parole in 4 sezioni; la più ampia è §2 II. Del corpus guevariano e della sua verifica, con 291.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III. Verifica di un elenco esterno (i trentatré nomi)</w:t>
      </w:r>
    </w:p>
    <w:p>
      <w:pPr>
        <w:pStyle w:val="Heading1"/>
        <w:spacing w:after="120" w:before="240"/>
      </w:pPr>
      <w:r>
        <w:rPr>
          <w:rFonts w:ascii="Barlow Semi Condensed" w:cs="Barlow Semi Condensed" w:eastAsia="Barlow Semi Condensed" w:hAnsi="Barlow Semi Condensed"/>
          <w:sz w:val="24"/>
          <w:szCs w:val="24"/>
        </w:rPr>
        <w:t xml:space="preserve">Verifica dell'elenco dei trentatré nomi e dei numeri di tessera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La dichiarazione sta in apertura perché è parte</w:t>
      </w:r>
    </w:p>
    <w:p>
      <w:pPr>
        <w:spacing w:after="120" w:line="276"/>
        <w:jc w:val="both"/>
      </w:pPr>
      <w:r>
        <w:rPr>
          <w:rFonts w:ascii="Barlow Semi Condensed" w:cs="Barlow Semi Condensed" w:eastAsia="Barlow Semi Condensed" w:hAnsi="Barlow Semi Condensed"/>
          <w:sz w:val="24"/>
          <w:szCs w:val="24"/>
        </w:rPr>
        <w:t xml:space="preserve">dell'oggetto, non una circostanza accessoria della produzione.*</w:t>
      </w:r>
    </w:p>
    <w:p>
      <w:pPr>
        <w:spacing w:after="120" w:line="276"/>
        <w:jc w:val="both"/>
      </w:pPr>
      <w:r>
        <w:rPr>
          <w:rFonts w:ascii="Barlow Semi Condensed" w:cs="Barlow Semi Condensed" w:eastAsia="Barlow Semi Condensed" w:hAnsi="Barlow Semi Condensed"/>
          <w:b/>
          <w:bCs/>
          <w:sz w:val="24"/>
          <w:szCs w:val="24"/>
        </w:rPr>
        <w:t xml:space="preserve">Lotto:</w:t>
      </w:r>
      <w:r>
        <w:rPr>
          <w:rFonts w:ascii="Barlow Semi Condensed" w:cs="Barlow Semi Condensed" w:eastAsia="Barlow Semi Condensed" w:hAnsi="Barlow Semi Condensed"/>
          <w:sz w:val="24"/>
          <w:szCs w:val="24"/>
        </w:rPr>
        <w:t xml:space="preserve"> verifica di un testo esterno sottoposto al corpus il 26 agosto 2026.</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una tabella di trentatré nominativi con ruolo attribuito nella</w:t>
      </w:r>
    </w:p>
    <w:p>
      <w:pPr>
        <w:spacing w:after="120" w:line="276"/>
        <w:jc w:val="both"/>
      </w:pPr>
      <w:r>
        <w:rPr>
          <w:rFonts w:ascii="Barlow Semi Condensed" w:cs="Barlow Semi Condensed" w:eastAsia="Barlow Semi Condensed" w:hAnsi="Barlow Semi Condensed"/>
          <w:sz w:val="24"/>
          <w:szCs w:val="24"/>
        </w:rPr>
        <w:t xml:space="preserve">primavera del 1978 e presunto numero di tessera della loggia Propaganda Due.</w:t>
      </w:r>
    </w:p>
    <w:p>
      <w:pPr>
        <w:spacing w:after="120" w:line="276"/>
        <w:jc w:val="both"/>
      </w:pPr>
      <w:r>
        <w:rPr>
          <w:rFonts w:ascii="Barlow Semi Condensed" w:cs="Barlow Semi Condensed" w:eastAsia="Barlow Semi Condensed" w:hAnsi="Barlow Semi Condensed"/>
          <w:b/>
          <w:bCs/>
          <w:sz w:val="24"/>
          <w:szCs w:val="24"/>
        </w:rPr>
        <w:t xml:space="preserve">Esito in una riga:</w:t>
      </w:r>
      <w:r>
        <w:rPr>
          <w:rFonts w:ascii="Barlow Semi Condensed" w:cs="Barlow Semi Condensed" w:eastAsia="Barlow Semi Condensed" w:hAnsi="Barlow Semi Condensed"/>
          <w:sz w:val="24"/>
          <w:szCs w:val="24"/>
        </w:rPr>
        <w:t xml:space="preserve"> i nomi in larga parte reggono, i numeri 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Metodo</w:t>
      </w:r>
    </w:p>
    <w:p>
      <w:pPr>
        <w:spacing w:after="120" w:line="276"/>
        <w:jc w:val="both"/>
      </w:pPr>
      <w:r>
        <w:rPr>
          <w:rFonts w:ascii="Barlow Semi Condensed" w:cs="Barlow Semi Condensed" w:eastAsia="Barlow Semi Condensed" w:hAnsi="Barlow Semi Condensed"/>
          <w:sz w:val="24"/>
          <w:szCs w:val="24"/>
        </w:rPr>
        <w:t xml:space="preserve">Un elenco si verifica </w:t>
      </w:r>
      <w:r>
        <w:rPr>
          <w:rFonts w:ascii="Barlow Semi Condensed" w:cs="Barlow Semi Condensed" w:eastAsia="Barlow Semi Condensed" w:hAnsi="Barlow Semi Condensed"/>
          <w:b/>
          <w:bCs/>
          <w:sz w:val="24"/>
          <w:szCs w:val="24"/>
        </w:rPr>
        <w:t xml:space="preserve">per campi separati, non in blocco</w:t>
      </w:r>
      <w:r>
        <w:rPr>
          <w:rFonts w:ascii="Barlow Semi Condensed" w:cs="Barlow Semi Condensed" w:eastAsia="Barlow Semi Condensed" w:hAnsi="Barlow Semi Condensed"/>
          <w:sz w:val="24"/>
          <w:szCs w:val="24"/>
        </w:rPr>
        <w:t xml:space="preserve">. La tabella esaminata</w:t>
      </w:r>
    </w:p>
    <w:p>
      <w:pPr>
        <w:spacing w:after="120" w:line="276"/>
        <w:jc w:val="both"/>
      </w:pPr>
      <w:r>
        <w:rPr>
          <w:rFonts w:ascii="Barlow Semi Condensed" w:cs="Barlow Semi Condensed" w:eastAsia="Barlow Semi Condensed" w:hAnsi="Barlow Semi Condensed"/>
          <w:sz w:val="24"/>
          <w:szCs w:val="24"/>
        </w:rPr>
        <w:t xml:space="preserve">presenta quattro campi in una riga sola e chiede di crederli insieme:</w:t>
      </w:r>
    </w:p>
    <w:p>
      <w:pPr>
        <w:spacing w:after="40"/>
        <w:ind w:left="360"/>
        <w:jc w:val="both"/>
      </w:pPr>
      <w:r>
        <w:rPr>
          <w:rFonts w:ascii="Barlow Semi Condensed" w:cs="Barlow Semi Condensed" w:eastAsia="Barlow Semi Condensed" w:hAnsi="Barlow Semi Condensed"/>
          <w:sz w:val="24"/>
          <w:szCs w:val="24"/>
        </w:rPr>
        <w:t xml:space="preserve">1. il nome della persona;</w:t>
      </w:r>
    </w:p>
    <w:p>
      <w:pPr>
        <w:spacing w:after="40"/>
        <w:ind w:left="360"/>
        <w:jc w:val="both"/>
      </w:pPr>
      <w:r>
        <w:rPr>
          <w:rFonts w:ascii="Barlow Semi Condensed" w:cs="Barlow Semi Condensed" w:eastAsia="Barlow Semi Condensed" w:hAnsi="Barlow Semi Condensed"/>
          <w:sz w:val="24"/>
          <w:szCs w:val="24"/>
        </w:rPr>
        <w:t xml:space="preserve">2. il ruolo istituzionale ricoperto nella primavera del 1978;</w:t>
      </w:r>
    </w:p>
    <w:p>
      <w:pPr>
        <w:spacing w:after="40"/>
        <w:ind w:left="360"/>
        <w:jc w:val="both"/>
      </w:pPr>
      <w:r>
        <w:rPr>
          <w:rFonts w:ascii="Barlow Semi Condensed" w:cs="Barlow Semi Condensed" w:eastAsia="Barlow Semi Condensed" w:hAnsi="Barlow Semi Condensed"/>
          <w:sz w:val="24"/>
          <w:szCs w:val="24"/>
        </w:rPr>
        <w:t xml:space="preserve">3. l'appartenenza agli elenchi sequestrati a Castiglion Fibocchi il 17 marzo 1981;</w:t>
      </w:r>
    </w:p>
    <w:p>
      <w:pPr>
        <w:spacing w:after="40"/>
        <w:ind w:left="360"/>
        <w:jc w:val="both"/>
      </w:pPr>
      <w:r>
        <w:rPr>
          <w:rFonts w:ascii="Barlow Semi Condensed" w:cs="Barlow Semi Condensed" w:eastAsia="Barlow Semi Condensed" w:hAnsi="Barlow Semi Condensed"/>
          <w:sz w:val="24"/>
          <w:szCs w:val="24"/>
        </w:rPr>
        <w:t xml:space="preserve">4. il numero di tessera.</w:t>
      </w:r>
    </w:p>
    <w:p>
      <w:pPr>
        <w:spacing w:after="120" w:line="276"/>
        <w:jc w:val="both"/>
      </w:pPr>
      <w:r>
        <w:rPr>
          <w:rFonts w:ascii="Barlow Semi Condensed" w:cs="Barlow Semi Condensed" w:eastAsia="Barlow Semi Condensed" w:hAnsi="Barlow Semi Condensed"/>
          <w:sz w:val="24"/>
          <w:szCs w:val="24"/>
        </w:rPr>
        <w:t xml:space="preserve">Presi uno alla volta si comportano in modo molto diverso. Il quarto campo — quello</w:t>
      </w:r>
    </w:p>
    <w:p>
      <w:pPr>
        <w:spacing w:after="120" w:line="276"/>
        <w:jc w:val="both"/>
      </w:pPr>
      <w:r>
        <w:rPr>
          <w:rFonts w:ascii="Barlow Semi Condensed" w:cs="Barlow Semi Condensed" w:eastAsia="Barlow Semi Condensed" w:hAnsi="Barlow Semi Condensed"/>
          <w:sz w:val="24"/>
          <w:szCs w:val="24"/>
        </w:rPr>
        <w:t xml:space="preserve">su cui il testo chiede di costruire un calcolo di percentuali sui 962 — è l'unico</w:t>
      </w:r>
    </w:p>
    <w:p>
      <w:pPr>
        <w:spacing w:after="120" w:line="276"/>
        <w:jc w:val="both"/>
      </w:pPr>
      <w:r>
        <w:rPr>
          <w:rFonts w:ascii="Barlow Semi Condensed" w:cs="Barlow Semi Condensed" w:eastAsia="Barlow Semi Condensed" w:hAnsi="Barlow Semi Condensed"/>
          <w:sz w:val="24"/>
          <w:szCs w:val="24"/>
        </w:rPr>
        <w:t xml:space="preserve">per cui non esiste alcun riscontro indipendente.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nomi che reggono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nomi elencati nella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persone reali con ruolo del 1978 verificabile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numero di tessera corroborato fuori dal testo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Il rilievo dirimente: la soglia del 1.600</w:t>
      </w:r>
    </w:p>
    <w:p>
      <w:pPr>
        <w:spacing w:after="120" w:line="276"/>
        <w:jc w:val="both"/>
      </w:pPr>
      <w:r>
        <w:rPr>
          <w:rFonts w:ascii="Barlow Semi Condensed" w:cs="Barlow Semi Condensed" w:eastAsia="Barlow Semi Condensed" w:hAnsi="Barlow Semi Condensed"/>
          <w:sz w:val="24"/>
          <w:szCs w:val="24"/>
        </w:rPr>
        <w:t xml:space="preserve">Nelle audizioni della Commissione parlamentare d'inchiesta è verbalizzato che la</w:t>
      </w:r>
    </w:p>
    <w:p>
      <w:pPr>
        <w:spacing w:after="120" w:line="276"/>
        <w:jc w:val="both"/>
      </w:pPr>
      <w:r>
        <w:rPr>
          <w:rFonts w:ascii="Barlow Semi Condensed" w:cs="Barlow Semi Condensed" w:eastAsia="Barlow Semi Condensed" w:hAnsi="Barlow Semi Condensed"/>
          <w:sz w:val="24"/>
          <w:szCs w:val="24"/>
        </w:rPr>
        <w:t xml:space="preserve">numerazione delle tessere sequestrate presenta ampi vuoti e che **nessuna tessera</w:t>
      </w:r>
    </w:p>
    <w:p>
      <w:pPr>
        <w:spacing w:after="120" w:line="276"/>
        <w:jc w:val="both"/>
      </w:pPr>
      <w:r>
        <w:rPr>
          <w:rFonts w:ascii="Barlow Semi Condensed" w:cs="Barlow Semi Condensed" w:eastAsia="Barlow Semi Condensed" w:hAnsi="Barlow Semi Condensed"/>
          <w:sz w:val="24"/>
          <w:szCs w:val="24"/>
        </w:rPr>
        <w:t xml:space="preserve">aveva numero inferiore al 1.600**. È il dato da cui la Commissione ricavò</w:t>
      </w:r>
    </w:p>
    <w:p>
      <w:pPr>
        <w:spacing w:after="120" w:line="276"/>
        <w:jc w:val="both"/>
      </w:pPr>
      <w:r>
        <w:rPr>
          <w:rFonts w:ascii="Barlow Semi Condensed" w:cs="Barlow Semi Condensed" w:eastAsia="Barlow Semi Condensed" w:hAnsi="Barlow Semi Condensed"/>
          <w:sz w:val="24"/>
          <w:szCs w:val="24"/>
        </w:rPr>
        <w:t xml:space="preserve">l'ipotesi che l'archivio della Giole fosse una «piramide inferiore».</w:t>
      </w:r>
    </w:p>
    <w:p>
      <w:pPr>
        <w:spacing w:after="120" w:line="276"/>
        <w:jc w:val="both"/>
      </w:pPr>
      <w:r>
        <w:rPr>
          <w:rFonts w:ascii="Barlow Semi Condensed" w:cs="Barlow Semi Condensed" w:eastAsia="Barlow Semi Condensed" w:hAnsi="Barlow Semi Condensed"/>
          <w:sz w:val="24"/>
          <w:szCs w:val="24"/>
        </w:rPr>
        <w:t xml:space="preserve">Quattro dei trentatré valori dichiarati come numero di tessera cadono sotto quella</w:t>
      </w:r>
    </w:p>
    <w:p>
      <w:pPr>
        <w:spacing w:after="120" w:line="276"/>
        <w:jc w:val="both"/>
      </w:pPr>
      <w:r>
        <w:rPr>
          <w:rFonts w:ascii="Barlow Semi Condensed" w:cs="Barlow Semi Condensed" w:eastAsia="Barlow Semi Condensed" w:hAnsi="Barlow Semi Condensed"/>
          <w:sz w:val="24"/>
          <w:szCs w:val="24"/>
        </w:rPr>
        <w:t xml:space="preserve">soglia; un quinto vi si posa esattamente sopra.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 dichiarato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rilievo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Sergio Di Donato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Vincenzo Rizzuti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Raffaele Giudice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1.592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Donato Lo Prete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1.600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esattamente sulla soglia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Gli altri ventotto stanno fra 1.602 e 1.887, dentro l'intervallo plausibile.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w:t>
      </w:r>
      <w:r>
        <w:rPr>
          <w:rFonts w:ascii="Barlow Semi Condensed" w:cs="Barlow Semi Condensed" w:eastAsia="Barlow Semi Condensed" w:hAnsi="Barlow Semi Condensed"/>
          <w:i w:val="false"/>
          <w:iCs w:val="false"/>
          <w:sz w:val="24"/>
          <w:szCs w:val="24"/>
        </w:rPr>
        <w:t xml:space="preserve"> Questo paragrafo va letto insieme a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che ne corregge due punti.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la formulazione «nessuna tessera aveva numero inferiore al 1.600» è troppo forte — la stessa fonte cita la tessera 506 di Mario Marsili e la 1508 di Ezio Giunchiglia. La formulazione difendibile è «la numerazione degli elenchi sequestrati comincia intorno a 1.600»: resta un indizio, non è un test di esclusione.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e più importante: due coppie attestate — Berlusconi (Milano, 625) con tessera 1816, Costanzo (Roma, 626) con tessera 1819 — dimostrano che </w:t>
      </w:r>
      <w:r>
        <w:rPr>
          <w:rFonts w:ascii="Barlow Semi Condensed" w:cs="Barlow Semi Condensed" w:eastAsia="Barlow Semi Condensed" w:hAnsi="Barlow Semi Condensed"/>
          <w:b/>
          <w:bCs/>
          <w:i w:val="false"/>
          <w:iCs w:val="false"/>
          <w:sz w:val="24"/>
          <w:szCs w:val="24"/>
        </w:rPr>
        <w:t xml:space="preserve">la cifra fra parentesi nelle trascrizioni è il numero di fascicolo, non quello di tessera</w:t>
      </w:r>
      <w:r>
        <w:rPr>
          <w:rFonts w:ascii="Barlow Semi Condensed" w:cs="Barlow Semi Condensed" w:eastAsia="Barlow Semi Condensed" w:hAnsi="Barlow Semi Condensed"/>
          <w:i w:val="false"/>
          <w:iCs w:val="false"/>
          <w:sz w:val="24"/>
          <w:szCs w:val="24"/>
        </w:rPr>
        <w:t xml:space="preserve">. I quattro valori qui elencati come «tessere impossibili» sono, più probabilmente, fascicoli con l'etichetta sbagliata. L'errore resta scritto sopra; la correzione gli sta accanto.</w:t>
      </w:r>
    </w:p>
    <w:p>
      <w:pPr>
        <w:spacing w:after="120" w:line="276"/>
        <w:jc w:val="both"/>
      </w:pPr>
      <w:r>
        <w:rPr>
          <w:rFonts w:ascii="Barlow Semi Condensed" w:cs="Barlow Semi Condensed" w:eastAsia="Barlow Semi Condensed" w:hAnsi="Barlow Semi Condensed"/>
          <w:sz w:val="24"/>
          <w:szCs w:val="24"/>
        </w:rPr>
        <w:t xml:space="preserve">Il testo </w:t>
      </w:r>
      <w:r>
        <w:rPr>
          <w:rFonts w:ascii="Barlow Semi Condensed" w:cs="Barlow Semi Condensed" w:eastAsia="Barlow Semi Condensed" w:hAnsi="Barlow Semi Condensed"/>
          <w:b/>
          <w:bCs/>
          <w:sz w:val="24"/>
          <w:szCs w:val="24"/>
        </w:rPr>
        <w:t xml:space="preserve">conosce</w:t>
      </w:r>
      <w:r>
        <w:rPr>
          <w:rFonts w:ascii="Barlow Semi Condensed" w:cs="Barlow Semi Condensed" w:eastAsia="Barlow Semi Condensed" w:hAnsi="Barlow Semi Condensed"/>
          <w:sz w:val="24"/>
          <w:szCs w:val="24"/>
        </w:rPr>
        <w:t xml:space="preserve"> quella soglia: la enuncia in un proprio passaggio e cita la</w:t>
      </w:r>
    </w:p>
    <w:p>
      <w:pPr>
        <w:spacing w:after="120" w:line="276"/>
        <w:jc w:val="both"/>
      </w:pPr>
      <w:r>
        <w:rPr>
          <w:rFonts w:ascii="Barlow Semi Condensed" w:cs="Barlow Semi Condensed" w:eastAsia="Barlow Semi Condensed" w:hAnsi="Barlow Semi Condensed"/>
          <w:sz w:val="24"/>
          <w:szCs w:val="24"/>
        </w:rPr>
        <w:t xml:space="preserve">tessera 1711 di Gelli. Corregge inoltre un nome — «Santovito non è 163, è</w:t>
      </w:r>
    </w:p>
    <w:p>
      <w:pPr>
        <w:spacing w:after="120" w:line="276"/>
        <w:jc w:val="both"/>
      </w:pPr>
      <w:r>
        <w:rPr>
          <w:rFonts w:ascii="Barlow Semi Condensed" w:cs="Barlow Semi Condensed" w:eastAsia="Barlow Semi Condensed" w:hAnsi="Barlow Semi Condensed"/>
          <w:sz w:val="24"/>
          <w:szCs w:val="24"/>
        </w:rPr>
        <w:t xml:space="preserve">Salacone» — senza avvedersi che la correzione lascia il 163 dov'era.</w:t>
      </w:r>
    </w:p>
    <w:p>
      <w:pPr>
        <w:spacing w:after="120" w:line="276"/>
        <w:jc w:val="both"/>
      </w:pPr>
      <w:r>
        <w:rPr>
          <w:rFonts w:ascii="Barlow Semi Condensed" w:cs="Barlow Semi Condensed" w:eastAsia="Barlow Semi Condensed" w:hAnsi="Barlow Semi Condensed"/>
          <w:sz w:val="24"/>
          <w:szCs w:val="24"/>
        </w:rPr>
        <w:t xml:space="preserve">Non sono cifre sbagliate di poco: sono cifre che quel campo non poteva contenere.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Le collisioni interne</w:t>
      </w:r>
    </w:p>
    <w:p>
      <w:pPr>
        <w:spacing w:after="120" w:line="276"/>
        <w:jc w:val="both"/>
      </w:pPr>
      <w:r>
        <w:rPr>
          <w:rFonts w:ascii="Barlow Semi Condensed" w:cs="Barlow Semi Condensed" w:eastAsia="Barlow Semi Condensed" w:hAnsi="Barlow Semi Condensed"/>
          <w:sz w:val="24"/>
          <w:szCs w:val="24"/>
        </w:rPr>
        <w:t xml:space="preserve">Cinque valori compaiono in due posizioni incompatibili. Non serve un archivio per</w:t>
      </w:r>
    </w:p>
    <w:p>
      <w:pPr>
        <w:spacing w:after="120" w:line="276"/>
        <w:jc w:val="both"/>
      </w:pPr>
      <w:r>
        <w:rPr>
          <w:rFonts w:ascii="Barlow Semi Condensed" w:cs="Barlow Semi Condensed" w:eastAsia="Barlow Semi Condensed" w:hAnsi="Barlow Semi Condensed"/>
          <w:sz w:val="24"/>
          <w:szCs w:val="24"/>
        </w:rPr>
        <w:t xml:space="preserve">rilevarlo: basta leggere il testo contro sé stesso.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numero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assegnato 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 anche 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Michele Sindona, come tessera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come «1612 (Fascicolo)»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Walter Pelosi, come «Fascicolo 519/1607»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527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«Tessera 527»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530 / 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519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 / 1.711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fascicolo 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tessera 1711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Un numero di fascicolo identifica una posizione e una sola; un numero di tessera</w:t>
      </w:r>
    </w:p>
    <w:p>
      <w:pPr>
        <w:spacing w:after="120" w:line="276"/>
        <w:jc w:val="both"/>
      </w:pPr>
      <w:r>
        <w:rPr>
          <w:rFonts w:ascii="Barlow Semi Condensed" w:cs="Barlow Semi Condensed" w:eastAsia="Barlow Semi Condensed" w:hAnsi="Barlow Semi Condensed"/>
          <w:sz w:val="24"/>
          <w:szCs w:val="24"/>
        </w:rPr>
        <w:t xml:space="preserve">identifica un iscritto e uno solo. Cinque collisioni in un documento che si</w:t>
      </w:r>
    </w:p>
    <w:p>
      <w:pPr>
        <w:spacing w:after="120" w:line="276"/>
        <w:jc w:val="both"/>
      </w:pPr>
      <w:r>
        <w:rPr>
          <w:rFonts w:ascii="Barlow Semi Condensed" w:cs="Barlow Semi Condensed" w:eastAsia="Barlow Semi Condensed" w:hAnsi="Barlow Semi Condensed"/>
          <w:sz w:val="24"/>
          <w:szCs w:val="24"/>
        </w:rPr>
        <w:t xml:space="preserve">presenta come collazione d'archivio sono il segno che i numeri non provengono da</w:t>
      </w:r>
    </w:p>
    <w:p>
      <w:pPr>
        <w:spacing w:after="120" w:line="276"/>
        <w:jc w:val="both"/>
      </w:pPr>
      <w:r>
        <w:rPr>
          <w:rFonts w:ascii="Barlow Semi Condensed" w:cs="Barlow Semi Condensed" w:eastAsia="Barlow Semi Condensed" w:hAnsi="Barlow Semi Condensed"/>
          <w:sz w:val="24"/>
          <w:szCs w:val="24"/>
        </w:rPr>
        <w:t xml:space="preserve">un 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I trentatré, per grado</w:t>
      </w:r>
    </w:p>
    <w:p>
      <w:pPr>
        <w:spacing w:after="120" w:line="276"/>
        <w:jc w:val="both"/>
      </w:pPr>
      <w:r>
        <w:rPr>
          <w:rFonts w:ascii="Barlow Semi Condensed" w:cs="Barlow Semi Condensed" w:eastAsia="Barlow Semi Condensed" w:hAnsi="Barlow Semi Condensed"/>
          <w:sz w:val="24"/>
          <w:szCs w:val="24"/>
        </w:rPr>
        <w:t xml:space="preserve">Il confine fra il grado F e il grado C è **il confine della conoscenza impiegata</w:t>
      </w:r>
    </w:p>
    <w:p>
      <w:pPr>
        <w:spacing w:after="120" w:line="276"/>
        <w:jc w:val="both"/>
      </w:pPr>
      <w:r>
        <w:rPr>
          <w:rFonts w:ascii="Barlow Semi Condensed" w:cs="Barlow Semi Condensed" w:eastAsia="Barlow Semi Condensed" w:hAnsi="Barlow Semi Condensed"/>
          <w:sz w:val="24"/>
          <w:szCs w:val="24"/>
        </w:rPr>
        <w:t xml:space="preserve">in questa verifica, non quello dell'archivio**. Solo l'allegato Anselmi può</w:t>
      </w:r>
    </w:p>
    <w:p>
      <w:pPr>
        <w:spacing w:after="120" w:line="276"/>
        <w:jc w:val="both"/>
      </w:pPr>
      <w:r>
        <w:rPr>
          <w:rFonts w:ascii="Barlow Semi Condensed" w:cs="Barlow Semi Condensed" w:eastAsia="Barlow Semi Condensed" w:hAnsi="Barlow Semi Condensed"/>
          <w:sz w:val="24"/>
          <w:szCs w:val="24"/>
        </w:rPr>
        <w:t xml:space="preserve">spostarlo, in un senso o nell'altro.</w:t>
      </w:r>
    </w:p>
    <w:p>
      <w:pPr>
        <w:pStyle w:val="Heading3"/>
        <w:spacing w:after="80" w:before="160"/>
      </w:pPr>
      <w:r>
        <w:rPr>
          <w:rFonts w:ascii="Barlow Semi Condensed" w:cs="Barlow Semi Condensed" w:eastAsia="Barlow Semi Condensed" w:hAnsi="Barlow Semi Condensed"/>
          <w:sz w:val="24"/>
          <w:szCs w:val="24"/>
        </w:rPr>
        <w:t xml:space="preserve">Grado F — venti nomi</w:t>
      </w:r>
    </w:p>
    <w:p>
      <w:pPr>
        <w:spacing w:after="120" w:line="276"/>
        <w:jc w:val="both"/>
      </w:pPr>
      <w:r>
        <w:rPr>
          <w:rFonts w:ascii="Barlow Semi Condensed" w:cs="Barlow Semi Condensed" w:eastAsia="Barlow Semi Condensed" w:hAnsi="Barlow Semi Condensed"/>
          <w:sz w:val="24"/>
          <w:szCs w:val="24"/>
        </w:rPr>
        <w:t xml:space="preserve">Appartenenza agli elenchi corroborata da fonti indipendenti dal testo verificato.</w:t>
      </w:r>
    </w:p>
    <w:p>
      <w:pPr>
        <w:spacing w:after="120" w:line="276"/>
        <w:jc w:val="both"/>
      </w:pPr>
      <w:r>
        <w:rPr>
          <w:rFonts w:ascii="Barlow Semi Condensed" w:cs="Barlow Semi Condensed" w:eastAsia="Barlow Semi Condensed" w:hAnsi="Barlow Semi Condensed"/>
          <w:sz w:val="24"/>
          <w:szCs w:val="24"/>
        </w:rPr>
        <w:t xml:space="preserve">Il numero resta non corroborato anche qui.</w:t>
      </w:r>
    </w:p>
    <w:p>
      <w:pPr>
        <w:spacing w:after="120" w:line="276"/>
        <w:jc w:val="both"/>
      </w:pPr>
      <w:r>
        <w:rPr>
          <w:rFonts w:ascii="Barlow Semi Condensed" w:cs="Barlow Semi Condensed" w:eastAsia="Barlow Semi Condensed" w:hAnsi="Barlow Semi Condensed"/>
          <w:sz w:val="24"/>
          <w:szCs w:val="24"/>
        </w:rPr>
        <w:t xml:space="preserve">Giuseppe Santovito · Raffaele Giudice · Donato Lo Prete · Vito Miceli ·</w:t>
      </w:r>
    </w:p>
    <w:p>
      <w:pPr>
        <w:spacing w:after="120" w:line="276"/>
        <w:jc w:val="both"/>
      </w:pPr>
      <w:r>
        <w:rPr>
          <w:rFonts w:ascii="Barlow Semi Condensed" w:cs="Barlow Semi Condensed" w:eastAsia="Barlow Semi Condensed" w:hAnsi="Barlow Semi Condensed"/>
          <w:sz w:val="24"/>
          <w:szCs w:val="24"/>
        </w:rPr>
        <w:t xml:space="preserve">Walter Pelosi · Umberto Ortolani · Michele Sindona · Pietro Musumeci ·</w:t>
      </w:r>
    </w:p>
    <w:p>
      <w:pPr>
        <w:spacing w:after="120" w:line="276"/>
        <w:jc w:val="both"/>
      </w:pPr>
      <w:r>
        <w:rPr>
          <w:rFonts w:ascii="Barlow Semi Condensed" w:cs="Barlow Semi Condensed" w:eastAsia="Barlow Semi Condensed" w:hAnsi="Barlow Semi Condensed"/>
          <w:sz w:val="24"/>
          <w:szCs w:val="24"/>
        </w:rPr>
        <w:t xml:space="preserve">Giovanni Torrisi · Roberto Calvi · Elio Cioppa · Giulio Grassini ·</w:t>
      </w:r>
    </w:p>
    <w:p>
      <w:pPr>
        <w:spacing w:after="120" w:line="276"/>
        <w:jc w:val="both"/>
      </w:pPr>
      <w:r>
        <w:rPr>
          <w:rFonts w:ascii="Barlow Semi Condensed" w:cs="Barlow Semi Condensed" w:eastAsia="Barlow Semi Condensed" w:hAnsi="Barlow Semi Condensed"/>
          <w:sz w:val="24"/>
          <w:szCs w:val="24"/>
        </w:rPr>
        <w:t xml:space="preserve">Antonio Cornacchia · Carmelo Spagnuolo · Antonio Varisco · Antonio Viezzer ·</w:t>
      </w:r>
    </w:p>
    <w:p>
      <w:pPr>
        <w:spacing w:after="120" w:line="276"/>
        <w:jc w:val="both"/>
      </w:pPr>
      <w:r>
        <w:rPr>
          <w:rFonts w:ascii="Barlow Semi Condensed" w:cs="Barlow Semi Condensed" w:eastAsia="Barlow Semi Condensed" w:hAnsi="Barlow Semi Condensed"/>
          <w:sz w:val="24"/>
          <w:szCs w:val="24"/>
        </w:rPr>
        <w:t xml:space="preserve">Federico Umberto D'Amato · Mino Pecorelli · Maurizio Costanzo · Franco Di Bella</w:t>
      </w:r>
    </w:p>
    <w:p>
      <w:pPr>
        <w:pStyle w:val="Heading3"/>
        <w:spacing w:after="80" w:before="160"/>
      </w:pPr>
      <w:r>
        <w:rPr>
          <w:rFonts w:ascii="Barlow Semi Condensed" w:cs="Barlow Semi Condensed" w:eastAsia="Barlow Semi Condensed" w:hAnsi="Barlow Semi Condensed"/>
          <w:sz w:val="24"/>
          <w:szCs w:val="24"/>
        </w:rPr>
        <w:t xml:space="preserve">Grado C — dodici nomi</w:t>
      </w:r>
    </w:p>
    <w:p>
      <w:pPr>
        <w:spacing w:after="120" w:line="276"/>
        <w:jc w:val="both"/>
      </w:pPr>
      <w:r>
        <w:rPr>
          <w:rFonts w:ascii="Barlow Semi Condensed" w:cs="Barlow Semi Condensed" w:eastAsia="Barlow Semi Condensed" w:hAnsi="Barlow Semi Condensed"/>
          <w:sz w:val="24"/>
          <w:szCs w:val="24"/>
        </w:rPr>
        <w:t xml:space="preserve">Persona reale e ruolo del 1978 verificabili; appartenenza non corroborata fuori</w:t>
      </w:r>
    </w:p>
    <w:p>
      <w:pPr>
        <w:spacing w:after="120" w:line="276"/>
        <w:jc w:val="both"/>
      </w:pPr>
      <w:r>
        <w:rPr>
          <w:rFonts w:ascii="Barlow Semi Condensed" w:cs="Barlow Semi Condensed" w:eastAsia="Barlow Semi Condensed" w:hAnsi="Barlow Semi Condensed"/>
          <w:sz w:val="24"/>
          <w:szCs w:val="24"/>
        </w:rPr>
        <w:t xml:space="preserve">dal testo. Sono due affermazioni di rango diverso, che il testo presenta appaiate.</w:t>
      </w:r>
    </w:p>
    <w:p>
      <w:pPr>
        <w:spacing w:after="120" w:line="276"/>
        <w:jc w:val="both"/>
      </w:pPr>
      <w:r>
        <w:rPr>
          <w:rFonts w:ascii="Barlow Semi Condensed" w:cs="Barlow Semi Condensed" w:eastAsia="Barlow Semi Condensed" w:hAnsi="Barlow Semi Condensed"/>
          <w:sz w:val="24"/>
          <w:szCs w:val="24"/>
        </w:rPr>
        <w:t xml:space="preserve">Sergio Di Donato · Vincenzo Rizzuti · Camillo Guglielmi · Giuseppe Siracusano ·</w:t>
      </w:r>
    </w:p>
    <w:p>
      <w:pPr>
        <w:spacing w:after="120" w:line="276"/>
        <w:jc w:val="both"/>
      </w:pPr>
      <w:r>
        <w:rPr>
          <w:rFonts w:ascii="Barlow Semi Condensed" w:cs="Barlow Semi Condensed" w:eastAsia="Barlow Semi Condensed" w:hAnsi="Barlow Semi Condensed"/>
          <w:sz w:val="24"/>
          <w:szCs w:val="24"/>
        </w:rPr>
        <w:t xml:space="preserve">Stefano Giovannone · Antonino Geraci · Mario Salacone · Achille Gallucci ·</w:t>
      </w:r>
    </w:p>
    <w:p>
      <w:pPr>
        <w:spacing w:after="120" w:line="276"/>
        <w:jc w:val="both"/>
      </w:pPr>
      <w:r>
        <w:rPr>
          <w:rFonts w:ascii="Barlow Semi Condensed" w:cs="Barlow Semi Condensed" w:eastAsia="Barlow Semi Condensed" w:hAnsi="Barlow Semi Condensed"/>
          <w:sz w:val="24"/>
          <w:szCs w:val="24"/>
        </w:rPr>
        <w:t xml:space="preserve">Francesco Malfatti di Montetretto · Mario Semprini · Antonio Esposito ·</w:t>
      </w:r>
    </w:p>
    <w:p>
      <w:pPr>
        <w:spacing w:after="120" w:line="276"/>
        <w:jc w:val="both"/>
      </w:pPr>
      <w:r>
        <w:rPr>
          <w:rFonts w:ascii="Barlow Semi Condensed" w:cs="Barlow Semi Condensed" w:eastAsia="Barlow Semi Condensed" w:hAnsi="Barlow Semi Condensed"/>
          <w:sz w:val="24"/>
          <w:szCs w:val="24"/>
        </w:rPr>
        <w:t xml:space="preserve">Franco Ferracuti</w:t>
      </w:r>
    </w:p>
    <w:p>
      <w:pPr>
        <w:spacing w:after="120" w:line="276"/>
        <w:jc w:val="both"/>
      </w:pPr>
      <w:r>
        <w:rPr>
          <w:rFonts w:ascii="Barlow Semi Condensed" w:cs="Barlow Semi Condensed" w:eastAsia="Barlow Semi Condensed" w:hAnsi="Barlow Semi Condensed"/>
          <w:sz w:val="24"/>
          <w:szCs w:val="24"/>
        </w:rPr>
        <w:t xml:space="preserve">Il caso di </w:t>
      </w:r>
      <w:r>
        <w:rPr>
          <w:rFonts w:ascii="Barlow Semi Condensed" w:cs="Barlow Semi Condensed" w:eastAsia="Barlow Semi Condensed" w:hAnsi="Barlow Semi Condensed"/>
          <w:b/>
          <w:bCs/>
          <w:sz w:val="24"/>
          <w:szCs w:val="24"/>
        </w:rPr>
        <w:t xml:space="preserve">Camillo Guglielmi</w:t>
      </w:r>
      <w:r>
        <w:rPr>
          <w:rFonts w:ascii="Barlow Semi Condensed" w:cs="Barlow Semi Condensed" w:eastAsia="Barlow Semi Condensed" w:hAnsi="Barlow Semi Condensed"/>
          <w:sz w:val="24"/>
          <w:szCs w:val="24"/>
        </w:rPr>
        <w:t xml:space="preserve"> merita di essere isolato: la presenza in via Fani</w:t>
      </w:r>
    </w:p>
    <w:p>
      <w:pPr>
        <w:spacing w:after="120" w:line="276"/>
        <w:jc w:val="both"/>
      </w:pPr>
      <w:r>
        <w:rPr>
          <w:rFonts w:ascii="Barlow Semi Condensed" w:cs="Barlow Semi Condensed" w:eastAsia="Barlow Semi Condensed" w:hAnsi="Barlow Semi Condensed"/>
          <w:sz w:val="24"/>
          <w:szCs w:val="24"/>
        </w:rPr>
        <w:t xml:space="preserve">la mattina del 16 marzo 1978 è oggetto di accertamento documentato; l'appartenenza</w:t>
      </w:r>
    </w:p>
    <w:p>
      <w:pPr>
        <w:spacing w:after="120" w:line="276"/>
        <w:jc w:val="both"/>
      </w:pPr>
      <w:r>
        <w:rPr>
          <w:rFonts w:ascii="Barlow Semi Condensed" w:cs="Barlow Semi Condensed" w:eastAsia="Barlow Semi Condensed" w:hAnsi="Barlow Semi Condensed"/>
          <w:sz w:val="24"/>
          <w:szCs w:val="24"/>
        </w:rPr>
        <w:t xml:space="preserve">alla loggia non lo è. Le due cose vanno tenute separate.</w:t>
      </w:r>
    </w:p>
    <w:p>
      <w:pPr>
        <w:pStyle w:val="Heading3"/>
        <w:spacing w:after="80" w:before="160"/>
      </w:pPr>
      <w:r>
        <w:rPr>
          <w:rFonts w:ascii="Barlow Semi Condensed" w:cs="Barlow Semi Condensed" w:eastAsia="Barlow Semi Condensed" w:hAnsi="Barlow Semi Condensed"/>
          <w:sz w:val="24"/>
          <w:szCs w:val="24"/>
        </w:rPr>
        <w:t xml:space="preserve">Grado G — un nome</w:t>
      </w:r>
    </w:p>
    <w:p>
      <w:pPr>
        <w:spacing w:after="120" w:line="276"/>
        <w:jc w:val="both"/>
      </w:pPr>
      <w:r>
        <w:rPr>
          <w:rFonts w:ascii="Barlow Semi Condensed" w:cs="Barlow Semi Condensed" w:eastAsia="Barlow Semi Condensed" w:hAnsi="Barlow Semi Condensed"/>
          <w:sz w:val="24"/>
          <w:szCs w:val="24"/>
        </w:rPr>
        <w:t xml:space="preserve">Posizione definita in sede giudiziaria: </w:t>
      </w:r>
      <w:r>
        <w:rPr>
          <w:rFonts w:ascii="Barlow Semi Condensed" w:cs="Barlow Semi Condensed" w:eastAsia="Barlow Semi Condensed" w:hAnsi="Barlow Semi Condensed"/>
          <w:b/>
          <w:bCs/>
          <w:sz w:val="24"/>
          <w:szCs w:val="24"/>
        </w:rPr>
        <w:t xml:space="preserve">Gustavo Selva</w:t>
      </w:r>
      <w:r>
        <w:rPr>
          <w:rFonts w:ascii="Barlow Semi Condensed" w:cs="Barlow Semi Condensed" w:eastAsia="Barlow Semi Condensed" w:hAnsi="Barlow Semi Condensed"/>
          <w:sz w:val="24"/>
          <w:szCs w:val="24"/>
        </w:rPr>
        <w:t xml:space="preserve">. Il precedente esiste —</w:t>
      </w:r>
    </w:p>
    <w:p>
      <w:pPr>
        <w:spacing w:after="120" w:line="276"/>
        <w:jc w:val="both"/>
      </w:pPr>
      <w:r>
        <w:rPr>
          <w:rFonts w:ascii="Barlow Semi Condensed" w:cs="Barlow Semi Condensed" w:eastAsia="Barlow Semi Condensed" w:hAnsi="Barlow Semi Condensed"/>
          <w:sz w:val="24"/>
          <w:szCs w:val="24"/>
        </w:rPr>
        <w:t xml:space="preserve">l'appartenenza di Publio Fiori fu esclusa da una sentenza del Tribunale di Roma</w:t>
      </w:r>
    </w:p>
    <w:p>
      <w:pPr>
        <w:spacing w:after="120" w:line="276"/>
        <w:jc w:val="both"/>
      </w:pPr>
      <w:r>
        <w:rPr>
          <w:rFonts w:ascii="Barlow Semi Condensed" w:cs="Barlow Semi Condensed" w:eastAsia="Barlow Semi Condensed" w:hAnsi="Barlow Semi Condensed"/>
          <w:sz w:val="24"/>
          <w:szCs w:val="24"/>
        </w:rPr>
        <w:t xml:space="preserve">nel 2001.</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Il vincolo cronologico</w:t>
      </w:r>
    </w:p>
    <w:p>
      <w:pPr>
        <w:spacing w:after="120" w:line="276"/>
        <w:jc w:val="both"/>
      </w:pPr>
      <w:r>
        <w:rPr>
          <w:rFonts w:ascii="Barlow Semi Condensed" w:cs="Barlow Semi Condensed" w:eastAsia="Barlow Semi Condensed" w:hAnsi="Barlow Semi Condensed"/>
          <w:sz w:val="24"/>
          <w:szCs w:val="24"/>
        </w:rPr>
        <w:t xml:space="preserve">Vale anche nell'ipotesi in cui tutti e trentatré i numeri risultassero esatti.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intervallo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finestra richiesta (16 set 1977 – 9 nov 1978)</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419</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sequestro degli elenchi (17 mar 1981)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1.097</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deposito della relazione (12 lug 1984)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2.310</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Nel 1978 la composizione della loggia non era un oggetto conoscibile: fu rivelata</w:t>
      </w:r>
    </w:p>
    <w:p>
      <w:pPr>
        <w:spacing w:after="120" w:line="276"/>
        <w:jc w:val="both"/>
      </w:pPr>
      <w:r>
        <w:rPr>
          <w:rFonts w:ascii="Barlow Semi Condensed" w:cs="Barlow Semi Condensed" w:eastAsia="Barlow Semi Condensed" w:hAnsi="Barlow Semi Condensed"/>
          <w:sz w:val="24"/>
          <w:szCs w:val="24"/>
        </w:rPr>
        <w:t xml:space="preserve">tre anni dopo e ordinata sei anni dopo. Una lista del 1981 documenta chi vi</w:t>
      </w:r>
    </w:p>
    <w:p>
      <w:pPr>
        <w:spacing w:after="120" w:line="276"/>
        <w:jc w:val="both"/>
      </w:pPr>
      <w:r>
        <w:rPr>
          <w:rFonts w:ascii="Barlow Semi Condensed" w:cs="Barlow Semi Condensed" w:eastAsia="Barlow Semi Condensed" w:hAnsi="Barlow Semi Condensed"/>
          <w:sz w:val="24"/>
          <w:szCs w:val="24"/>
        </w:rPr>
        <w:t xml:space="preserve">risultava nel 1981. Che ciò coincida con «chi vi era iscritto nella primavera del</w:t>
      </w:r>
    </w:p>
    <w:p>
      <w:pPr>
        <w:spacing w:after="120" w:line="276"/>
        <w:jc w:val="both"/>
      </w:pPr>
      <w:r>
        <w:rPr>
          <w:rFonts w:ascii="Barlow Semi Condensed" w:cs="Barlow Semi Condensed" w:eastAsia="Barlow Semi Condensed" w:hAnsi="Barlow Semi Condensed"/>
          <w:sz w:val="24"/>
          <w:szCs w:val="24"/>
        </w:rPr>
        <w:t xml:space="preserve">1978» è ipotesi ragionevole, non fatto accertato — e il testo stesso registra i 49</w:t>
      </w:r>
    </w:p>
    <w:p>
      <w:pPr>
        <w:spacing w:after="120" w:line="276"/>
        <w:jc w:val="both"/>
      </w:pPr>
      <w:r>
        <w:rPr>
          <w:rFonts w:ascii="Barlow Semi Condensed" w:cs="Barlow Semi Condensed" w:eastAsia="Barlow Semi Condensed" w:hAnsi="Barlow Semi Condensed"/>
          <w:sz w:val="24"/>
          <w:szCs w:val="24"/>
        </w:rPr>
        <w:t xml:space="preserve">affiliati posti in sonno e i 22 transitati ad altre logge, che sono esattamente i</w:t>
      </w:r>
    </w:p>
    <w:p>
      <w:pPr>
        <w:spacing w:after="120" w:line="276"/>
        <w:jc w:val="both"/>
      </w:pPr>
      <w:r>
        <w:rPr>
          <w:rFonts w:ascii="Barlow Semi Condensed" w:cs="Barlow Semi Condensed" w:eastAsia="Barlow Semi Condensed" w:hAnsi="Barlow Semi Condensed"/>
          <w:sz w:val="24"/>
          <w:szCs w:val="24"/>
        </w:rPr>
        <w:t xml:space="preserve">casi in cui le due cose divergono.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Annotazione su un dato del corpus</w:t>
      </w:r>
    </w:p>
    <w:p>
      <w:pPr>
        <w:spacing w:after="120" w:line="276"/>
        <w:jc w:val="both"/>
      </w:pPr>
      <w:r>
        <w:rPr>
          <w:rFonts w:ascii="Barlow Semi Condensed" w:cs="Barlow Semi Condensed" w:eastAsia="Barlow Semi Condensed" w:hAnsi="Barlow Semi Condensed"/>
          <w:b/>
          <w:bCs/>
          <w:sz w:val="24"/>
          <w:szCs w:val="24"/>
        </w:rPr>
        <w:t xml:space="preserve">Il grafico del Libro quarto registra 44 parlamentari negli elenchi.</w:t>
      </w:r>
      <w:r>
        <w:rPr>
          <w:rFonts w:ascii="Barlow Semi Condensed" w:cs="Barlow Semi Condensed" w:eastAsia="Barlow Semi Condensed" w:hAnsi="Barlow Semi Condensed"/>
          <w:sz w:val="24"/>
          <w:szCs w:val="24"/>
        </w:rPr>
        <w:t xml:space="preserve"> Le fonti</w:t>
      </w:r>
    </w:p>
    <w:p>
      <w:pPr>
        <w:spacing w:after="120" w:line="276"/>
        <w:jc w:val="both"/>
      </w:pPr>
      <w:r>
        <w:rPr>
          <w:rFonts w:ascii="Barlow Semi Condensed" w:cs="Barlow Semi Condensed" w:eastAsia="Barlow Semi Condensed" w:hAnsi="Barlow Semi Condensed"/>
          <w:sz w:val="24"/>
          <w:szCs w:val="24"/>
        </w:rPr>
        <w:t xml:space="preserve">sui lavori della Commissione riportano </w:t>
      </w: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La composizione documentata è: 128</w:t>
      </w:r>
    </w:p>
    <w:p>
      <w:pPr>
        <w:spacing w:after="120" w:line="276"/>
        <w:jc w:val="both"/>
      </w:pPr>
      <w:r>
        <w:rPr>
          <w:rFonts w:ascii="Barlow Semi Condensed" w:cs="Barlow Semi Condensed" w:eastAsia="Barlow Semi Condensed" w:hAnsi="Barlow Semi Condensed"/>
          <w:sz w:val="24"/>
          <w:szCs w:val="24"/>
        </w:rPr>
        <w:t xml:space="preserve">dirigenti di enti pubblici, 119 ufficiali delle forze armate (50 Esercito, 37</w:t>
      </w:r>
    </w:p>
    <w:p>
      <w:pPr>
        <w:spacing w:after="120" w:line="276"/>
        <w:jc w:val="both"/>
      </w:pPr>
      <w:r>
        <w:rPr>
          <w:rFonts w:ascii="Barlow Semi Condensed" w:cs="Barlow Semi Condensed" w:eastAsia="Barlow Semi Condensed" w:hAnsi="Barlow Semi Condensed"/>
          <w:sz w:val="24"/>
          <w:szCs w:val="24"/>
        </w:rPr>
        <w:t xml:space="preserve">Guardia di Finanza, 32 Carabinieri), 59 parlamentari, 22 dirigenti di polizia, 22</w:t>
      </w:r>
    </w:p>
    <w:p>
      <w:pPr>
        <w:spacing w:after="120" w:line="276"/>
        <w:jc w:val="both"/>
      </w:pPr>
      <w:r>
        <w:rPr>
          <w:rFonts w:ascii="Barlow Semi Condensed" w:cs="Barlow Semi Condensed" w:eastAsia="Barlow Semi Condensed" w:hAnsi="Barlow Semi Condensed"/>
          <w:sz w:val="24"/>
          <w:szCs w:val="24"/>
        </w:rPr>
        <w:t xml:space="preserve">giornalisti, 8 direttori di giornale, 4 editori, 1 giudice costituzionale.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 — questa correzione è a sua volta sbagliata, e la ritiro.</w:t>
      </w:r>
      <w:r>
        <w:rPr>
          <w:rFonts w:ascii="Barlow Semi Condensed" w:cs="Barlow Semi Condensed" w:eastAsia="Barlow Semi Condensed" w:hAnsi="Barlow Semi Condensed"/>
          <w:i w:val="false"/>
          <w:iCs w:val="false"/>
          <w:sz w:val="24"/>
          <w:szCs w:val="24"/>
        </w:rPr>
        <w:t xml:space="preserve"> Una ricerca approfondita corrobora </w:t>
      </w:r>
      <w:r>
        <w:rPr>
          <w:rFonts w:ascii="Barlow Semi Condensed" w:cs="Barlow Semi Condensed" w:eastAsia="Barlow Semi Condensed" w:hAnsi="Barlow Semi Condensed"/>
          <w:b/>
          <w:bCs/>
          <w:i w:val="false"/>
          <w:iCs w:val="false"/>
          <w:sz w:val="24"/>
          <w:szCs w:val="24"/>
        </w:rPr>
        <w:t xml:space="preserve">44 parlamentari</w:t>
      </w:r>
      <w:r>
        <w:rPr>
          <w:rFonts w:ascii="Barlow Semi Condensed" w:cs="Barlow Semi Condensed" w:eastAsia="Barlow Semi Condensed" w:hAnsi="Barlow Semi Condensed"/>
          <w:i w:val="false"/>
          <w:iCs w:val="false"/>
          <w:sz w:val="24"/>
          <w:szCs w:val="24"/>
        </w:rPr>
        <w:t xml:space="preserve">, 3 ministri e 1 segretario di partito, dentro un conteggio di 195 ufficiali (12 generali dei Carabinieri, 5 della Guardia di Finanza, 22 dell'Esercito, 4 dell'Aeronautica, 8 ammiragli). Il set con 59 parlamentari e 119 ufficiali non ha trovato fonte esterna e omette del tutto Marina e Aeronautica: è un'altra tassonomia, non un altro conteggio dello stesso campo. </w:t>
      </w:r>
      <w:r>
        <w:rPr>
          <w:rFonts w:ascii="Barlow Semi Condensed" w:cs="Barlow Semi Condensed" w:eastAsia="Barlow Semi Condensed" w:hAnsi="Barlow Semi Condensed"/>
          <w:b/>
          <w:bCs/>
          <w:i w:val="false"/>
          <w:iCs w:val="false"/>
          <w:sz w:val="24"/>
          <w:szCs w:val="24"/>
        </w:rPr>
        <w:t xml:space="preserve">La cifra del corpus era giusta, e l'annotazione che le avevo messo accanto va a sua volta annotata.</w:t>
      </w:r>
      <w:r>
        <w:rPr>
          <w:rFonts w:ascii="Barlow Semi Condensed" w:cs="Barlow Semi Condensed" w:eastAsia="Barlow Semi Condensed" w:hAnsi="Barlow Semi Condensed"/>
          <w:i w:val="false"/>
          <w:iCs w:val="false"/>
          <w:sz w:val="24"/>
          <w:szCs w:val="24"/>
        </w:rPr>
        <w:t xml:space="preserve"> Dettagli in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§4.</w:t>
      </w:r>
    </w:p>
    <w:p>
      <w:pPr>
        <w:spacing w:after="120" w:line="276"/>
        <w:jc w:val="both"/>
      </w:pPr>
      <w:r>
        <w:rPr>
          <w:rFonts w:ascii="Barlow Semi Condensed" w:cs="Barlow Semi Condensed" w:eastAsia="Barlow Semi Condensed" w:hAnsi="Barlow Semi Condensed"/>
          <w:sz w:val="24"/>
          <w:szCs w:val="24"/>
        </w:rPr>
        <w:t xml:space="preserve">Come vuole la disciplina dell'opera, </w:t>
      </w:r>
      <w:r>
        <w:rPr>
          <w:rFonts w:ascii="Barlow Semi Condensed" w:cs="Barlow Semi Condensed" w:eastAsia="Barlow Semi Condensed" w:hAnsi="Barlow Semi Condensed"/>
          <w:b/>
          <w:bCs/>
          <w:sz w:val="24"/>
          <w:szCs w:val="24"/>
        </w:rPr>
        <w:t xml:space="preserve">la cifra del corpus non viene cancellata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resta dov'è, e questa annotazione le sta accanto. Quale delle due regga si dirime</w:t>
      </w:r>
    </w:p>
    <w:p>
      <w:pPr>
        <w:spacing w:after="120" w:line="276"/>
        <w:jc w:val="both"/>
      </w:pPr>
      <w:r>
        <w:rPr>
          <w:rFonts w:ascii="Barlow Semi Condensed" w:cs="Barlow Semi Condensed" w:eastAsia="Barlow Semi Condensed" w:hAnsi="Barlow Semi Condensed"/>
          <w:sz w:val="24"/>
          <w:szCs w:val="24"/>
        </w:rPr>
        <w:t xml:space="preserve">sull'allegato, non qui.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6-bis. La percentuale per finestra temporale: Stato Zero</w:t>
      </w:r>
    </w:p>
    <w:p>
      <w:pPr>
        <w:spacing w:after="120" w:line="276"/>
        <w:jc w:val="both"/>
      </w:pPr>
      <w:r>
        <w:rPr>
          <w:rFonts w:ascii="Barlow Semi Condensed" w:cs="Barlow Semi Condensed" w:eastAsia="Barlow Semi Condensed" w:hAnsi="Barlow Semi Condensed"/>
          <w:b/>
          <w:bCs/>
          <w:sz w:val="24"/>
          <w:szCs w:val="24"/>
        </w:rPr>
        <w:t xml:space="preserve">Richiesta:</w:t>
      </w:r>
      <w:r>
        <w:rPr>
          <w:rFonts w:ascii="Barlow Semi Condensed" w:cs="Barlow Semi Condensed" w:eastAsia="Barlow Semi Condensed" w:hAnsi="Barlow Semi Condensed"/>
          <w:sz w:val="24"/>
          <w:szCs w:val="24"/>
        </w:rPr>
        <w:t xml:space="preserve"> la quota di affiliati alla loggia nella finestra che va da sei mesi</w:t>
      </w:r>
    </w:p>
    <w:p>
      <w:pPr>
        <w:spacing w:after="120" w:line="276"/>
        <w:jc w:val="both"/>
      </w:pPr>
      <w:r>
        <w:rPr>
          <w:rFonts w:ascii="Barlow Semi Condensed" w:cs="Barlow Semi Condensed" w:eastAsia="Barlow Semi Condensed" w:hAnsi="Barlow Semi Condensed"/>
          <w:sz w:val="24"/>
          <w:szCs w:val="24"/>
        </w:rPr>
        <w:t xml:space="preserve">prima del sequestro a sei mesi dopo la morte, sul totale di Castiglion Fibocchi.</w:t>
      </w:r>
    </w:p>
    <w:p>
      <w:pPr>
        <w:spacing w:after="120" w:line="276"/>
        <w:jc w:val="both"/>
      </w:pPr>
      <w:r>
        <w:rPr>
          <w:rFonts w:ascii="Barlow Semi Condensed" w:cs="Barlow Semi Condensed" w:eastAsia="Barlow Semi Condensed" w:hAnsi="Barlow Semi Condensed"/>
          <w:b/>
          <w:bCs/>
          <w:sz w:val="24"/>
          <w:szCs w:val="24"/>
        </w:rPr>
        <w:t xml:space="preserve">Esito: non calcolabile sui dati disponibili.</w:t>
      </w:r>
      <w:r>
        <w:rPr>
          <w:rFonts w:ascii="Barlow Semi Condensed" w:cs="Barlow Semi Condensed" w:eastAsia="Barlow Semi Condensed" w:hAnsi="Barlow Semi Condensed"/>
          <w:sz w:val="24"/>
          <w:szCs w:val="24"/>
        </w:rPr>
        <w:t xml:space="preserve"> Il denominatore è documentato</w:t>
      </w:r>
    </w:p>
    <w:p>
      <w:pPr>
        <w:spacing w:after="120" w:line="276"/>
        <w:jc w:val="both"/>
      </w:pPr>
      <w:r>
        <w:rPr>
          <w:rFonts w:ascii="Barlow Semi Condensed" w:cs="Barlow Semi Condensed" w:eastAsia="Barlow Semi Condensed" w:hAnsi="Barlow Semi Condensed"/>
          <w:sz w:val="24"/>
          <w:szCs w:val="24"/>
        </w:rPr>
        <w:t xml:space="preserve">(962). Il numeratore richiede, per ciascun nominativo, </w:t>
      </w:r>
      <w:r>
        <w:rPr>
          <w:rFonts w:ascii="Barlow Semi Condensed" w:cs="Barlow Semi Condensed" w:eastAsia="Barlow Semi Condensed" w:hAnsi="Barlow Semi Condensed"/>
          <w:b/>
          <w:bCs/>
          <w:sz w:val="24"/>
          <w:szCs w:val="24"/>
        </w:rPr>
        <w:t xml:space="preserve">la data di affiliazione</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righe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righe della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 una data di affiliazione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in un mese preciso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dentro la finestra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due righe datate sono </w:t>
      </w:r>
      <w:r>
        <w:rPr>
          <w:rFonts w:ascii="Barlow Semi Condensed" w:cs="Barlow Semi Condensed" w:eastAsia="Barlow Semi Condensed" w:hAnsi="Barlow Semi Condensed"/>
          <w:b/>
          <w:bCs/>
          <w:sz w:val="24"/>
          <w:szCs w:val="24"/>
        </w:rPr>
        <w:t xml:space="preserve">Torrisi</w:t>
      </w:r>
      <w:r>
        <w:rPr>
          <w:rFonts w:ascii="Barlow Semi Condensed" w:cs="Barlow Semi Condensed" w:eastAsia="Barlow Semi Condensed" w:hAnsi="Barlow Semi Condensed"/>
          <w:sz w:val="24"/>
          <w:szCs w:val="24"/>
        </w:rPr>
        <w:t xml:space="preserve"> («affiliato dal gennaio 1978») e </w:t>
      </w:r>
      <w:r>
        <w:rPr>
          <w:rFonts w:ascii="Barlow Semi Condensed" w:cs="Barlow Semi Condensed" w:eastAsia="Barlow Semi Condensed" w:hAnsi="Barlow Semi Condensed"/>
          <w:b/>
          <w:bCs/>
          <w:sz w:val="24"/>
          <w:szCs w:val="24"/>
        </w:rPr>
        <w:t xml:space="preserve">Grassini</w:t>
      </w:r>
    </w:p>
    <w:p>
      <w:pPr>
        <w:spacing w:after="120" w:line="276"/>
        <w:jc w:val="both"/>
      </w:pPr>
      <w:r>
        <w:rPr>
          <w:rFonts w:ascii="Barlow Semi Condensed" w:cs="Barlow Semi Condensed" w:eastAsia="Barlow Semi Condensed" w:hAnsi="Barlow Semi Condensed"/>
          <w:sz w:val="24"/>
          <w:szCs w:val="24"/>
        </w:rPr>
        <w:t xml:space="preserve">(«affiliato retrodatato al 1977»). Le altre trentuno recano date di incarico o di</w:t>
      </w:r>
    </w:p>
    <w:p>
      <w:pPr>
        <w:spacing w:after="120" w:line="276"/>
        <w:jc w:val="both"/>
      </w:pPr>
      <w:r>
        <w:rPr>
          <w:rFonts w:ascii="Barlow Semi Condensed" w:cs="Barlow Semi Condensed" w:eastAsia="Barlow Semi Condensed" w:hAnsi="Barlow Semi Condensed"/>
          <w:sz w:val="24"/>
          <w:szCs w:val="24"/>
        </w:rPr>
        <w:t xml:space="preserve">morte, che sono un'altra cosa. Delle due, solo la prima è collocabile in un mese:</w:t>
      </w:r>
    </w:p>
    <w:p>
      <w:pPr>
        <w:spacing w:after="120" w:line="276"/>
        <w:jc w:val="both"/>
      </w:pPr>
      <w:r>
        <w:rPr>
          <w:rFonts w:ascii="Barlow Semi Condensed" w:cs="Barlow Semi Condensed" w:eastAsia="Barlow Semi Condensed" w:hAnsi="Barlow Semi Condensed"/>
          <w:sz w:val="24"/>
          <w:szCs w:val="24"/>
        </w:rPr>
        <w:t xml:space="preserve">«1977» senza mese non si posa in alcun punto della finestra, e «retrodatato» è per</w:t>
      </w:r>
    </w:p>
    <w:p>
      <w:pPr>
        <w:spacing w:after="120" w:line="276"/>
        <w:jc w:val="both"/>
      </w:pPr>
      <w:r>
        <w:rPr>
          <w:rFonts w:ascii="Barlow Semi Condensed" w:cs="Barlow Semi Condensed" w:eastAsia="Barlow Semi Condensed" w:hAnsi="Barlow Semi Condensed"/>
          <w:sz w:val="24"/>
          <w:szCs w:val="24"/>
        </w:rPr>
        <w:t xml:space="preserve">giunta un'affermazione su un registro alterato, non una data.</w:t>
      </w:r>
    </w:p>
    <w:p>
      <w:pPr>
        <w:spacing w:after="120" w:line="276"/>
        <w:jc w:val="both"/>
      </w:pPr>
      <w:r>
        <w:rPr>
          <w:rFonts w:ascii="Barlow Semi Condensed" w:cs="Barlow Semi Condensed" w:eastAsia="Barlow Semi Condensed" w:hAnsi="Barlow Semi Condensed"/>
          <w:sz w:val="24"/>
          <w:szCs w:val="24"/>
        </w:rPr>
        <w:t xml:space="preserve">Su una riga su trentatré non si costruisce una distribuzione temporale. Un grafico</w:t>
      </w:r>
    </w:p>
    <w:p>
      <w:pPr>
        <w:spacing w:after="120" w:line="276"/>
        <w:jc w:val="both"/>
      </w:pPr>
      <w:r>
        <w:rPr>
          <w:rFonts w:ascii="Barlow Semi Condensed" w:cs="Barlow Semi Condensed" w:eastAsia="Barlow Semi Condensed" w:hAnsi="Barlow Semi Condensed"/>
          <w:sz w:val="24"/>
          <w:szCs w:val="24"/>
        </w:rPr>
        <w:t xml:space="preserve">che ripartisse i 962 fra «prima», «durante» e «dopo» misurerebbe un'ipotesi</w:t>
      </w:r>
    </w:p>
    <w:p>
      <w:pPr>
        <w:spacing w:after="120" w:line="276"/>
        <w:jc w:val="both"/>
      </w:pPr>
      <w:r>
        <w:rPr>
          <w:rFonts w:ascii="Barlow Semi Condensed" w:cs="Barlow Semi Condensed" w:eastAsia="Barlow Semi Condensed" w:hAnsi="Barlow Semi Condensed"/>
          <w:sz w:val="24"/>
          <w:szCs w:val="24"/>
        </w:rPr>
        <w:t xml:space="preserve">travestita da conteggio.</w:t>
      </w:r>
    </w:p>
    <w:p>
      <w:pPr>
        <w:spacing w:after="120" w:line="276"/>
        <w:jc w:val="both"/>
      </w:pPr>
      <w:r>
        <w:rPr>
          <w:rFonts w:ascii="Barlow Semi Condensed" w:cs="Barlow Semi Condensed" w:eastAsia="Barlow Semi Condensed" w:hAnsi="Barlow Semi Condensed"/>
          <w:b/>
          <w:bCs/>
          <w:sz w:val="24"/>
          <w:szCs w:val="24"/>
        </w:rPr>
        <w:t xml:space="preserve">Stato Zero dichiarato</w:t>
      </w:r>
      <w:r>
        <w:rPr>
          <w:rFonts w:ascii="Barlow Semi Condensed" w:cs="Barlow Semi Condensed" w:eastAsia="Barlow Semi Condensed" w:hAnsi="Barlow Semi Condensed"/>
          <w:sz w:val="24"/>
          <w:szCs w:val="24"/>
        </w:rPr>
        <w:t xml:space="preserve"> — sede cercata: la tabella dei trentatré nomi del testo</w:t>
      </w:r>
    </w:p>
    <w:p>
      <w:pPr>
        <w:spacing w:after="120" w:line="276"/>
        <w:jc w:val="both"/>
      </w:pPr>
      <w:r>
        <w:rPr>
          <w:rFonts w:ascii="Barlow Semi Condensed" w:cs="Barlow Semi Condensed" w:eastAsia="Barlow Semi Condensed" w:hAnsi="Barlow Semi Condensed"/>
          <w:sz w:val="24"/>
          <w:szCs w:val="24"/>
        </w:rPr>
        <w:t xml:space="preserve">esaminato. Campo cercato: l'affiliazione datata. Esito della ricerca: negativo.</w:t>
      </w:r>
    </w:p>
    <w:p>
      <w:pPr>
        <w:pStyle w:val="Heading3"/>
        <w:spacing w:after="80" w:before="160"/>
      </w:pPr>
      <w:r>
        <w:rPr>
          <w:rFonts w:ascii="Barlow Semi Condensed" w:cs="Barlow Semi Condensed" w:eastAsia="Barlow Semi Condensed" w:hAnsi="Barlow Semi Condensed"/>
          <w:sz w:val="24"/>
          <w:szCs w:val="24"/>
        </w:rPr>
        <w:t xml:space="preserve">La sola percentuale che i dati reggono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grandezza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assoluto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dei 962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nomi asseriti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3,43 %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2,08 %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0,10 %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numero di tessera verificato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0,00 %</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È una percentuale </w:t>
      </w:r>
      <w:r>
        <w:rPr>
          <w:rFonts w:ascii="Barlow Semi Condensed" w:cs="Barlow Semi Condensed" w:eastAsia="Barlow Semi Condensed" w:hAnsi="Barlow Semi Condensed"/>
          <w:b/>
          <w:bCs/>
          <w:sz w:val="24"/>
          <w:szCs w:val="24"/>
        </w:rPr>
        <w:t xml:space="preserve">sulla lista, non sulla finestra</w:t>
      </w:r>
      <w:r>
        <w:rPr>
          <w:rFonts w:ascii="Barlow Semi Condensed" w:cs="Barlow Semi Condensed" w:eastAsia="Barlow Semi Condensed" w:hAnsi="Barlow Semi Condensed"/>
          <w:sz w:val="24"/>
          <w:szCs w:val="24"/>
        </w:rPr>
        <w:t xml:space="preserve">: dice quanta parte</w:t>
      </w:r>
    </w:p>
    <w:p>
      <w:pPr>
        <w:spacing w:after="120" w:line="276"/>
        <w:jc w:val="both"/>
      </w:pPr>
      <w:r>
        <w:rPr>
          <w:rFonts w:ascii="Barlow Semi Condensed" w:cs="Barlow Semi Condensed" w:eastAsia="Barlow Semi Condensed" w:hAnsi="Barlow Semi Condensed"/>
          <w:sz w:val="24"/>
          <w:szCs w:val="24"/>
        </w:rPr>
        <w:t xml:space="preserve">dell'elenco il testo tocca, non quanti fossero iscritti nel 1978.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Che cosa serve</w:t>
      </w:r>
    </w:p>
    <w:p>
      <w:pPr>
        <w:spacing w:after="120" w:line="276"/>
        <w:jc w:val="both"/>
      </w:pPr>
      <w:r>
        <w:rPr>
          <w:rFonts w:ascii="Barlow Semi Condensed" w:cs="Barlow Semi Condensed" w:eastAsia="Barlow Semi Condensed" w:hAnsi="Barlow Semi Condensed"/>
          <w:sz w:val="24"/>
          <w:szCs w:val="24"/>
        </w:rPr>
        <w:t xml:space="preserve">**L'allegato alla Doc. XXIII n. 2 — Relazione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sulla Loggia P2, 12 luglio 1984**, dove i numeri stanno scritti</w:t>
      </w:r>
    </w:p>
    <w:p>
      <w:pPr>
        <w:spacing w:after="120" w:line="276"/>
        <w:jc w:val="both"/>
      </w:pPr>
      <w:r>
        <w:rPr>
          <w:rFonts w:ascii="Barlow Semi Condensed" w:cs="Barlow Semi Condensed" w:eastAsia="Barlow Semi Condensed" w:hAnsi="Barlow Semi Condensed"/>
          <w:sz w:val="24"/>
          <w:szCs w:val="24"/>
        </w:rPr>
        <w:t xml:space="preserve">accanto ai nomi — e, per una parte degli iscritti, la data di adesione, che è il</w:t>
      </w:r>
    </w:p>
    <w:p>
      <w:pPr>
        <w:spacing w:after="120" w:line="276"/>
        <w:jc w:val="both"/>
      </w:pPr>
      <w:r>
        <w:rPr>
          <w:rFonts w:ascii="Barlow Semi Condensed" w:cs="Barlow Semi Condensed" w:eastAsia="Barlow Semi Condensed" w:hAnsi="Barlow Semi Condensed"/>
          <w:sz w:val="24"/>
          <w:szCs w:val="24"/>
        </w:rPr>
        <w:t xml:space="preserve">campo mancante del calcolo per finestra temporale. La relazione è pubblica; l'allegato nominativo va richiesto</w:t>
      </w:r>
    </w:p>
    <w:p>
      <w:pPr>
        <w:spacing w:after="120" w:line="276"/>
        <w:jc w:val="both"/>
      </w:pPr>
      <w:r>
        <w:rPr>
          <w:rFonts w:ascii="Barlow Semi Condensed" w:cs="Barlow Semi Condensed" w:eastAsia="Barlow Semi Condensed" w:hAnsi="Barlow Semi Condensed"/>
          <w:sz w:val="24"/>
          <w:szCs w:val="24"/>
        </w:rPr>
        <w:t xml:space="preserve">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Finché non è sul tavolo, **nessun numero di questo elenco va pubblicato come</w:t>
      </w:r>
    </w:p>
    <w:p>
      <w:pPr>
        <w:spacing w:after="120" w:line="276"/>
        <w:jc w:val="both"/>
      </w:pPr>
      <w:r>
        <w:rPr>
          <w:rFonts w:ascii="Barlow Semi Condensed" w:cs="Barlow Semi Condensed" w:eastAsia="Barlow Semi Condensed" w:hAnsi="Barlow Semi Condensed"/>
          <w:sz w:val="24"/>
          <w:szCs w:val="24"/>
        </w:rPr>
        <w:t xml:space="preserve">certificato**, e nessuna percentuale va calcolata su di 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La regola che sopravvive a ogni esito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p>
    <w:p>
      <w:pPr>
        <w:spacing w:after="120" w:line="276"/>
        <w:jc w:val="both"/>
      </w:pPr>
      <w:r>
        <w:rPr>
          <w:rFonts w:ascii="Barlow Semi Condensed" w:cs="Barlow Semi Condensed" w:eastAsia="Barlow Semi Condensed" w:hAnsi="Barlow Semi Condensed"/>
          <w:sz w:val="24"/>
          <w:szCs w:val="24"/>
        </w:rPr>
        <w:t xml:space="preserve">Se l'allegato confermasse tutti e trentatré i numeri, si sarebbe accertata</w:t>
      </w:r>
    </w:p>
    <w:p>
      <w:pPr>
        <w:spacing w:after="120" w:line="276"/>
        <w:jc w:val="both"/>
      </w:pPr>
      <w:r>
        <w:rPr>
          <w:rFonts w:ascii="Barlow Semi Condensed" w:cs="Barlow Semi Condensed" w:eastAsia="Barlow Semi Condensed" w:hAnsi="Barlow Semi Condensed"/>
          <w:sz w:val="24"/>
          <w:szCs w:val="24"/>
        </w:rPr>
        <w:t xml:space="preserve">l'appartenenza di trentatré persone a una loggia, e nient'altro: nessuna condotta,</w:t>
      </w:r>
    </w:p>
    <w:p>
      <w:pPr>
        <w:spacing w:after="120" w:line="276"/>
        <w:jc w:val="both"/>
      </w:pPr>
      <w:r>
        <w:rPr>
          <w:rFonts w:ascii="Barlow Semi Condensed" w:cs="Barlow Semi Condensed" w:eastAsia="Barlow Semi Condensed" w:hAnsi="Barlow Semi Condensed"/>
          <w:sz w:val="24"/>
          <w:szCs w:val="24"/>
        </w:rPr>
        <w:t xml:space="preserve">nessuna responsabilità, nessun concorso. La distanza fra le due cose è l'intera</w:t>
      </w:r>
    </w:p>
    <w:p>
      <w:pPr>
        <w:spacing w:after="120" w:line="276"/>
        <w:jc w:val="both"/>
      </w:pPr>
      <w:r>
        <w:rPr>
          <w:rFonts w:ascii="Barlow Semi Condensed" w:cs="Barlow Semi Condensed" w:eastAsia="Barlow Semi Condensed" w:hAnsi="Barlow Semi Condensed"/>
          <w:sz w:val="24"/>
          <w:szCs w:val="24"/>
        </w:rPr>
        <w:t xml:space="preserve">ragione per cui questa verifica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w:t>
      </w:r>
    </w:p>
    <w:p>
      <w:pPr>
        <w:spacing w:after="120" w:line="276"/>
        <w:jc w:val="both"/>
      </w:pPr>
      <w:r>
        <w:rPr>
          <w:rFonts w:ascii="Barlow Semi Condensed" w:cs="Barlow Semi Condensed" w:eastAsia="Barlow Semi Condensed" w:hAnsi="Barlow Semi Condensed"/>
          <w:b/>
          <w:bCs/>
          <w:sz w:val="24"/>
          <w:szCs w:val="24"/>
        </w:rPr>
        <w:t xml:space="preserve">Grafici del lotto</w:t>
      </w:r>
      <w:r>
        <w:rPr>
          <w:rFonts w:ascii="Barlow Semi Condensed" w:cs="Barlow Semi Condensed" w:eastAsia="Barlow Semi Condensed" w:hAnsi="Barlow Semi Condensed"/>
          <w:sz w:val="24"/>
          <w:szCs w:val="24"/>
        </w:rPr>
        <w:t xml:space="preserve"> — nove, generati da </w:t>
      </w:r>
      <w:r>
        <w:rPr>
          <w:rFonts w:ascii="Barlow Semi Condensed" w:cs="Barlow Semi Condensed" w:eastAsia="Barlow Semi Condensed" w:hAnsi="Barlow Semi Condensed"/>
          <w:i/>
          <w:iCs/>
          <w:sz w:val="24"/>
          <w:szCs w:val="24"/>
        </w:rPr>
        <w:t xml:space="preserve">_verifiche/generatori/gen_verifica_p2.py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nello stile della casa (fondo a gradiente crema, inchiostro blu navy). Ogni</w:t>
      </w:r>
    </w:p>
    <w:p>
      <w:pPr>
        <w:spacing w:after="120" w:line="276"/>
        <w:jc w:val="both"/>
      </w:pPr>
      <w:r>
        <w:rPr>
          <w:rFonts w:ascii="Barlow Semi Condensed" w:cs="Barlow Semi Condensed" w:eastAsia="Barlow Semi Condensed" w:hAnsi="Barlow Semi Condensed"/>
          <w:sz w:val="24"/>
          <w:szCs w:val="24"/>
        </w:rPr>
        <w:t xml:space="preserve">immagine porta in calce la propria nota di metodo, che è parte del grafico.</w:t>
      </w:r>
    </w:p>
    <w:p>
      <w:pPr>
        <w:spacing w:after="120" w:line="276"/>
        <w:jc w:val="both"/>
      </w:pPr>
      <w:r>
        <w:rPr>
          <w:rFonts w:ascii="Barlow Semi Condensed" w:cs="Barlow Semi Condensed" w:eastAsia="Barlow Semi Condensed" w:hAnsi="Barlow Semi Condensed"/>
          <w:b/>
          <w:bCs/>
          <w:sz w:val="24"/>
          <w:szCs w:val="24"/>
        </w:rPr>
        <w:t xml:space="preserve">Fonti documentali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della Commissione parlamentare d'inchiesta sulla Loggia P2, Cap. II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Autenticità e attendibilità delle liste</w:t>
      </w:r>
      <w:r>
        <w:rPr>
          <w:rFonts w:ascii="Barlow Semi Condensed" w:cs="Barlow Semi Condensed" w:eastAsia="Barlow Semi Condensed" w:hAnsi="Barlow Semi Condensed"/>
          <w:sz w:val="24"/>
          <w:szCs w:val="24"/>
        </w:rPr>
        <w:t xml:space="preserve">, it.wikisource.org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Anselmi, testo integrale — archivioantimafia.org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Appartenenti alla P2</w:t>
      </w:r>
      <w:r>
        <w:rPr>
          <w:rFonts w:ascii="Barlow Semi Condensed" w:cs="Barlow Semi Condensed" w:eastAsia="Barlow Semi Condensed" w:hAnsi="Barlow Semi Condensed"/>
          <w:sz w:val="24"/>
          <w:szCs w:val="24"/>
        </w:rPr>
        <w:t xml:space="preserve"> — it.wikipedia.org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Fatto Quotidiano</w:t>
      </w:r>
      <w:r>
        <w:rPr>
          <w:rFonts w:ascii="Barlow Semi Condensed" w:cs="Barlow Semi Condensed" w:eastAsia="Barlow Semi Condensed" w:hAnsi="Barlow Semi Condensed"/>
          <w:sz w:val="24"/>
          <w:szCs w:val="24"/>
        </w:rPr>
        <w:t xml:space="preserve">, 17 marzo 2021, sull'incompletezza degli elenchi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Comitato esecutivo per i servizi di informazione e sicurezza</w:t>
      </w:r>
      <w:r>
        <w:rPr>
          <w:rFonts w:ascii="Barlow Semi Condensed" w:cs="Barlow Semi Condensed" w:eastAsia="Barlow Semi Condensed" w:hAnsi="Barlow Semi Condensed"/>
          <w:sz w:val="24"/>
          <w:szCs w:val="24"/>
        </w:rPr>
        <w:t xml:space="preserve"> — it.wikipedia.org</w:t>
      </w:r>
    </w:p>
    <w:p>
      <w:pPr>
        <w:spacing w:after="120" w:line="276"/>
        <w:jc w:val="both"/>
      </w:pPr>
      <w:r>
        <w:rPr>
          <w:rFonts w:ascii="Barlow Semi Condensed" w:cs="Barlow Semi Condensed" w:eastAsia="Barlow Semi Condensed" w:hAnsi="Barlow Semi Condensed"/>
          <w:b/>
          <w:bCs/>
          <w:sz w:val="24"/>
          <w:szCs w:val="24"/>
        </w:rPr>
        <w:t xml:space="preserve">Correzioni interne a questa verifica</w:t>
      </w:r>
      <w:r>
        <w:rPr>
          <w:rFonts w:ascii="Barlow Semi Condensed" w:cs="Barlow Semi Condensed" w:eastAsia="Barlow Semi Condensed" w:hAnsi="Barlow Semi Condensed"/>
          <w:sz w:val="24"/>
          <w:szCs w:val="24"/>
        </w:rPr>
        <w:t xml:space="preserve">, annotate e non sostituite: in una prima</w:t>
      </w:r>
    </w:p>
    <w:p>
      <w:pPr>
        <w:spacing w:after="120" w:line="276"/>
        <w:jc w:val="both"/>
      </w:pPr>
      <w:r>
        <w:rPr>
          <w:rFonts w:ascii="Barlow Semi Condensed" w:cs="Barlow Semi Condensed" w:eastAsia="Barlow Semi Condensed" w:hAnsi="Barlow Semi Condensed"/>
          <w:sz w:val="24"/>
          <w:szCs w:val="24"/>
        </w:rPr>
        <w:t xml:space="preserve">stesura la tessera 811 era stata attribuita a Ortolani (è di Rizzuti; Ortolani è</w:t>
      </w:r>
    </w:p>
    <w:p>
      <w:pPr>
        <w:spacing w:after="120" w:line="276"/>
        <w:jc w:val="both"/>
      </w:pPr>
      <w:r>
        <w:rPr>
          <w:rFonts w:ascii="Barlow Semi Condensed" w:cs="Barlow Semi Condensed" w:eastAsia="Barlow Semi Condensed" w:hAnsi="Barlow Semi Condensed"/>
          <w:sz w:val="24"/>
          <w:szCs w:val="24"/>
        </w:rPr>
        <w:t xml:space="preserve">1609), e i nomi di Chichiarelli, Vitalone, Terranova e Napoletano erano stati</w:t>
      </w:r>
    </w:p>
    <w:p>
      <w:pPr>
        <w:spacing w:after="120" w:line="276"/>
        <w:jc w:val="both"/>
      </w:pPr>
      <w:r>
        <w:rPr>
          <w:rFonts w:ascii="Barlow Semi Condensed" w:cs="Barlow Semi Condensed" w:eastAsia="Barlow Semi Condensed" w:hAnsi="Barlow Semi Condensed"/>
          <w:sz w:val="24"/>
          <w:szCs w:val="24"/>
        </w:rPr>
        <w:t xml:space="preserve">trattati come righe della tabella dei trentatré, mentre appartengono ad altre</w:t>
      </w:r>
    </w:p>
    <w:p>
      <w:pPr>
        <w:spacing w:after="120" w:line="276"/>
        <w:jc w:val="both"/>
      </w:pPr>
      <w:r>
        <w:rPr>
          <w:rFonts w:ascii="Barlow Semi Condensed" w:cs="Barlow Semi Condensed" w:eastAsia="Barlow Semi Condensed" w:hAnsi="Barlow Semi Condensed"/>
          <w:sz w:val="24"/>
          <w:szCs w:val="24"/>
        </w:rPr>
        <w:t xml:space="preserve">sezioni del testo esaminato. La tabella ha trentatré righe esatte, contate una per</w:t>
      </w:r>
    </w:p>
    <w:p>
      <w:pPr>
        <w:spacing w:after="120" w:line="276"/>
        <w:jc w:val="both"/>
      </w:pPr>
      <w:r>
        <w:rPr>
          <w:rFonts w:ascii="Barlow Semi Condensed" w:cs="Barlow Semi Condensed" w:eastAsia="Barlow Semi Condensed" w:hAnsi="Barlow Semi Condensed"/>
          <w:sz w:val="24"/>
          <w:szCs w:val="24"/>
        </w:rPr>
        <w:t xml:space="preserve">una sul testo originale.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Verifica di un elenco esterno (i trentatré nomi)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1.798 parole in 9 sezioni; la più ampia è §2 2. Il rilievo dirimente: la soglia del 1.600, con 333.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53 paragrafi in 9 sezioni, 6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 campi della tabella verificata e quanti nomi reggono in ciascuno: trentatré nomi, trentatré ruoli verificabili, venti appartenenze corroborate, nessun numero di tessera.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 dei trentatré valori dichiarati come numero di tessera cadono sotto il 1.600, soglia verbalizzata negli atti della Commissione; un quinto vi si posa esatto.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Ripartizione delle trentatré righe per sede istituzionale attribuita nel 1978: quindici nei servizi informativi, ventidue in apparati che rispondono all'esecutivo.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degli elenchi secondo le fonti sui lavori della Commissione Anselmi, con l'annotazione sulla cifra dei parlamentari registrata nel Libro quarto.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Quattrocentodiciannove giorni la finestra richiesta, 1.097 dai fatti al sequestro degli elenchi, 2.310 dai fatti al deposito della relazione di maggioranza.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sul corpus: la documentazione si addensa sui tre mesi del sequestro e si dirada ai due estremi.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sole percentuali sui 962 che i dati consentano di calcolare: 3,43 per cento i nomi asseriti, 2,08 quelli con appartenenza corroborata, zero quelli con un numero verificato.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campo che il calcolo per finestra temporale richiederebbe: due righe su trentatré portano una data di affiliazione, una sola è collocabile in un mese preciso.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quattrocentodiciannove giorni della finestra, con i cinquantacinque della prigionia in evidenza, e i due soli dati datati della tabella verificata.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 La guida alla lettura</w:t>
      </w:r>
    </w:p>
    <w:p>
      <w:pPr>
        <w:pStyle w:val="Heading1"/>
        <w:spacing w:after="120" w:before="240"/>
      </w:pPr>
      <w:r>
        <w:rPr>
          <w:rFonts w:ascii="Barlow Semi Condensed" w:cs="Barlow Semi Condensed" w:eastAsia="Barlow Semi Condensed" w:hAnsi="Barlow Semi Condensed"/>
          <w:sz w:val="24"/>
          <w:szCs w:val="24"/>
        </w:rPr>
        <w:t xml:space="preserve">Guida alla lettura del corpus storico</w:t>
      </w:r>
    </w:p>
    <w:p>
      <w:pPr>
        <w:spacing w:after="120" w:line="276"/>
        <w:jc w:val="both"/>
      </w:pPr>
      <w:r>
        <w:rPr>
          <w:rFonts w:ascii="Barlow Semi Condensed" w:cs="Barlow Semi Condensed" w:eastAsia="Barlow Semi Condensed" w:hAnsi="Barlow Semi Condensed"/>
          <w:i/>
          <w:iCs/>
          <w:sz w:val="24"/>
          <w:szCs w:val="24"/>
        </w:rPr>
        <w:t xml:space="preserve">Porta d'ingresso ai documenti storici del branch `claude/amnistiati-tribunale-speciale-a82lzn` — aggiornata al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L'opera integrale — «Aldo Moro. Ottanta anni di Pace».</w:t>
      </w:r>
      <w:r>
        <w:rPr>
          <w:rFonts w:ascii="Barlow Semi Condensed" w:cs="Barlow Semi Condensed" w:eastAsia="Barlow Semi Condensed" w:hAnsi="Barlow Semi Condensed"/>
          <w:i w:val="false"/>
          <w:iCs w:val="false"/>
          <w:sz w:val="24"/>
          <w:szCs w:val="24"/>
        </w:rPr>
        <w:t xml:space="preserve"> L'intero corpus di questo branch è rilegato in un solo volume col titolo scelto dall'autore (chiave interpretativa dichiarata in copertina come lente, non sentenza), in doppia edizione: `</w:t>
      </w:r>
      <w:r>
        <w:rPr>
          <w:rFonts w:ascii="Barlow Semi Condensed" w:cs="Barlow Semi Condensed" w:eastAsia="Barlow Semi Condensed" w:hAnsi="Barlow Semi Condensed"/>
          <w:i w:val="false"/>
          <w:iCs w:val="false"/>
          <w:sz w:val="24"/>
          <w:szCs w:val="24"/>
        </w:rPr>
        <w:t xml:space="preserve">UNA_GUERRA_SENZA_FINE_OPERA_INTEGRALE.docx</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.pdf`](UNA_GUERRA_SENZA_FINE_OPERA_INTEGRALE.pdf) (2.425 pagine, edizione integrale in senso stretto, in Barlow Semi Condensed, con l'apparato grafico a piè di ogni capitolo e l'apparato conclusivo delle note bibliografiche dalla prima all'ultima) — il Portale, quindici Libri (col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al quarto, e col fascicolo aperto in sette parti: l'intera quadriga investigativa e la triangolazione Kissinger in mille blocchi) e quattro Appendici — la terza è la verifica di un elenco esterno sottoposto al corpus, la quarta assorbe l'apparato di navigazione e l'intero dossier di invio —, nell'ordine di lettura, sesta edizione accresciuta. Il Libro dodicesimo accoglie la </w:t>
      </w:r>
      <w:r>
        <w:rPr>
          <w:rFonts w:ascii="Barlow Semi Condensed" w:cs="Barlow Semi Condensed" w:eastAsia="Barlow Semi Condensed" w:hAnsi="Barlow Semi Condensed"/>
          <w:b/>
          <w:bCs/>
          <w:i w:val="false"/>
          <w:iCs w:val="false"/>
          <w:sz w:val="24"/>
          <w:szCs w:val="24"/>
        </w:rPr>
        <w:t xml:space="preserve">terza campagna Farnesina</w:t>
      </w:r>
      <w:r>
        <w:rPr>
          <w:rFonts w:ascii="Barlow Semi Condensed" w:cs="Barlow Semi Condensed" w:eastAsia="Barlow Semi Condensed" w:hAnsi="Barlow Semi Condensed"/>
          <w:i w:val="false"/>
          <w:iCs w:val="false"/>
          <w:sz w:val="24"/>
          <w:szCs w:val="24"/>
        </w:rPr>
        <w:t xml:space="preserve"> in ventotto parti; il </w:t>
      </w:r>
      <w:r>
        <w:rPr>
          <w:rFonts w:ascii="Barlow Semi Condensed" w:cs="Barlow Semi Condensed" w:eastAsia="Barlow Semi Condensed" w:hAnsi="Barlow Semi Condensed"/>
          <w:b/>
          <w:bCs/>
          <w:i w:val="false"/>
          <w:iCs w:val="false"/>
          <w:sz w:val="24"/>
          <w:szCs w:val="24"/>
        </w:rPr>
        <w:t xml:space="preserve">quindicesimo</w:t>
      </w:r>
      <w:r>
        <w:rPr>
          <w:rFonts w:ascii="Barlow Semi Condensed" w:cs="Barlow Semi Condensed" w:eastAsia="Barlow Semi Condensed" w:hAnsi="Barlow Semi Condensed"/>
          <w:i w:val="false"/>
          <w:iCs w:val="false"/>
          <w:sz w:val="24"/>
          <w:szCs w:val="24"/>
        </w:rPr>
        <w:t xml:space="preserve"> è l'opera seconda sui cinquantacinque giorni, in sette Fasi e settanta Capitoli; il </w:t>
      </w:r>
      <w:r>
        <w:rPr>
          <w:rFonts w:ascii="Barlow Semi Condensed" w:cs="Barlow Semi Condensed" w:eastAsia="Barlow Semi Condensed" w:hAnsi="Barlow Semi Condensed"/>
          <w:b/>
          <w:bCs/>
          <w:i w:val="false"/>
          <w:iCs w:val="false"/>
          <w:sz w:val="24"/>
          <w:szCs w:val="24"/>
        </w:rPr>
        <w:t xml:space="preserve">nono</w:t>
      </w:r>
      <w:r>
        <w:rPr>
          <w:rFonts w:ascii="Barlow Semi Condensed" w:cs="Barlow Semi Condensed" w:eastAsia="Barlow Semi Condensed" w:hAnsi="Barlow Semi Condensed"/>
          <w:i w:val="false"/>
          <w:iCs w:val="false"/>
          <w:sz w:val="24"/>
          <w:szCs w:val="24"/>
        </w:rPr>
        <w:t xml:space="preserve"> accoglie le undici Appendici alla Fase settima, dalla quinta alla quindicesima.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Questo branch raccoglie un </w:t>
      </w:r>
      <w:r>
        <w:rPr>
          <w:rFonts w:ascii="Barlow Semi Condensed" w:cs="Barlow Semi Condensed" w:eastAsia="Barlow Semi Condensed" w:hAnsi="Barlow Semi Condensed"/>
          <w:b/>
          <w:bCs/>
          <w:i w:val="false"/>
          <w:iCs w:val="false"/>
          <w:sz w:val="24"/>
          <w:szCs w:val="24"/>
        </w:rPr>
        <w:t xml:space="preserve">corpus storico</w:t>
      </w:r>
      <w:r>
        <w:rPr>
          <w:rFonts w:ascii="Barlow Semi Condensed" w:cs="Barlow Semi Condensed" w:eastAsia="Barlow Semi Condensed" w:hAnsi="Barlow Semi Condensed"/>
          <w:i w:val="false"/>
          <w:iCs w:val="false"/>
          <w:sz w:val="24"/>
          <w:szCs w:val="24"/>
        </w:rPr>
        <w:t xml:space="preserve"> (Ernesto Guevara, il mito del Che, Aldo Moro) estraneo al progetto principale del repository. La presente guida è la porta d'ingresso curata: dice </w:t>
      </w: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in che ordine leggere</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quanto pesa</w:t>
      </w:r>
      <w:r>
        <w:rPr>
          <w:rFonts w:ascii="Barlow Semi Condensed" w:cs="Barlow Semi Condensed" w:eastAsia="Barlow Semi Condensed" w:hAnsi="Barlow Semi Condensed"/>
          <w:i w:val="false"/>
          <w:iCs w:val="false"/>
          <w:sz w:val="24"/>
          <w:szCs w:val="24"/>
        </w:rPr>
        <w:t xml:space="preserve"> ogni affermazione. Per il semplice catalogo di tutti i file si veda `</w:t>
      </w:r>
      <w:r>
        <w:rPr>
          <w:rFonts w:ascii="Barlow Semi Condensed" w:cs="Barlow Semi Condensed" w:eastAsia="Barlow Semi Condensed" w:hAnsi="Barlow Semi Condensed"/>
          <w:i w:val="false"/>
          <w:iCs w:val="false"/>
          <w:sz w:val="24"/>
          <w:szCs w:val="24"/>
        </w:rPr>
        <w:t xml:space="preserve">INDICE-DOCUMENTI-BRANCH.md</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 — la rimozione del materiale su Guevara.</w:t>
      </w:r>
      <w:r>
        <w:rPr>
          <w:rFonts w:ascii="Barlow Semi Condensed" w:cs="Barlow Semi Condensed" w:eastAsia="Barlow Semi Condensed" w:hAnsi="Barlow Semi Condensed"/>
          <w:i w:val="false"/>
          <w:iCs w:val="false"/>
          <w:sz w:val="24"/>
          <w:szCs w:val="24"/>
        </w:rPr>
        <w:t xml:space="preserve"> Per decisione dell'autore sono stati rimossi dall'opera il saggio-cerniera «Dal Che a Moro» e la parabola di Ernesto Guevara in sei parti — sette documenti, 17.769 parole — insieme al volume tematico che li rilegava. </w:t>
      </w:r>
      <w:r>
        <w:rPr>
          <w:rFonts w:ascii="Barlow Semi Condensed" w:cs="Barlow Semi Condensed" w:eastAsia="Barlow Semi Condensed" w:hAnsi="Barlow Semi Condensed"/>
          <w:b/>
          <w:bCs/>
          <w:i w:val="false"/>
          <w:iCs w:val="false"/>
          <w:sz w:val="24"/>
          <w:szCs w:val="24"/>
        </w:rPr>
        <w:t xml:space="preserve">I riferimenti che restano in questa pagina non sono stati cancellati</w:t>
      </w:r>
      <w:r>
        <w:rPr>
          <w:rFonts w:ascii="Barlow Semi Condensed" w:cs="Barlow Semi Condensed" w:eastAsia="Barlow Semi Condensed" w:hAnsi="Barlow Semi Condensed"/>
          <w:i w:val="false"/>
          <w:iCs w:val="false"/>
          <w:sz w:val="24"/>
          <w:szCs w:val="24"/>
        </w:rPr>
        <w:t xml:space="preserve">: rinviano a documenti che non ci sono più, e questo è ciò che deve risultare a chi legge. Cancellarli avrebbe reso la rimozione invisibile; la numerazione dei Libri, per la stessa ragione, non è stata rifatta, e dopo il Libro primo viene il Libro quarto.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leggere: la disciplina del corpus</w:t>
      </w:r>
    </w:p>
    <w:p>
      <w:pPr>
        <w:spacing w:after="120" w:line="276"/>
        <w:jc w:val="both"/>
      </w:pPr>
      <w:r>
        <w:rPr>
          <w:rFonts w:ascii="Barlow Semi Condensed" w:cs="Barlow Semi Condensed" w:eastAsia="Barlow Semi Condensed" w:hAnsi="Barlow Semi Condensed"/>
          <w:sz w:val="24"/>
          <w:szCs w:val="24"/>
        </w:rPr>
        <w:t xml:space="preserve">Tre regole valgono su ogni pagina, e vanno tenute presenti dalla prima riga: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Regola di Ferro.</w:t>
      </w:r>
      <w:r>
        <w:rPr>
          <w:rFonts w:ascii="Barlow Semi Condensed" w:cs="Barlow Semi Condensed" w:eastAsia="Barlow Semi Condensed" w:hAnsi="Barlow Semi Condensed"/>
          <w:sz w:val="24"/>
          <w:szCs w:val="24"/>
        </w:rPr>
        <w:t xml:space="preserve"> Dove la fonte documenta, l'opera certifica; dove tace, indaga e non afferma. Ogni affermazione portante dichiara su che cosa poggia.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Tre gradi di prova.</w:t>
      </w:r>
      <w:r>
        <w:rPr>
          <w:rFonts w:ascii="Barlow Semi Condensed" w:cs="Barlow Semi Condensed" w:eastAsia="Barlow Semi Condensed" w:hAnsi="Barlow Semi Condensed"/>
          <w:sz w:val="24"/>
          <w:szCs w:val="24"/>
        </w:rPr>
        <w:t xml:space="preserve"> Si distingue sempre ciò che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(rapporto provato), ciò che è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(stesso tempo, stessa cornice — mai promossa a nesso causale) e ciò che è </w:t>
      </w:r>
      <w:r>
        <w:rPr>
          <w:rFonts w:ascii="Barlow Semi Condensed" w:cs="Barlow Semi Condensed" w:eastAsia="Barlow Semi Condensed" w:hAnsi="Barlow Semi Condensed"/>
          <w:b/>
          <w:bCs/>
          <w:sz w:val="24"/>
          <w:szCs w:val="24"/>
        </w:rPr>
        <w:t xml:space="preserve">congettura</w:t>
      </w:r>
      <w:r>
        <w:rPr>
          <w:rFonts w:ascii="Barlow Semi Condensed" w:cs="Barlow Semi Condensed" w:eastAsia="Barlow Semi Condensed" w:hAnsi="Barlow Semi Condensed"/>
          <w:sz w:val="24"/>
          <w:szCs w:val="24"/>
        </w:rPr>
        <w:t xml:space="preserve"> (lasciata come tale). Le chiavi interpretative — a partire da «una guerra senza fine» — sono </w:t>
      </w:r>
      <w:r>
        <w:rPr>
          <w:rFonts w:ascii="Barlow Semi Condensed" w:cs="Barlow Semi Condensed" w:eastAsia="Barlow Semi Condensed" w:hAnsi="Barlow Semi Condensed"/>
          <w:b/>
          <w:bCs/>
          <w:sz w:val="24"/>
          <w:szCs w:val="24"/>
        </w:rPr>
        <w:t xml:space="preserve">lenti</w:t>
      </w:r>
      <w:r>
        <w:rPr>
          <w:rFonts w:ascii="Barlow Semi Condensed" w:cs="Barlow Semi Condensed" w:eastAsia="Barlow Semi Condensed" w:hAnsi="Barlow Semi Condensed"/>
          <w:sz w:val="24"/>
          <w:szCs w:val="24"/>
        </w:rPr>
        <w:t xml:space="preserve">, non sentenze.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limite etico.</w:t>
      </w:r>
      <w:r>
        <w:rPr>
          <w:rFonts w:ascii="Barlow Semi Condensed" w:cs="Barlow Semi Condensed" w:eastAsia="Barlow Semi Condensed" w:hAnsi="Barlow Semi Condensed"/>
          <w:sz w:val="24"/>
          <w:szCs w:val="24"/>
        </w:rPr>
        <w:t xml:space="preserve"> Nessuno è nominato come responsabile al di là del giudicato; vale la presunzione d'innocenza. Il materiale che tocca persone viventi con attribuzioni non riscontrate </w:t>
      </w:r>
      <w:r>
        <w:rPr>
          <w:rFonts w:ascii="Barlow Semi Condensed" w:cs="Barlow Semi Condensed" w:eastAsia="Barlow Semi Condensed" w:hAnsi="Barlow Semi Condensed"/>
          <w:b/>
          <w:bCs/>
          <w:sz w:val="24"/>
          <w:szCs w:val="24"/>
        </w:rPr>
        <w:t xml:space="preserve">non appartiene a questo branch pubblico</w:t>
      </w:r>
      <w:r>
        <w:rPr>
          <w:rFonts w:ascii="Barlow Semi Condensed" w:cs="Barlow Semi Condensed" w:eastAsia="Barlow Semi Condensed" w:hAnsi="Barlow Semi Condensed"/>
          <w:sz w:val="24"/>
          <w:szCs w:val="24"/>
        </w:rPr>
        <w:t xml:space="preserve"> e non vi è trattato.</w:t>
      </w:r>
    </w:p>
    <w:p>
      <w:pPr>
        <w:spacing w:after="120" w:line="276"/>
        <w:jc w:val="both"/>
      </w:pPr>
      <w:r>
        <w:rPr>
          <w:rFonts w:ascii="Barlow Semi Condensed" w:cs="Barlow Semi Condensed" w:eastAsia="Barlow Semi Condensed" w:hAnsi="Barlow Semi Condensed"/>
          <w:sz w:val="24"/>
          <w:szCs w:val="24"/>
        </w:rPr>
        <w:t xml:space="preserve">Chi tiene ferme queste tre regole leggerà il corpus per quello che vuole essere: una ricostruzione storica tracciabile, né agiografia né dietrologia.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percorsi di lettura</w:t>
      </w:r>
    </w:p>
    <w:p>
      <w:pPr>
        <w:spacing w:after="120" w:line="276"/>
        <w:jc w:val="both"/>
      </w:pPr>
      <w:r>
        <w:rPr>
          <w:rFonts w:ascii="Barlow Semi Condensed" w:cs="Barlow Semi Condensed" w:eastAsia="Barlow Semi Condensed" w:hAnsi="Barlow Semi Condensed"/>
          <w:sz w:val="24"/>
          <w:szCs w:val="24"/>
        </w:rPr>
        <w:t xml:space="preserve">Non è obbligatorio leggere tutto in fila. A seconda dell'interesse, tre cammini:</w:t>
      </w:r>
    </w:p>
    <w:p>
      <w:pPr>
        <w:pStyle w:val="Heading3"/>
        <w:spacing w:after="80" w:before="160"/>
      </w:pPr>
      <w:r>
        <w:rPr>
          <w:rFonts w:ascii="Barlow Semi Condensed" w:cs="Barlow Semi Condensed" w:eastAsia="Barlow Semi Condensed" w:hAnsi="Barlow Semi Condensed"/>
          <w:sz w:val="24"/>
          <w:szCs w:val="24"/>
        </w:rPr>
        <w:t xml:space="preserve">Percorso A — La parabola di Guevara (1928-1967)</w:t>
      </w:r>
    </w:p>
    <w:p>
      <w:pPr>
        <w:spacing w:after="120" w:line="276"/>
        <w:jc w:val="both"/>
      </w:pPr>
      <w:r>
        <w:rPr>
          <w:rFonts w:ascii="Barlow Semi Condensed" w:cs="Barlow Semi Condensed" w:eastAsia="Barlow Semi Condensed" w:hAnsi="Barlow Semi Condensed"/>
          <w:sz w:val="24"/>
          <w:szCs w:val="24"/>
        </w:rPr>
        <w:t xml:space="preserve">Per chi vuole la vita, dall'inizio alla fine, come ricostruzione storica.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 origini e formazione (fino al 1934)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 dal Messico alla Sierra Maestra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 dall'ONU 1964 al Congo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guevara-campagna-boliviana-1966-1967.md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conclusivo</w:t>
      </w:r>
      <w:r>
        <w:rPr>
          <w:rFonts w:ascii="Barlow Semi Condensed" w:cs="Barlow Semi Condensed" w:eastAsia="Barlow Semi Condensed" w:hAnsi="Barlow Semi Condensed"/>
          <w:sz w:val="24"/>
          <w:szCs w:val="24"/>
        </w:rPr>
        <w:t xml:space="preserve">: Ñancahuazú, La Higuera, il ritorno delle ossa (1997)</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guevara-bibliografia-critica.md</w:t>
      </w:r>
      <w:r>
        <w:rPr>
          <w:rFonts w:ascii="Barlow Semi Condensed" w:cs="Barlow Semi Condensed" w:eastAsia="Barlow Semi Condensed" w:hAnsi="Barlow Semi Condensed"/>
          <w:sz w:val="24"/>
          <w:szCs w:val="24"/>
        </w:rPr>
        <w:t xml:space="preserve">` — l'apparato delle fonti, per rango di affidabilità</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Chi preferisce il volume unico rilegato trova gli stessi cinque studi in `</w:t>
      </w:r>
      <w:r>
        <w:rPr>
          <w:rFonts w:ascii="Barlow Semi Condensed" w:cs="Barlow Semi Condensed" w:eastAsia="Barlow Semi Condensed" w:hAnsi="Barlow Semi Condensed"/>
          <w:i w:val="false"/>
          <w:iCs w:val="false"/>
          <w:sz w:val="24"/>
          <w:szCs w:val="24"/>
        </w:rPr>
        <w:t xml:space="preserve">GUEVARA_LA_PARABOLA_INTEGRALE_1928-1967.docx</w:t>
      </w:r>
      <w:r>
        <w:rPr>
          <w:rFonts w:ascii="Barlow Semi Condensed" w:cs="Barlow Semi Condensed" w:eastAsia="Barlow Semi Condensed" w:hAnsi="Barlow Semi Condensed"/>
          <w:i w:val="false"/>
          <w:iCs w:val="false"/>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Percorso B — Il caso Moro e l'apparato dei gradi</w:t>
      </w:r>
    </w:p>
    <w:p>
      <w:pPr>
        <w:spacing w:after="120" w:line="276"/>
        <w:jc w:val="both"/>
      </w:pPr>
      <w:r>
        <w:rPr>
          <w:rFonts w:ascii="Barlow Semi Condensed" w:cs="Barlow Semi Condensed" w:eastAsia="Barlow Semi Condensed" w:hAnsi="Barlow Semi Condensed"/>
          <w:sz w:val="24"/>
          <w:szCs w:val="24"/>
        </w:rPr>
        <w:t xml:space="preserve">Per chi viene dal versante italiano e dal metodo falsificazionista.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portale dell'opera.</w:t>
      </w:r>
      <w:r>
        <w:rPr>
          <w:rFonts w:ascii="Barlow Semi Condensed" w:cs="Barlow Semi Condensed" w:eastAsia="Barlow Semi Condensed" w:hAnsi="Barlow Semi Condensed"/>
          <w:i w:val="false"/>
          <w:iCs w:val="false"/>
          <w:sz w:val="24"/>
          <w:szCs w:val="24"/>
        </w:rPr>
        <w:t xml:space="preserve"> L'intero corpus moroteo è ora riordinato secondo l'architettura del Dossier maggiore dell'autore («Aldo Moro — Tutta la verità»: cinque Fasi, capitoli, blocchi mirati, griglia a cinque voci) in `</w:t>
      </w:r>
      <w:r>
        <w:rPr>
          <w:rFonts w:ascii="Barlow Semi Condensed" w:cs="Barlow Semi Condensed" w:eastAsia="Barlow Semi Condensed" w:hAnsi="Barlow Semi Condensed"/>
          <w:i w:val="false"/>
          <w:iCs w:val="false"/>
          <w:sz w:val="24"/>
          <w:szCs w:val="24"/>
        </w:rPr>
        <w:t xml:space="preserve">aldo-moro-una-guerra-senza-fine-edizione-strutturata.md</w:t>
      </w:r>
      <w:r>
        <w:rPr>
          <w:rFonts w:ascii="Barlow Semi Condensed" w:cs="Barlow Semi Condensed" w:eastAsia="Barlow Semi Condensed" w:hAnsi="Barlow Semi Condensed"/>
          <w:i w:val="false"/>
          <w:iCs w:val="false"/>
          <w:sz w:val="24"/>
          <w:szCs w:val="24"/>
        </w:rPr>
        <w:t xml:space="preserve"> — con la divergenza dichiarata: la Fase quinta pubblica si ferma al giudicato e non riproduce la graduatoria probabilistica. Anche le **metodologie** del Dossier sono adottate e calcolate sul corpus (rete documentata, regola dell'anello debole, regola dei buchi, ACH, auto-misurazione) in </w:t>
      </w:r>
      <w:r>
        <w:rPr>
          <w:rFonts w:ascii="Barlow Semi Condensed" w:cs="Barlow Semi Condensed" w:eastAsia="Barlow Semi Condensed" w:hAnsi="Barlow Semi Condensed"/>
          <w:i w:val="false"/>
          <w:iCs w:val="false"/>
          <w:sz w:val="24"/>
          <w:szCs w:val="24"/>
        </w:rPr>
        <w:t xml:space="preserve">metodologie-del-dossier-sinaptogenesi-e-strumenti.md</w:t>
      </w:r>
      <w:r>
        <w:rPr>
          <w:rFonts w:ascii="Barlow Semi Condensed" w:cs="Barlow Semi Condensed" w:eastAsia="Barlow Semi Condensed" w:hAnsi="Barlow Semi Condensed"/>
          <w:i w:val="false"/>
          <w:iCs w:val="false"/>
          <w:sz w:val="24"/>
          <w:szCs w:val="24"/>
        </w:rPr>
        <w:t xml:space="preserve">. Chi vuole la mappa unica parte da lì; le tappe che seguono restano il percorso analitico. La proiezione **investigativa** del corpus — le dieci piste operative, il fascicolo romano ancora aperto, la Direttiva Renzi — è in </w:t>
      </w:r>
      <w:r>
        <w:rPr>
          <w:rFonts w:ascii="Barlow Semi Condensed" w:cs="Barlow Semi Condensed" w:eastAsia="Barlow Semi Condensed" w:hAnsi="Barlow Semi Condensed"/>
          <w:i w:val="false"/>
          <w:iCs w:val="false"/>
          <w:sz w:val="24"/>
          <w:szCs w:val="24"/>
        </w:rPr>
        <w:t xml:space="preserve">programma-investigativo-caso-moro.md</w:t>
      </w:r>
      <w:r>
        <w:rPr>
          <w:rFonts w:ascii="Barlow Semi Condensed" w:cs="Barlow Semi Condensed" w:eastAsia="Barlow Semi Condensed" w:hAnsi="Barlow Semi Condensed"/>
          <w:i w:val="false"/>
          <w:iCs w:val="false"/>
          <w:sz w:val="24"/>
          <w:szCs w:val="24"/>
        </w:rPr>
        <w:t xml:space="preserve">, con le schede operative delle piste di testa (e la Nota di revisione n. 1) in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le sei schede delle entità in </w:t>
      </w:r>
      <w:r>
        <w:rPr>
          <w:rFonts w:ascii="Barlow Semi Condensed" w:cs="Barlow Semi Condensed" w:eastAsia="Barlow Semi Condensed" w:hAnsi="Barlow Semi Condensed"/>
          <w:i w:val="false"/>
          <w:iCs w:val="false"/>
          <w:sz w:val="24"/>
          <w:szCs w:val="24"/>
        </w:rPr>
        <w:t xml:space="preserve">approfondimento-piste-entita.md</w:t>
      </w:r>
      <w:r>
        <w:rPr>
          <w:rFonts w:ascii="Barlow Semi Condensed" w:cs="Barlow Semi Condensed" w:eastAsia="Barlow Semi Condensed" w:hAnsi="Barlow Semi Condensed"/>
          <w:i w:val="false"/>
          <w:iCs w:val="false"/>
          <w:sz w:val="24"/>
          <w:szCs w:val="24"/>
        </w:rPr>
        <w:t xml:space="preserve">, e il **manuale titanico in 400 blocchi mirati (seconda edizione)** — come dovrebbero svolgersi le attività investigative per il nuovo Caso Moro — in </w:t>
      </w:r>
      <w:r>
        <w:rPr>
          <w:rFonts w:ascii="Barlow Semi Condensed" w:cs="Barlow Semi Condensed" w:eastAsia="Barlow Semi Condensed" w:hAnsi="Barlow Semi Condensed"/>
          <w:i w:val="false"/>
          <w:iCs w:val="false"/>
          <w:sz w:val="24"/>
          <w:szCs w:val="24"/>
        </w:rPr>
        <w:t xml:space="preserve">manuale-investigativo-nuovo-caso-moro.md</w:t>
      </w:r>
      <w:r>
        <w:rPr>
          <w:rFonts w:ascii="Barlow Semi Condensed" w:cs="Barlow Semi Condensed" w:eastAsia="Barlow Semi Condensed" w:hAnsi="Barlow Semi Condensed"/>
          <w:i w:val="false"/>
          <w:iCs w:val="false"/>
          <w:sz w:val="24"/>
          <w:szCs w:val="24"/>
        </w:rPr>
        <w:t xml:space="preserve">. Il gemello del manuale è l'**agenda di ricerca titanica in 300 blocchi mirati di ricerca** — che cosa cercare e dove: i quesiti, i giacimenti, le verifiche di smentita, con l'apparato delle dodici verifiche d'archivio — in </w:t>
      </w:r>
      <w:r>
        <w:rPr>
          <w:rFonts w:ascii="Barlow Semi Condensed" w:cs="Barlow Semi Condensed" w:eastAsia="Barlow Semi Condensed" w:hAnsi="Barlow Semi Condensed"/>
          <w:i w:val="false"/>
          <w:iCs w:val="false"/>
          <w:sz w:val="24"/>
          <w:szCs w:val="24"/>
        </w:rPr>
        <w:t xml:space="preserve">agenda-di-ricerca-del-nuovo-caso-moro.md</w:t>
      </w:r>
      <w:r>
        <w:rPr>
          <w:rFonts w:ascii="Barlow Semi Condensed" w:cs="Barlow Semi Condensed" w:eastAsia="Barlow Semi Condensed" w:hAnsi="Barlow Semi Condensed"/>
          <w:i w:val="false"/>
          <w:iCs w:val="false"/>
          <w:sz w:val="24"/>
          <w:szCs w:val="24"/>
        </w:rPr>
        <w:t xml:space="preserve">: il manuale dice *come*, l'agenda dice *che cosa e dove*. La quadriga si chiude con l'opera monumentale dei **nove cantieri in 1.000 blocchi mirati** — l'esecuzione approfondita dei nove fronti (Regno Unito-Francia-Germania, Vaticano, fondi privati, reperti, memoriale, audio-fotografia, scienze forensi, registro del giudicato, fascicolo di Roma), con due campagne di verifica e i loro apparati — in </w:t>
      </w:r>
      <w:r>
        <w:rPr>
          <w:rFonts w:ascii="Barlow Semi Condensed" w:cs="Barlow Semi Condensed" w:eastAsia="Barlow Semi Condensed" w:hAnsi="Barlow Semi Condensed"/>
          <w:i w:val="false"/>
          <w:iCs w:val="false"/>
          <w:sz w:val="24"/>
          <w:szCs w:val="24"/>
        </w:rPr>
        <w:t xml:space="preserve">nove-cantieri-mille-blocchi.md</w:t>
      </w:r>
      <w:r>
        <w:rPr>
          <w:rFonts w:ascii="Barlow Semi Condensed" w:cs="Barlow Semi Condensed" w:eastAsia="Barlow Semi Condensed" w:hAnsi="Barlow Semi Condensed"/>
          <w:i w:val="false"/>
          <w:iCs w:val="false"/>
          <w:sz w:val="24"/>
          <w:szCs w:val="24"/>
        </w:rPr>
        <w:t xml:space="preserve">: 1.700 blocchi coordinati in quattro opere. A queste si aggiunge la **triangolazione in 4.999 blocchi mirati** di un solo nome contro tutto il corpus, in sessantacinque serie e due campagne — la prima concettuale, la seconda territoriale, che porta quel nome contro ogni singolo documento del corpus — </w:t>
      </w:r>
      <w:r>
        <w:rPr>
          <w:rFonts w:ascii="Barlow Semi Condensed" w:cs="Barlow Semi Condensed" w:eastAsia="Barlow Semi Condensed" w:hAnsi="Barlow Semi Condensed"/>
          <w:i w:val="false"/>
          <w:iCs w:val="false"/>
          <w:sz w:val="24"/>
          <w:szCs w:val="24"/>
        </w:rPr>
        <w:t xml:space="preserve">kissinger-mille-blocchi-il-codice-e-la-sua-trasmissione.md</w:t>
      </w:r>
      <w:r>
        <w:rPr>
          <w:rFonts w:ascii="Barlow Semi Condensed" w:cs="Barlow Semi Condensed" w:eastAsia="Barlow Semi Condensed" w:hAnsi="Barlow Semi Condensed"/>
          <w:i w:val="false"/>
          <w:iCs w:val="false"/>
          <w:sz w:val="24"/>
          <w:szCs w:val="24"/>
        </w:rPr>
        <w:t xml:space="preserve"> — costruita sulla chiave dichiarata dall'autore («Kissinger rappresenta metaforicamente la genetica»), **lente e non sentenza**, con la regola dei tre piani come metro e con la tredicesima serie dedicata a fermare la metafora dove essa spingerebbe verso la colpa ereditaria: in biologia il carattere si eredita, in storia la responsabilità no. A essa si affianca, come **Libro quattordicesimo**, la ricerca in 1.000 blocchi mirati che va **dal Sud Africa dell'apartheid alla cosiddetta PayPal Mafia** — </w:t>
      </w:r>
      <w:r>
        <w:rPr>
          <w:rFonts w:ascii="Barlow Semi Condensed" w:cs="Barlow Semi Condensed" w:eastAsia="Barlow Semi Condensed" w:hAnsi="Barlow Semi Condensed"/>
          <w:i w:val="false"/>
          <w:iCs w:val="false"/>
          <w:sz w:val="24"/>
          <w:szCs w:val="24"/>
        </w:rPr>
        <w:t xml:space="preserve">il-meridiano-e-la-valle-mille-blocchi.md</w:t>
      </w:r>
      <w:r>
        <w:rPr>
          <w:rFonts w:ascii="Barlow Semi Condensed" w:cs="Barlow Semi Condensed" w:eastAsia="Barlow Semi Condensed" w:hAnsi="Barlow Semi Condensed"/>
          <w:i w:val="false"/>
          <w:iCs w:val="false"/>
          <w:sz w:val="24"/>
          <w:szCs w:val="24"/>
        </w:rPr>
        <w:t xml:space="preserve">, rilegata in </w:t>
      </w:r>
      <w:r>
        <w:rPr>
          <w:rFonts w:ascii="Barlow Semi Condensed" w:cs="Barlow Semi Condensed" w:eastAsia="Barlow Semi Condensed" w:hAnsi="Barlow Semi Condensed"/>
          <w:i w:val="false"/>
          <w:iCs w:val="false"/>
          <w:sz w:val="24"/>
          <w:szCs w:val="24"/>
        </w:rPr>
        <w:t xml:space="preserve">IL_MERIDIANO_E_LA_VALLE_DAL_SUD_AFRICA_ALLA_PAYPAL_MAFIA.docx</w:t>
      </w:r>
      <w:r>
        <w:rPr>
          <w:rFonts w:ascii="Barlow Semi Condensed" w:cs="Barlow Semi Condensed" w:eastAsia="Barlow Semi Condensed" w:hAnsi="Barlow Semi Condensed"/>
          <w:i w:val="false"/>
          <w:iCs w:val="false"/>
          <w:sz w:val="24"/>
          <w:szCs w:val="24"/>
        </w:rPr>
        <w:t xml:space="preserve"> — dove la chiave di continuità è dichiarata non solo come lente ma come **ipotesi da mettere alla prova**, con i bersagli di smentita in ogni serie; nomina persone viventi e **non indica alcuno come responsabile di reato o di illecito**; il raccordo con l'opera-madre è tematico e non documentale, e il solo ponte documentato col corpus è il nodo E-16 della triangolazione Guevara-Moro, il discorso alle Nazioni Unite dell'11 dicembre 1964. Il volume rilegato è </w:t>
      </w:r>
      <w:r>
        <w:rPr>
          <w:rFonts w:ascii="Barlow Semi Condensed" w:cs="Barlow Semi Condensed" w:eastAsia="Barlow Semi Condensed" w:hAnsi="Barlow Semi Condensed"/>
          <w:i w:val="false"/>
          <w:iCs w:val="false"/>
          <w:sz w:val="24"/>
          <w:szCs w:val="24"/>
        </w:rPr>
        <w:t xml:space="preserve">IL_CODICE_E_LA_SUA_TRASMISSIONE_KISSINGER_MILLE_BLOCCHI.docx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w:t>
      </w:r>
      <w:r>
        <w:rPr>
          <w:rFonts w:ascii="Barlow Semi Condensed" w:cs="Barlow Semi Condensed" w:eastAsia="Barlow Semi Condensed" w:hAnsi="Barlow Semi Condensed"/>
          <w:i w:val="false"/>
          <w:iCs w:val="false"/>
          <w:sz w:val="24"/>
          <w:szCs w:val="24"/>
        </w:rPr>
        <w:t xml:space="preserve">](IL_CODICE_E_LA_SUA_TRASMISSIONE_KISSINGER_MILLE_BLOCCHI.pdf)). Il versante di ricerca (agenda + cantieri, 1.300 blocchi) è rilegato nel volume </w:t>
      </w:r>
      <w:r>
        <w:rPr>
          <w:rFonts w:ascii="Barlow Semi Condensed" w:cs="Barlow Semi Condensed" w:eastAsia="Barlow Semi Condensed" w:hAnsi="Barlow Semi Condensed"/>
          <w:i w:val="false"/>
          <w:iCs w:val="false"/>
          <w:sz w:val="24"/>
          <w:szCs w:val="24"/>
        </w:rPr>
        <w:t xml:space="preserve">IL_DITTICO_DELLA_RICERCA_AGENDA_E_NOVE_CANTIERI.docx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.pdf`](IL_DITTICO_DELLA_RICERCA_AGENDA_E_NOVE_CANTIERI.pdf) di 134 pagine, in Barlow Semi Condensed, testo interamente giustificato); il versante operativo (programma + manuale) nel volume del fascicolo aperto; l'intera quadriga anche nell'OPERA INTEGRALE.</w:t>
      </w:r>
    </w:p>
    <w:p>
      <w:pPr>
        <w:spacing w:after="40"/>
        <w:ind w:left="360"/>
        <w:jc w:val="both"/>
      </w:pPr>
      <w:r>
        <w:rPr>
          <w:rFonts w:ascii="Barlow Semi Condensed" w:cs="Barlow Semi Condensed" w:eastAsia="Barlow Semi Condensed" w:hAnsi="Barlow Semi Condensed"/>
          <w:sz w:val="24"/>
          <w:szCs w:val="24"/>
        </w:rPr>
        <w:t xml:space="preserve">0. `</w:t>
      </w:r>
      <w:r>
        <w:rPr>
          <w:rFonts w:ascii="Barlow Semi Condensed" w:cs="Barlow Semi Condensed" w:eastAsia="Barlow Semi Condensed" w:hAnsi="Barlow Semi Condensed"/>
          <w:i/>
          <w:iCs/>
          <w:sz w:val="24"/>
          <w:szCs w:val="24"/>
        </w:rPr>
        <w:t xml:space="preserve">aldo-moro-una-guerra-senza-fine-fase-ottava-il-ritratto.md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da leggere per primo</w:t>
      </w:r>
      <w:r>
        <w:rPr>
          <w:rFonts w:ascii="Barlow Semi Condensed" w:cs="Barlow Semi Condensed" w:eastAsia="Barlow Semi Condensed" w:hAnsi="Barlow Semi Condensed"/>
          <w:sz w:val="24"/>
          <w:szCs w:val="24"/>
        </w:rPr>
        <w:t xml:space="preserve">: il ritratto dell'uomo e dello statista (formazione, strategia dell'attenzione, solidarietà nazionale, «terza fase», le lettere), perché il caso non si capisce senza la persona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saggio-cerniera (leggi almeno le Parti prima, seconda, quinta e la Conclusione: sono la spina documentata)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aldo-moro-una-guerra-senza-fine-parte-terza.md</w:t>
      </w:r>
      <w:r>
        <w:rPr>
          <w:rFonts w:ascii="Barlow Semi Condensed" w:cs="Barlow Semi Condensed" w:eastAsia="Barlow Semi Condensed" w:hAnsi="Barlow Semi Condensed"/>
          <w:sz w:val="24"/>
          <w:szCs w:val="24"/>
        </w:rPr>
        <w:t xml:space="preserve">` — «Il ritorno del Pollo di Popper»: dossier falsificazionista sulle questioni aperte del caso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aldo-moro-una-guerra-senza-fine-fase-sesta.md</w:t>
      </w:r>
      <w:r>
        <w:rPr>
          <w:rFonts w:ascii="Barlow Semi Condensed" w:cs="Barlow Semi Condensed" w:eastAsia="Barlow Semi Condensed" w:hAnsi="Barlow Semi Condensed"/>
          <w:sz w:val="24"/>
          <w:szCs w:val="24"/>
        </w:rPr>
        <w:t xml:space="preserve">` — il presidio del garante: rende operative le quattro discipline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aldo-moro-una-guerra-senza-fine-fase-settima-registro-giudiziario.md</w:t>
      </w:r>
      <w:r>
        <w:rPr>
          <w:rFonts w:ascii="Barlow Semi Condensed" w:cs="Barlow Semi Condensed" w:eastAsia="Barlow Semi Condensed" w:hAnsi="Barlow Semi Condensed"/>
          <w:sz w:val="24"/>
          <w:szCs w:val="24"/>
        </w:rPr>
        <w:t xml:space="preserve">` — lo strato giudiziario: i cinque processi Moro (giudicato) e la Commissione Moro 2 (accertamento parlamentare), con la tavola di raccordo delle questioni aperte per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aldo-moro-una-guerra-senza-fine-fase-nona-repertorio-del-caso.md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repertorio</w:t>
      </w:r>
      <w:r>
        <w:rPr>
          <w:rFonts w:ascii="Barlow Semi Condensed" w:cs="Barlow Semi Condensed" w:eastAsia="Barlow Semi Condensed" w:hAnsi="Barlow Semi Condensed"/>
          <w:sz w:val="24"/>
          <w:szCs w:val="24"/>
        </w:rPr>
        <w:t xml:space="preserve">: tutto ciò che è attribuibile al caso (persone, luoghi, documenti, atti, nodi), ciascuna voce col suo grado A/B/C/F. Lo strumento di consultazione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principio personalistico</w:t>
      </w:r>
      <w:r>
        <w:rPr>
          <w:rFonts w:ascii="Barlow Semi Condensed" w:cs="Barlow Semi Condensed" w:eastAsia="Barlow Semi Condensed" w:hAnsi="Barlow Semi Condensed"/>
          <w:sz w:val="24"/>
          <w:szCs w:val="24"/>
        </w:rPr>
        <w:t xml:space="preserve">: la colpa non è mai del gruppo, è sempre della persona (art. 27 Cost.). Il registro nominativo delle tredici responsabilità individuali accertate in giudicato, ciascuna con la propria condotta; il caso Algranati (l'assoluzione che resta assoluzione); l'appartenenza a uno o più gruppi come fatto biografico inerte</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i/>
          <w:iCs/>
          <w:sz w:val="24"/>
          <w:szCs w:val="24"/>
        </w:rPr>
        <w:t xml:space="preserve">triangolazione-condannati-corpus.md</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prosopografia del registro</w:t>
      </w:r>
      <w:r>
        <w:rPr>
          <w:rFonts w:ascii="Barlow Semi Condensed" w:cs="Barlow Semi Condensed" w:eastAsia="Barlow Semi Condensed" w:hAnsi="Barlow Semi Condensed"/>
          <w:sz w:val="24"/>
          <w:szCs w:val="24"/>
        </w:rPr>
        <w:t xml:space="preserve">: i tredici condannati incrociati con gli altri domini del corpus (il ceppo CPM del 1969, il canale Pace-Piperno, Bonisoli e Monte Nevoso, la genealogia reggiana, Casimirri fra Vaticano e Nicaragua, Lojacono e la Svizzera, la memoria come vettore). Otto ponti documentati, quattro esiti negativi, cinque anti-triangolazioni: nessun ponte è un nesso</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i/>
          <w:iCs/>
          <w:sz w:val="24"/>
          <w:szCs w:val="24"/>
        </w:rPr>
        <w:t xml:space="preserve">aldo-moro-una-guerra-senza-fine-apparato-dei-gradi.md</w:t>
      </w:r>
      <w:r>
        <w:rPr>
          <w:rFonts w:ascii="Barlow Semi Condensed" w:cs="Barlow Semi Condensed" w:eastAsia="Barlow Semi Condensed" w:hAnsi="Barlow Semi Condensed"/>
          <w:sz w:val="24"/>
          <w:szCs w:val="24"/>
        </w:rPr>
        <w:t xml:space="preserve">` — l'</w:t>
      </w:r>
      <w:r>
        <w:rPr>
          <w:rFonts w:ascii="Barlow Semi Condensed" w:cs="Barlow Semi Condensed" w:eastAsia="Barlow Semi Condensed" w:hAnsi="Barlow Semi Condensed"/>
          <w:b/>
          <w:bCs/>
          <w:sz w:val="24"/>
          <w:szCs w:val="24"/>
        </w:rPr>
        <w:t xml:space="preserve">indice analitico</w:t>
      </w:r>
      <w:r>
        <w:rPr>
          <w:rFonts w:ascii="Barlow Semi Condensed" w:cs="Barlow Semi Condensed" w:eastAsia="Barlow Semi Condensed" w:hAnsi="Barlow Semi Condensed"/>
          <w:sz w:val="24"/>
          <w:szCs w:val="24"/>
        </w:rPr>
        <w:t xml:space="preserve">: per ogni capitolo, asserzione portante, grado di prova e criterio di smentita</w:t>
      </w:r>
    </w:p>
    <w:p>
      <w:pPr>
        <w:spacing w:after="40"/>
        <w:ind w:left="360"/>
        <w:jc w:val="both"/>
      </w:pPr>
      <w:r>
        <w:rPr>
          <w:rFonts w:ascii="Barlow Semi Condensed" w:cs="Barlow Semi Condensed" w:eastAsia="Barlow Semi Condensed" w:hAnsi="Barlow Semi Condensed"/>
          <w:sz w:val="24"/>
          <w:szCs w:val="24"/>
        </w:rPr>
        <w:t xml:space="preserve">9.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i/>
          <w:iCs/>
          <w:sz w:val="24"/>
          <w:szCs w:val="24"/>
        </w:rPr>
        <w:t xml:space="preserve"> — il nodo Hyperion del «quadro internazionale», come caso di scuola del metodo: fatti documentati, due tesi contrapposte entrambe non provate, proscioglimenti espliciti; lo studio monografico della genealogia è </w:t>
      </w:r>
      <w:r>
        <w:rPr>
          <w:rFonts w:ascii="Barlow Semi Condensed" w:cs="Barlow Semi Condensed" w:eastAsia="Barlow Semi Condensed" w:hAnsi="Barlow Semi Condensed"/>
          <w:i/>
          <w:iCs/>
          <w:sz w:val="24"/>
          <w:szCs w:val="24"/>
        </w:rPr>
        <w:t xml:space="preserve">ceppo-simioni-cpm-superclan-hyperion.md</w:t>
      </w:r>
      <w:r>
        <w:rPr>
          <w:rFonts w:ascii="Barlow Semi Condensed" w:cs="Barlow Semi Condensed" w:eastAsia="Barlow Semi Condensed" w:hAnsi="Barlow Semi Condensed"/>
          <w:sz w:val="24"/>
          <w:szCs w:val="24"/>
        </w:rPr>
        <w:t xml:space="preserve">` — la «terza strada» del ceppo del 1969, con il registro dei prosciolti (assoluzione con formula piena e risarcimento per Mulinaris; due assoluzioni per Berio; nessuna condanna per Simioni) in testa e non in coda</w:t>
      </w:r>
    </w:p>
    <w:p>
      <w:pPr>
        <w:spacing w:after="40"/>
        <w:ind w:left="360"/>
        <w:jc w:val="both"/>
      </w:pPr>
      <w:r>
        <w:rPr>
          <w:rFonts w:ascii="Barlow Semi Condensed" w:cs="Barlow Semi Condensed" w:eastAsia="Barlow Semi Condensed" w:hAnsi="Barlow Semi Condensed"/>
          <w:sz w:val="24"/>
          <w:szCs w:val="24"/>
        </w:rPr>
        <w:t xml:space="preserve">10. `</w:t>
      </w:r>
      <w:r>
        <w:rPr>
          <w:rFonts w:ascii="Barlow Semi Condensed" w:cs="Barlow Semi Condensed" w:eastAsia="Barlow Semi Condensed" w:hAnsi="Barlow Semi Condensed"/>
          <w:i/>
          <w:iCs/>
          <w:sz w:val="24"/>
          <w:szCs w:val="24"/>
        </w:rPr>
        <w:t xml:space="preserve">moro-ministro-esteri/</w:t>
      </w:r>
      <w:r>
        <w:rPr>
          <w:rFonts w:ascii="Barlow Semi Condensed" w:cs="Barlow Semi Condensed" w:eastAsia="Barlow Semi Condensed" w:hAnsi="Barlow Semi Condensed"/>
          <w:i/>
          <w:iCs/>
          <w:sz w:val="24"/>
          <w:szCs w:val="24"/>
        </w:rPr>
        <w:t xml:space="preserve"> — **la dimensione diplomatica dello statista**; il suo prolungamento sul dopo-giudicato è </w:t>
      </w:r>
      <w:r>
        <w:rPr>
          <w:rFonts w:ascii="Barlow Semi Condensed" w:cs="Barlow Semi Condensed" w:eastAsia="Barlow Semi Condensed" w:hAnsi="Barlow Semi Condensed"/>
          <w:i/>
          <w:iCs/>
          <w:sz w:val="24"/>
          <w:szCs w:val="24"/>
        </w:rPr>
        <w:t xml:space="preserve">le-pene-oltre-confine-mitterrand-mulinaris.md</w:t>
      </w:r>
      <w:r>
        <w:rPr>
          <w:rFonts w:ascii="Barlow Semi Condensed" w:cs="Barlow Semi Condensed" w:eastAsia="Barlow Semi Condensed" w:hAnsi="Barlow Semi Condensed"/>
          <w:sz w:val="24"/>
          <w:szCs w:val="24"/>
        </w:rPr>
        <w:t xml:space="preserve">` — l'affaire Mulinaris, la dottrina Mitterrand, le geografie delle latitanze del registro e l'epilogo «Ombre rosse»/Cassazione francese 2023: che cosa Moro fece come ministro degli Esteri (1969-1974). Complemento documentale della Fase ottava — la </w:t>
      </w:r>
      <w:r>
        <w:rPr>
          <w:rFonts w:ascii="Barlow Semi Condensed" w:cs="Barlow Semi Condensed" w:eastAsia="Barlow Semi Condensed" w:hAnsi="Barlow Semi Condensed"/>
          <w:i/>
          <w:iCs/>
          <w:sz w:val="24"/>
          <w:szCs w:val="24"/>
        </w:rPr>
        <w:t xml:space="preserve">strategia dell'attenzione</w:t>
      </w:r>
      <w:r>
        <w:rPr>
          <w:rFonts w:ascii="Barlow Semi Condensed" w:cs="Barlow Semi Condensed" w:eastAsia="Barlow Semi Condensed" w:hAnsi="Barlow Semi Condensed"/>
          <w:sz w:val="24"/>
          <w:szCs w:val="24"/>
        </w:rPr>
        <w:t xml:space="preserve"> fatta atto: la firma CEE-Turchia (1971) e l'Atto finale di Helsinki (1975), il lodo Moro, la Ostpolitik, i versanti mediterranei, e le triangolazioni con la Santa Sede e con l'Opus Dei (Germania e Portogallo: presenza; Grecia e Turchia: «Stato Zero»)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volume rilegato delle continuazioni è `</w:t>
      </w:r>
      <w:r>
        <w:rPr>
          <w:rFonts w:ascii="Barlow Semi Condensed" w:cs="Barlow Semi Condensed" w:eastAsia="Barlow Semi Condensed" w:hAnsi="Barlow Semi Condensed"/>
          <w:i w:val="false"/>
          <w:iCs w:val="false"/>
          <w:sz w:val="24"/>
          <w:szCs w:val="24"/>
        </w:rPr>
        <w:t xml:space="preserve">ALDO_MORO_UNA_GUERRA_SENZA_FINE_TRE_CONTINUAZIONI.docx</w:t>
      </w:r>
      <w:r>
        <w:rPr>
          <w:rFonts w:ascii="Barlow Semi Condensed" w:cs="Barlow Semi Condensed" w:eastAsia="Barlow Semi Condensed" w:hAnsi="Barlow Semi Condensed"/>
          <w:i w:val="false"/>
          <w:iCs w:val="false"/>
          <w:sz w:val="24"/>
          <w:szCs w:val="24"/>
        </w:rPr>
        <w:t xml:space="preserve">. Il dittico della «terza strada» (lo studio del ceppo Simioni con la triangolazione Hyperion, tappa 9) è rilegato nel volume </w:t>
      </w:r>
      <w:r>
        <w:rPr>
          <w:rFonts w:ascii="Barlow Semi Condensed" w:cs="Barlow Semi Condensed" w:eastAsia="Barlow Semi Condensed" w:hAnsi="Barlow Semi Condensed"/>
          <w:i w:val="false"/>
          <w:iCs w:val="false"/>
          <w:sz w:val="24"/>
          <w:szCs w:val="24"/>
        </w:rPr>
        <w:t xml:space="preserve">LA_TERZA_STRADA_CEPPO_SIMIONI_E_NODO_HYPERION.docx</w:t>
      </w:r>
      <w:r>
        <w:rPr>
          <w:rFonts w:ascii="Barlow Semi Condensed" w:cs="Barlow Semi Condensed" w:eastAsia="Barlow Semi Condensed" w:hAnsi="Barlow Semi Condensed"/>
          <w:i w:val="false"/>
          <w:iCs w:val="false"/>
          <w:sz w:val="24"/>
          <w:szCs w:val="24"/>
        </w:rPr>
        <w:t xml:space="preserve">. La Fase decima con la sua triangolazione (tappe 6-7) è rilegata nel volume </w:t>
      </w:r>
      <w:r>
        <w:rPr>
          <w:rFonts w:ascii="Barlow Semi Condensed" w:cs="Barlow Semi Condensed" w:eastAsia="Barlow Semi Condensed" w:hAnsi="Barlow Semi Condensed"/>
          <w:i w:val="false"/>
          <w:iCs w:val="false"/>
          <w:sz w:val="24"/>
          <w:szCs w:val="24"/>
        </w:rPr>
        <w:t xml:space="preserve">ALDO_MORO_FASE_DECIMA_IL_PRINCIPIO_PERSONALISTICO.docx</w:t>
      </w:r>
      <w:r>
        <w:rPr>
          <w:rFonts w:ascii="Barlow Semi Condensed" w:cs="Barlow Semi Condensed" w:eastAsia="Barlow Semi Condensed" w:hAnsi="Barlow Semi Condensed"/>
          <w:i w:val="false"/>
          <w:iCs w:val="false"/>
          <w:sz w:val="24"/>
          <w:szCs w:val="24"/>
        </w:rPr>
        <w:t xml:space="preserve">. La cartella diplomatica (tappa 10) è rilegata nel volume </w:t>
      </w:r>
      <w:r>
        <w:rPr>
          <w:rFonts w:ascii="Barlow Semi Condensed" w:cs="Barlow Semi Condensed" w:eastAsia="Barlow Semi Condensed" w:hAnsi="Barlow Semi Condensed"/>
          <w:i w:val="false"/>
          <w:iCs w:val="false"/>
          <w:sz w:val="24"/>
          <w:szCs w:val="24"/>
        </w:rPr>
        <w:t xml:space="preserve">ALDO_MORO_MINISTRO_DEGLI_ESTERI_LA_DIMENSIONE_DIPLOMATICA.docx</w:t>
      </w:r>
      <w:r>
        <w:rPr>
          <w:rFonts w:ascii="Barlow Semi Condensed" w:cs="Barlow Semi Condensed" w:eastAsia="Barlow Semi Condensed" w:hAnsi="Barlow Semi Condensed"/>
          <w:i w:val="false"/>
          <w:iCs w:val="false"/>
          <w:sz w:val="24"/>
          <w:szCs w:val="24"/>
        </w:rPr>
        <w:t xml:space="preserve">, e in edizione HTML navigabile in </w:t>
      </w:r>
      <w:r>
        <w:rPr>
          <w:rFonts w:ascii="Barlow Semi Condensed" w:cs="Barlow Semi Condensed" w:eastAsia="Barlow Semi Condensed" w:hAnsi="Barlow Semi Condensed"/>
          <w:i w:val="false"/>
          <w:iCs w:val="false"/>
          <w:sz w:val="24"/>
          <w:szCs w:val="24"/>
        </w:rPr>
        <w:t xml:space="preserve">moro-ministro-esteri/volume.html</w:t>
      </w:r>
      <w:r>
        <w:rPr>
          <w:rFonts w:ascii="Barlow Semi Condensed" w:cs="Barlow Semi Condensed" w:eastAsia="Barlow Semi Condensed" w:hAnsi="Barlow Semi Condensed"/>
          <w:i w:val="false"/>
          <w:iCs w:val="false"/>
          <w:sz w:val="24"/>
          <w:szCs w:val="24"/>
        </w:rPr>
        <w:t xml:space="preserve">` (da aprire nel browser).</w:t>
      </w:r>
    </w:p>
    <w:p>
      <w:pPr>
        <w:pStyle w:val="Heading3"/>
        <w:spacing w:after="80" w:before="160"/>
      </w:pPr>
      <w:r>
        <w:rPr>
          <w:rFonts w:ascii="Barlow Semi Condensed" w:cs="Barlow Semi Condensed" w:eastAsia="Barlow Semi Condensed" w:hAnsi="Barlow Semi Condensed"/>
          <w:sz w:val="24"/>
          <w:szCs w:val="24"/>
        </w:rPr>
        <w:t xml:space="preserve">Percorso C — La sintesi e la vista d'insieme</w:t>
      </w:r>
    </w:p>
    <w:p>
      <w:pPr>
        <w:spacing w:after="120" w:line="276"/>
        <w:jc w:val="both"/>
      </w:pPr>
      <w:r>
        <w:rPr>
          <w:rFonts w:ascii="Barlow Semi Condensed" w:cs="Barlow Semi Condensed" w:eastAsia="Barlow Semi Condensed" w:hAnsi="Barlow Semi Condensed"/>
          <w:sz w:val="24"/>
          <w:szCs w:val="24"/>
        </w:rPr>
        <w:t xml:space="preserve">Per chi vuole il quadro in un colpo d'occhio, prima o dopo il dettaglio.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parabola e il mito»</w:t>
      </w:r>
      <w:r>
        <w:rPr>
          <w:rFonts w:ascii="Barlow Semi Condensed" w:cs="Barlow Semi Condensed" w:eastAsia="Barlow Semi Condensed" w:hAnsi="Barlow Semi Condensed"/>
          <w:sz w:val="24"/>
          <w:szCs w:val="24"/>
        </w:rPr>
        <w:t xml:space="preserve">: cronologia sinottica navigabile (1916-1997), i tre fili su un solo asse del tempo. Aprire nel browser.</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 la verifica sistematica del corpus (39 nodi) e la matrice comparativa Guevara-Moro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feltrinelli-il-vettore.md</w:t>
      </w:r>
      <w:r>
        <w:rPr>
          <w:rFonts w:ascii="Barlow Semi Condensed" w:cs="Barlow Semi Condensed" w:eastAsia="Barlow Semi Condensed" w:hAnsi="Barlow Semi Condensed"/>
          <w:sz w:val="24"/>
          <w:szCs w:val="24"/>
        </w:rPr>
        <w:t xml:space="preserve">` — lo studio monografico sull'anello centrale della sintesi: l'editore che fabbricò il mito e fondò i GAP</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bilancio finale: documentato / convergenza / congettura</w:t>
      </w:r>
    </w:p>
    <w:p>
      <w:pPr>
        <w:pStyle w:val="Heading3"/>
        <w:spacing w:after="80" w:before="160"/>
      </w:pPr>
      <w:r>
        <w:rPr>
          <w:rFonts w:ascii="Barlow Semi Condensed" w:cs="Barlow Semi Condensed" w:eastAsia="Barlow Semi Condensed" w:hAnsi="Barlow Semi Condensed"/>
          <w:sz w:val="24"/>
          <w:szCs w:val="24"/>
        </w:rPr>
        <w:t xml:space="preserve">Percorso D — Il Tribunale Speciale: i nomi e l'istituzione</w:t>
      </w:r>
    </w:p>
    <w:p>
      <w:pPr>
        <w:spacing w:after="120" w:line="276"/>
        <w:jc w:val="both"/>
      </w:pPr>
      <w:r>
        <w:rPr>
          <w:rFonts w:ascii="Barlow Semi Condensed" w:cs="Barlow Semi Condensed" w:eastAsia="Barlow Semi Condensed" w:hAnsi="Barlow Semi Condensed"/>
          <w:sz w:val="24"/>
          <w:szCs w:val="24"/>
        </w:rPr>
        <w:t xml:space="preserve">Il filo da cui il branch è partito, ora completo nelle sue due scale.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tribunale-speciale-storia-istituzione.md</w:t>
      </w:r>
      <w:r>
        <w:rPr>
          <w:rFonts w:ascii="Barlow Semi Condensed" w:cs="Barlow Semi Condensed" w:eastAsia="Barlow Semi Condensed" w:hAnsi="Barlow Semi Condensed"/>
          <w:sz w:val="24"/>
          <w:szCs w:val="24"/>
        </w:rPr>
        <w:t xml:space="preserve">` — l'istituzione: la legge del 1926, struttura e rito, i numeri della repressione, il «processone», le amnistie, la soppressione del 1943 e l'eredità costituzionale (art. 102)</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tribunale-speciale-approfondimento-sottonodi.md</w:t>
      </w:r>
      <w:r>
        <w:rPr>
          <w:rFonts w:ascii="Barlow Semi Condensed" w:cs="Barlow Semi Condensed" w:eastAsia="Barlow Semi Condensed" w:hAnsi="Barlow Semi Condensed"/>
          <w:sz w:val="24"/>
          <w:szCs w:val="24"/>
        </w:rPr>
        <w:t xml:space="preserve">` — l'approfondimento in otto sottonodi: presidenti, OVRA, processi di Trieste, i condannati che fecero la Repubblica, la scala bolognese, le donne, la guerra, l'impunità</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 i nomi: i casi individuali censiti nell'archivio bolognese, con i link alle schede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 due studi italiani (Feltrinelli con la sua triangolazione, e il Tribunale Speciale) sono disponibili anche nel volume rilegato `</w:t>
      </w:r>
      <w:r>
        <w:rPr>
          <w:rFonts w:ascii="Barlow Semi Condensed" w:cs="Barlow Semi Condensed" w:eastAsia="Barlow Semi Condensed" w:hAnsi="Barlow Semi Condensed"/>
          <w:i w:val="false"/>
          <w:iCs w:val="false"/>
          <w:sz w:val="24"/>
          <w:szCs w:val="24"/>
        </w:rPr>
        <w:t xml:space="preserve">IL_VETTORE_E_IL_TRIBUNALE_DUE_STUDI_1926-1972.docx</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 uno per uno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prevalente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Cronologia sinottica navigabile, tre fili su un asse del tempo (1916-1997)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(solo fatti pubblici)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dalle origini al 1934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 Messico alla Sierra Maestra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Dall'ONU 1964 al Congo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Campagna boliviana e fine; ritrovamento resti (1997)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(Diario; fonti declassificate)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Fonti per rango; elenco di trasparenza delle fonti deboli sostituite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sistematica (39 nodi) + matrice comparativa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convergenza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Monografia su Feltrinelli: editore, vettore del mito, GAP, morte a Segrate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morte con congettura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della monografia (17 nodi, 3 correzioni applicate) + 7 ponti col corpus + 3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 / 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nodo Hyperion: 9 nodi documentati, due tesi contrapposte al vaglio, 4 ponti,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congetture dichiarate; proscioglimenti espliciti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Incrocio dei due fronti: matrice 1969, triforcazione 1970, ponti biografici, congettura di Segrate smentita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memorialistica pesata / congettura smentita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Saggio di sintesi; Parte quarta = pastiche dichiarato di stile moroteo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Misto (bilancio finale esplicito)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Dossier falsificazionista sulle questioni aperte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Ciascun capitolo col proprio 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 le quattro discipline operative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Metodo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Indice analitico dei cinquanta capitoli, capitolo per capitolo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principio personalistico: registro nominativo delle tredici responsabilità individuali in giudicato; niente colpa dei gruppi, in nessuna direzione; il caso Algranati; le appartenenze come fatto 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Giudicato (A); posizioni distinte dichiarate; nessuna graduatoria né percentuale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del registro: otto ponti documentati dei tredici verso gli altri domini (CPM/Hyperion, Potere Operaio/trattativa, Monte Nevoso, genealogia reggiana, Vaticano/Nicaragua, Svizzera, la memoria come vettore), quattro esiti negativi, cinque anti-triangolazioni, matrice sintetica e chiusura sul confronto col Tribunale Speciale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Fatti biografici (F) e accertamenti (B); ogni tesi operativa resta C; nessun ponte promosso a nesso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monografico della «terza strada»: la discendenza CPM → Superclan → Hyperion. La biografia di Simioni coi gradi (USIS = F; «si dice» RFE = riferito), la scissione 1970-71, la memorialistica brigatista come fonte di parte, i tre percorsi giudiziari (Mulinaris: formula piena e risarcimento; Berio: due assoluzioni e l'approccio SID 1972 respinto e documentato al suocero Malagugini; Simioni: mai condannato, Fondazione Abbé Pierre), le suggestioni pesate una per una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Proscioglimenti in testa (esito giudiziario); memorialistica C; il «fu assolto, ma» bandito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Moro alla Farnesina (1969-1974). Ricognizione-madre, quattro versanti nazionali (Germania/Portogallo/Grecia/Turchia con Opus Dei), Santa Sede-Turchia e attentato a Giovanni Paolo II, documenti State Dept 1965/1978; </w:t>
            </w:r>
            <w:r>
              <w:rPr>
                <w:rFonts w:ascii="Barlow Semi Condensed" w:cs="Barlow Semi Condensed" w:eastAsia="Barlow Semi Condensed" w:hAnsi="Barlow Semi Condensed"/>
                <w:b/>
                <w:bCs/>
                <w:sz w:val="20"/>
                <w:szCs w:val="20"/>
              </w:rPr>
              <w:t xml:space="preserve">seconda campagna del 25 agosto 2026</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e il verbale delle sei letture incrociate. Con manifesto SHA-256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fatti pubblici; esiti negativi dichiarati; congetture qualificate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sui lavori come esercizio di stile moroteo (pastiche dichiarato)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Pastiche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(campione dall'archivio di Bologna)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(schede d'archivio)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Storia dell'istituzione: legge, struttura, numeri, processi, amnistie, fine ed eredità costituzionale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(cifre ANPPIA/Dal Pont; divergenze dichiarate)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Otto sottonodi: presidenti, OVRA, Trieste, prosopografia repubblicana, scala bolognese, donne, guerra, impunità</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S-5 convergenza, S-6/S-8 filoni segnalati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Sui pastiche.</w:t>
      </w:r>
      <w:r>
        <w:rPr>
          <w:rFonts w:ascii="Barlow Semi Condensed" w:cs="Barlow Semi Condensed" w:eastAsia="Barlow Semi Condensed" w:hAnsi="Barlow Semi Condensed"/>
          <w:sz w:val="24"/>
          <w:szCs w:val="24"/>
        </w:rPr>
        <w:t xml:space="preserve"> Due sezioni sono esercizi di stile dichiarati: la Parte quarta di </w:t>
      </w:r>
      <w:r>
        <w:rPr>
          <w:rFonts w:ascii="Barlow Semi Condensed" w:cs="Barlow Semi Condensed" w:eastAsia="Barlow Semi Condensed" w:hAnsi="Barlow Semi Condensed"/>
          <w:i/>
          <w:iCs/>
          <w:sz w:val="24"/>
          <w:szCs w:val="24"/>
        </w:rPr>
        <w:t xml:space="preserve">Dal Che a Moro</w:t>
      </w:r>
      <w:r>
        <w:rPr>
          <w:rFonts w:ascii="Barlow Semi Condensed" w:cs="Barlow Semi Condensed" w:eastAsia="Barlow Semi Condensed" w:hAnsi="Barlow Semi Condensed"/>
          <w:sz w:val="24"/>
          <w:szCs w:val="24"/>
        </w:rPr>
        <w:t xml:space="preserve"> e l'intera </w:t>
      </w:r>
      <w:r>
        <w:rPr>
          <w:rFonts w:ascii="Barlow Semi Condensed" w:cs="Barlow Semi Condensed" w:eastAsia="Barlow Semi Condensed" w:hAnsi="Barlow Semi Condensed"/>
          <w:i/>
          <w:iCs/>
          <w:sz w:val="24"/>
          <w:szCs w:val="24"/>
        </w:rPr>
        <w:t xml:space="preserve">relazione-stato-lavori</w:t>
      </w:r>
      <w:r>
        <w:rPr>
          <w:rFonts w:ascii="Barlow Semi Condensed" w:cs="Barlow Semi Condensed" w:eastAsia="Barlow Semi Condensed" w:hAnsi="Barlow Semi Condensed"/>
          <w:sz w:val="24"/>
          <w:szCs w:val="24"/>
        </w:rPr>
        <w:t xml:space="preserve">. Non sono parole di Aldo Moro, non gli sono attribuibili, non contengono rivelazioni di fatto. Sono voce prestata a un personaggio, come a teatro — e vanno lette solo così. Le affermazioni fattuali del corpus stanno tutte nelle parti in prosa piana, con i loro gradi di prova.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Dove finisce questo branch</w:t>
      </w:r>
    </w:p>
    <w:p>
      <w:pPr>
        <w:spacing w:after="120" w:line="276"/>
        <w:jc w:val="both"/>
      </w:pPr>
      <w:r>
        <w:rPr>
          <w:rFonts w:ascii="Barlow Semi Condensed" w:cs="Barlow Semi Condensed" w:eastAsia="Barlow Semi Condensed" w:hAnsi="Barlow Semi Condensed"/>
          <w:sz w:val="24"/>
          <w:szCs w:val="24"/>
        </w:rPr>
        <w:t xml:space="preserve">Il branch pubblico si ferma dove comincia ciò che non è pubblicabile. Il materiale che nomina persone viventi con attribuzioni non riscontrate — la parte sensibile del lavoro dell'autore — resta </w:t>
      </w:r>
      <w:r>
        <w:rPr>
          <w:rFonts w:ascii="Barlow Semi Condensed" w:cs="Barlow Semi Condensed" w:eastAsia="Barlow Semi Condensed" w:hAnsi="Barlow Semi Condensed"/>
          <w:b/>
          <w:bCs/>
          <w:sz w:val="24"/>
          <w:szCs w:val="24"/>
        </w:rPr>
        <w:t xml:space="preserve">riservato</w:t>
      </w:r>
      <w:r>
        <w:rPr>
          <w:rFonts w:ascii="Barlow Semi Condensed" w:cs="Barlow Semi Condensed" w:eastAsia="Barlow Semi Condensed" w:hAnsi="Barlow Semi Condensed"/>
          <w:sz w:val="24"/>
          <w:szCs w:val="24"/>
        </w:rPr>
        <w:t xml:space="preserve">, fuori da qui, e sotto la stessa disciplina: presunzione d'innocenza, nessuna imputazione oltre il giudicato. Questa guida, come tutto ciò a cui rimanda, tratta soltanto </w:t>
      </w:r>
      <w:r>
        <w:rPr>
          <w:rFonts w:ascii="Barlow Semi Condensed" w:cs="Barlow Semi Condensed" w:eastAsia="Barlow Semi Condensed" w:hAnsi="Barlow Semi Condensed"/>
          <w:b/>
          <w:bCs/>
          <w:sz w:val="24"/>
          <w:szCs w:val="24"/>
        </w:rPr>
        <w:t xml:space="preserve">storia documentata e pubblica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Guida alla lettura del corpus storico. Ordina i documenti in tre percorsi e ne dichiara il grado di prova.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Appendici · i. La guida alla lettura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2.243 parole in 4 sezioni; la più ampia è §2 Tre percorsi di lettura, con 1.313.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20 paragrafi in 4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 L'indice dei documenti</w:t>
      </w:r>
    </w:p>
    <w:p>
      <w:pPr>
        <w:pStyle w:val="Heading1"/>
        <w:spacing w:after="120" w:before="240"/>
      </w:pPr>
      <w:r>
        <w:rPr>
          <w:rFonts w:ascii="Barlow Semi Condensed" w:cs="Barlow Semi Condensed" w:eastAsia="Barlow Semi Condensed" w:hAnsi="Barlow Semi Condensed"/>
          <w:sz w:val="24"/>
          <w:szCs w:val="24"/>
        </w:rPr>
        <w:t xml:space="preserve">Indice dei documenti di questo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 — la rimozione del materiale su Guevara.</w:t>
      </w:r>
      <w:r>
        <w:rPr>
          <w:rFonts w:ascii="Barlow Semi Condensed" w:cs="Barlow Semi Condensed" w:eastAsia="Barlow Semi Condensed" w:hAnsi="Barlow Semi Condensed"/>
          <w:i w:val="false"/>
          <w:iCs w:val="false"/>
          <w:sz w:val="24"/>
          <w:szCs w:val="24"/>
        </w:rPr>
        <w:t xml:space="preserve"> Per decisione dell'autore sono stati rimossi dall'opera il saggio-cerniera «Dal Che a Moro» e la parabola di Ernesto Guevara in sei parti — sette documenti, 17.769 parole — insieme al volume tematico che li rilegava. </w:t>
      </w:r>
      <w:r>
        <w:rPr>
          <w:rFonts w:ascii="Barlow Semi Condensed" w:cs="Barlow Semi Condensed" w:eastAsia="Barlow Semi Condensed" w:hAnsi="Barlow Semi Condensed"/>
          <w:b/>
          <w:bCs/>
          <w:i w:val="false"/>
          <w:iCs w:val="false"/>
          <w:sz w:val="24"/>
          <w:szCs w:val="24"/>
        </w:rPr>
        <w:t xml:space="preserve">I riferimenti che restano in questa pagina non sono stati cancellati</w:t>
      </w:r>
      <w:r>
        <w:rPr>
          <w:rFonts w:ascii="Barlow Semi Condensed" w:cs="Barlow Semi Condensed" w:eastAsia="Barlow Semi Condensed" w:hAnsi="Barlow Semi Condensed"/>
          <w:i w:val="false"/>
          <w:iCs w:val="false"/>
          <w:sz w:val="24"/>
          <w:szCs w:val="24"/>
        </w:rPr>
        <w:t xml:space="preserve">: rinviano a documenti che non ci sono più, e questo è ciò che deve risultare a chi legge. Cancellarli avrebbe reso la rimozione invisibile; la numerazione dei Libri, per la stessa ragione, non è stata rifatta, e dopo il Libro primo viene il Libro quarto.</w:t>
      </w:r>
    </w:p>
    <w:p>
      <w:pPr>
        <w:spacing w:after="120" w:line="276"/>
        <w:jc w:val="both"/>
      </w:pPr>
      <w:r>
        <w:rPr>
          <w:rFonts w:ascii="Barlow Semi Condensed" w:cs="Barlow Semi Condensed" w:eastAsia="Barlow Semi Condensed" w:hAnsi="Barlow Semi Condensed"/>
          <w:sz w:val="24"/>
          <w:szCs w:val="24"/>
        </w:rPr>
        <w:t xml:space="preserve">Documenti storici prodotti sul branch </w:t>
      </w:r>
      <w:r>
        <w:rPr>
          <w:rFonts w:ascii="Barlow Semi Condensed" w:cs="Barlow Semi Condensed" w:eastAsia="Barlow Semi Condensed" w:hAnsi="Barlow Semi Condensed"/>
          <w:i/>
          <w:iCs/>
          <w:sz w:val="24"/>
          <w:szCs w:val="24"/>
        </w:rPr>
        <w:t xml:space="preserve">claude/amnistiati-tribunale-speciale-a82lzn</w:t>
      </w:r>
      <w:r>
        <w:rPr>
          <w:rFonts w:ascii="Barlow Semi Condensed" w:cs="Barlow Semi Condensed" w:eastAsia="Barlow Semi Condensed" w:hAnsi="Barlow Semi Condensed"/>
          <w:sz w:val="24"/>
          <w:szCs w:val="24"/>
        </w:rPr>
        <w:t xml:space="preserve"> (agosto 2026), estranei al progetto principale del repository (Studio Integrale Puglia / Psicologo di Base).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Questa è la tabella-catalogo di tutti i file. Per la porta d'ingresso curata — percorsi di lettura, ordine consigliato e grado di prova di ciascun documento — si veda `</w:t>
      </w:r>
      <w:r>
        <w:rPr>
          <w:rFonts w:ascii="Barlow Semi Condensed" w:cs="Barlow Semi Condensed" w:eastAsia="Barlow Semi Condensed" w:hAnsi="Barlow Semi Condensed"/>
          <w:i w:val="false"/>
          <w:iCs w:val="false"/>
          <w:sz w:val="24"/>
          <w:szCs w:val="24"/>
        </w:rPr>
        <w:t xml:space="preserve">GUIDA-ALLA-LETTURA.md</w:t>
      </w:r>
      <w:r>
        <w:rPr>
          <w:rFonts w:ascii="Barlow Semi Condensed" w:cs="Barlow Semi Condensed" w:eastAsia="Barlow Semi Condensed" w:hAnsi="Barlow Semi Condensed"/>
          <w:i w:val="false"/>
          <w:iCs w:val="false"/>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per la Difesa dello Stato censiti nell'archivio Storia e Memoria di Bologna (~50 nominativi con link alle schede; campione rappresentativo, non esaustivo)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storico dell'istituzione: la legge 2008/1926 e le «leggi eccezionali», struttura e rito (giudici della Milizia, codice di guerra, sentenze inappellabili), i numeri (15.806 deferiti, 4.596 condannati, 27.752 anni di reclusione, 42 condanne a morte di cui 31 eseguite), il «processone» del 1928 (Gramsci, Terracini), le amnistie come faccia del medesimo apparato, la soppressione (R.D.L. 668/1943) e la doppia eredità: la replica nella RSI e il divieto dell'art. 102 Cost. Chiude il cerchio con l'elenco degli amnistiati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 nodo Hyperion (la «scuola di lingue» di Parigi, 1976) con il corpus: 9 nodi documentati (genealogia CPM/Superclan, fondazione, ufficio di via Nicotera del febbraio 1978, indagini 1979-82, proscioglimenti per tutti, audizione Berio 2015), le due tesi contrapposte («centrale del terrorismo» / «centrale d'intelligence») entrambe lasciate al grado di congettura con criterio di smentita comune, 4 ponti col corpus e 3 anti-triangolazioni. Presunzione d'innocenza piena: nessuna condanna fu mai pronunciata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d'incrocio fra i due fronti: la matrice milanese del 1969 e la triforcazione del 1970 (GAP · BR · Superclan), i ponti documentati (rapporti Feltrinelli-Curcio, «Nuova Resistenza» 1971, il filo Franceschini e il filo Moretti, il processo congiunto BR-GAP), la congettura sui timer di Segrate smentita dal tecnico dei GAP, 3 anti-triangolazioni. Sintesi: stesso ceppo, tre strade, ponti di uomini, nessuna regia accertata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Approfondimento in otto sottonodi verificati: i tre presidenti (Sanna, Cristini, Tringali Casanuova), l'OVRA e la retata come metodo, i due processi di Trieste (Basovizza 1930; Opicina 1941), la prosopografia dei condannati che fecero la Repubblica (Terracini, Pertini, Ravera, Scoccimarro), la scala bolognese rapportata ai numeri nazionali, le donne davanti al Tribunale, la svolta di guerra e la questione dell'impunità postbellica. Ogni sottonodo con grado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Ernesto Guevara, dalle origini al 1934 (con nota di revisione)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 Messico alla Sierra Maestra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dall'ONU 1964 al Congo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Capitolo conclusivo: la campagna boliviana da Ñancahuazú alla Higuera (rottura con Monje, Vado del Yeso, cattura alla Quebrada del Churo 8/10/1967, esecuzione 9/10/1967, ritrovamento dei resti 1997). Chiude la parabola guevariana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 sistematica del corpus Guevara su fonti indipendenti (39 nodi, esiti e correzioni) e matrice comparativa Guevara–Moro (nodi documentati, paralleli, divergenze)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dossier-maggiore-una-pace-senza-pace.md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DOSSIER MAGGIORE DELL'AUTORE — «Una Pace senza Pace · Tutta la verità»</w:t>
            </w:r>
            <w:r>
              <w:rPr>
                <w:rFonts w:ascii="Barlow Semi Condensed" w:cs="Barlow Semi Condensed" w:eastAsia="Barlow Semi Condensed" w:hAnsi="Barlow Semi Condensed"/>
                <w:sz w:val="20"/>
                <w:szCs w:val="20"/>
              </w:rPr>
              <w:t xml:space="preserve"> (Opera Monografica Integrale, ~252.500 parole, </w:t>
            </w:r>
            <w:r>
              <w:rPr>
                <w:rFonts w:ascii="Barlow Semi Condensed" w:cs="Barlow Semi Condensed" w:eastAsia="Barlow Semi Condensed" w:hAnsi="Barlow Semi Condensed"/>
                <w:b/>
                <w:bCs/>
                <w:sz w:val="20"/>
                <w:szCs w:val="20"/>
              </w:rPr>
              <w:t xml:space="preserve">Libro quarto dell'Opera integrale</w:t>
            </w:r>
            <w:r>
              <w:rPr>
                <w:rFonts w:ascii="Barlow Semi Condensed" w:cs="Barlow Semi Condensed" w:eastAsia="Barlow Semi Condensed" w:hAnsi="Barlow Semi Condensed"/>
                <w:sz w:val="20"/>
                <w:szCs w:val="20"/>
              </w:rPr>
              <w:t xml:space="preserve">). È l'opera di cui il Portale adotta l'architettura senza riprodurne il contenuto, qui conservata </w:t>
            </w:r>
            <w:r>
              <w:rPr>
                <w:rFonts w:ascii="Barlow Semi Condensed" w:cs="Barlow Semi Condensed" w:eastAsia="Barlow Semi Condensed" w:hAnsi="Barlow Semi Condensed"/>
                <w:b/>
                <w:bCs/>
                <w:sz w:val="20"/>
                <w:szCs w:val="20"/>
              </w:rPr>
              <w:t xml:space="preserve">per intero come volume nel volume</w:t>
            </w:r>
            <w:r>
              <w:rPr>
                <w:rFonts w:ascii="Barlow Semi Condensed" w:cs="Barlow Semi Condensed" w:eastAsia="Barlow Semi Condensed" w:hAnsi="Barlow Semi Condensed"/>
                <w:sz w:val="20"/>
                <w:szCs w:val="20"/>
              </w:rPr>
              <w:t xml:space="preserve">: il proemio con la dichiarazione di co-autorìa; le </w:t>
            </w:r>
            <w:r>
              <w:rPr>
                <w:rFonts w:ascii="Barlow Semi Condensed" w:cs="Barlow Semi Condensed" w:eastAsia="Barlow Semi Condensed" w:hAnsi="Barlow Semi Condensed"/>
                <w:b/>
                <w:bCs/>
                <w:sz w:val="20"/>
                <w:szCs w:val="20"/>
              </w:rPr>
              <w:t xml:space="preserve">cinque Fasi in cinquanta capitoli</w:t>
            </w:r>
            <w:r>
              <w:rPr>
                <w:rFonts w:ascii="Barlow Semi Condensed" w:cs="Barlow Semi Condensed" w:eastAsia="Barlow Semi Condensed" w:hAnsi="Barlow Semi Condensed"/>
                <w:sz w:val="20"/>
                <w:szCs w:val="20"/>
              </w:rPr>
              <w:t xml:space="preserve"> (il quadrilatero Loggia-Finanza-Vaticano-Mafia; l'apparato d'intelligence e le strutture parallele; lo stragismo e le sue centrali; il caso Moro come crocevia; la proiezione internazionale); l'</w:t>
            </w:r>
            <w:r>
              <w:rPr>
                <w:rFonts w:ascii="Barlow Semi Condensed" w:cs="Barlow Semi Condensed" w:eastAsia="Barlow Semi Condensed" w:hAnsi="Barlow Semi Condensed"/>
                <w:b/>
                <w:bCs/>
                <w:sz w:val="20"/>
                <w:szCs w:val="20"/>
              </w:rPr>
              <w:t xml:space="preserve">Apparato di Verifica e Triangolazione</w:t>
            </w:r>
            <w:r>
              <w:rPr>
                <w:rFonts w:ascii="Barlow Semi Condensed" w:cs="Barlow Semi Condensed" w:eastAsia="Barlow Semi Condensed" w:hAnsi="Barlow Semi Condensed"/>
                <w:sz w:val="20"/>
                <w:szCs w:val="20"/>
              </w:rPr>
              <w:t xml:space="preserve"> con i </w:t>
            </w:r>
            <w:r>
              <w:rPr>
                <w:rFonts w:ascii="Barlow Semi Condensed" w:cs="Barlow Semi Condensed" w:eastAsia="Barlow Semi Condensed" w:hAnsi="Barlow Semi Condensed"/>
                <w:b/>
                <w:bCs/>
                <w:sz w:val="20"/>
                <w:szCs w:val="20"/>
              </w:rPr>
              <w:t xml:space="preserve">538 blocchi certificati in otto tranche</w:t>
            </w:r>
            <w:r>
              <w:rPr>
                <w:rFonts w:ascii="Barlow Semi Condensed" w:cs="Barlow Semi Condensed" w:eastAsia="Barlow Semi Condensed" w:hAnsi="Barlow Semi Condensed"/>
                <w:sz w:val="20"/>
                <w:szCs w:val="20"/>
              </w:rPr>
              <w:t xml:space="preserve">; e il secondo volume in due Parti, dal metodo falsificazionista alla bilancia probabilistica. </w:t>
            </w:r>
            <w:r>
              <w:rPr>
                <w:rFonts w:ascii="Barlow Semi Condensed" w:cs="Barlow Semi Condensed" w:eastAsia="Barlow Semi Condensed" w:hAnsi="Barlow Semi Condensed"/>
                <w:b/>
                <w:bCs/>
                <w:sz w:val="20"/>
                <w:szCs w:val="20"/>
              </w:rPr>
              <w:t xml:space="preserve">Divergenza di regime dichiarata in apertura, con nota di raccordo</w:t>
            </w:r>
            <w:r>
              <w:rPr>
                <w:rFonts w:ascii="Barlow Semi Condensed" w:cs="Barlow Semi Condensed" w:eastAsia="Barlow Semi Condensed" w:hAnsi="Barlow Semi Condensed"/>
                <w:sz w:val="20"/>
                <w:szCs w:val="20"/>
              </w:rPr>
              <w:t xml:space="preserve">: a differenza di ogni altro Libro, la seconda metà congeda il Pollo di Popper e </w:t>
            </w:r>
            <w:r>
              <w:rPr>
                <w:rFonts w:ascii="Barlow Semi Condensed" w:cs="Barlow Semi Condensed" w:eastAsia="Barlow Semi Condensed" w:hAnsi="Barlow Semi Condensed"/>
                <w:b/>
                <w:bCs/>
                <w:sz w:val="20"/>
                <w:szCs w:val="20"/>
              </w:rPr>
              <w:t xml:space="preserve">ordina per plausibilità del coinvolgimento</w:t>
            </w:r>
            <w:r>
              <w:rPr>
                <w:rFonts w:ascii="Barlow Semi Condensed" w:cs="Barlow Semi Condensed" w:eastAsia="Barlow Semi Condensed" w:hAnsi="Barlow Semi Condensed"/>
                <w:sz w:val="20"/>
                <w:szCs w:val="20"/>
              </w:rPr>
              <w:t xml:space="preserve">, con premessa garantista che distingue la graduatoria di plausibilità da quella di colpevolezza. </w:t>
            </w:r>
            <w:r>
              <w:rPr>
                <w:rFonts w:ascii="Barlow Semi Condensed" w:cs="Barlow Semi Condensed" w:eastAsia="Barlow Semi Condensed" w:hAnsi="Barlow Semi Condensed"/>
                <w:b/>
                <w:bCs/>
                <w:sz w:val="20"/>
                <w:szCs w:val="20"/>
              </w:rPr>
              <w:t xml:space="preserve">Accertato sul testo</w:t>
            </w:r>
            <w:r>
              <w:rPr>
                <w:rFonts w:ascii="Barlow Semi Condensed" w:cs="Barlow Semi Condensed" w:eastAsia="Barlow Semi Condensed" w:hAnsi="Barlow Semi Condensed"/>
                <w:sz w:val="20"/>
                <w:szCs w:val="20"/>
              </w:rPr>
              <w:t xml:space="preserve">: la graduatoria ordina </w:t>
            </w:r>
            <w:r>
              <w:rPr>
                <w:rFonts w:ascii="Barlow Semi Condensed" w:cs="Barlow Semi Condensed" w:eastAsia="Barlow Semi Condensed" w:hAnsi="Barlow Semi Condensed"/>
                <w:b/>
                <w:bCs/>
                <w:sz w:val="20"/>
                <w:szCs w:val="20"/>
              </w:rPr>
              <w:t xml:space="preserve">categorie di soggetti e non nomi individuali</w:t>
            </w:r>
            <w:r>
              <w:rPr>
                <w:rFonts w:ascii="Barlow Semi Condensed" w:cs="Barlow Semi Condensed" w:eastAsia="Barlow Semi Condensed" w:hAnsi="Barlow Semi Condensed"/>
                <w:sz w:val="20"/>
                <w:szCs w:val="20"/>
              </w:rPr>
              <w:t xml:space="preserve"> — i condannati in via definitiva, gli apparati dei depistaggi, i portatori d'interesse esterno —, e nelle quasi cinquemila parole conclusive gli unici nomi propri di persona sono quello della vittima e quello dello studioso da cui un metodo prende nome — la disciplina in copertina dell'opera registra l'eccezione e la limita a questo Libro. Standard probatorio Savona 2.1 a tre livelli, Regola Ferrea, Stato Zero. Delle due redazioni d'autore si è adottata la più ampia perché contiene l'altra: la collazione meccanica dà </w:t>
            </w:r>
            <w:r>
              <w:rPr>
                <w:rFonts w:ascii="Barlow Semi Condensed" w:cs="Barlow Semi Condensed" w:eastAsia="Barlow Semi Condensed" w:hAnsi="Barlow Semi Condensed"/>
                <w:b/>
                <w:bCs/>
                <w:sz w:val="20"/>
                <w:szCs w:val="20"/>
              </w:rPr>
              <w:t xml:space="preserve">1.949 paragrafi identici su 1.952</w:t>
            </w:r>
            <w:r>
              <w:rPr>
                <w:rFonts w:ascii="Barlow Semi Condensed" w:cs="Barlow Semi Condensed" w:eastAsia="Barlow Semi Condensed" w:hAnsi="Barlow Semi Condensed"/>
                <w:sz w:val="20"/>
                <w:szCs w:val="20"/>
              </w:rPr>
              <w:t xml:space="preserve">, e le tre righe divergenti di frontespizio sono registrate in nota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monografico su Giangiacomo Feltrinelli (1926-1972): l'erede della grande fortuna, l'editore civile (Živago 1957, Il Gattopardo 1958, la Fondazione), il viaggio in Bolivia dell'agosto 1967 (arresto ed espulsione durante il processo Debray), il vettore materiale del mito del Che (diritti e foto Korda 1967,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i manifesti), i GAP (aprile-maggio 1970) e la morte a Segrate (14 marzo 1972, ritrovamento il 15). Con note di revisione post-triangolazione.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dello studio su Feltrinelli: 17 nodi di verifica su fonti indipendenti (13 confermati, 3 precisati, 1 congettura confermata come tale), 1 nodo nuovo emerso (Bolivia agosto 1967), 7 ponti col corpus (dal ponte fisico con la campagna boliviana alla convergenza tematica con gli amnistiati del Tribunale Speciale) e 3 anti-triangolazioni (vettore ≠ mandante; la morte non è omicidio provato; il nome partigiano non è continuità con la Resistenza)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Bibliografia critica del corpus guevariano: le fonti per rango (primarie/accademiche/giornalistiche/enciclopediche), l'uso di ciascuna e l'elenco di trasparenza delle fonti deboli sostituite. Complemento all'apparato dei gradi moroteo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Relazione sui lavori redatta come esercizio di stile moroteo (pastiche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 di sintesi che raccoglie i fili Guevara–Moro (mito del Che, vettore Feltrinelli, degenerazione nelle BR, cornice della guerra fredda). Cinque parti, con bilancio finale documentato/convergenza/congettura; la Parte quarta è un pastiche dichiarato nello stile di Moro (non parole sue)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originale dell'opera «Aldo Moro — Una guerra senza fine»: «Il ritorno del Pollo di Popper», dossier falsificazionista in tre movimenti e quattordici capitoli sulle questioni aperte del caso (via Fani, prigione, via Gradoli, fermezza/trattativa, occasioni mancate, memoriale, quadro internazionale, «verità dicibile»), ciascuna col grado di prova e il criterio di smentita. Nessuna accusa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dell'edizione in cinquanta capitoli: «Fase sesta — Il presidio del garante e l'apparato critico» (capp. 51-55). Ricompone la tensione fra il divieto di imputare (cap. 1) e la graduatoria (Fase quinta); rende operative le quattro discipline; fornisce la mappa dei gradi A/B/C e Stato Zero. Nessun nome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aldo-moro-una-guerra-senza-fine-fase-nona-repertorio-del-caso.md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nona — Il repertorio del caso» (capp. 68-76). Cataloga in forma gradata </w:t>
            </w:r>
            <w:r>
              <w:rPr>
                <w:rFonts w:ascii="Barlow Semi Condensed" w:cs="Barlow Semi Condensed" w:eastAsia="Barlow Semi Condensed" w:hAnsi="Barlow Semi Condensed"/>
                <w:b/>
                <w:bCs/>
                <w:sz w:val="20"/>
                <w:szCs w:val="20"/>
              </w:rPr>
              <w:t xml:space="preserve">tutto ciò che è attribuibile al caso Moro</w:t>
            </w:r>
            <w:r>
              <w:rPr>
                <w:rFonts w:ascii="Barlow Semi Condensed" w:cs="Barlow Semi Condensed" w:eastAsia="Barlow Semi Condensed" w:hAnsi="Barlow Semi Condensed"/>
                <w:sz w:val="20"/>
                <w:szCs w:val="20"/>
              </w:rPr>
              <w:t xml:space="preserve">: la cronologia dei 55 giorni, le sei vittime (via Fani: Leonardi, Ricci, Rivera, Zizzi, Iozzino, in testa al repertorio), gli autori accertati in giudicato, i luoghi (via Fani, Montalcini, Gradoli, Caetani, Monte Nevoso, lago della Duchessa), i documenti (le ~97 lettere, i comunicati, il memoriale), gli atti (5 processi, 2 Commissioni), le figure del contesto senza imputazione, e i nodi aperti col loro grado. Ogni voce marcata A (giudicato) / B (accertamento) / C (congettura) / F (fatto pubblico); un capitolo dice che cosa il repertorio esclude per disciplina.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aldo-moro-una-guerra-senza-fine-fase-ottava-il-ritratto.md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ottava — Il ritratto: l'uomo prima del caso» (capp. 62-67). Rimette al centro Aldo Moro l'uomo e lo statista, non l'oggetto dell'inchiesta: la formazione (Maglie 1916, FUCI, il diritto penale a Bari), il costituente, la </w:t>
            </w:r>
            <w:r>
              <w:rPr>
                <w:rFonts w:ascii="Barlow Semi Condensed" w:cs="Barlow Semi Condensed" w:eastAsia="Barlow Semi Condensed" w:hAnsi="Barlow Semi Condensed"/>
                <w:b/>
                <w:bCs/>
                <w:sz w:val="20"/>
                <w:szCs w:val="20"/>
              </w:rPr>
              <w:t xml:space="preserve">strategia dell'attenzione</w:t>
            </w:r>
            <w:r>
              <w:rPr>
                <w:rFonts w:ascii="Barlow Semi Condensed" w:cs="Barlow Semi Condensed" w:eastAsia="Barlow Semi Condensed" w:hAnsi="Barlow Semi Condensed"/>
                <w:sz w:val="20"/>
                <w:szCs w:val="20"/>
              </w:rPr>
              <w:t xml:space="preserve"> (Bari, 15/6/1969), la solidarietà nazionale e la </w:t>
            </w:r>
            <w:r>
              <w:rPr>
                <w:rFonts w:ascii="Barlow Semi Condensed" w:cs="Barlow Semi Condensed" w:eastAsia="Barlow Semi Condensed" w:hAnsi="Barlow Semi Condensed"/>
                <w:b/>
                <w:bCs/>
                <w:sz w:val="20"/>
                <w:szCs w:val="20"/>
              </w:rPr>
              <w:t xml:space="preserve">«terza fase»</w:t>
            </w:r>
            <w:r>
              <w:rPr>
                <w:rFonts w:ascii="Barlow Semi Condensed" w:cs="Barlow Semi Condensed" w:eastAsia="Barlow Semi Condensed" w:hAnsi="Barlow Semi Condensed"/>
                <w:sz w:val="20"/>
                <w:szCs w:val="20"/>
              </w:rPr>
              <w:t xml:space="preserve"> (dicembre 1976), le lettere come scrittura di un uomo, la ragione umana per cui fu colpito (l'ostacolo alla guerra che altri volevano). Prosa piana, senza pastiche; idee citate dai suoi scritti pubblici.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aldo-moro-una-guerra-senza-fine-fase-settima-registro-giudiziario.md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settima — Il registro giudiziario» (capp. 56-61). Aggiunge lo strato istruttorio che mancava: i cinque processi Moro (uno/bis/ter/quater/quinquies) come pavimento del giudicato (grado A: BR esecutrici, Moretti, Maccari «quarto uomo» nel quinquies, Lojacono nel quater); la Commissione Moro 2 (2014-2017, relazione del 6/12/2017) come accertamento parlamentare di grado B (le due moto e i quattro «centauri» di via Fani, i testimoni De Chiara e ing. Marini mai sentiti, il Memoriale Morucci come «testo negoziato» degli anni '80, la formula «verità dicibile» di Fioroni, il nodo del 18 aprile non sciolto); tavola di raccordo delle otto questioni aperte per grado.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Indice analitico capitolo per capitolo dei cinquanta capitoli dell'opera: asserzione portante, grado prevalente (A/B/C/Stato Zero/Metodo) e criterio di smentita di ciascuno. La Fase quinta è gradata interamente al Livello C (congettura ordinata) salvo la base giudiziaria; la graduatoria e i nomi non sono riprodotti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_verifiche/verifica-elenco-trentatre-nomi-p2.md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Appendice III — Verifica di un elenco esterno.</w:t>
            </w:r>
            <w:r>
              <w:rPr>
                <w:rFonts w:ascii="Barlow Semi Condensed" w:cs="Barlow Semi Condensed" w:eastAsia="Barlow Semi Condensed" w:hAnsi="Barlow Semi Condensed"/>
                <w:sz w:val="20"/>
                <w:szCs w:val="20"/>
              </w:rPr>
              <w:t xml:space="preserve"> Un testo sottoposto al corpus il 26 agosto 2026 asserisce trentatré nominativi con ruolo nella primavera del 1978 e numero di tessera della loggia. Verifica per campi separati: i nomi in larga parte reggono (venti appartenenze corroborate da fonti indipendenti dal testo, dodici al grado C, una definita in sede giudiziaria), i numeri no — quattro valori cadono sotto il 1.600, soglia verbalizzata negli atti della Commissione, e cinque numeri sono assegnati due volte dentro il testo stesso. Nessun numero di tessera è corroborato: il grado B lo darebbe soltanto l'allegato alla Doc. XXIII n. 2. </w:t>
            </w:r>
            <w:r>
              <w:rPr>
                <w:rFonts w:ascii="Barlow Semi Condensed" w:cs="Barlow Semi Condensed" w:eastAsia="Barlow Semi Condensed" w:hAnsi="Barlow Semi Condensed"/>
                <w:b/>
                <w:bCs/>
                <w:sz w:val="20"/>
                <w:szCs w:val="20"/>
              </w:rPr>
              <w:t xml:space="preserve">Stato Zero dichiarato</w:t>
            </w:r>
            <w:r>
              <w:rPr>
                <w:rFonts w:ascii="Barlow Semi Condensed" w:cs="Barlow Semi Condensed" w:eastAsia="Barlow Semi Condensed" w:hAnsi="Barlow Semi Condensed"/>
                <w:sz w:val="20"/>
                <w:szCs w:val="20"/>
              </w:rPr>
              <w:t xml:space="preserve"> sul calcolo per finestra temporale: la ripartizione degli affiliati fra prima, durante e dopo richiede la data di affiliazione di ciascuno, e la tabella la porta per due righe su trentatré. Contiene l'annotazione — accanto all'errore, non al posto suo — sulla cifra dei parlamentari registrata nel Libro quarto. Nove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_verifiche/certificazione-numeri-p2.md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CERTIFICAZIONE DEI NUMERI DI TESSERA E FASCICOLO — esito negativo.</w:t>
            </w:r>
            <w:r>
              <w:rPr>
                <w:rFonts w:ascii="Barlow Semi Condensed" w:cs="Barlow Semi Condensed" w:eastAsia="Barlow Semi Condensed" w:hAnsi="Barlow Semi Condensed"/>
                <w:sz w:val="20"/>
                <w:szCs w:val="20"/>
              </w:rPr>
              <w:t xml:space="preserve"> Richiesta di certificare i numeri dei trentatré nomi; </w:t>
            </w:r>
            <w:r>
              <w:rPr>
                <w:rFonts w:ascii="Barlow Semi Condensed" w:cs="Barlow Semi Condensed" w:eastAsia="Barlow Semi Condensed" w:hAnsi="Barlow Semi Condensed"/>
                <w:b/>
                <w:bCs/>
                <w:sz w:val="20"/>
                <w:szCs w:val="20"/>
              </w:rPr>
              <w:t xml:space="preserve">nessuno dei trentatré è certificabile</w:t>
            </w:r>
            <w:r>
              <w:rPr>
                <w:rFonts w:ascii="Barlow Semi Condensed" w:cs="Barlow Semi Condensed" w:eastAsia="Barlow Semi Condensed" w:hAnsi="Barlow Semi Condensed"/>
                <w:sz w:val="20"/>
                <w:szCs w:val="20"/>
              </w:rPr>
              <w:t xml:space="preserve">, e il no non dipende da una difficoltà contingente ma dalla differenza fra verificare e certificare. Verifica condotta con diciassette agenti indipendenti, i cui limiti sono dichiarati in apertura: la ricerca ha esaurito il budget a metà corsa e l'intera fase di refutazione non ha potuto aprire una sola fonte — quelle refutazioni sono registrate come impossibilità di verificare, non come prove contrarie. </w:t>
            </w:r>
            <w:r>
              <w:rPr>
                <w:rFonts w:ascii="Barlow Semi Condensed" w:cs="Barlow Semi Condensed" w:eastAsia="Barlow Semi Condensed" w:hAnsi="Barlow Semi Condensed"/>
                <w:b/>
                <w:bCs/>
                <w:sz w:val="20"/>
                <w:szCs w:val="20"/>
              </w:rPr>
              <w:t xml:space="preserve">Risultato più solido, di rango documentale</w:t>
            </w:r>
            <w:r>
              <w:rPr>
                <w:rFonts w:ascii="Barlow Semi Condensed" w:cs="Barlow Semi Condensed" w:eastAsia="Barlow Semi Condensed" w:hAnsi="Barlow Semi Condensed"/>
                <w:sz w:val="20"/>
                <w:szCs w:val="20"/>
              </w:rPr>
              <w:t xml:space="preserve">: due coppie attestate — Berlusconi (Milano, 625) con tessera 1816, Costanzo (Roma, 626) con tessera 1819 — dimostrano che la cifra fra parentesi nelle trascrizioni è il </w:t>
            </w:r>
            <w:r>
              <w:rPr>
                <w:rFonts w:ascii="Barlow Semi Condensed" w:cs="Barlow Semi Condensed" w:eastAsia="Barlow Semi Condensed" w:hAnsi="Barlow Semi Condensed"/>
                <w:b/>
                <w:bCs/>
                <w:sz w:val="20"/>
                <w:szCs w:val="20"/>
              </w:rPr>
              <w:t xml:space="preserve">numero di fascicolo, non quello di tessera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Risultato aritmetico, indipendente da ogni fonte</w:t>
            </w:r>
            <w:r>
              <w:rPr>
                <w:rFonts w:ascii="Barlow Semi Condensed" w:cs="Barlow Semi Condensed" w:eastAsia="Barlow Semi Condensed" w:hAnsi="Barlow Semi Condensed"/>
                <w:sz w:val="20"/>
                <w:szCs w:val="20"/>
              </w:rPr>
              <w:t xml:space="preserve">: otto coppie su venti hanno lo scarto identico di 1.088 fra tessera e fascicolo, mentre nelle due coppie attestate lo scarto deriva — uno scarto congelato per quarantadue posizioni non è un secondo registro, è una sottrazione. </w:t>
            </w:r>
            <w:r>
              <w:rPr>
                <w:rFonts w:ascii="Barlow Semi Condensed" w:cs="Barlow Semi Condensed" w:eastAsia="Barlow Semi Condensed" w:hAnsi="Barlow Semi Condensed"/>
                <w:b/>
                <w:bCs/>
                <w:sz w:val="20"/>
                <w:szCs w:val="20"/>
              </w:rPr>
              <w:t xml:space="preserve">Tre ritrattazioni dichiarate</w:t>
            </w:r>
            <w:r>
              <w:rPr>
                <w:rFonts w:ascii="Barlow Semi Condensed" w:cs="Barlow Semi Condensed" w:eastAsia="Barlow Semi Condensed" w:hAnsi="Barlow Semi Condensed"/>
                <w:sz w:val="20"/>
                <w:szCs w:val="20"/>
              </w:rPr>
              <w:t xml:space="preserve">: la soglia del 1.600 non è un test di esclusione (esistono le tessere 506 e 1508); i parlamentari corroborati sono </w:t>
            </w:r>
            <w:r>
              <w:rPr>
                <w:rFonts w:ascii="Barlow Semi Condensed" w:cs="Barlow Semi Condensed" w:eastAsia="Barlow Semi Condensed" w:hAnsi="Barlow Semi Condensed"/>
                <w:b/>
                <w:bCs/>
                <w:sz w:val="20"/>
                <w:szCs w:val="20"/>
              </w:rPr>
              <w:t xml:space="preserve">44 e non 59</w:t>
            </w:r>
            <w:r>
              <w:rPr>
                <w:rFonts w:ascii="Barlow Semi Condensed" w:cs="Barlow Semi Condensed" w:eastAsia="Barlow Semi Condensed" w:hAnsi="Barlow Semi Condensed"/>
                <w:sz w:val="20"/>
                <w:szCs w:val="20"/>
              </w:rPr>
              <w:t xml:space="preserve">, sicché la cifra del corpus era giusta e la mia correzione va ritirata; la corsa di dieci numeri consecutivi non è un indizio, perché in un elenco così denso se ne attendono circa quattro. Porta l'indirizzo d'archivio preciso — libro I, tomo I, pp. 803-874 e 885-942 — e tre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moro-ministro-esteri/terza-campagna/</w:t>
            </w:r>
            <w:r>
              <w:rPr>
                <w:rFonts w:ascii="Barlow Semi Condensed" w:cs="Barlow Semi Condensed" w:eastAsia="Barlow Semi Condensed" w:hAnsi="Barlow Semi Condensed"/>
                <w:sz w:val="20"/>
                <w:szCs w:val="20"/>
              </w:rPr>
              <w:t xml:space="preserve">](moro-ministro-esteri/terza-campagna) · `</w:t>
            </w:r>
            <w:r>
              <w:rPr>
                <w:rFonts w:ascii="Barlow Semi Condensed" w:cs="Barlow Semi Condensed" w:eastAsia="Barlow Semi Condensed" w:hAnsi="Barlow Semi Condensed"/>
                <w:i/>
                <w:iCs/>
                <w:sz w:val="20"/>
                <w:szCs w:val="20"/>
              </w:rPr>
              <w:t xml:space="preserve">triangolazione-terza-campagna.md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il-registro-dei-cinquantacinque-giorni-opera-seconda.md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TERZA CAMPAGNA FARNESINA E L'OPERA SECONDA — ventisette acquisizioni, 166.067 parole.</w:t>
            </w:r>
            <w:r>
              <w:rPr>
                <w:rFonts w:ascii="Barlow Semi Condensed" w:cs="Barlow Semi Condensed" w:eastAsia="Barlow Semi Condensed" w:hAnsi="Barlow Semi Condensed"/>
                <w:sz w:val="20"/>
                <w:szCs w:val="20"/>
              </w:rPr>
              <w:t xml:space="preserve"> Sedici ricognizioni numerate dalla terza alla diciottesima, sette registri analitici, l'opera seconda sui cinquantacinque giorni in sette Fasi e settanta Capitoli (Libro quindicesimo), un'appendice alla Fase settima e un memorandum archiviato ma </w:t>
            </w:r>
            <w:r>
              <w:rPr>
                <w:rFonts w:ascii="Barlow Semi Condensed" w:cs="Barlow Semi Condensed" w:eastAsia="Barlow Semi Condensed" w:hAnsi="Barlow Semi Condensed"/>
                <w:b/>
                <w:bCs/>
                <w:sz w:val="20"/>
                <w:szCs w:val="20"/>
              </w:rPr>
              <w:t xml:space="preserve">non rilegato per disposizione propria</w:t>
            </w:r>
            <w:r>
              <w:rPr>
                <w:rFonts w:ascii="Barlow Semi Condensed" w:cs="Barlow Semi Condensed" w:eastAsia="Barlow Semi Condensed" w:hAnsi="Barlow Semi Condensed"/>
                <w:sz w:val="20"/>
                <w:szCs w:val="20"/>
              </w:rPr>
              <w:t xml:space="preserve">. Il lotto arrivò in quattro invii con ripetizioni: undici documenti erano identici byte per byte, tre risultano contenuti nell'opera seconda al 100, 98,3 e 98,7 per cento agli 8-grammi, e sono stati scartati. Sei ricognizioni rivedono documenti già presenti, con sovrapposizioni fra il 7 e il 29,4 per cento: </w:t>
            </w:r>
            <w:r>
              <w:rPr>
                <w:rFonts w:ascii="Barlow Semi Condensed" w:cs="Barlow Semi Condensed" w:eastAsia="Barlow Semi Condensed" w:hAnsi="Barlow Semi Condensed"/>
                <w:b/>
                <w:bCs/>
                <w:sz w:val="20"/>
                <w:szCs w:val="20"/>
              </w:rPr>
              <w:t xml:space="preserve">nessuna sostituisce l'anteriore</w:t>
            </w:r>
            <w:r>
              <w:rPr>
                <w:rFonts w:ascii="Barlow Semi Condensed" w:cs="Barlow Semi Condensed" w:eastAsia="Barlow Semi Condensed" w:hAnsi="Barlow Semi Condensed"/>
                <w:sz w:val="20"/>
                <w:szCs w:val="20"/>
              </w:rPr>
              <w:t xml:space="preserve">, ciascuna porta la nota di raccordo che dichiara quale rivede e con quale misura. </w:t>
            </w:r>
            <w:r>
              <w:rPr>
                <w:rFonts w:ascii="Barlow Semi Condensed" w:cs="Barlow Semi Condensed" w:eastAsia="Barlow Semi Condensed" w:hAnsi="Barlow Semi Condensed"/>
                <w:b/>
                <w:bCs/>
                <w:sz w:val="20"/>
                <w:szCs w:val="20"/>
              </w:rPr>
              <w:t xml:space="preserve">Il risultato che distingue la campagna sono quattro confutazioni che l'autore muove alle proprie ipotesi</w:t>
            </w:r>
            <w:r>
              <w:rPr>
                <w:rFonts w:ascii="Barlow Semi Condensed" w:cs="Barlow Semi Condensed" w:eastAsia="Barlow Semi Condensed" w:hAnsi="Barlow Semi Condensed"/>
                <w:sz w:val="20"/>
                <w:szCs w:val="20"/>
              </w:rPr>
              <w:t xml:space="preserve"> — il modello dell'Opus Dei falsificato due volte (Gran Bretagna 1946 prima della Germania 1952; il Kenya con costruzione endogena del ceto), l'ipotesi namibiana respinta, il nodo sudafricano che non ruota. </w:t>
            </w:r>
            <w:r>
              <w:rPr>
                <w:rFonts w:ascii="Barlow Semi Condensed" w:cs="Barlow Semi Condensed" w:eastAsia="Barlow Semi Condensed" w:hAnsi="Barlow Semi Condensed"/>
                <w:b/>
                <w:bCs/>
                <w:sz w:val="20"/>
                <w:szCs w:val="20"/>
              </w:rPr>
              <w:t xml:space="preserve">Cinque correzioni al corpus</w:t>
            </w:r>
            <w:r>
              <w:rPr>
                <w:rFonts w:ascii="Barlow Semi Condensed" w:cs="Barlow Semi Condensed" w:eastAsia="Barlow Semi Condensed" w:hAnsi="Barlow Semi Condensed"/>
                <w:sz w:val="20"/>
                <w:szCs w:val="20"/>
              </w:rPr>
              <w:t xml:space="preserve">, fra cui che il riconoscimento della RDT è del 17 gennaio 1973, sotto Giuseppe Medici e fra i due mandati di Moro, non sotto Moro. </w:t>
            </w:r>
            <w:r>
              <w:rPr>
                <w:rFonts w:ascii="Barlow Semi Condensed" w:cs="Barlow Semi Condensed" w:eastAsia="Barlow Semi Condensed" w:hAnsi="Barlow Semi Condensed"/>
                <w:b/>
                <w:bCs/>
                <w:sz w:val="20"/>
                <w:szCs w:val="20"/>
              </w:rPr>
              <w:t xml:space="preserve">Un concetto di metodo nuovo</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i/>
                <w:iCs/>
                <w:sz w:val="20"/>
                <w:szCs w:val="20"/>
              </w:rPr>
              <w:t xml:space="preserve">contaminazione per prossimità</w:t>
            </w:r>
            <w:r>
              <w:rPr>
                <w:rFonts w:ascii="Barlow Semi Condensed" w:cs="Barlow Semi Condensed" w:eastAsia="Barlow Semi Condensed" w:hAnsi="Barlow Semi Condensed"/>
                <w:sz w:val="20"/>
                <w:szCs w:val="20"/>
              </w:rPr>
              <w:t xml:space="preserve"> — collocare un'asserzione non documentata dentro un elenco di fatti documentati, trasferendole il credito — col corollario che un'affermazione senza tracce indipendenti «non è confutata ma non è utilizzabile», che converge con la certificazione dei numeri P2 per via indipendente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_diffusione-opera/pec-unica-formale.md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PEC_UNICA_FORMALE.docx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.pdf`](_diffusione-opera/PEC_UNICA_FORMALE.pdf)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PEC FORMALE UNICA — un solo testo per tutti i destinatari.</w:t>
            </w:r>
            <w:r>
              <w:rPr>
                <w:rFonts w:ascii="Barlow Semi Condensed" w:cs="Barlow Semi Condensed" w:eastAsia="Barlow Semi Condensed" w:hAnsi="Barlow Semi Condensed"/>
                <w:sz w:val="20"/>
                <w:szCs w:val="20"/>
              </w:rPr>
              <w:t xml:space="preserve"> Contenuto unico e canale adattabile: si trasmette come PEC dove la PEC esiste, come email ordinaria dove è la via istituzionale, si incolla nei moduli obbligatori, si stampa dove non c'è altro. Si apre con un'avvertenza di fatto: </w:t>
            </w:r>
            <w:r>
              <w:rPr>
                <w:rFonts w:ascii="Barlow Semi Condensed" w:cs="Barlow Semi Condensed" w:eastAsia="Barlow Semi Condensed" w:hAnsi="Barlow Semi Condensed"/>
                <w:b/>
                <w:bCs/>
                <w:sz w:val="20"/>
                <w:szCs w:val="20"/>
              </w:rPr>
              <w:t xml:space="preserve">un solo destinatario su dodici ha davvero un canale PEC</w:t>
            </w:r>
            <w:r>
              <w:rPr>
                <w:rFonts w:ascii="Barlow Semi Condensed" w:cs="Barlow Semi Condensed" w:eastAsia="Barlow Semi Condensed" w:hAnsi="Barlow Semi Condensed"/>
                <w:sz w:val="20"/>
                <w:szCs w:val="20"/>
              </w:rPr>
              <w:t xml:space="preserve"> — l'Archivio Flamigni, il cui indirizzo non è ancora reperito — e l'invio non va fatto in un'unica trasmissione, perché esporrebbe a ciascuno il recapito degli altri undici e mostrerebbe a nove editori che la stessa proposta è partita per gli altri otto. Stesso testo, invii separati, secondo le ondate non in concorrenza del dossier. Il corpo porta la dichiarazione sull'IA in apertura e non in calce, le sei regole della disciplina con l'eccezione del Libro quarto, che cosa l'opera non è, e l'impronta SHA-256 dell'intero corpus con la distinzione fra integrità del supporto e verità del contenuto. In coda: la tabella di adattamento per canale destinatario per destinatario, gli allegati con l'avvertenza sui limiti di peso dei gestori PEC, e la lista di controllo prima dell'invio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decima — Il principio personalistico» (capp. 77-82). </w:t>
            </w:r>
            <w:r>
              <w:rPr>
                <w:rFonts w:ascii="Barlow Semi Condensed" w:cs="Barlow Semi Condensed" w:eastAsia="Barlow Semi Condensed" w:hAnsi="Barlow Semi Condensed"/>
                <w:b/>
                <w:bCs/>
                <w:sz w:val="20"/>
                <w:szCs w:val="20"/>
              </w:rPr>
              <w:t xml:space="preserve">Elimina la colpa dei gruppi in entrambe le direzioni</w:t>
            </w:r>
            <w:r>
              <w:rPr>
                <w:rFonts w:ascii="Barlow Semi Condensed" w:cs="Barlow Semi Condensed" w:eastAsia="Barlow Semi Condensed" w:hAnsi="Barlow Semi Condensed"/>
                <w:sz w:val="20"/>
                <w:szCs w:val="20"/>
              </w:rPr>
              <w:t xml:space="preserve"> (né colpa collettiva discendente dall'appartenenza, né deresponsabilizzazione ascendente nel «fu l'organizzazione») e </w:t>
            </w:r>
            <w:r>
              <w:rPr>
                <w:rFonts w:ascii="Barlow Semi Condensed" w:cs="Barlow Semi Condensed" w:eastAsia="Barlow Semi Condensed" w:hAnsi="Barlow Semi Condensed"/>
                <w:b/>
                <w:bCs/>
                <w:sz w:val="20"/>
                <w:szCs w:val="20"/>
              </w:rPr>
              <w:t xml:space="preserve">la sostituisce con le responsabilità personali del giudicato</w:t>
            </w:r>
            <w:r>
              <w:rPr>
                <w:rFonts w:ascii="Barlow Semi Condensed" w:cs="Barlow Semi Condensed" w:eastAsia="Barlow Semi Condensed" w:hAnsi="Barlow Semi Condensed"/>
                <w:sz w:val="20"/>
                <w:szCs w:val="20"/>
              </w:rPr>
              <w:t xml:space="preserve">: registro nominativo delle tredici persone condannate in via definitiva per il caso Moro, ciascuna con la propria condotta accertata (Moretti, Gallinari, Morucci, Faranda, Fiore, Bonisoli, Balzerani, Seghetti, Braghetti, Casimirri, Lojacono, Maccari, Etro) — verificato su fonti (sentenza 24/1/1983, Questione Giustizia, biografie). Il registro </w:t>
            </w:r>
            <w:r>
              <w:rPr>
                <w:rFonts w:ascii="Barlow Semi Condensed" w:cs="Barlow Semi Condensed" w:eastAsia="Barlow Semi Condensed" w:hAnsi="Barlow Semi Condensed"/>
                <w:b/>
                <w:bCs/>
                <w:sz w:val="20"/>
                <w:szCs w:val="20"/>
              </w:rPr>
              <w:t xml:space="preserve">non ricopia i 32 ergastoli del processone</w:t>
            </w:r>
            <w:r>
              <w:rPr>
                <w:rFonts w:ascii="Barlow Semi Condensed" w:cs="Barlow Semi Condensed" w:eastAsia="Barlow Semi Condensed" w:hAnsi="Barlow Semi Condensed"/>
                <w:sz w:val="20"/>
                <w:szCs w:val="20"/>
              </w:rPr>
              <w:t xml:space="preserve"> (colpa di gruppo per trascinamento) e </w:t>
            </w:r>
            <w:r>
              <w:rPr>
                <w:rFonts w:ascii="Barlow Semi Condensed" w:cs="Barlow Semi Condensed" w:eastAsia="Barlow Semi Condensed" w:hAnsi="Barlow Semi Condensed"/>
                <w:b/>
                <w:bCs/>
                <w:sz w:val="20"/>
                <w:szCs w:val="20"/>
              </w:rPr>
              <w:t xml:space="preserve">non contiene Algranati</w:t>
            </w:r>
            <w:r>
              <w:rPr>
                <w:rFonts w:ascii="Barlow Semi Condensed" w:cs="Barlow Semi Condensed" w:eastAsia="Barlow Semi Condensed" w:hAnsi="Barlow Semi Condensed"/>
                <w:sz w:val="20"/>
                <w:szCs w:val="20"/>
              </w:rPr>
              <w:t xml:space="preserve"> (assolta in via definitiva per via Fani: il giudicato vale nei due sensi). Nota di lettura valida per l'intera opera: «le BR» come abbreviazione delle persone condannate; le appartenenze — a uno o più gruppi — come fatto biografico F, mai somma di colpe. Nessuna graduatoria; nessuna percentuale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dei tredici condannati del registro (Fase decima) con i domini del corpus: </w:t>
            </w:r>
            <w:r>
              <w:rPr>
                <w:rFonts w:ascii="Barlow Semi Condensed" w:cs="Barlow Semi Condensed" w:eastAsia="Barlow Semi Condensed" w:hAnsi="Barlow Semi Condensed"/>
                <w:b/>
                <w:bCs/>
                <w:sz w:val="20"/>
                <w:szCs w:val="20"/>
              </w:rPr>
              <w:t xml:space="preserve">otto ponti documentati e verificati</w:t>
            </w:r>
            <w:r>
              <w:rPr>
                <w:rFonts w:ascii="Barlow Semi Condensed" w:cs="Barlow Semi Condensed" w:eastAsia="Barlow Semi Condensed" w:hAnsi="Barlow Semi Condensed"/>
                <w:sz w:val="20"/>
                <w:szCs w:val="20"/>
              </w:rPr>
              <w:t xml:space="preserve"> — Moretti e il CPM di Curcio </w:t>
            </w:r>
            <w:r>
              <w:rPr>
                <w:rFonts w:ascii="Barlow Semi Condensed" w:cs="Barlow Semi Condensed" w:eastAsia="Barlow Semi Condensed" w:hAnsi="Barlow Semi Condensed"/>
                <w:i/>
                <w:iCs/>
                <w:sz w:val="20"/>
                <w:szCs w:val="20"/>
              </w:rPr>
              <w:t xml:space="preserve">e Simioni</w:t>
            </w:r>
            <w:r>
              <w:rPr>
                <w:rFonts w:ascii="Barlow Semi Condensed" w:cs="Barlow Semi Condensed" w:eastAsia="Barlow Semi Condensed" w:hAnsi="Barlow Semi Condensed"/>
                <w:sz w:val="20"/>
                <w:szCs w:val="20"/>
              </w:rPr>
              <w:t xml:space="preserve"> (la doppia discendenza BR/Superclan del ceppo 1969); Morucci-Faranda, Potere Operaio e il canale Pace-Piperno verso il PSI; Bonisoli che portò il memoriale a via Monte Nevoso e vi fu arrestato (1/10/1978); Gallinari e Bonisoli nel «gruppo dell'appartamento» reggiano di Franceschini; Casimirri (padre alla sala stampa vaticana sotto tre papi; rotta Libia-Cuba-Nicaragua; estradizione negata); Lojacono (cittadinanza svizzera, pena ineseguita); Braghetti e la memoria come vettore («Il prigioniero», Feltrinelli 1998 → «Buongiorno, notte» 2003); le condotte successive coi loro giudicati. Quattro </w:t>
            </w:r>
            <w:r>
              <w:rPr>
                <w:rFonts w:ascii="Barlow Semi Condensed" w:cs="Barlow Semi Condensed" w:eastAsia="Barlow Semi Condensed" w:hAnsi="Barlow Semi Condensed"/>
                <w:b/>
                <w:bCs/>
                <w:sz w:val="20"/>
                <w:szCs w:val="20"/>
              </w:rPr>
              <w:t xml:space="preserve">esiti negativi dichiarati</w:t>
            </w:r>
            <w:r>
              <w:rPr>
                <w:rFonts w:ascii="Barlow Semi Condensed" w:cs="Barlow Semi Condensed" w:eastAsia="Barlow Semi Condensed" w:hAnsi="Barlow Semi Condensed"/>
                <w:sz w:val="20"/>
                <w:szCs w:val="20"/>
              </w:rPr>
              <w:t xml:space="preserve"> (Fiore, Balzerani, Maccari, Etro a triangolazione vuota; nessun legame con l'attentato del 1981), cinque </w:t>
            </w:r>
            <w:r>
              <w:rPr>
                <w:rFonts w:ascii="Barlow Semi Condensed" w:cs="Barlow Semi Condensed" w:eastAsia="Barlow Semi Condensed" w:hAnsi="Barlow Semi Condensed"/>
                <w:b/>
                <w:bCs/>
                <w:sz w:val="20"/>
                <w:szCs w:val="20"/>
              </w:rPr>
              <w:t xml:space="preserve">anti-triangolazioni</w:t>
            </w:r>
            <w:r>
              <w:rPr>
                <w:rFonts w:ascii="Barlow Semi Condensed" w:cs="Barlow Semi Condensed" w:eastAsia="Barlow Semi Condensed" w:hAnsi="Barlow Semi Condensed"/>
                <w:sz w:val="20"/>
                <w:szCs w:val="20"/>
              </w:rPr>
              <w:t xml:space="preserve"> (la parentela non è canale; l'origine non è regia; la rotta non è filiazione; il canale non è complicità; il registro resta chiuso), matrice sintetica e chiusura sul confronto di metodo col Tribunale Speciale (due modi di giudicare i nemici). Nessun ponte promosso a nesso; nessun nome aggiunto al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monografico del ceppo Simioni</w:t>
            </w:r>
            <w:r>
              <w:rPr>
                <w:rFonts w:ascii="Barlow Semi Condensed" w:cs="Barlow Semi Condensed" w:eastAsia="Barlow Semi Condensed" w:hAnsi="Barlow Semi Condensed"/>
                <w:sz w:val="20"/>
                <w:szCs w:val="20"/>
              </w:rPr>
              <w:t xml:space="preserve">: la discendenza CPM → Superclan → Hyperion — la «terza strada» della matrice milanese del 1969, con </w:t>
            </w:r>
            <w:r>
              <w:rPr>
                <w:rFonts w:ascii="Barlow Semi Condensed" w:cs="Barlow Semi Condensed" w:eastAsia="Barlow Semi Condensed" w:hAnsi="Barlow Semi Condensed"/>
                <w:b/>
                <w:bCs/>
                <w:sz w:val="20"/>
                <w:szCs w:val="20"/>
              </w:rPr>
              <w:t xml:space="preserve">l'esito giudiziario in testa</w:t>
            </w:r>
            <w:r>
              <w:rPr>
                <w:rFonts w:ascii="Barlow Semi Condensed" w:cs="Barlow Semi Condensed" w:eastAsia="Barlow Semi Condensed" w:hAnsi="Barlow Semi Condensed"/>
                <w:sz w:val="20"/>
                <w:szCs w:val="20"/>
              </w:rPr>
              <w:t xml:space="preserve"> (Mulinaris assolto con formula piena e risarcito con 100 milioni; Berio assolto a Roma 1989 e Venezia 1990; Simioni mai condannato). La biografia di Simioni 1934-1969 coi gradi dichiarati (Dolo 1934, gioventù socialista con Craxi, espulsione PSI 1965, Monaco, Mondadori e USIS = fatto F; il «si dice» su Radio Free Europe = riferito non accertato), la fondazione a due del CPM (8/9/1969), la scissione 1970-71 e il Superclan, la memorialistica brigatista come </w:t>
            </w:r>
            <w:r>
              <w:rPr>
                <w:rFonts w:ascii="Barlow Semi Condensed" w:cs="Barlow Semi Condensed" w:eastAsia="Barlow Semi Condensed" w:hAnsi="Barlow Semi Condensed"/>
                <w:b/>
                <w:bCs/>
                <w:sz w:val="20"/>
                <w:szCs w:val="20"/>
              </w:rPr>
              <w:t xml:space="preserve">fonte di parte</w:t>
            </w:r>
            <w:r>
              <w:rPr>
                <w:rFonts w:ascii="Barlow Semi Condensed" w:cs="Barlow Semi Condensed" w:eastAsia="Barlow Semi Condensed" w:hAnsi="Barlow Semi Condensed"/>
                <w:sz w:val="20"/>
                <w:szCs w:val="20"/>
              </w:rPr>
              <w:t xml:space="preserve"> (C), Hyperion a Parigi (divergenza 1976/1977 dichiarata), i tre percorsi giudiziari persona per persona — incluso l'</w:t>
            </w:r>
            <w:r>
              <w:rPr>
                <w:rFonts w:ascii="Barlow Semi Condensed" w:cs="Barlow Semi Condensed" w:eastAsia="Barlow Semi Condensed" w:hAnsi="Barlow Semi Condensed"/>
                <w:b/>
                <w:bCs/>
                <w:sz w:val="20"/>
                <w:szCs w:val="20"/>
              </w:rPr>
              <w:t xml:space="preserve">approccio SID del 1972 a Berio, respinto e documentato in una lettera al suocero Malagugini</w:t>
            </w:r>
            <w:r>
              <w:rPr>
                <w:rFonts w:ascii="Barlow Semi Condensed" w:cs="Barlow Semi Condensed" w:eastAsia="Barlow Semi Condensed" w:hAnsi="Barlow Semi Condensed"/>
                <w:sz w:val="20"/>
                <w:szCs w:val="20"/>
              </w:rPr>
              <w:t xml:space="preserve"> (grado B, audizione Moro 2 del 28/10/2015) — la vita francese di Simioni (Fondazione Abbé Pierre, udienza da Giovanni Paolo II 1992, † 2008), le suggestioni pesate una per una e cinque anti-triangolazioni. Il registro dei prosciolti come specchio della Fase decima: stessa disciplina personalistica, esito opposto. Il «fu assolto, ma» è bandito; nessuna tesi promossa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aldo-moro-una-guerra-senza-fine-edizione-strutturata.md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strutturata del corpus</w:t>
            </w:r>
            <w:r>
              <w:rPr>
                <w:rFonts w:ascii="Barlow Semi Condensed" w:cs="Barlow Semi Condensed" w:eastAsia="Barlow Semi Condensed" w:hAnsi="Barlow Semi Condensed"/>
                <w:sz w:val="20"/>
                <w:szCs w:val="20"/>
              </w:rPr>
              <w:t xml:space="preserve"> secondo l'architettura del Dossier maggiore dell'autore («Aldo Moro — Tutta la verità»): le </w:t>
            </w:r>
            <w:r>
              <w:rPr>
                <w:rFonts w:ascii="Barlow Semi Condensed" w:cs="Barlow Semi Condensed" w:eastAsia="Barlow Semi Condensed" w:hAnsi="Barlow Semi Condensed"/>
                <w:b/>
                <w:bCs/>
                <w:sz w:val="20"/>
                <w:szCs w:val="20"/>
              </w:rPr>
              <w:t xml:space="preserve">cinque Fasi</w:t>
            </w:r>
            <w:r>
              <w:rPr>
                <w:rFonts w:ascii="Barlow Semi Condensed" w:cs="Barlow Semi Condensed" w:eastAsia="Barlow Semi Condensed" w:hAnsi="Barlow Semi Condensed"/>
                <w:sz w:val="20"/>
                <w:szCs w:val="20"/>
              </w:rPr>
              <w:t xml:space="preserve"> coi loro sottotitoli di regime (Il metodo e l'uomo · Il perché · Il caso · Omissioni, collusioni, insabbiamenti · Architetti, mandanti, esecutori), trentadue capitoli che rimappano ogni documento del branch (compresi il Capitolo II-bis delle metodologie calcolate e il Capitolo XXX delle pene oltre confine, dichiarati come aggiunte proprie dell'edizione pubblica al blocco 1306), il tessuto dei </w:t>
            </w:r>
            <w:r>
              <w:rPr>
                <w:rFonts w:ascii="Barlow Semi Condensed" w:cs="Barlow Semi Condensed" w:eastAsia="Barlow Semi Condensed" w:hAnsi="Barlow Semi Condensed"/>
                <w:b/>
                <w:bCs/>
                <w:sz w:val="20"/>
                <w:szCs w:val="20"/>
              </w:rPr>
              <w:t xml:space="preserve">blocchi mirati</w:t>
            </w:r>
            <w:r>
              <w:rPr>
                <w:rFonts w:ascii="Barlow Semi Condensed" w:cs="Barlow Semi Condensed" w:eastAsia="Barlow Semi Condensed" w:hAnsi="Barlow Semi Condensed"/>
                <w:sz w:val="20"/>
                <w:szCs w:val="20"/>
              </w:rPr>
              <w:t xml:space="preserve"> in serie con statuto, la </w:t>
            </w:r>
            <w:r>
              <w:rPr>
                <w:rFonts w:ascii="Barlow Semi Condensed" w:cs="Barlow Semi Condensed" w:eastAsia="Barlow Semi Condensed" w:hAnsi="Barlow Semi Condensed"/>
                <w:b/>
                <w:bCs/>
                <w:sz w:val="20"/>
                <w:szCs w:val="20"/>
              </w:rPr>
              <w:t xml:space="preserve">griglia a cinque voci</w:t>
            </w:r>
            <w:r>
              <w:rPr>
                <w:rFonts w:ascii="Barlow Semi Condensed" w:cs="Barlow Semi Condensed" w:eastAsia="Barlow Semi Condensed" w:hAnsi="Barlow Semi Condensed"/>
                <w:sz w:val="20"/>
                <w:szCs w:val="20"/>
              </w:rPr>
              <w:t xml:space="preserve"> per Fase (Fonte/Falsificatore/Obiezione/Comparazione/Domanda aperta), il registro cronologico (801-812), il repertorio delle classi di fonti (1051-1056), la </w:t>
            </w:r>
            <w:r>
              <w:rPr>
                <w:rFonts w:ascii="Barlow Semi Condensed" w:cs="Barlow Semi Condensed" w:eastAsia="Barlow Semi Condensed" w:hAnsi="Barlow Semi Condensed"/>
                <w:b/>
                <w:bCs/>
                <w:sz w:val="20"/>
                <w:szCs w:val="20"/>
              </w:rPr>
              <w:t xml:space="preserve">tavola di corrispondenza col Dossier maggiore</w:t>
            </w:r>
            <w:r>
              <w:rPr>
                <w:rFonts w:ascii="Barlow Semi Condensed" w:cs="Barlow Semi Condensed" w:eastAsia="Barlow Semi Condensed" w:hAnsi="Barlow Semi Condensed"/>
                <w:sz w:val="20"/>
                <w:szCs w:val="20"/>
              </w:rPr>
              <w:t xml:space="preserve"> (1301-1305) e la bibliografia in sei sezioni. </w:t>
            </w:r>
            <w:r>
              <w:rPr>
                <w:rFonts w:ascii="Barlow Semi Condensed" w:cs="Barlow Semi Condensed" w:eastAsia="Barlow Semi Condensed" w:hAnsi="Barlow Semi Condensed"/>
                <w:b/>
                <w:bCs/>
                <w:sz w:val="20"/>
                <w:szCs w:val="20"/>
              </w:rPr>
              <w:t xml:space="preserve">Divergenza costitutiva dichiarata</w:t>
            </w:r>
            <w:r>
              <w:rPr>
                <w:rFonts w:ascii="Barlow Semi Condensed" w:cs="Barlow Semi Condensed" w:eastAsia="Barlow Semi Condensed" w:hAnsi="Barlow Semi Condensed"/>
                <w:sz w:val="20"/>
                <w:szCs w:val="20"/>
              </w:rPr>
              <w:t xml:space="preserve">: la Fase quinta pubblica non congeda il Pollo di Popper — si ferma al giudicato (i tredici del registro), non riproduce la graduatoria probabilistica né nomi oltre le sentenze; il Dossier maggiore non è archiviato sul branch perché contiene la parte che il versante pubblico per statuto non pubblica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ALDO_MORO_UNA_GUERRA_SENZA_FINE_EDIZIONE_STRUTTURATA.docx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.pdf`](ALDO_MORO_UNA_GUERRA_SENZA_FINE_EDIZIONE_STRUTTURATA.pdf) (13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dell'edizione strutturata (frontespizio, indice esteso ai capitoli, Barlow Semi Condensed 12, testo interamente giustificato). Verificato strutturalmente (9 H1 = le cinque Fasi più servizio e bibliografia; 32 capitoli)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metodologie-del-dossier-sinaptogenesi-e-strumenti.md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metodologie del Dossier maggiore applicate al corpus, con calcolo reale</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sinaptogenesi</w:t>
            </w:r>
            <w:r>
              <w:rPr>
                <w:rFonts w:ascii="Barlow Semi Condensed" w:cs="Barlow Semi Condensed" w:eastAsia="Barlow Semi Condensed" w:hAnsi="Barlow Semi Condensed"/>
                <w:sz w:val="20"/>
                <w:szCs w:val="20"/>
              </w:rPr>
              <w:t xml:space="preserve"> — il grafo dei soli legami documentati (39 nodi, 59 archi: 28 A, 26 F, 5 B) con le centralità di Freeman calcolate (Brandes) e il risultato analitico che il </w:t>
            </w:r>
            <w:r>
              <w:rPr>
                <w:rFonts w:ascii="Barlow Semi Condensed" w:cs="Barlow Semi Condensed" w:eastAsia="Barlow Semi Condensed" w:hAnsi="Barlow Semi Condensed"/>
                <w:b/>
                <w:bCs/>
                <w:sz w:val="20"/>
                <w:szCs w:val="20"/>
              </w:rPr>
              <w:t xml:space="preserve">CPM è il ponte quantitativo fra i mondi</w:t>
            </w:r>
            <w:r>
              <w:rPr>
                <w:rFonts w:ascii="Barlow Semi Condensed" w:cs="Barlow Semi Condensed" w:eastAsia="Barlow Semi Condensed" w:hAnsi="Barlow Semi Condensed"/>
                <w:sz w:val="20"/>
                <w:szCs w:val="20"/>
              </w:rPr>
              <w:t xml:space="preserve"> (betweenness 241, seconda dell'intera rete); due regole formalizzate — la </w:t>
            </w:r>
            <w:r>
              <w:rPr>
                <w:rFonts w:ascii="Barlow Semi Condensed" w:cs="Barlow Semi Condensed" w:eastAsia="Barlow Semi Condensed" w:hAnsi="Barlow Semi Condensed"/>
                <w:b/>
                <w:bCs/>
                <w:sz w:val="20"/>
                <w:szCs w:val="20"/>
              </w:rPr>
              <w:t xml:space="preserve">regola dell'anello debole</w:t>
            </w:r>
            <w:r>
              <w:rPr>
                <w:rFonts w:ascii="Barlow Semi Condensed" w:cs="Barlow Semi Condensed" w:eastAsia="Barlow Semi Condensed" w:hAnsi="Barlow Semi Condensed"/>
                <w:sz w:val="20"/>
                <w:szCs w:val="20"/>
              </w:rPr>
              <w:t xml:space="preserve"> (il grado di un cammino = il minimo dei suoi archi: il cammino documentato Hyperion→via Fani passa per la genealogia del 1969 ed è di grado F, dunque non sostiene inferenze operative) e la </w:t>
            </w:r>
            <w:r>
              <w:rPr>
                <w:rFonts w:ascii="Barlow Semi Condensed" w:cs="Barlow Semi Condensed" w:eastAsia="Barlow Semi Condensed" w:hAnsi="Barlow Semi Condensed"/>
                <w:b/>
                <w:bCs/>
                <w:sz w:val="20"/>
                <w:szCs w:val="20"/>
              </w:rPr>
              <w:t xml:space="preserve">regola dei buchi</w:t>
            </w:r>
            <w:r>
              <w:rPr>
                <w:rFonts w:ascii="Barlow Semi Condensed" w:cs="Barlow Semi Condensed" w:eastAsia="Barlow Semi Condensed" w:hAnsi="Barlow Semi Condensed"/>
                <w:sz w:val="20"/>
                <w:szCs w:val="20"/>
              </w:rPr>
              <w:t xml:space="preserve"> (Burt: la dietrologia riempie i buchi con la narrazione, il corpus li misura e li dichiara); i </w:t>
            </w:r>
            <w:r>
              <w:rPr>
                <w:rFonts w:ascii="Barlow Semi Condensed" w:cs="Barlow Semi Condensed" w:eastAsia="Barlow Semi Condensed" w:hAnsi="Barlow Semi Condensed"/>
                <w:b/>
                <w:bCs/>
                <w:sz w:val="20"/>
                <w:szCs w:val="20"/>
              </w:rPr>
              <w:t xml:space="preserve">dieci mondi</w:t>
            </w:r>
            <w:r>
              <w:rPr>
                <w:rFonts w:ascii="Barlow Semi Condensed" w:cs="Barlow Semi Condensed" w:eastAsia="Barlow Semi Condensed" w:hAnsi="Barlow Semi Condensed"/>
                <w:sz w:val="20"/>
                <w:szCs w:val="20"/>
              </w:rPr>
              <w:t xml:space="preserve"> multistrato (Kivelä) con la regola che un nodo può abitarne più d'uno senza che i mondi si trasmettano nulla; l'</w:t>
            </w:r>
            <w:r>
              <w:rPr>
                <w:rFonts w:ascii="Barlow Semi Condensed" w:cs="Barlow Semi Condensed" w:eastAsia="Barlow Semi Condensed" w:hAnsi="Barlow Semi Condensed"/>
                <w:b/>
                <w:bCs/>
                <w:sz w:val="20"/>
                <w:szCs w:val="20"/>
              </w:rPr>
              <w:t xml:space="preserve">ACH di Heuer</w:t>
            </w:r>
            <w:r>
              <w:rPr>
                <w:rFonts w:ascii="Barlow Semi Condensed" w:cs="Barlow Semi Condensed" w:eastAsia="Barlow Semi Condensed" w:hAnsi="Barlow Semi Condensed"/>
                <w:sz w:val="20"/>
                <w:szCs w:val="20"/>
              </w:rPr>
              <w:t xml:space="preserve"> su due quesiti impersonali (Gradoli: nessuna evidenza diagnostica, indecidibile allo stato degli atti; le due moto: i colpi verso Marini come unica evidenza diagnostica, di grado B — H3 la meno incoerente ma non accertata, perizia balistica come evidenza discriminante mancante), senza probabilità numeriche; il paradigma indiziario (Ginzburg) e la consilienza (Whewell/Wilson) col guardrail «mai oltre il grado della linea più debole»; l'</w:t>
            </w:r>
            <w:r>
              <w:rPr>
                <w:rFonts w:ascii="Barlow Semi Condensed" w:cs="Barlow Semi Condensed" w:eastAsia="Barlow Semi Condensed" w:hAnsi="Barlow Semi Condensed"/>
                <w:b/>
                <w:bCs/>
                <w:sz w:val="20"/>
                <w:szCs w:val="20"/>
              </w:rPr>
              <w:t xml:space="preserve">auto-misurazione del branch</w:t>
            </w:r>
            <w:r>
              <w:rPr>
                <w:rFonts w:ascii="Barlow Semi Condensed" w:cs="Barlow Semi Condensed" w:eastAsia="Barlow Semi Condensed" w:hAnsi="Barlow Semi Condensed"/>
                <w:sz w:val="20"/>
                <w:szCs w:val="20"/>
              </w:rPr>
              <w:t xml:space="preserve"> (36 documenti, 104.504 parole, 9 volumi, 2 html; 14 criteri di smentita, 29 anti-triangolazioni, 62 esiti negativi censiti); la </w:t>
            </w:r>
            <w:r>
              <w:rPr>
                <w:rFonts w:ascii="Barlow Semi Condensed" w:cs="Barlow Semi Condensed" w:eastAsia="Barlow Semi Condensed" w:hAnsi="Barlow Semi Condensed"/>
                <w:b/>
                <w:bCs/>
                <w:sz w:val="20"/>
                <w:szCs w:val="20"/>
              </w:rPr>
              <w:t xml:space="preserve">tavola percentuale del documentato esclusa la componente BR</w:t>
            </w:r>
            <w:r>
              <w:rPr>
                <w:rFonts w:ascii="Barlow Semi Condensed" w:cs="Barlow Semi Condensed" w:eastAsia="Barlow Semi Condensed" w:hAnsi="Barlow Semi Condensed"/>
                <w:sz w:val="20"/>
                <w:szCs w:val="20"/>
              </w:rPr>
              <w:t xml:space="preserve"> (§6-bis: quote di centralità normalizzate a 100 — CPM 24,7%, Simioni 22,5%, Hyperion 12,5% — e quote di grado, col risultato dirimente che il comparto non-BR è F 82,4% · B 17,6% · </w:t>
            </w:r>
            <w:r>
              <w:rPr>
                <w:rFonts w:ascii="Barlow Semi Condensed" w:cs="Barlow Semi Condensed" w:eastAsia="Barlow Semi Condensed" w:hAnsi="Barlow Semi Condensed"/>
                <w:b/>
                <w:bCs/>
                <w:sz w:val="20"/>
                <w:szCs w:val="20"/>
              </w:rPr>
              <w:t xml:space="preserve">A 0,0%</w:t>
            </w:r>
            <w:r>
              <w:rPr>
                <w:rFonts w:ascii="Barlow Semi Condensed" w:cs="Barlow Semi Condensed" w:eastAsia="Barlow Semi Condensed" w:hAnsi="Barlow Semi Condensed"/>
                <w:sz w:val="20"/>
                <w:szCs w:val="20"/>
              </w:rPr>
              <w:t xml:space="preserve">: fuori dalla componente BR non esiste un solo arco di giudicato, ed è la dimostrazione quantitativa del perché la graduatoria percentuale di responsabilità dei piani superiori non può esistere sul branch pubblico). Nessuna metrica misura colpe: misura documenti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le-pene-oltre-confine-mitterrand-mulinaris.md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sulle pene oltre confine</w:t>
            </w:r>
            <w:r>
              <w:rPr>
                <w:rFonts w:ascii="Barlow Semi Condensed" w:cs="Barlow Semi Condensed" w:eastAsia="Barlow Semi Condensed" w:hAnsi="Barlow Semi Condensed"/>
                <w:sz w:val="20"/>
                <w:szCs w:val="20"/>
              </w:rPr>
              <w:t xml:space="preserve"> — il ponte fra la Fase decima e la dimensione diplomatica: il quesito (il giudicato accerta ovunque, dispone fino alla frontiera); l'</w:t>
            </w:r>
            <w:r>
              <w:rPr>
                <w:rFonts w:ascii="Barlow Semi Condensed" w:cs="Barlow Semi Condensed" w:eastAsia="Barlow Semi Condensed" w:hAnsi="Barlow Semi Condensed"/>
                <w:b/>
                <w:bCs/>
                <w:sz w:val="20"/>
                <w:szCs w:val="20"/>
              </w:rPr>
              <w:t xml:space="preserve">affaire Mulinaris 1982-1986</w:t>
            </w:r>
            <w:r>
              <w:rPr>
                <w:rFonts w:ascii="Barlow Semi Condensed" w:cs="Barlow Semi Condensed" w:eastAsia="Barlow Semi Condensed" w:hAnsi="Barlow Semi Condensed"/>
                <w:sz w:val="20"/>
                <w:szCs w:val="20"/>
              </w:rPr>
              <w:t xml:space="preserve"> come caso diplomatico franco-italiano e rovescio della macchina (l'innocente assolto con formula piena e risarcito; la conferenza stampa dell'Abbé Pierre, Roma 22/6/1984; lo studio accademico su Matériaux 2015); la </w:t>
            </w:r>
            <w:r>
              <w:rPr>
                <w:rFonts w:ascii="Barlow Semi Condensed" w:cs="Barlow Semi Condensed" w:eastAsia="Barlow Semi Condensed" w:hAnsi="Barlow Semi Condensed"/>
                <w:b/>
                <w:bCs/>
                <w:sz w:val="20"/>
                <w:szCs w:val="20"/>
              </w:rPr>
              <w:t xml:space="preserve">dottrina Mitterrand</w:t>
            </w:r>
            <w:r>
              <w:rPr>
                <w:rFonts w:ascii="Barlow Semi Condensed" w:cs="Barlow Semi Condensed" w:eastAsia="Barlow Semi Condensed" w:hAnsi="Barlow Semi Condensed"/>
                <w:sz w:val="20"/>
                <w:szCs w:val="20"/>
              </w:rPr>
              <w:t xml:space="preserve"> (21/4/1985, 65° congresso LDH) coi suoi tre caratteri — parola mai scritta, condizioni giudicate dal protettore, scudo sull'esecuzione e non sull'accertamento; le </w:t>
            </w:r>
            <w:r>
              <w:rPr>
                <w:rFonts w:ascii="Barlow Semi Condensed" w:cs="Barlow Semi Condensed" w:eastAsia="Barlow Semi Condensed" w:hAnsi="Barlow Semi Condensed"/>
                <w:b/>
                <w:bCs/>
                <w:sz w:val="20"/>
                <w:szCs w:val="20"/>
              </w:rPr>
              <w:t xml:space="preserve">tre geografie del registro</w:t>
            </w:r>
            <w:r>
              <w:rPr>
                <w:rFonts w:ascii="Barlow Semi Condensed" w:cs="Barlow Semi Condensed" w:eastAsia="Barlow Semi Condensed" w:hAnsi="Barlow Semi Condensed"/>
                <w:sz w:val="20"/>
                <w:szCs w:val="20"/>
              </w:rPr>
              <w:t xml:space="preserve"> (Nicaragua/Casimirri, Svizzera/Lojacono, Francia come cornice) col contro-caso egiziano (Algranati, Cairo 2004); l'epilogo </w:t>
            </w:r>
            <w:r>
              <w:rPr>
                <w:rFonts w:ascii="Barlow Semi Condensed" w:cs="Barlow Semi Condensed" w:eastAsia="Barlow Semi Condensed" w:hAnsi="Barlow Semi Condensed"/>
                <w:b/>
                <w:bCs/>
                <w:sz w:val="20"/>
                <w:szCs w:val="20"/>
              </w:rPr>
              <w:t xml:space="preserve">«Ombre rosse»</w:t>
            </w:r>
            <w:r>
              <w:rPr>
                <w:rFonts w:ascii="Barlow Semi Condensed" w:cs="Barlow Semi Condensed" w:eastAsia="Barlow Semi Condensed" w:hAnsi="Barlow Semi Condensed"/>
                <w:sz w:val="20"/>
                <w:szCs w:val="20"/>
              </w:rPr>
              <w:t xml:space="preserve"> (28/4/2021, sette arresti a Parigi) e il </w:t>
            </w:r>
            <w:r>
              <w:rPr>
                <w:rFonts w:ascii="Barlow Semi Condensed" w:cs="Barlow Semi Condensed" w:eastAsia="Barlow Semi Condensed" w:hAnsi="Barlow Semi Condensed"/>
                <w:b/>
                <w:bCs/>
                <w:sz w:val="20"/>
                <w:szCs w:val="20"/>
              </w:rPr>
              <w:t xml:space="preserve">no definitivo della Cassazione francese</w:t>
            </w:r>
            <w:r>
              <w:rPr>
                <w:rFonts w:ascii="Barlow Semi Condensed" w:cs="Barlow Semi Condensed" w:eastAsia="Barlow Semi Condensed" w:hAnsi="Barlow Semi Condensed"/>
                <w:sz w:val="20"/>
                <w:szCs w:val="20"/>
              </w:rPr>
              <w:t xml:space="preserve"> (marzo 2023) — che non tocca il registro del caso Moro: nessuno dei dieci vi appartiene, e i loro nomi restano fuori. Cinque presidi: l'asilo è atto di chi lo concede; la dottrina non è prova; le sentenze non hanno passaporto, l'esecuzione sì; la geografia non è gerarchia morale; nessun nome oltre il necessario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programma-investigativo-caso-moro.md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fascicolo aperto — programma investigativo del corpus</w:t>
            </w:r>
            <w:r>
              <w:rPr>
                <w:rFonts w:ascii="Barlow Semi Condensed" w:cs="Barlow Semi Condensed" w:eastAsia="Barlow Semi Condensed" w:hAnsi="Barlow Semi Condensed"/>
                <w:sz w:val="20"/>
                <w:szCs w:val="20"/>
              </w:rPr>
              <w:t xml:space="preserve">: il cambio di metodo dallo storico all'investigatore, a regime di prova invariato (l'indagine produce atti, non colpevoli). Il quadro operativo reale verificato: il </w:t>
            </w:r>
            <w:r>
              <w:rPr>
                <w:rFonts w:ascii="Barlow Semi Condensed" w:cs="Barlow Semi Condensed" w:eastAsia="Barlow Semi Condensed" w:hAnsi="Barlow Semi Condensed"/>
                <w:b/>
                <w:bCs/>
                <w:sz w:val="20"/>
                <w:szCs w:val="20"/>
              </w:rPr>
              <w:t xml:space="preserve">fascicolo ancora aperto a Roma</w:t>
            </w:r>
            <w:r>
              <w:rPr>
                <w:rFonts w:ascii="Barlow Semi Condensed" w:cs="Barlow Semi Condensed" w:eastAsia="Barlow Semi Condensed" w:hAnsi="Barlow Semi Condensed"/>
                <w:sz w:val="20"/>
                <w:szCs w:val="20"/>
              </w:rPr>
              <w:t xml:space="preserve"> sulle «terze presenze» di via Fani (proroga del GIP; perizie balistiche; comparazioni col </w:t>
            </w:r>
            <w:r>
              <w:rPr>
                <w:rFonts w:ascii="Barlow Semi Condensed" w:cs="Barlow Semi Condensed" w:eastAsia="Barlow Semi Condensed" w:hAnsi="Barlow Semi Condensed"/>
                <w:b/>
                <w:bCs/>
                <w:sz w:val="20"/>
                <w:szCs w:val="20"/>
              </w:rPr>
              <w:t xml:space="preserve">DNA estratto nel 2016</w:t>
            </w:r>
            <w:r>
              <w:rPr>
                <w:rFonts w:ascii="Barlow Semi Condensed" w:cs="Barlow Semi Condensed" w:eastAsia="Barlow Semi Condensed" w:hAnsi="Barlow Semi Condensed"/>
                <w:sz w:val="20"/>
                <w:szCs w:val="20"/>
              </w:rPr>
              <w:t xml:space="preserve"> dai mozziconi dell'auto-sbarramento e di via Gradoli; il caricatore di via Stresa) e la </w:t>
            </w:r>
            <w:r>
              <w:rPr>
                <w:rFonts w:ascii="Barlow Semi Condensed" w:cs="Barlow Semi Condensed" w:eastAsia="Barlow Semi Condensed" w:hAnsi="Barlow Semi Condensed"/>
                <w:b/>
                <w:bCs/>
                <w:sz w:val="20"/>
                <w:szCs w:val="20"/>
              </w:rPr>
              <w:t xml:space="preserve">Direttiva Renzi</w:t>
            </w:r>
            <w:r>
              <w:rPr>
                <w:rFonts w:ascii="Barlow Semi Condensed" w:cs="Barlow Semi Condensed" w:eastAsia="Barlow Semi Condensed" w:hAnsi="Barlow Semi Condensed"/>
                <w:sz w:val="20"/>
                <w:szCs w:val="20"/>
              </w:rPr>
              <w:t xml:space="preserve"> (22/4/2014, estesa al caso Moro il 2/12/2014: ~2.000 buste da 156 uffici versate all'ACS). </w:t>
            </w:r>
            <w:r>
              <w:rPr>
                <w:rFonts w:ascii="Barlow Semi Condensed" w:cs="Barlow Semi Condensed" w:eastAsia="Barlow Semi Condensed" w:hAnsi="Barlow Semi Condensed"/>
                <w:b/>
                <w:bCs/>
                <w:sz w:val="20"/>
                <w:szCs w:val="20"/>
              </w:rPr>
              <w:t xml:space="preserve">Dieci piste in formato operativo</w:t>
            </w:r>
            <w:r>
              <w:rPr>
                <w:rFonts w:ascii="Barlow Semi Condensed" w:cs="Barlow Semi Condensed" w:eastAsia="Barlow Semi Condensed" w:hAnsi="Barlow Semi Condensed"/>
                <w:sz w:val="20"/>
                <w:szCs w:val="20"/>
              </w:rPr>
              <w:t xml:space="preserve"> (oggetto · stato · atto istruttorio · sede · rendimento · criterio di chiusura): dalle terze presenze al caricatore, dalla fonte della «seduta spiritica» allo spoglio del fondo Renzi, dai testimoni viventi (l'urgenza massima: il tempo li sta chiudendo) alla </w:t>
            </w:r>
            <w:r>
              <w:rPr>
                <w:rFonts w:ascii="Barlow Semi Condensed" w:cs="Barlow Semi Condensed" w:eastAsia="Barlow Semi Condensed" w:hAnsi="Barlow Semi Condensed"/>
                <w:b/>
                <w:bCs/>
                <w:sz w:val="20"/>
                <w:szCs w:val="20"/>
              </w:rPr>
              <w:t xml:space="preserve">rogatoria conoscitiva a Casimirri</w:t>
            </w:r>
            <w:r>
              <w:rPr>
                <w:rFonts w:ascii="Barlow Semi Condensed" w:cs="Barlow Semi Condensed" w:eastAsia="Barlow Semi Condensed" w:hAnsi="Barlow Semi Condensed"/>
                <w:sz w:val="20"/>
                <w:szCs w:val="20"/>
              </w:rPr>
              <w:t xml:space="preserve"> (l'unico partecipante identificato mai interrogato), fino agli archivi che si apriranno e al </w:t>
            </w:r>
            <w:r>
              <w:rPr>
                <w:rFonts w:ascii="Barlow Semi Condensed" w:cs="Barlow Semi Condensed" w:eastAsia="Barlow Semi Condensed" w:hAnsi="Barlow Semi Condensed"/>
                <w:b/>
                <w:bCs/>
                <w:sz w:val="20"/>
                <w:szCs w:val="20"/>
              </w:rPr>
              <w:t xml:space="preserve">vaglio negativo</w:t>
            </w:r>
            <w:r>
              <w:rPr>
                <w:rFonts w:ascii="Barlow Semi Condensed" w:cs="Barlow Semi Condensed" w:eastAsia="Barlow Semi Condensed" w:hAnsi="Barlow Semi Condensed"/>
                <w:sz w:val="20"/>
                <w:szCs w:val="20"/>
              </w:rPr>
              <w:t xml:space="preserve"> delle piste da archiviare (seconda prigione; nessi Hyperion-caso, riapribili solo per documento primario nuovo). Matrice delle priorità falsificabile; su direttiva dell'autore, il capitolo III-bis aggiunge la </w:t>
            </w:r>
            <w:r>
              <w:rPr>
                <w:rFonts w:ascii="Barlow Semi Condensed" w:cs="Barlow Semi Condensed" w:eastAsia="Barlow Semi Condensed" w:hAnsi="Barlow Semi Condensed"/>
                <w:b/>
                <w:bCs/>
                <w:sz w:val="20"/>
                <w:szCs w:val="20"/>
              </w:rPr>
              <w:t xml:space="preserve">graduatoria a punteggio (0,1-100) delle piste escluso il comparto BR e Superclan</w:t>
            </w:r>
            <w:r>
              <w:rPr>
                <w:rFonts w:ascii="Barlow Semi Condensed" w:cs="Barlow Semi Condensed" w:eastAsia="Barlow Semi Condensed" w:hAnsi="Barlow Semi Condensed"/>
                <w:sz w:val="20"/>
                <w:szCs w:val="20"/>
              </w:rPr>
              <w:t xml:space="preserve">, con modello MCDA dichiarato (cinque criteri pesati: rendimento 30%, diagnosticità ACH 25%, fattibilità 20%, urgenza 15%, indipendenza 10%) — in testa le terze presenze di via Fani (89,0), i testimoni viventi (77,5, l'unico 10 di urgenza), la fonte di «Gradoli» (74,5), il caricatore di via Stresa (71,0); le piste escluse per direttiva al punteggio di soglia 0,1 (riapribili solo per documento primario nuovo). I punteggi ordinano atti istruttori, mai persone. Il capitolo III-ter estende il metodo alle </w:t>
            </w:r>
            <w:r>
              <w:rPr>
                <w:rFonts w:ascii="Barlow Semi Condensed" w:cs="Barlow Semi Condensed" w:eastAsia="Barlow Semi Condensed" w:hAnsi="Barlow Semi Condensed"/>
                <w:b/>
                <w:bCs/>
                <w:sz w:val="20"/>
                <w:szCs w:val="20"/>
              </w:rPr>
              <w:t xml:space="preserve">entità e strutture</w:t>
            </w:r>
            <w:r>
              <w:rPr>
                <w:rFonts w:ascii="Barlow Semi Condensed" w:cs="Barlow Semi Condensed" w:eastAsia="Barlow Semi Condensed" w:hAnsi="Barlow Semi Condensed"/>
                <w:sz w:val="20"/>
                <w:szCs w:val="20"/>
              </w:rPr>
              <w:t xml:space="preserve"> (escluse BR e Superclan, alla soglia 0,1): sei piste con punteggio e fondamenti verificati — il comitato del Viminale e il censimento nominale delle appartenenze P2 (74,5; Santovito tessera 1630 e Grassini documentati; la tesi del «interamente composto» da verificare, non da ripetere), la catena di comando del 18 marzo a via Gradoli (74,5; la squadra Merola, il campanello dell'interno 11, la nota dell'informatrice Mokbel), gli assetti proprietari dello stabile (67,5; 24 appartamenti su 66 di società con fiduciari dei servizi, da relazione Moro 2), il registro delle segnalazioni dei 55 giorni (61,0), il traffico di cablo degli alleati via FOIA (59,5), la mediazione vaticana e la sorte del riscatto (54,0; Curioni, i ~10 miliardi, il finanziatore Flatto-Sharon da accertamento Moro 2). Ogni pista ha per esito un documento, non un colpevole; la responsabilità istituzionale non si trasmette alle persone; le appartenenze accertate restano fatti, non condotte. La consilienza notevole: l'evidenza discriminante indicata dall'ACH del corpus (la balistica delle due moto) è esattamente ciò su cui il fascicolo reale sta lavorando. Cinque presidi: nessun nome come esito atteso; il corpus è contribuente di metodo, non tribunale parallelo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approfondimento-piste-di-testa.md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delle quattro piste sopra i 70 punti</w:t>
            </w:r>
            <w:r>
              <w:rPr>
                <w:rFonts w:ascii="Barlow Semi Condensed" w:cs="Barlow Semi Condensed" w:eastAsia="Barlow Semi Condensed" w:hAnsi="Barlow Semi Condensed"/>
                <w:sz w:val="20"/>
                <w:szCs w:val="20"/>
              </w:rPr>
              <w:t xml:space="preserve">, in formato scheda da cold case, con la </w:t>
            </w:r>
            <w:r>
              <w:rPr>
                <w:rFonts w:ascii="Barlow Semi Condensed" w:cs="Barlow Semi Condensed" w:eastAsia="Barlow Semi Condensed" w:hAnsi="Barlow Semi Condensed"/>
                <w:b/>
                <w:bCs/>
                <w:sz w:val="20"/>
                <w:szCs w:val="20"/>
              </w:rPr>
              <w:t xml:space="preserve">Nota di revisione n. 1 del corpus</w:t>
            </w:r>
            <w:r>
              <w:rPr>
                <w:rFonts w:ascii="Barlow Semi Condensed" w:cs="Barlow Semi Condensed" w:eastAsia="Barlow Semi Condensed" w:hAnsi="Barlow Semi Condensed"/>
                <w:sz w:val="20"/>
                <w:szCs w:val="20"/>
              </w:rPr>
              <w:t xml:space="preserve">: la verifica ha accertato che </w:t>
            </w:r>
            <w:r>
              <w:rPr>
                <w:rFonts w:ascii="Barlow Semi Condensed" w:cs="Barlow Semi Condensed" w:eastAsia="Barlow Semi Condensed" w:hAnsi="Barlow Semi Condensed"/>
                <w:b/>
                <w:bCs/>
                <w:sz w:val="20"/>
                <w:szCs w:val="20"/>
              </w:rPr>
              <w:t xml:space="preserve">Marini ritrattò davanti alla Moro 2</w:t>
            </w:r>
            <w:r>
              <w:rPr>
                <w:rFonts w:ascii="Barlow Semi Condensed" w:cs="Barlow Semi Condensed" w:eastAsia="Barlow Semi Condensed" w:hAnsi="Barlow Semi Condensed"/>
                <w:sz w:val="20"/>
                <w:szCs w:val="20"/>
              </w:rPr>
              <w:t xml:space="preserve"> la circostanza del parabrezza infranto dai colpi (rotto da giorni, rattoppato, come da foto del mattino stesso) → la riga E2 della matrice ACH retrocessa da diagnostica a controversa, con annotazione nel documento delle metodologie: </w:t>
            </w:r>
            <w:r>
              <w:rPr>
                <w:rFonts w:ascii="Barlow Semi Condensed" w:cs="Barlow Semi Condensed" w:eastAsia="Barlow Semi Condensed" w:hAnsi="Barlow Semi Condensed"/>
                <w:i/>
                <w:iCs/>
                <w:sz w:val="20"/>
                <w:szCs w:val="20"/>
              </w:rPr>
              <w:t xml:space="preserve">a decidere sono i reperti, non i ricordi</w:t>
            </w:r>
            <w:r>
              <w:rPr>
                <w:rFonts w:ascii="Barlow Semi Condensed" w:cs="Barlow Semi Condensed" w:eastAsia="Barlow Semi Condensed" w:hAnsi="Barlow Semi Condensed"/>
                <w:sz w:val="20"/>
                <w:szCs w:val="20"/>
              </w:rPr>
              <w:t xml:space="preserve">. Le schede: </w:t>
            </w:r>
            <w:r>
              <w:rPr>
                <w:rFonts w:ascii="Barlow Semi Condensed" w:cs="Barlow Semi Condensed" w:eastAsia="Barlow Semi Condensed" w:hAnsi="Barlow Semi Condensed"/>
                <w:b/>
                <w:bCs/>
                <w:sz w:val="20"/>
                <w:szCs w:val="20"/>
              </w:rPr>
              <w:t xml:space="preserve">PN-1</w:t>
            </w:r>
            <w:r>
              <w:rPr>
                <w:rFonts w:ascii="Barlow Semi Condensed" w:cs="Barlow Semi Condensed" w:eastAsia="Barlow Semi Condensed" w:hAnsi="Barlow Semi Condensed"/>
                <w:sz w:val="20"/>
                <w:szCs w:val="20"/>
              </w:rPr>
              <w:t xml:space="preserve"> — i 91 bossoli e la divergenza peritale (ripartizione storica 49+22+5+3+8 confermata dalla perizia 2015, non confermata da Salza-Benedetti anni '90) come vero quesito, con perizia di sintesi e catena di custodia preliminare; </w:t>
            </w:r>
            <w:r>
              <w:rPr>
                <w:rFonts w:ascii="Barlow Semi Condensed" w:cs="Barlow Semi Condensed" w:eastAsia="Barlow Semi Condensed" w:hAnsi="Barlow Semi Condensed"/>
                <w:b/>
                <w:bCs/>
                <w:sz w:val="20"/>
                <w:szCs w:val="20"/>
              </w:rPr>
              <w:t xml:space="preserve">PN-7</w:t>
            </w:r>
            <w:r>
              <w:rPr>
                <w:rFonts w:ascii="Barlow Semi Condensed" w:cs="Barlow Semi Condensed" w:eastAsia="Barlow Semi Condensed" w:hAnsi="Barlow Semi Condensed"/>
                <w:sz w:val="20"/>
                <w:szCs w:val="20"/>
              </w:rPr>
              <w:t xml:space="preserve"> — la raccolta conservativa in contraddittorio documentale (il caso Marini prova che la ri-escussione serve a </w:t>
            </w:r>
            <w:r>
              <w:rPr>
                <w:rFonts w:ascii="Barlow Semi Condensed" w:cs="Barlow Semi Condensed" w:eastAsia="Barlow Semi Condensed" w:hAnsi="Barlow Semi Condensed"/>
                <w:i/>
                <w:iCs/>
                <w:sz w:val="20"/>
                <w:szCs w:val="20"/>
              </w:rPr>
              <w:t xml:space="preserve">correggere</w:t>
            </w:r>
            <w:r>
              <w:rPr>
                <w:rFonts w:ascii="Barlow Semi Condensed" w:cs="Barlow Semi Condensed" w:eastAsia="Barlow Semi Condensed" w:hAnsi="Barlow Semi Condensed"/>
                <w:sz w:val="20"/>
                <w:szCs w:val="20"/>
              </w:rPr>
              <w:t xml:space="preserve">; il caso De Chiara che il giacimento era inesplorato); </w:t>
            </w:r>
            <w:r>
              <w:rPr>
                <w:rFonts w:ascii="Barlow Semi Condensed" w:cs="Barlow Semi Condensed" w:eastAsia="Barlow Semi Condensed" w:hAnsi="Barlow Semi Condensed"/>
                <w:b/>
                <w:bCs/>
                <w:sz w:val="20"/>
                <w:szCs w:val="20"/>
              </w:rPr>
              <w:t xml:space="preserve">PN-4</w:t>
            </w:r>
            <w:r>
              <w:rPr>
                <w:rFonts w:ascii="Barlow Semi Condensed" w:cs="Barlow Semi Condensed" w:eastAsia="Barlow Semi Condensed" w:hAnsi="Barlow Semi Condensed"/>
                <w:sz w:val="20"/>
                <w:szCs w:val="20"/>
              </w:rPr>
              <w:t xml:space="preserve"> — la seduta di Zappolino (2/4/1978, dodici partecipanti concordi davanti alle autorità) e l'atto che cambia strategia: cercare la </w:t>
            </w:r>
            <w:r>
              <w:rPr>
                <w:rFonts w:ascii="Barlow Semi Condensed" w:cs="Barlow Semi Condensed" w:eastAsia="Barlow Semi Condensed" w:hAnsi="Barlow Semi Condensed"/>
                <w:b/>
                <w:bCs/>
                <w:sz w:val="20"/>
                <w:szCs w:val="20"/>
              </w:rPr>
              <w:t xml:space="preserve">catena documentale</w:t>
            </w:r>
            <w:r>
              <w:rPr>
                <w:rFonts w:ascii="Barlow Semi Condensed" w:cs="Barlow Semi Condensed" w:eastAsia="Barlow Semi Condensed" w:hAnsi="Barlow Semi Condensed"/>
                <w:sz w:val="20"/>
                <w:szCs w:val="20"/>
              </w:rPr>
              <w:t xml:space="preserve"> (verbalizzazione, ordine di perquisizione del paese di Gradoli, carteggio Viminale) e non la fonte; </w:t>
            </w:r>
            <w:r>
              <w:rPr>
                <w:rFonts w:ascii="Barlow Semi Condensed" w:cs="Barlow Semi Condensed" w:eastAsia="Barlow Semi Condensed" w:hAnsi="Barlow Semi Condensed"/>
                <w:b/>
                <w:bCs/>
                <w:sz w:val="20"/>
                <w:szCs w:val="20"/>
              </w:rPr>
              <w:t xml:space="preserve">PN-2</w:t>
            </w:r>
            <w:r>
              <w:rPr>
                <w:rFonts w:ascii="Barlow Semi Condensed" w:cs="Barlow Semi Condensed" w:eastAsia="Barlow Semi Condensed" w:hAnsi="Barlow Semi Condensed"/>
                <w:sz w:val="20"/>
                <w:szCs w:val="20"/>
              </w:rPr>
              <w:t xml:space="preserve"> — il caricatore come reperto-principe (non ritratta, non viene minacciato). Nessuna insinuazione verso alcuna persona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approfondimento-piste-entita.md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integrale delle sei piste su entità e strutture (PE-1…PE-6)</w:t>
            </w:r>
            <w:r>
              <w:rPr>
                <w:rFonts w:ascii="Barlow Semi Condensed" w:cs="Barlow Semi Condensed" w:eastAsia="Barlow Semi Condensed" w:hAnsi="Barlow Semi Condensed"/>
                <w:sz w:val="20"/>
                <w:szCs w:val="20"/>
              </w:rPr>
              <w:t xml:space="preserve">, in formato scheda. </w:t>
            </w:r>
            <w:r>
              <w:rPr>
                <w:rFonts w:ascii="Barlow Semi Condensed" w:cs="Barlow Semi Condensed" w:eastAsia="Barlow Semi Condensed" w:hAnsi="Barlow Semi Condensed"/>
                <w:b/>
                <w:bCs/>
                <w:sz w:val="20"/>
                <w:szCs w:val="20"/>
              </w:rPr>
              <w:t xml:space="preserve">PE-1</w:t>
            </w:r>
            <w:r>
              <w:rPr>
                <w:rFonts w:ascii="Barlow Semi Condensed" w:cs="Barlow Semi Condensed" w:eastAsia="Barlow Semi Condensed" w:hAnsi="Barlow Semi Condensed"/>
                <w:sz w:val="20"/>
                <w:szCs w:val="20"/>
              </w:rPr>
              <w:t xml:space="preserve">: la mappa documentata dei </w:t>
            </w:r>
            <w:r>
              <w:rPr>
                <w:rFonts w:ascii="Barlow Semi Condensed" w:cs="Barlow Semi Condensed" w:eastAsia="Barlow Semi Condensed" w:hAnsi="Barlow Semi Condensed"/>
                <w:b/>
                <w:bCs/>
                <w:sz w:val="20"/>
                <w:szCs w:val="20"/>
              </w:rPr>
              <w:t xml:space="preserve">tre livelli</w:t>
            </w:r>
            <w:r>
              <w:rPr>
                <w:rFonts w:ascii="Barlow Semi Condensed" w:cs="Barlow Semi Condensed" w:eastAsia="Barlow Semi Condensed" w:hAnsi="Barlow Semi Condensed"/>
                <w:sz w:val="20"/>
                <w:szCs w:val="20"/>
              </w:rPr>
              <w:t xml:space="preserve"> dei comitati del Viminale — politico-tecnico-operativo (16/3/1978, pres. Cossiga), tecnico-operativo (composizione nominale documentata), e il «comitato di esperti» informale </w:t>
            </w:r>
            <w:r>
              <w:rPr>
                <w:rFonts w:ascii="Barlow Semi Condensed" w:cs="Barlow Semi Condensed" w:eastAsia="Barlow Semi Condensed" w:hAnsi="Barlow Semi Condensed"/>
                <w:b/>
                <w:bCs/>
                <w:sz w:val="20"/>
                <w:szCs w:val="20"/>
              </w:rPr>
              <w:t xml:space="preserve">mai riunito collegialmente</w:t>
            </w:r>
            <w:r>
              <w:rPr>
                <w:rFonts w:ascii="Barlow Semi Condensed" w:cs="Barlow Semi Condensed" w:eastAsia="Barlow Semi Condensed" w:hAnsi="Barlow Semi Condensed"/>
                <w:sz w:val="20"/>
                <w:szCs w:val="20"/>
              </w:rPr>
              <w:t xml:space="preserve"> (Pieczenik, Ferracuti, Silvestri, Cappelletti…); le appartenenze P2 documentate (Santovito tessera 1630, Grassini) con la </w:t>
            </w:r>
            <w:r>
              <w:rPr>
                <w:rFonts w:ascii="Barlow Semi Condensed" w:cs="Barlow Semi Condensed" w:eastAsia="Barlow Semi Condensed" w:hAnsi="Barlow Semi Condensed"/>
                <w:b/>
                <w:bCs/>
                <w:sz w:val="20"/>
                <w:szCs w:val="20"/>
              </w:rPr>
              <w:t xml:space="preserve">divergenza sulla data di Ferracuti</w:t>
            </w:r>
            <w:r>
              <w:rPr>
                <w:rFonts w:ascii="Barlow Semi Condensed" w:cs="Barlow Semi Condensed" w:eastAsia="Barlow Semi Condensed" w:hAnsi="Barlow Semi Condensed"/>
                <w:sz w:val="20"/>
                <w:szCs w:val="20"/>
              </w:rPr>
              <w:t xml:space="preserve"> riportata e dirimibile dal censimento (elenchi con tessere e date); il dato che incrocia il cuore del corpus — la </w:t>
            </w:r>
            <w:r>
              <w:rPr>
                <w:rFonts w:ascii="Barlow Semi Condensed" w:cs="Barlow Semi Condensed" w:eastAsia="Barlow Semi Condensed" w:hAnsi="Barlow Semi Condensed"/>
                <w:b/>
                <w:bCs/>
                <w:sz w:val="20"/>
                <w:szCs w:val="20"/>
              </w:rPr>
              <w:t xml:space="preserve">qualificazione istituzionale di «inattendibilità» delle lettere di Moro</w:t>
            </w:r>
            <w:r>
              <w:rPr>
                <w:rFonts w:ascii="Barlow Semi Condensed" w:cs="Barlow Semi Condensed" w:eastAsia="Barlow Semi Condensed" w:hAnsi="Barlow Semi Condensed"/>
                <w:sz w:val="20"/>
                <w:szCs w:val="20"/>
              </w:rPr>
              <w:t xml:space="preserve"> (Ferracuti, Pieczenik: il prigioniero «fuori di sé») come atto documentato con effetti sulla fermezza, trasformato in quesito documentale; atto in quattro passi e chiusura a doppio guadagno (accertamento o caduta di una leggenda). </w:t>
            </w:r>
            <w:r>
              <w:rPr>
                <w:rFonts w:ascii="Barlow Semi Condensed" w:cs="Barlow Semi Condensed" w:eastAsia="Barlow Semi Condensed" w:hAnsi="Barlow Semi Condensed"/>
                <w:b/>
                <w:bCs/>
                <w:sz w:val="20"/>
                <w:szCs w:val="20"/>
              </w:rPr>
              <w:t xml:space="preserve">PE-3</w:t>
            </w:r>
            <w:r>
              <w:rPr>
                <w:rFonts w:ascii="Barlow Semi Condensed" w:cs="Barlow Semi Condensed" w:eastAsia="Barlow Semi Condensed" w:hAnsi="Barlow Semi Condensed"/>
                <w:sz w:val="20"/>
                <w:szCs w:val="20"/>
              </w:rPr>
              <w:t xml:space="preserve">: la sequenza integrale dei </w:t>
            </w:r>
            <w:r>
              <w:rPr>
                <w:rFonts w:ascii="Barlow Semi Condensed" w:cs="Barlow Semi Condensed" w:eastAsia="Barlow Semi Condensed" w:hAnsi="Barlow Semi Condensed"/>
                <w:b/>
                <w:bCs/>
                <w:sz w:val="20"/>
                <w:szCs w:val="20"/>
              </w:rPr>
              <w:t xml:space="preserve">trenta giorni di via Gradoli</w:t>
            </w:r>
            <w:r>
              <w:rPr>
                <w:rFonts w:ascii="Barlow Semi Condensed" w:cs="Barlow Semi Condensed" w:eastAsia="Barlow Semi Condensed" w:hAnsi="Barlow Semi Condensed"/>
                <w:sz w:val="20"/>
                <w:szCs w:val="20"/>
              </w:rPr>
              <w:t xml:space="preserve"> — la nota dell'informatrice Mokbel sui rumori, il campanello senza risposta del 18 marzo (squadra Merola, nessun ritorno), la «dimenticata chiusura del rubinetto della doccia» del verbale VVF del 18 aprile, l'affitto dal 1975 all'«ing. Borghi» (Moretti), il </w:t>
            </w:r>
            <w:r>
              <w:rPr>
                <w:rFonts w:ascii="Barlow Semi Condensed" w:cs="Barlow Semi Condensed" w:eastAsia="Barlow Semi Condensed" w:hAnsi="Barlow Semi Condensed"/>
                <w:b/>
                <w:bCs/>
                <w:sz w:val="20"/>
                <w:szCs w:val="20"/>
              </w:rPr>
              <w:t xml:space="preserve">triplo 18 aprile</w:t>
            </w:r>
            <w:r>
              <w:rPr>
                <w:rFonts w:ascii="Barlow Semi Condensed" w:cs="Barlow Semi Condensed" w:eastAsia="Barlow Semi Condensed" w:hAnsi="Barlow Semi Condensed"/>
                <w:sz w:val="20"/>
                <w:szCs w:val="20"/>
              </w:rPr>
              <w:t xml:space="preserve"> (falso comunicato n. 7 · covo · Duchessa); due quesiti ACH con evidenze discriminanti nominate (la catena protocollare della nota; </w:t>
            </w:r>
            <w:r>
              <w:rPr>
                <w:rFonts w:ascii="Barlow Semi Condensed" w:cs="Barlow Semi Condensed" w:eastAsia="Barlow Semi Condensed" w:hAnsi="Barlow Semi Condensed"/>
                <w:b/>
                <w:bCs/>
                <w:sz w:val="20"/>
                <w:szCs w:val="20"/>
              </w:rPr>
              <w:t xml:space="preserve">i rilievi fotografici originali del bagno</w:t>
            </w:r>
            <w:r>
              <w:rPr>
                <w:rFonts w:ascii="Barlow Semi Condensed" w:cs="Barlow Semi Condensed" w:eastAsia="Barlow Semi Condensed" w:hAnsi="Barlow Semi Condensed"/>
                <w:sz w:val="20"/>
                <w:szCs w:val="20"/>
              </w:rPr>
              <w:t xml:space="preserve"> per la tesi della perdita deliberata); il presidio: il sistema funzionava </w:t>
            </w:r>
            <w:r>
              <w:rPr>
                <w:rFonts w:ascii="Barlow Semi Condensed" w:cs="Barlow Semi Condensed" w:eastAsia="Barlow Semi Condensed" w:hAnsi="Barlow Semi Condensed"/>
                <w:i/>
                <w:iCs/>
                <w:sz w:val="20"/>
                <w:szCs w:val="20"/>
              </w:rPr>
              <w:t xml:space="preserve">in ingresso</w:t>
            </w:r>
            <w:r>
              <w:rPr>
                <w:rFonts w:ascii="Barlow Semi Condensed" w:cs="Barlow Semi Condensed" w:eastAsia="Barlow Semi Condensed" w:hAnsi="Barlow Semi Condensed"/>
                <w:sz w:val="20"/>
                <w:szCs w:val="20"/>
              </w:rPr>
              <w:t xml:space="preserve">, il quesito è l'</w:t>
            </w:r>
            <w:r>
              <w:rPr>
                <w:rFonts w:ascii="Barlow Semi Condensed" w:cs="Barlow Semi Condensed" w:eastAsia="Barlow Semi Condensed" w:hAnsi="Barlow Semi Condensed"/>
                <w:i/>
                <w:iCs/>
                <w:sz w:val="20"/>
                <w:szCs w:val="20"/>
              </w:rPr>
              <w:t xml:space="preserve">uscita</w:t>
            </w:r>
            <w:r>
              <w:rPr>
                <w:rFonts w:ascii="Barlow Semi Condensed" w:cs="Barlow Semi Condensed" w:eastAsia="Barlow Semi Condensed" w:hAnsi="Barlow Semi Condensed"/>
                <w:sz w:val="20"/>
                <w:szCs w:val="20"/>
              </w:rPr>
              <w:t xml:space="preserve">; la negligenza non diventa dolo per impazienza. </w:t>
            </w:r>
            <w:r>
              <w:rPr>
                <w:rFonts w:ascii="Barlow Semi Condensed" w:cs="Barlow Semi Condensed" w:eastAsia="Barlow Semi Condensed" w:hAnsi="Barlow Semi Condensed"/>
                <w:b/>
                <w:bCs/>
                <w:sz w:val="20"/>
                <w:szCs w:val="20"/>
              </w:rPr>
              <w:t xml:space="preserve">PE-2</w:t>
            </w:r>
            <w:r>
              <w:rPr>
                <w:rFonts w:ascii="Barlow Semi Condensed" w:cs="Barlow Semi Condensed" w:eastAsia="Barlow Semi Condensed" w:hAnsi="Barlow Semi Condensed"/>
                <w:sz w:val="20"/>
                <w:szCs w:val="20"/>
              </w:rPr>
              <w:t xml:space="preserve">: i due strati degli accertamenti — la relazione Moro 2 (24 appartamenti su 66 alle tre immobiliari con fiduciari dei servizi) e il </w:t>
            </w:r>
            <w:r>
              <w:rPr>
                <w:rFonts w:ascii="Barlow Semi Condensed" w:cs="Barlow Semi Condensed" w:eastAsia="Barlow Semi Condensed" w:hAnsi="Barlow Semi Condensed"/>
                <w:b/>
                <w:bCs/>
                <w:sz w:val="20"/>
                <w:szCs w:val="20"/>
              </w:rPr>
              <w:t xml:space="preserve">dibattimento di Bologna 2021</w:t>
            </w:r>
            <w:r>
              <w:rPr>
                <w:rFonts w:ascii="Barlow Semi Condensed" w:cs="Barlow Semi Condensed" w:eastAsia="Barlow Semi Condensed" w:hAnsi="Barlow Semi Condensed"/>
                <w:sz w:val="20"/>
                <w:szCs w:val="20"/>
              </w:rPr>
              <w:t xml:space="preserve"> (Catracchia amministratore unico di Caseroma e Immobiliare Gradoli, collegata alla fiduciaria SISDE </w:t>
            </w:r>
            <w:r>
              <w:rPr>
                <w:rFonts w:ascii="Barlow Semi Condensed" w:cs="Barlow Semi Condensed" w:eastAsia="Barlow Semi Condensed" w:hAnsi="Barlow Semi Condensed"/>
                <w:b/>
                <w:bCs/>
                <w:sz w:val="20"/>
                <w:szCs w:val="20"/>
              </w:rPr>
              <w:t xml:space="preserve">Fidrev</w:t>
            </w:r>
            <w:r>
              <w:rPr>
                <w:rFonts w:ascii="Barlow Semi Condensed" w:cs="Barlow Semi Condensed" w:eastAsia="Barlow Semi Condensed" w:hAnsi="Barlow Semi Condensed"/>
                <w:sz w:val="20"/>
                <w:szCs w:val="20"/>
              </w:rPr>
              <w:t xml:space="preserve">; i quattro immobili riferiti a </w:t>
            </w:r>
            <w:r>
              <w:rPr>
                <w:rFonts w:ascii="Barlow Semi Condensed" w:cs="Barlow Semi Condensed" w:eastAsia="Barlow Semi Condensed" w:hAnsi="Barlow Semi Condensed"/>
                <w:b/>
                <w:bCs/>
                <w:sz w:val="20"/>
                <w:szCs w:val="20"/>
              </w:rPr>
              <w:t xml:space="preserve">Parisi</w:t>
            </w:r>
            <w:r>
              <w:rPr>
                <w:rFonts w:ascii="Barlow Semi Condensed" w:cs="Barlow Semi Condensed" w:eastAsia="Barlow Semi Condensed" w:hAnsi="Barlow Semi Condensed"/>
                <w:sz w:val="20"/>
                <w:szCs w:val="20"/>
              </w:rPr>
              <w:t xml:space="preserve"> in via Gradoli 1979-1986 intestati a familiari, uno al civico 96; la presenza </w:t>
            </w:r>
            <w:r>
              <w:rPr>
                <w:rFonts w:ascii="Barlow Semi Condensed" w:cs="Barlow Semi Condensed" w:eastAsia="Barlow Semi Condensed" w:hAnsi="Barlow Semi Condensed"/>
                <w:b/>
                <w:bCs/>
                <w:sz w:val="20"/>
                <w:szCs w:val="20"/>
              </w:rPr>
              <w:t xml:space="preserve">NAR nel 1981</w:t>
            </w:r>
            <w:r>
              <w:rPr>
                <w:rFonts w:ascii="Barlow Semi Condensed" w:cs="Barlow Semi Condensed" w:eastAsia="Barlow Semi Condensed" w:hAnsi="Barlow Semi Condensed"/>
                <w:sz w:val="20"/>
                <w:szCs w:val="20"/>
              </w:rPr>
              <w:t xml:space="preserve">; il «non sapevamo» di Faranda come dichiarazione di parte F) — con la disciplina che decide tutto: </w:t>
            </w:r>
            <w:r>
              <w:rPr>
                <w:rFonts w:ascii="Barlow Semi Condensed" w:cs="Barlow Semi Condensed" w:eastAsia="Barlow Semi Condensed" w:hAnsi="Barlow Semi Condensed"/>
                <w:b/>
                <w:bCs/>
                <w:sz w:val="20"/>
                <w:szCs w:val="20"/>
              </w:rPr>
              <w:t xml:space="preserve">i legami documentati datano in larga parte 1979-1986, dopo il caso</w:t>
            </w:r>
            <w:r>
              <w:rPr>
                <w:rFonts w:ascii="Barlow Semi Condensed" w:cs="Barlow Semi Condensed" w:eastAsia="Barlow Semi Condensed" w:hAnsi="Barlow Semi Condensed"/>
                <w:sz w:val="20"/>
                <w:szCs w:val="20"/>
              </w:rPr>
              <w:t xml:space="preserve">, mentre la finestra del covo è 1975-1978 → quesito ACH a tre ipotesi (insediamento successivo / coabitazione coeva / coincidenza immobiliare) con </w:t>
            </w:r>
            <w:r>
              <w:rPr>
                <w:rFonts w:ascii="Barlow Semi Condensed" w:cs="Barlow Semi Condensed" w:eastAsia="Barlow Semi Condensed" w:hAnsi="Barlow Semi Condensed"/>
                <w:b/>
                <w:bCs/>
                <w:sz w:val="20"/>
                <w:szCs w:val="20"/>
              </w:rPr>
              <w:t xml:space="preserve">le date di conservatoria come unica evidenza discriminante</w:t>
            </w:r>
            <w:r>
              <w:rPr>
                <w:rFonts w:ascii="Barlow Semi Condensed" w:cs="Barlow Semi Condensed" w:eastAsia="Barlow Semi Condensed" w:hAnsi="Barlow Semi Condensed"/>
                <w:sz w:val="20"/>
                <w:szCs w:val="20"/>
              </w:rPr>
              <w:t xml:space="preserve">, e la tavola cronologica proprietà×tempo come atto che chiude in ogni direzione (l'accertamento della coabitazione, o la fine documentale di un equivoco ventennale). </w:t>
            </w:r>
            <w:r>
              <w:rPr>
                <w:rFonts w:ascii="Barlow Semi Condensed" w:cs="Barlow Semi Condensed" w:eastAsia="Barlow Semi Condensed" w:hAnsi="Barlow Semi Condensed"/>
                <w:b/>
                <w:bCs/>
                <w:sz w:val="20"/>
                <w:szCs w:val="20"/>
              </w:rPr>
              <w:t xml:space="preserve">PE-4</w:t>
            </w:r>
            <w:r>
              <w:rPr>
                <w:rFonts w:ascii="Barlow Semi Condensed" w:cs="Barlow Semi Condensed" w:eastAsia="Barlow Semi Condensed" w:hAnsi="Barlow Semi Condensed"/>
                <w:sz w:val="20"/>
                <w:szCs w:val="20"/>
              </w:rPr>
              <w:t xml:space="preserve">: il canale vaticano coi suoi due testimoni documentati — </w:t>
            </w:r>
            <w:r>
              <w:rPr>
                <w:rFonts w:ascii="Barlow Semi Condensed" w:cs="Barlow Semi Condensed" w:eastAsia="Barlow Semi Condensed" w:hAnsi="Barlow Semi Condensed"/>
                <w:b/>
                <w:bCs/>
                <w:sz w:val="20"/>
                <w:szCs w:val="20"/>
              </w:rPr>
              <w:t xml:space="preserve">Curioni</w:t>
            </w:r>
            <w:r>
              <w:rPr>
                <w:rFonts w:ascii="Barlow Semi Condensed" w:cs="Barlow Semi Condensed" w:eastAsia="Barlow Semi Condensed" w:hAnsi="Barlow Semi Condensed"/>
                <w:sz w:val="20"/>
                <w:szCs w:val="20"/>
              </w:rPr>
              <w:t xml:space="preserve"> (incaricato da Paolo VI della trattativa via riscatto; contatti coi brigatisti detenuti </w:t>
            </w:r>
            <w:r>
              <w:rPr>
                <w:rFonts w:ascii="Barlow Semi Condensed" w:cs="Barlow Semi Condensed" w:eastAsia="Barlow Semi Condensed" w:hAnsi="Barlow Semi Condensed"/>
                <w:b/>
                <w:bCs/>
                <w:sz w:val="20"/>
                <w:szCs w:val="20"/>
              </w:rPr>
              <w:t xml:space="preserve">e con un intermediario rimasto ignoto</w:t>
            </w:r>
            <w:r>
              <w:rPr>
                <w:rFonts w:ascii="Barlow Semi Condensed" w:cs="Barlow Semi Condensed" w:eastAsia="Barlow Semi Condensed" w:hAnsi="Barlow Semi Condensed"/>
                <w:sz w:val="20"/>
                <w:szCs w:val="20"/>
              </w:rPr>
              <w:t xml:space="preserve">; † 1996 senza rivelare) e </w:t>
            </w:r>
            <w:r>
              <w:rPr>
                <w:rFonts w:ascii="Barlow Semi Condensed" w:cs="Barlow Semi Condensed" w:eastAsia="Barlow Semi Condensed" w:hAnsi="Barlow Semi Condensed"/>
                <w:b/>
                <w:bCs/>
                <w:sz w:val="20"/>
                <w:szCs w:val="20"/>
              </w:rPr>
              <w:t xml:space="preserve">Fabbri</w:t>
            </w:r>
            <w:r>
              <w:rPr>
                <w:rFonts w:ascii="Barlow Semi Condensed" w:cs="Barlow Semi Condensed" w:eastAsia="Barlow Semi Condensed" w:hAnsi="Barlow Semi Condensed"/>
                <w:sz w:val="20"/>
                <w:szCs w:val="20"/>
              </w:rPr>
              <w:t xml:space="preserve"> (il riserbo rotto nel 2004 con Satta, poi l'audizione Moro 2 del 4/2/2016; il denaro mostrato dal papa sotto il panno — mazzette di dollari con </w:t>
            </w:r>
            <w:r>
              <w:rPr>
                <w:rFonts w:ascii="Barlow Semi Condensed" w:cs="Barlow Semi Condensed" w:eastAsia="Barlow Semi Condensed" w:hAnsi="Barlow Semi Condensed"/>
                <w:b/>
                <w:bCs/>
                <w:sz w:val="20"/>
                <w:szCs w:val="20"/>
              </w:rPr>
              <w:t xml:space="preserve">fascette di banca ebraica</w:t>
            </w:r>
            <w:r>
              <w:rPr>
                <w:rFonts w:ascii="Barlow Semi Condensed" w:cs="Barlow Semi Condensed" w:eastAsia="Barlow Semi Condensed" w:hAnsi="Barlow Semi Condensed"/>
                <w:sz w:val="20"/>
                <w:szCs w:val="20"/>
              </w:rPr>
              <w:t xml:space="preserve">, ~10 miliardi; </w:t>
            </w:r>
            <w:r>
              <w:rPr>
                <w:rFonts w:ascii="Barlow Semi Condensed" w:cs="Barlow Semi Condensed" w:eastAsia="Barlow Semi Condensed" w:hAnsi="Barlow Semi Condensed"/>
                <w:b/>
                <w:bCs/>
                <w:sz w:val="20"/>
                <w:szCs w:val="20"/>
              </w:rPr>
              <w:t xml:space="preserve">i nomi dei cappellani trovati nei covi BR</w:t>
            </w:r>
            <w:r>
              <w:rPr>
                <w:rFonts w:ascii="Barlow Semi Condensed" w:cs="Barlow Semi Condensed" w:eastAsia="Barlow Semi Condensed" w:hAnsi="Barlow Semi Condensed"/>
                <w:sz w:val="20"/>
                <w:szCs w:val="20"/>
              </w:rPr>
              <w:t xml:space="preserve"> col ruolo «rispettato da tutti»); il finanziatore </w:t>
            </w:r>
            <w:r>
              <w:rPr>
                <w:rFonts w:ascii="Barlow Semi Condensed" w:cs="Barlow Semi Condensed" w:eastAsia="Barlow Semi Condensed" w:hAnsi="Barlow Semi Condensed"/>
                <w:b/>
                <w:bCs/>
                <w:sz w:val="20"/>
                <w:szCs w:val="20"/>
              </w:rPr>
              <w:t xml:space="preserve">Flatto-Sharon</w:t>
            </w:r>
            <w:r>
              <w:rPr>
                <w:rFonts w:ascii="Barlow Semi Condensed" w:cs="Barlow Semi Condensed" w:eastAsia="Barlow Semi Condensed" w:hAnsi="Barlow Semi Condensed"/>
                <w:sz w:val="20"/>
                <w:szCs w:val="20"/>
              </w:rPr>
              <w:t xml:space="preserve"> da accertamento Moro 2; la </w:t>
            </w:r>
            <w:r>
              <w:rPr>
                <w:rFonts w:ascii="Barlow Semi Condensed" w:cs="Barlow Semi Condensed" w:eastAsia="Barlow Semi Condensed" w:hAnsi="Barlow Semi Condensed"/>
                <w:b/>
                <w:bCs/>
                <w:sz w:val="20"/>
                <w:szCs w:val="20"/>
              </w:rPr>
              <w:t xml:space="preserve">filologia della lettera</w:t>
            </w:r>
            <w:r>
              <w:rPr>
                <w:rFonts w:ascii="Barlow Semi Condensed" w:cs="Barlow Semi Condensed" w:eastAsia="Barlow Semi Condensed" w:hAnsi="Barlow Semi Condensed"/>
                <w:sz w:val="20"/>
                <w:szCs w:val="20"/>
              </w:rPr>
              <w:t xml:space="preserve"> del 21-22 aprile (la stesura «senza alcuna imbarazzante condizione» corretta in «senza condizioni» sotto dettatura di </w:t>
            </w:r>
            <w:r>
              <w:rPr>
                <w:rFonts w:ascii="Barlow Semi Condensed" w:cs="Barlow Semi Condensed" w:eastAsia="Barlow Semi Condensed" w:hAnsi="Barlow Semi Condensed"/>
                <w:b/>
                <w:bCs/>
                <w:sz w:val="20"/>
                <w:szCs w:val="20"/>
              </w:rPr>
              <w:t xml:space="preserve">Macchi</w:t>
            </w:r>
            <w:r>
              <w:rPr>
                <w:rFonts w:ascii="Barlow Semi Condensed" w:cs="Barlow Semi Condensed" w:eastAsia="Barlow Semi Condensed" w:hAnsi="Barlow Semi Condensed"/>
                <w:sz w:val="20"/>
                <w:szCs w:val="20"/>
              </w:rPr>
              <w:t xml:space="preserve"> — dato B, l'intenzione resta C) e il </w:t>
            </w:r>
            <w:r>
              <w:rPr>
                <w:rFonts w:ascii="Barlow Semi Condensed" w:cs="Barlow Semi Condensed" w:eastAsia="Barlow Semi Condensed" w:hAnsi="Barlow Semi Condensed"/>
                <w:b/>
                <w:bCs/>
                <w:sz w:val="20"/>
                <w:szCs w:val="20"/>
              </w:rPr>
              <w:t xml:space="preserve">doppio binario documentato</w:t>
            </w:r>
            <w:r>
              <w:rPr>
                <w:rFonts w:ascii="Barlow Semi Condensed" w:cs="Barlow Semi Condensed" w:eastAsia="Barlow Semi Condensed" w:hAnsi="Barlow Semi Condensed"/>
                <w:sz w:val="20"/>
                <w:szCs w:val="20"/>
              </w:rPr>
              <w:t xml:space="preserve"> (l'appello pubblico e il canale riservato come due strumenti della stessa volontà, non doppiezza); tre quesiti ACH (l'intermediario ignoto, con </w:t>
            </w:r>
            <w:r>
              <w:rPr>
                <w:rFonts w:ascii="Barlow Semi Condensed" w:cs="Barlow Semi Condensed" w:eastAsia="Barlow Semi Condensed" w:hAnsi="Barlow Semi Condensed"/>
                <w:b/>
                <w:bCs/>
                <w:sz w:val="20"/>
                <w:szCs w:val="20"/>
              </w:rPr>
              <w:t xml:space="preserve">i verbali di perquisizione dei covi</w:t>
            </w:r>
            <w:r>
              <w:rPr>
                <w:rFonts w:ascii="Barlow Semi Condensed" w:cs="Barlow Semi Condensed" w:eastAsia="Barlow Semi Condensed" w:hAnsi="Barlow Semi Condensed"/>
                <w:sz w:val="20"/>
                <w:szCs w:val="20"/>
              </w:rPr>
              <w:t xml:space="preserve"> come atto già esistente; la sorte del denaro, con le fascette come identificativo; l'edizione critica delle stesure); atto in quattro passi fino all'apertura dell'AAV. </w:t>
            </w:r>
            <w:r>
              <w:rPr>
                <w:rFonts w:ascii="Barlow Semi Condensed" w:cs="Barlow Semi Condensed" w:eastAsia="Barlow Semi Condensed" w:hAnsi="Barlow Semi Condensed"/>
                <w:b/>
                <w:bCs/>
                <w:sz w:val="20"/>
                <w:szCs w:val="20"/>
              </w:rPr>
              <w:t xml:space="preserve">PE-5</w:t>
            </w:r>
            <w:r>
              <w:rPr>
                <w:rFonts w:ascii="Barlow Semi Condensed" w:cs="Barlow Semi Condensed" w:eastAsia="Barlow Semi Condensed" w:hAnsi="Barlow Semi Condensed"/>
                <w:sz w:val="20"/>
                <w:szCs w:val="20"/>
              </w:rPr>
              <w:t xml:space="preserve">: il punto di partenza è un </w:t>
            </w:r>
            <w:r>
              <w:rPr>
                <w:rFonts w:ascii="Barlow Semi Condensed" w:cs="Barlow Semi Condensed" w:eastAsia="Barlow Semi Condensed" w:hAnsi="Barlow Semi Condensed"/>
                <w:b/>
                <w:bCs/>
                <w:sz w:val="20"/>
                <w:szCs w:val="20"/>
              </w:rPr>
              <w:t xml:space="preserve">reperto interno al corpus</w:t>
            </w:r>
            <w:r>
              <w:rPr>
                <w:rFonts w:ascii="Barlow Semi Condensed" w:cs="Barlow Semi Condensed" w:eastAsia="Barlow Semi Condensed" w:hAnsi="Barlow Semi Condensed"/>
                <w:sz w:val="20"/>
                <w:szCs w:val="20"/>
              </w:rPr>
              <w:t xml:space="preserve"> — il lotto State Dept della cartella Farnesina è un prodotto FOIA identificato (caso </w:t>
            </w:r>
            <w:r>
              <w:rPr>
                <w:rFonts w:ascii="Barlow Semi Condensed" w:cs="Barlow Semi Condensed" w:eastAsia="Barlow Semi Condensed" w:hAnsi="Barlow Semi Condensed"/>
                <w:b/>
                <w:bCs/>
                <w:sz w:val="20"/>
                <w:szCs w:val="20"/>
              </w:rPr>
              <w:t xml:space="preserve">R-2021-002xx</w:t>
            </w:r>
            <w:r>
              <w:rPr>
                <w:rFonts w:ascii="Barlow Semi Condensed" w:cs="Barlow Semi Condensed" w:eastAsia="Barlow Semi Condensed" w:hAnsi="Barlow Semi Condensed"/>
                <w:sz w:val="20"/>
                <w:szCs w:val="20"/>
              </w:rPr>
              <w:t xml:space="preserve">, lettura OCR fra 00202 e 00208 dichiarata; numeri di controllo B-00001939965…989; TAGS </w:t>
            </w:r>
            <w:r>
              <w:rPr>
                <w:rFonts w:ascii="Barlow Semi Condensed" w:cs="Barlow Semi Condensed" w:eastAsia="Barlow Semi Condensed" w:hAnsi="Barlow Semi Condensed"/>
                <w:i/>
                <w:iCs/>
                <w:sz w:val="20"/>
                <w:szCs w:val="20"/>
              </w:rPr>
              <w:t xml:space="preserve">PINT, IT</w:t>
            </w:r>
            <w:r>
              <w:rPr>
                <w:rFonts w:ascii="Barlow Semi Condensed" w:cs="Barlow Semi Condensed" w:eastAsia="Barlow Semi Condensed" w:hAnsi="Barlow Semi Condensed"/>
                <w:sz w:val="20"/>
                <w:szCs w:val="20"/>
              </w:rPr>
              <w:t xml:space="preserve">) — da cui i due giacimenti: </w:t>
            </w:r>
            <w:r>
              <w:rPr>
                <w:rFonts w:ascii="Barlow Semi Condensed" w:cs="Barlow Semi Condensed" w:eastAsia="Barlow Semi Condensed" w:hAnsi="Barlow Semi Condensed"/>
                <w:b/>
                <w:bCs/>
                <w:sz w:val="20"/>
                <w:szCs w:val="20"/>
              </w:rPr>
              <w:t xml:space="preserve">NARA AAD</w:t>
            </w:r>
            <w:r>
              <w:rPr>
                <w:rFonts w:ascii="Barlow Semi Condensed" w:cs="Barlow Semi Condensed" w:eastAsia="Barlow Semi Condensed" w:hAnsi="Barlow Semi Condensed"/>
                <w:sz w:val="20"/>
                <w:szCs w:val="20"/>
              </w:rPr>
              <w:t xml:space="preserve"> (telegrammi 1973-79 interrogabili online, e le </w:t>
            </w:r>
            <w:r>
              <w:rPr>
                <w:rFonts w:ascii="Barlow Semi Condensed" w:cs="Barlow Semi Condensed" w:eastAsia="Barlow Semi Condensed" w:hAnsi="Barlow Semi Condensed"/>
                <w:b/>
                <w:bCs/>
                <w:sz w:val="20"/>
                <w:szCs w:val="20"/>
              </w:rPr>
              <w:t xml:space="preserve">withdrawal cards 1978</w:t>
            </w:r>
            <w:r>
              <w:rPr>
                <w:rFonts w:ascii="Barlow Semi Condensed" w:cs="Barlow Semi Condensed" w:eastAsia="Barlow Semi Condensed" w:hAnsi="Barlow Semi Condensed"/>
                <w:sz w:val="20"/>
                <w:szCs w:val="20"/>
              </w:rPr>
              <w:t xml:space="preserve"> come censimento pubblico del trattenuto: la dietrologia specula sul non rilasciato, le schede lo </w:t>
            </w:r>
            <w:r>
              <w:rPr>
                <w:rFonts w:ascii="Barlow Semi Condensed" w:cs="Barlow Semi Condensed" w:eastAsia="Barlow Semi Condensed" w:hAnsi="Barlow Semi Condensed"/>
                <w:i/>
                <w:iCs/>
                <w:sz w:val="20"/>
                <w:szCs w:val="20"/>
              </w:rPr>
              <w:t xml:space="preserve">contano</w:t>
            </w:r>
            <w:r>
              <w:rPr>
                <w:rFonts w:ascii="Barlow Semi Condensed" w:cs="Barlow Semi Condensed" w:eastAsia="Barlow Semi Condensed" w:hAnsi="Barlow Semi Condensed"/>
                <w:sz w:val="20"/>
                <w:szCs w:val="20"/>
              </w:rPr>
              <w:t xml:space="preserve">) e la FOIA Library; il nodo della </w:t>
            </w:r>
            <w:r>
              <w:rPr>
                <w:rFonts w:ascii="Barlow Semi Condensed" w:cs="Barlow Semi Condensed" w:eastAsia="Barlow Semi Condensed" w:hAnsi="Barlow Semi Condensed"/>
                <w:b/>
                <w:bCs/>
                <w:sz w:val="20"/>
                <w:szCs w:val="20"/>
              </w:rPr>
              <w:t xml:space="preserve">regola dell'originatore</w:t>
            </w:r>
            <w:r>
              <w:rPr>
                <w:rFonts w:ascii="Barlow Semi Condensed" w:cs="Barlow Semi Condensed" w:eastAsia="Barlow Semi Condensed" w:hAnsi="Barlow Semi Condensed"/>
                <w:sz w:val="20"/>
                <w:szCs w:val="20"/>
              </w:rPr>
              <w:t xml:space="preserve"> per gli atti di origine alleata custoditi in Italia (cifra dei ~474 riferita, col suo grado), che salda la pista alla dimensione diplomatica; tre quesiti enumerativi e l'atto in quattro passi fino alla </w:t>
            </w:r>
            <w:r>
              <w:rPr>
                <w:rFonts w:ascii="Barlow Semi Condensed" w:cs="Barlow Semi Condensed" w:eastAsia="Barlow Semi Condensed" w:hAnsi="Barlow Semi Condensed"/>
                <w:b/>
                <w:bCs/>
                <w:sz w:val="20"/>
                <w:szCs w:val="20"/>
              </w:rPr>
              <w:t xml:space="preserve">tavola rilasciato/trattenuto/origine-alleata</w:t>
            </w:r>
            <w:r>
              <w:rPr>
                <w:rFonts w:ascii="Barlow Semi Condensed" w:cs="Barlow Semi Condensed" w:eastAsia="Barlow Semi Condensed" w:hAnsi="Barlow Semi Condensed"/>
                <w:sz w:val="20"/>
                <w:szCs w:val="20"/>
              </w:rPr>
              <w:t xml:space="preserve"> del traffico dei 55 giorni, che oggi non esiste in nessuna pubblicazione. In regime FOIA anche il diniego è un documento: qualunque esito, la pista produce carte. </w:t>
            </w:r>
            <w:r>
              <w:rPr>
                <w:rFonts w:ascii="Barlow Semi Condensed" w:cs="Barlow Semi Condensed" w:eastAsia="Barlow Semi Condensed" w:hAnsi="Barlow Semi Condensed"/>
                <w:b/>
                <w:bCs/>
                <w:sz w:val="20"/>
                <w:szCs w:val="20"/>
              </w:rPr>
              <w:t xml:space="preserve">PE-6</w:t>
            </w:r>
            <w:r>
              <w:rPr>
                <w:rFonts w:ascii="Barlow Semi Condensed" w:cs="Barlow Semi Condensed" w:eastAsia="Barlow Semi Condensed" w:hAnsi="Barlow Semi Condensed"/>
                <w:sz w:val="20"/>
                <w:szCs w:val="20"/>
              </w:rPr>
              <w:t xml:space="preserve">: la macchina delle ricerche </w:t>
            </w:r>
            <w:r>
              <w:rPr>
                <w:rFonts w:ascii="Barlow Semi Condensed" w:cs="Barlow Semi Condensed" w:eastAsia="Barlow Semi Condensed" w:hAnsi="Barlow Semi Condensed"/>
                <w:b/>
                <w:bCs/>
                <w:sz w:val="20"/>
                <w:szCs w:val="20"/>
              </w:rPr>
              <w:t xml:space="preserve">misurata a metà</w:t>
            </w:r>
            <w:r>
              <w:rPr>
                <w:rFonts w:ascii="Barlow Semi Condensed" w:cs="Barlow Semi Condensed" w:eastAsia="Barlow Semi Condensed" w:hAnsi="Barlow Semi Condensed"/>
                <w:sz w:val="20"/>
                <w:szCs w:val="20"/>
              </w:rPr>
              <w:t xml:space="preserve"> — le quattro colonne d'uscita sono celebri e verificate (72.460 posti di blocco, 37.702 perquisizioni, 6.413.713 persone controllate, 3.383.123 veicoli, con lo scorporo romano e la divergenza di lettura dichiarata), ma </w:t>
            </w:r>
            <w:r>
              <w:rPr>
                <w:rFonts w:ascii="Barlow Semi Condensed" w:cs="Barlow Semi Condensed" w:eastAsia="Barlow Semi Condensed" w:hAnsi="Barlow Semi Condensed"/>
                <w:b/>
                <w:bCs/>
                <w:sz w:val="20"/>
                <w:szCs w:val="20"/>
              </w:rPr>
              <w:t xml:space="preserve">la colonna d'ingresso — le segnalazioni — non ha una cifra canonica in quarantott'anni</w:t>
            </w:r>
            <w:r>
              <w:rPr>
                <w:rFonts w:ascii="Barlow Semi Condensed" w:cs="Barlow Semi Condensed" w:eastAsia="Barlow Semi Condensed" w:hAnsi="Barlow Semi Condensed"/>
                <w:sz w:val="20"/>
                <w:szCs w:val="20"/>
              </w:rPr>
              <w:t xml:space="preserve">; i tre campioni documentati del flusso (la nota Mokbel: ingresso riuscito, uscita fallita; Zappolino: smistamento alla lettera, al </w:t>
            </w:r>
            <w:r>
              <w:rPr>
                <w:rFonts w:ascii="Barlow Semi Condensed" w:cs="Barlow Semi Condensed" w:eastAsia="Barlow Semi Condensed" w:hAnsi="Barlow Semi Condensed"/>
                <w:i/>
                <w:iCs/>
                <w:sz w:val="20"/>
                <w:szCs w:val="20"/>
              </w:rPr>
              <w:t xml:space="preserve">paese</w:t>
            </w:r>
            <w:r>
              <w:rPr>
                <w:rFonts w:ascii="Barlow Semi Condensed" w:cs="Barlow Semi Condensed" w:eastAsia="Barlow Semi Condensed" w:hAnsi="Barlow Semi Condensed"/>
                <w:sz w:val="20"/>
                <w:szCs w:val="20"/>
              </w:rPr>
              <w:t xml:space="preserve"> di Gradoli; e </w:t>
            </w:r>
            <w:r>
              <w:rPr>
                <w:rFonts w:ascii="Barlow Semi Condensed" w:cs="Barlow Semi Condensed" w:eastAsia="Barlow Semi Condensed" w:hAnsi="Barlow Semi Condensed"/>
                <w:b/>
                <w:bCs/>
                <w:sz w:val="20"/>
                <w:szCs w:val="20"/>
              </w:rPr>
              <w:t xml:space="preserve">l'osservazione UCIGOS su via Montalcini 8, estate-ottobre 1978, non riferita alla magistratura per due anni</w:t>
            </w:r>
            <w:r>
              <w:rPr>
                <w:rFonts w:ascii="Barlow Semi Condensed" w:cs="Barlow Semi Condensed" w:eastAsia="Barlow Semi Condensed" w:hAnsi="Barlow Semi Condensed"/>
                <w:sz w:val="20"/>
                <w:szCs w:val="20"/>
              </w:rPr>
              <w:t xml:space="preserve"> — il segmento più grave, verso l'AG); il quesito come </w:t>
            </w:r>
            <w:r>
              <w:rPr>
                <w:rFonts w:ascii="Barlow Semi Condensed" w:cs="Barlow Semi Condensed" w:eastAsia="Barlow Semi Condensed" w:hAnsi="Barlow Semi Condensed"/>
                <w:b/>
                <w:bCs/>
                <w:sz w:val="20"/>
                <w:szCs w:val="20"/>
              </w:rPr>
              <w:t xml:space="preserve">verifica empirica dell'accertamento Anselmi</w:t>
            </w:r>
            <w:r>
              <w:rPr>
                <w:rFonts w:ascii="Barlow Semi Condensed" w:cs="Barlow Semi Condensed" w:eastAsia="Barlow Semi Condensed" w:hAnsi="Barlow Semi Condensed"/>
                <w:sz w:val="20"/>
                <w:szCs w:val="20"/>
              </w:rPr>
              <w:t xml:space="preserve"> — H1 collo di bottiglia da diluvio vs H2 filtro sistematico, con la </w:t>
            </w:r>
            <w:r>
              <w:rPr>
                <w:rFonts w:ascii="Barlow Semi Condensed" w:cs="Barlow Semi Condensed" w:eastAsia="Barlow Semi Condensed" w:hAnsi="Barlow Semi Condensed"/>
                <w:b/>
                <w:bCs/>
                <w:sz w:val="20"/>
                <w:szCs w:val="20"/>
              </w:rPr>
              <w:t xml:space="preserve">distribuzione delle interruzioni per segmento</w:t>
            </w:r>
            <w:r>
              <w:rPr>
                <w:rFonts w:ascii="Barlow Semi Condensed" w:cs="Barlow Semi Condensed" w:eastAsia="Barlow Semi Condensed" w:hAnsi="Barlow Semi Condensed"/>
                <w:sz w:val="20"/>
                <w:szCs w:val="20"/>
              </w:rPr>
              <w:t xml:space="preserve"> come evidenza discriminante che solo il registro può dare; l'atto in quattro passi (protocolli d'ingresso nei versamenti del Viminale; criteri di smistamento; tavola degli esiti; il registro delle mancate trasmissioni all'AG) fino alla </w:t>
            </w:r>
            <w:r>
              <w:rPr>
                <w:rFonts w:ascii="Barlow Semi Condensed" w:cs="Barlow Semi Condensed" w:eastAsia="Barlow Semi Condensed" w:hAnsi="Barlow Semi Condensed"/>
                <w:b/>
                <w:bCs/>
                <w:sz w:val="20"/>
                <w:szCs w:val="20"/>
              </w:rPr>
              <w:t xml:space="preserve">statistica documentale del tasso di seguito</w:t>
            </w:r>
            <w:r>
              <w:rPr>
                <w:rFonts w:ascii="Barlow Semi Condensed" w:cs="Barlow Semi Condensed" w:eastAsia="Barlow Semi Condensed" w:hAnsi="Barlow Semi Condensed"/>
                <w:sz w:val="20"/>
                <w:szCs w:val="20"/>
              </w:rPr>
              <w:t xml:space="preserve"> — l'ultima tavola che manca alla contabilità dei 55 giorni. Il registro è duale: misura le omissioni e insieme riabilita chi lavorò bene nel diluvio. Un protocollo, per definizione, o c'è — o la sua assenza è il dato. La lezione comune: il quesito non è mai «chi è colpevole» ma «dove sono le carte di un procedimento che esiste per definizione» — e l'assenza del documento dovuto è essa stessa una risposta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manuale-investigativo-nuovo-caso-moro.md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MANUALE TITANICO — seconda edizione accresciuta: come dovrebbero svolgersi le attività investigative per il nuovo Caso Moro, in 400 blocchi mirati</w:t>
            </w:r>
            <w:r>
              <w:rPr>
                <w:rFonts w:ascii="Barlow Semi Condensed" w:cs="Barlow Semi Condensed" w:eastAsia="Barlow Semi Condensed" w:hAnsi="Barlow Semi Condensed"/>
                <w:sz w:val="20"/>
                <w:szCs w:val="20"/>
              </w:rPr>
              <w:t xml:space="preserve"> (verificati: 400 esatti, numerazione continua 1-400, ~15.600 parole), ordinati in </w:t>
            </w:r>
            <w:r>
              <w:rPr>
                <w:rFonts w:ascii="Barlow Semi Condensed" w:cs="Barlow Semi Condensed" w:eastAsia="Barlow Semi Condensed" w:hAnsi="Barlow Semi Condensed"/>
                <w:b/>
                <w:bCs/>
                <w:sz w:val="20"/>
                <w:szCs w:val="20"/>
              </w:rPr>
              <w:t xml:space="preserve">quindici serie con statuto</w:t>
            </w:r>
            <w:r>
              <w:rPr>
                <w:rFonts w:ascii="Barlow Semi Condensed" w:cs="Barlow Semi Condensed" w:eastAsia="Barlow Semi Condensed" w:hAnsi="Barlow Semi Condensed"/>
                <w:sz w:val="20"/>
                <w:szCs w:val="20"/>
              </w:rPr>
              <w:t xml:space="preserve"> sull'architettura del Dossier maggiore: i principi costitutivi (1-20, la costituzione dell'indagine); l'architettura organizzativa (21-45, i tre cantieri — giudiziario, archivistico, conservativo — col custode del metodo); i reperti e le scienze forensi (46-90: catena di custodia retrospettiva, i 91 bossoli col quesito unico in tre rami, il caricatore come reperto-principe, i profili DNA 2016, il bagno di Gradoli, il falso della Duchessa, doppio cieco e replica, l'indecidibilità come esito nobile); gli archivi (91-140: il progetto di spoglio del fondo Renzi, i micro-fondi dovuti — Flaminio Nuovo, nota Mokbel, VVF, dossier Montalcini, comitati con gli elenchi P2 datati, conservatoria di via Gradoli, NARA/withdrawal cards, FOIA R-2021-002xx, istanza pronta per l'AAV, la diplomatica del Novecento); le persone (141-170: la raccolta conservativa a scadenza biologica, il contraddittorio documentale, la rogatoria conoscitiva, la deposizione sigillata); i quesiti in forma ACH (171-210: dieci matrici complete con ipotesi, evidenza discriminante, chiusura ed errore, più la meta-matrice); il progetto esecutivo del registro delle segnalazioni (211-235: schema-dati, quattro segmenti, metriche, il test Anselmi); il versante internazionale (236-250); </w:t>
            </w:r>
            <w:r>
              <w:rPr>
                <w:rFonts w:ascii="Barlow Semi Condensed" w:cs="Barlow Semi Condensed" w:eastAsia="Barlow Semi Condensed" w:hAnsi="Barlow Semi Condensed"/>
                <w:b/>
                <w:bCs/>
                <w:sz w:val="20"/>
                <w:szCs w:val="20"/>
              </w:rPr>
              <w:t xml:space="preserve">gli errori storici coi loro antidoti</w:t>
            </w:r>
            <w:r>
              <w:rPr>
                <w:rFonts w:ascii="Barlow Semi Condensed" w:cs="Barlow Semi Condensed" w:eastAsia="Barlow Semi Condensed" w:hAnsi="Barlow Semi Condensed"/>
                <w:sz w:val="20"/>
                <w:szCs w:val="20"/>
              </w:rPr>
              <w:t xml:space="preserve"> (251-280: trenta errori catalogati, dall'errore della lettera al «fu assolto, ma», fino all'errore di corpus con la Nota di revisione come prova); il cronoprogramma (281-300: i primi novanta giorni, le dipendenze, le condizioni d'arresto, la misura del successo in carte e non in colpevoli); e le cinque serie della seconda edizione — </w:t>
            </w:r>
            <w:r>
              <w:rPr>
                <w:rFonts w:ascii="Barlow Semi Condensed" w:cs="Barlow Semi Condensed" w:eastAsia="Barlow Semi Condensed" w:hAnsi="Barlow Semi Condensed"/>
                <w:b/>
                <w:bCs/>
                <w:sz w:val="20"/>
                <w:szCs w:val="20"/>
              </w:rPr>
              <w:t xml:space="preserve">il cantiere digitale</w:t>
            </w:r>
            <w:r>
              <w:rPr>
                <w:rFonts w:ascii="Barlow Semi Condensed" w:cs="Barlow Semi Condensed" w:eastAsia="Barlow Semi Condensed" w:hAnsi="Barlow Semi Condensed"/>
                <w:sz w:val="20"/>
                <w:szCs w:val="20"/>
              </w:rPr>
              <w:t xml:space="preserve"> (301-330: banca dati unica, grafo operativo, la macchina che propone e l'uomo che verbalizza, il divieto di generazione probatoria, riproducibilità come grado, il lascito digitale agli archivi nazionali), </w:t>
            </w:r>
            <w:r>
              <w:rPr>
                <w:rFonts w:ascii="Barlow Semi Condensed" w:cs="Barlow Semi Condensed" w:eastAsia="Barlow Semi Condensed" w:hAnsi="Barlow Semi Condensed"/>
                <w:b/>
                <w:bCs/>
                <w:sz w:val="20"/>
                <w:szCs w:val="20"/>
              </w:rPr>
              <w:t xml:space="preserve">gli strumenti giuridici</w:t>
            </w:r>
            <w:r>
              <w:rPr>
                <w:rFonts w:ascii="Barlow Semi Condensed" w:cs="Barlow Semi Condensed" w:eastAsia="Barlow Semi Condensed" w:hAnsi="Barlow Semi Condensed"/>
                <w:sz w:val="20"/>
                <w:szCs w:val="20"/>
              </w:rPr>
              <w:t xml:space="preserve"> (331-355: l'imprescrittibilità come fondamento, l'incidente probatorio per i testimoni fragili, il segreto di Stato coi suoi termini e il limite costituzionale, la disciplina archivistica come calendario e non mistero, i vincoli sui fondi a rischio), </w:t>
            </w:r>
            <w:r>
              <w:rPr>
                <w:rFonts w:ascii="Barlow Semi Condensed" w:cs="Barlow Semi Condensed" w:eastAsia="Barlow Semi Condensed" w:hAnsi="Barlow Semi Condensed"/>
                <w:b/>
                <w:bCs/>
                <w:sz w:val="20"/>
                <w:szCs w:val="20"/>
              </w:rPr>
              <w:t xml:space="preserve">il controllo di qualità e i bias</w:t>
            </w:r>
            <w:r>
              <w:rPr>
                <w:rFonts w:ascii="Barlow Semi Condensed" w:cs="Barlow Semi Condensed" w:eastAsia="Barlow Semi Condensed" w:hAnsi="Barlow Semi Condensed"/>
                <w:sz w:val="20"/>
                <w:szCs w:val="20"/>
              </w:rPr>
              <w:t xml:space="preserve"> (356-375: red team, avvocato del diavolo di matrice, dieci bias cognitivi con antidoti procedurali, audit esterno pubblico, il registro dei quasi-errori), </w:t>
            </w:r>
            <w:r>
              <w:rPr>
                <w:rFonts w:ascii="Barlow Semi Condensed" w:cs="Barlow Semi Condensed" w:eastAsia="Barlow Semi Condensed" w:hAnsi="Barlow Semi Condensed"/>
                <w:b/>
                <w:bCs/>
                <w:sz w:val="20"/>
                <w:szCs w:val="20"/>
              </w:rPr>
              <w:t xml:space="preserve">il raccordo esecutivo per pista</w:t>
            </w:r>
            <w:r>
              <w:rPr>
                <w:rFonts w:ascii="Barlow Semi Condensed" w:cs="Barlow Semi Condensed" w:eastAsia="Barlow Semi Condensed" w:hAnsi="Barlow Semi Condensed"/>
                <w:sz w:val="20"/>
                <w:szCs w:val="20"/>
              </w:rPr>
              <w:t xml:space="preserve"> (376-391: le sedici piste vive in blocchi cantiere-atti-evidenza, con la meta-tavola), </w:t>
            </w:r>
            <w:r>
              <w:rPr>
                <w:rFonts w:ascii="Barlow Semi Condensed" w:cs="Barlow Semi Condensed" w:eastAsia="Barlow Semi Condensed" w:hAnsi="Barlow Semi Condensed"/>
                <w:b/>
                <w:bCs/>
                <w:sz w:val="20"/>
                <w:szCs w:val="20"/>
              </w:rPr>
              <w:t xml:space="preserve">le contingenze</w:t>
            </w:r>
            <w:r>
              <w:rPr>
                <w:rFonts w:ascii="Barlow Semi Condensed" w:cs="Barlow Semi Condensed" w:eastAsia="Barlow Semi Condensed" w:hAnsi="Barlow Semi Condensed"/>
                <w:sz w:val="20"/>
                <w:szCs w:val="20"/>
              </w:rPr>
              <w:t xml:space="preserve"> (392-400: nove scenari col protocollo già scritto — dal profilo ignoto alla tesi virale, dall'archiviazione giudiziaria all'apertura improvvisa di un archivio — fino al blocco 400: un manuale d'indagine invecchia in un solo modo onorevole, venendo eseguito).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agenda-di-ricerca-del-nuovo-caso-moro.md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L'AGENDA DI RICERCA TITANICA — il gemello del manuale: che cosa cercare e dove, in 300 blocchi mirati di ricerca</w:t>
            </w:r>
            <w:r>
              <w:rPr>
                <w:rFonts w:ascii="Barlow Semi Condensed" w:cs="Barlow Semi Condensed" w:eastAsia="Barlow Semi Condensed" w:hAnsi="Barlow Semi Condensed"/>
                <w:sz w:val="20"/>
                <w:szCs w:val="20"/>
              </w:rPr>
              <w:t xml:space="preserve"> (verificati: 300 esatti, numerazione continua 1-300, ~18.000 parole), in </w:t>
            </w:r>
            <w:r>
              <w:rPr>
                <w:rFonts w:ascii="Barlow Semi Condensed" w:cs="Barlow Semi Condensed" w:eastAsia="Barlow Semi Condensed" w:hAnsi="Barlow Semi Condensed"/>
                <w:b/>
                <w:bCs/>
                <w:sz w:val="20"/>
                <w:szCs w:val="20"/>
              </w:rPr>
              <w:t xml:space="preserve">dodici serie con statuto</w:t>
            </w:r>
            <w:r>
              <w:rPr>
                <w:rFonts w:ascii="Barlow Semi Condensed" w:cs="Barlow Semi Condensed" w:eastAsia="Barlow Semi Condensed" w:hAnsi="Barlow Semi Condensed"/>
                <w:sz w:val="20"/>
                <w:szCs w:val="20"/>
              </w:rPr>
              <w:t xml:space="preserve">: i quesiti costitutivi (1-15, le quindici domande madri con evidenza attesa); il giacimento della Direttiva (16-45: la raccolta speciale ACS «Sequestro e uccisione dell'on. Aldo Moro», la sequenza Prodi 2008-Renzi 2014 verificata, il piano di spoglio delle ~2.000 buste con doppio controllo, il portale della Rete, l'Archivio Flamigni, conservatoria e catasto, il calendario delle declassifiche); gli archivi parlamentari (46-70: il fondo Moro 2 alla Camera con le ~20.000 pagine desecretate e il portale delle inchieste, la perizia balistica 2015 della Polizia scientifica dall'audizione del 10/6/2015, i fondi Moro 1 e Stragi al Senato, le declassifiche per DPS, gli indici unici di perizie e audizioni, «la stessa domanda tre volte»); i reperti da reinterrogare (71-100: i 91 bossoli in ricomparazione integrale, il DNA 2016, il caricatore, l'anagrafe delle Honda, gli abiti con la perizia Lombardi-Giacomini 1978 e il poligono dei luoghi, i negativi e i fuori onda, il borsello Chichiarelli con l'attribuzione istruttoria mai giudicata, lo schedario unico delle impronte); le persone e la raccolta conservativa (101-125: il censimento dei viventi, la rogatoria dell'unico mai sentito, gli operatori del 18 marzo e del 18 aprile, i custodi delle carte, la tavola degli stati); i giacimenti internazionali (126-155: withdrawal cards e full-text NARA, la collezione microfiche «Aldo Moro» della FOIA Library, la CIA Reading Room con la disciplina sui ritagli, la Carter Library, Kew, La Courneuve, il Politisches Archiv, il Vaticano con lo stato d'apertura verificato, la collazione bilaterale delle giornate chiave); le carte private e di partito (156-180); le scienze nuove sui dati vecchi (181-210: il tornello dei pareri, la banca dati DNA della legge 85/2009, genealogia genetica e fenotipo coi limiti dichiarati, la balistica computazionale, stilometria e linguistica coi gradi, la macchina che propone); </w:t>
            </w:r>
            <w:r>
              <w:rPr>
                <w:rFonts w:ascii="Barlow Semi Condensed" w:cs="Barlow Semi Condensed" w:eastAsia="Barlow Semi Condensed" w:hAnsi="Barlow Semi Condensed"/>
                <w:b/>
                <w:bCs/>
                <w:sz w:val="20"/>
                <w:szCs w:val="20"/>
              </w:rPr>
              <w:t xml:space="preserve">le verifiche di smentita</w:t>
            </w:r>
            <w:r>
              <w:rPr>
                <w:rFonts w:ascii="Barlow Semi Condensed" w:cs="Barlow Semi Condensed" w:eastAsia="Barlow Semi Condensed" w:hAnsi="Barlow Semi Condensed"/>
                <w:sz w:val="20"/>
                <w:szCs w:val="20"/>
              </w:rPr>
              <w:t xml:space="preserve"> (211-235: il Pollo di Popper come motore — per ogni tesi il documento che la smentirebbe, contro-agenda inclusa); le cronologie e i registri da ricostruire (236-260: il registro d'ingresso delle segnalazioni contro l'output 72.460/37.702, il brogliaccio del 16 marzo, i registri del 2 e del 18 aprile, il censimento dei distrutti); i raccordi con le piste e col manuale (261-280: ogni pista PN/PE coi suoi blocchi, la tavola sinottica); il governo dell'agenda (281-300: priorità biologica, campagne trimestrali, la ricerca a vuoto come atto, ciò che non si ricerca, il registro delle smentite, il congedo). Con l'</w:t>
            </w:r>
            <w:r>
              <w:rPr>
                <w:rFonts w:ascii="Barlow Semi Condensed" w:cs="Barlow Semi Condensed" w:eastAsia="Barlow Semi Condensed" w:hAnsi="Barlow Semi Condensed"/>
                <w:b/>
                <w:bCs/>
                <w:sz w:val="20"/>
                <w:szCs w:val="20"/>
              </w:rPr>
              <w:t xml:space="preserve">Apparato delle verifiche d'archivio</w:t>
            </w:r>
            <w:r>
              <w:rPr>
                <w:rFonts w:ascii="Barlow Semi Condensed" w:cs="Barlow Semi Condensed" w:eastAsia="Barlow Semi Condensed" w:hAnsi="Barlow Semi Condensed"/>
                <w:sz w:val="20"/>
                <w:szCs w:val="20"/>
              </w:rPr>
              <w:t xml:space="preserve"> (V-1…V-12): dodici campagne di verifica condotte prima della stesura, esiti negativi dichiarati (l'archivio vaticano chiuso oltre Pio XII; nessuno studio stilometrico esistente; nessuna ricostruzione 3D ufficiale; nessun cold case italiano anni '70-'80 mai chiuso con tecniche nuove — il caso sarebbe il primo).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nove-cantieri-mille-blocchi.md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NOVE CANTIERI — L'OPERA MONUMENTALE: mille blocchi mirati di approfondimento</w:t>
            </w:r>
            <w:r>
              <w:rPr>
                <w:rFonts w:ascii="Barlow Semi Condensed" w:cs="Barlow Semi Condensed" w:eastAsia="Barlow Semi Condensed" w:hAnsi="Barlow Semi Condensed"/>
                <w:sz w:val="20"/>
                <w:szCs w:val="20"/>
              </w:rPr>
              <w:t xml:space="preserve"> (verificati: 1.000 esatti, numerazione continua 1-1000, ~54.000 parole, nove Parti con 39 sottosezioni), l'esecuzione approfondita dell'agenda sui nove fronti indicati dal committente, ciascuno con statuto: </w:t>
            </w:r>
            <w:r>
              <w:rPr>
                <w:rFonts w:ascii="Barlow Semi Condensed" w:cs="Barlow Semi Condensed" w:eastAsia="Barlow Semi Condensed" w:hAnsi="Barlow Semi Condensed"/>
                <w:b/>
                <w:bCs/>
                <w:sz w:val="20"/>
                <w:szCs w:val="20"/>
              </w:rPr>
              <w:t xml:space="preserve">Oltremanica, oltralpe, oltre Reno</w:t>
            </w:r>
            <w:r>
              <w:rPr>
                <w:rFonts w:ascii="Barlow Semi Condensed" w:cs="Barlow Semi Condensed" w:eastAsia="Barlow Semi Condensed" w:hAnsi="Barlow Semi Condensed"/>
                <w:sz w:val="20"/>
                <w:szCs w:val="20"/>
              </w:rPr>
              <w:t xml:space="preserve"> (1-120: il cantiere britannico dal fascicolo Discovery C11492660/FCO 33 alle richieste FoI; il francese da La Courneuve/1929INVA a Nantes «Rome-Quirinal», col fondo Grimaud in due sedi e la nota del 24/5/1983 su Hyperion; il tedesco dal Politisches Archiv all'AAPD 1978, dal contenzioso sul Krisenstab Schleyer allo Stasi-Unterlagen-Archiv); </w:t>
            </w:r>
            <w:r>
              <w:rPr>
                <w:rFonts w:ascii="Barlow Semi Condensed" w:cs="Barlow Semi Condensed" w:eastAsia="Barlow Semi Condensed" w:hAnsi="Barlow Semi Condensed"/>
                <w:b/>
                <w:bCs/>
                <w:sz w:val="20"/>
                <w:szCs w:val="20"/>
              </w:rPr>
              <w:t xml:space="preserve">il Vaticano e la Chiesa</w:t>
            </w:r>
            <w:r>
              <w:rPr>
                <w:rFonts w:ascii="Barlow Semi Condensed" w:cs="Barlow Semi Condensed" w:eastAsia="Barlow Semi Condensed" w:hAnsi="Barlow Semi Condensed"/>
                <w:sz w:val="20"/>
                <w:szCs w:val="20"/>
              </w:rPr>
              <w:t xml:space="preserve"> (121-220: la strategia dell'archivio chiuso — il limite Pio XII verificato — con le cento porte laterali: Concesio, le diocesi, la stampa vaticana aperta, le cause dei santi; il canale Curioni con le date fissate, il fondo del riscatto col doppio binario, la lettera del 21-22 aprile in filologia delle varianti, i quesiti già scritti per il giorno dell'apertura); </w:t>
            </w:r>
            <w:r>
              <w:rPr>
                <w:rFonts w:ascii="Barlow Semi Condensed" w:cs="Barlow Semi Condensed" w:eastAsia="Barlow Semi Condensed" w:hAnsi="Barlow Semi Condensed"/>
                <w:b/>
                <w:bCs/>
                <w:sz w:val="20"/>
                <w:szCs w:val="20"/>
              </w:rPr>
              <w:t xml:space="preserve">i fondi privati</w:t>
            </w:r>
            <w:r>
              <w:rPr>
                <w:rFonts w:ascii="Barlow Semi Condensed" w:cs="Barlow Semi Condensed" w:eastAsia="Barlow Semi Condensed" w:hAnsi="Barlow Semi Condensed"/>
                <w:sz w:val="20"/>
                <w:szCs w:val="20"/>
              </w:rPr>
              <w:t xml:space="preserve"> (221-330: i tre nuclei delle carte Moro distinti — ACS 218 buste, famiglia al Flamigni 2012-2016, raccolta statale —, Andreotti allo Sturzo, Cossiga alla Camera 308 buste, i diari di Fanfani, il fascicolo «Caso Moro» di Craxi, DC e PCI, Pecorelli, Sciascia a Racalmuto, le famiglie della scorta); </w:t>
            </w:r>
            <w:r>
              <w:rPr>
                <w:rFonts w:ascii="Barlow Semi Condensed" w:cs="Barlow Semi Condensed" w:eastAsia="Barlow Semi Condensed" w:hAnsi="Barlow Semi Condensed"/>
                <w:b/>
                <w:bCs/>
                <w:sz w:val="20"/>
                <w:szCs w:val="20"/>
              </w:rPr>
              <w:t xml:space="preserve">i reperti</w:t>
            </w:r>
            <w:r>
              <w:rPr>
                <w:rFonts w:ascii="Barlow Semi Condensed" w:cs="Barlow Semi Condensed" w:eastAsia="Barlow Semi Condensed" w:hAnsi="Barlow Semi Condensed"/>
                <w:sz w:val="20"/>
                <w:szCs w:val="20"/>
              </w:rPr>
              <w:t xml:space="preserve"> (331-460: la custodia e l'inventario unico che non esiste, la sequenza balistica 1978-1993-2015 con la declassificazione dei 22 bossoli, il caricatore mai esaminato in 48 anni ora negli esami del GIP, i sette profili ignoti riferiti, gli abiti con la perizia Lombardi-Giacomini, le cinque borse di cui due asportate, la R4 musealizzata); </w:t>
            </w:r>
            <w:r>
              <w:rPr>
                <w:rFonts w:ascii="Barlow Semi Condensed" w:cs="Barlow Semi Condensed" w:eastAsia="Barlow Semi Condensed" w:hAnsi="Barlow Semi Condensed"/>
                <w:b/>
                <w:bCs/>
                <w:sz w:val="20"/>
                <w:szCs w:val="20"/>
              </w:rPr>
              <w:t xml:space="preserve">il memoriale e le lettere</w:t>
            </w:r>
            <w:r>
              <w:rPr>
                <w:rFonts w:ascii="Barlow Semi Condensed" w:cs="Barlow Semi Condensed" w:eastAsia="Barlow Semi Condensed" w:hAnsi="Barlow Semi Condensed"/>
                <w:sz w:val="20"/>
                <w:szCs w:val="20"/>
              </w:rPr>
              <w:t xml:space="preserve"> (461-560: lo stemma delle tre stesure, i due ritrovamenti di Monte Nevoso in atti, l'edizione critica Di Sivo, le 97 lettere del canone Gotor, i nove comunicati datati, il falso della Duchessa non riconosciuto dalle verifiche del 1978, Chichiarelli col 28 settembre 1984 mai risolto, la stilometria che manca — bersaglio inedito); </w:t>
            </w:r>
            <w:r>
              <w:rPr>
                <w:rFonts w:ascii="Barlow Semi Condensed" w:cs="Barlow Semi Condensed" w:eastAsia="Barlow Semi Condensed" w:hAnsi="Barlow Semi Condensed"/>
                <w:b/>
                <w:bCs/>
                <w:sz w:val="20"/>
                <w:szCs w:val="20"/>
              </w:rPr>
              <w:t xml:space="preserve">l'audio e l'immagine</w:t>
            </w:r>
            <w:r>
              <w:rPr>
                <w:rFonts w:ascii="Barlow Semi Condensed" w:cs="Barlow Semi Condensed" w:eastAsia="Barlow Semi Condensed" w:hAnsi="Barlow Semi Condensed"/>
                <w:sz w:val="20"/>
                <w:szCs w:val="20"/>
              </w:rPr>
              <w:t xml:space="preserve"> (561-660: le due sole registrazioni superstiti dei 55 giorni, Ianni primo fotografo di via Fani, l'esclusiva GBR del 9 maggio, le teche e i grezzi di Zavoli con la Collezione al Quirinale, il 3D della Scientifica 2017 e il modello pubblico che ancora manca, l'etica dell'immagine); </w:t>
            </w:r>
            <w:r>
              <w:rPr>
                <w:rFonts w:ascii="Barlow Semi Condensed" w:cs="Barlow Semi Condensed" w:eastAsia="Barlow Semi Condensed" w:hAnsi="Barlow Semi Condensed"/>
                <w:b/>
                <w:bCs/>
                <w:sz w:val="20"/>
                <w:szCs w:val="20"/>
              </w:rPr>
              <w:t xml:space="preserve">le scienze forensi</w:t>
            </w:r>
            <w:r>
              <w:rPr>
                <w:rFonts w:ascii="Barlow Semi Condensed" w:cs="Barlow Semi Condensed" w:eastAsia="Barlow Semi Condensed" w:hAnsi="Barlow Semi Condensed"/>
                <w:sz w:val="20"/>
                <w:szCs w:val="20"/>
              </w:rPr>
              <w:t xml:space="preserve"> (661-790: il diritto della prova scientifica — legge 85/2009, d.P.R. 87/2016, i vuoti su parentela/genealogia/fenotipo —, i laboratori e gli standard, i precedenti che insegnano — Yara, l'Olgiata, il monito Macchi, e il dato capitale: nessun delitto italiano anni '70-'80 mai chiuso con tecniche nuove: il caso sarebbe il primo —, le frontiere coi pareri-tornello, i tre tavoli scienza-giustizia-storia); </w:t>
            </w:r>
            <w:r>
              <w:rPr>
                <w:rFonts w:ascii="Barlow Semi Condensed" w:cs="Barlow Semi Condensed" w:eastAsia="Barlow Semi Condensed" w:hAnsi="Barlow Semi Condensed"/>
                <w:b/>
                <w:bCs/>
                <w:sz w:val="20"/>
                <w:szCs w:val="20"/>
              </w:rPr>
              <w:t xml:space="preserve">il registro del giudicato</w:t>
            </w:r>
            <w:r>
              <w:rPr>
                <w:rFonts w:ascii="Barlow Semi Condensed" w:cs="Barlow Semi Condensed" w:eastAsia="Barlow Semi Condensed" w:hAnsi="Barlow Semi Condensed"/>
                <w:sz w:val="20"/>
                <w:szCs w:val="20"/>
              </w:rPr>
              <w:t xml:space="preserve"> (791-880: le tredici schede a tre strati con gli stati verificati — cinque deceduti, con la correzione della data Braghetti al novembre 2025 —, la regola Algranati per esteso, la tavola dei cinque processi, la memorialistica collazionata, il programma delle dichiarazioni spontanee, la rogatoria per l'unico mai sentito in forma d'atto); </w:t>
            </w:r>
            <w:r>
              <w:rPr>
                <w:rFonts w:ascii="Barlow Semi Condensed" w:cs="Barlow Semi Condensed" w:eastAsia="Barlow Semi Condensed" w:hAnsi="Barlow Semi Condensed"/>
                <w:b/>
                <w:bCs/>
                <w:sz w:val="20"/>
                <w:szCs w:val="20"/>
              </w:rPr>
              <w:t xml:space="preserve">il fascicolo di Roma</w:t>
            </w:r>
            <w:r>
              <w:rPr>
                <w:rFonts w:ascii="Barlow Semi Condensed" w:cs="Barlow Semi Condensed" w:eastAsia="Barlow Semi Condensed" w:hAnsi="Barlow Semi Condensed"/>
                <w:sz w:val="20"/>
                <w:szCs w:val="20"/>
              </w:rPr>
              <w:t xml:space="preserve"> (881-1000: la sequenza verificata 28/5/2025-estate 2026 — archiviazione chiesta, opposizione della famiglia Ricci, GIP che riapre con sei mesi d'indagini sul caricatore —, la consilienza corpus-giudice, gli atti dei cinque processi digitalizzati coi detenuti di Rebibbia, il portale federato proposto, l'audit delle direttive, il diritto della memoria, il cinquantennale 2028 come scadenza di consegne non di discorsi, il congedo coi blocchi 991-1000). Con l'</w:t>
            </w:r>
            <w:r>
              <w:rPr>
                <w:rFonts w:ascii="Barlow Semi Condensed" w:cs="Barlow Semi Condensed" w:eastAsia="Barlow Semi Condensed" w:hAnsi="Barlow Semi Condensed"/>
                <w:b/>
                <w:bCs/>
                <w:sz w:val="20"/>
                <w:szCs w:val="20"/>
              </w:rPr>
              <w:t xml:space="preserve">Apparato della seconda campagna</w:t>
            </w:r>
            <w:r>
              <w:rPr>
                <w:rFonts w:ascii="Barlow Semi Condensed" w:cs="Barlow Semi Condensed" w:eastAsia="Barlow Semi Condensed" w:hAnsi="Barlow Semi Condensed"/>
                <w:sz w:val="20"/>
                <w:szCs w:val="20"/>
              </w:rPr>
              <w:t xml:space="preserve"> (C-1…C-9): nove verificatori di profondità, gli esiti negativi dichiarati, le correzioni per nota incorporate. Quarta opera della quadriga investigativa (programma → manuale 400 → agenda 300 → cantieri 1000: 1.700 blocchi coordinati). La ricerca produce documenti, non colpevoli — mille volte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kissinger-mille-blocchi-il-codice-e-la-sua-trasmissione.md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CODICE E LA SUA TRASMISSIONE» — HENRY KISSINGER TRIANGOLATO COL CORPUS IN 4.999 BLOCCHI.</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4.999 blocchi mirati</w:t>
            </w:r>
            <w:r>
              <w:rPr>
                <w:rFonts w:ascii="Barlow Semi Condensed" w:cs="Barlow Semi Condensed" w:eastAsia="Barlow Semi Condensed" w:hAnsi="Barlow Semi Condensed"/>
                <w:sz w:val="20"/>
                <w:szCs w:val="20"/>
              </w:rPr>
              <w:t xml:space="preserve">, sessantacinque serie e due campagne, costruita sulla chiave interpretativa indicata dall'autore — «Kissinger rappresenta metaforicamente la genetica» —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Le tredici serie intestate ad altrettanti concetti: il nome e la mutazione (con la correzione per nota di «Harry» in </w:t>
            </w:r>
            <w:r>
              <w:rPr>
                <w:rFonts w:ascii="Barlow Semi Condensed" w:cs="Barlow Semi Condensed" w:eastAsia="Barlow Semi Condensed" w:hAnsi="Barlow Semi Condensed"/>
                <w:b/>
                <w:bCs/>
                <w:sz w:val="20"/>
                <w:szCs w:val="20"/>
              </w:rPr>
              <w:t xml:space="preserve">Henry</w:t>
            </w:r>
            <w:r>
              <w:rPr>
                <w:rFonts w:ascii="Barlow Semi Condensed" w:cs="Barlow Semi Condensed" w:eastAsia="Barlow Semi Condensed" w:hAnsi="Barlow Semi Condensed"/>
                <w:sz w:val="20"/>
                <w:szCs w:val="20"/>
              </w:rPr>
              <w:t xml:space="preserve">, e la divergenza documentata sulla data della mutazione onomastica Heinz→Henry — le opere di consultazione la collocano allo sbarco del 1938, il fascicolo d'immigrazione al 1942-1943 — come primo caso concreto della lente); il genoma dichiarato; l'ereditarietà dottrinale; la trascrizione dal codice all'atto (i memorandum of conversation, il verbale del </w:t>
            </w:r>
            <w:r>
              <w:rPr>
                <w:rFonts w:ascii="Barlow Semi Condensed" w:cs="Barlow Semi Condensed" w:eastAsia="Barlow Semi Condensed" w:hAnsi="Barlow Semi Condensed"/>
                <w:b/>
                <w:bCs/>
                <w:sz w:val="20"/>
                <w:szCs w:val="20"/>
              </w:rPr>
              <w:t xml:space="preserve">25 settembre 1974</w:t>
            </w:r>
            <w:r>
              <w:rPr>
                <w:rFonts w:ascii="Barlow Semi Condensed" w:cs="Barlow Semi Condensed" w:eastAsia="Barlow Semi Condensed" w:hAnsi="Barlow Semi Condensed"/>
                <w:sz w:val="20"/>
                <w:szCs w:val="20"/>
              </w:rPr>
              <w:t xml:space="preserve"> con Leone e Moro allo Studio Ovale); l'espressione differenziale nei teatri che il corpus già studia; </w:t>
            </w: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il cuore metodologico, cioè la distinzione fra filiazione documentata e convergenza indipendente; il vettore e la trasmissione orizzontale; la mutazione e l'errore di trascrizione; </w:t>
            </w:r>
            <w:r>
              <w:rPr>
                <w:rFonts w:ascii="Barlow Semi Condensed" w:cs="Barlow Semi Condensed" w:eastAsia="Barlow Semi Condensed" w:hAnsi="Barlow Semi Condensed"/>
                <w:b/>
                <w:bCs/>
                <w:sz w:val="20"/>
                <w:szCs w:val="20"/>
              </w:rPr>
              <w:t xml:space="preserve">il DNA non codificante</w:t>
            </w:r>
            <w:r>
              <w:rPr>
                <w:rFonts w:ascii="Barlow Semi Condensed" w:cs="Barlow Semi Condensed" w:eastAsia="Barlow Semi Condensed" w:hAnsi="Barlow Semi Condensed"/>
                <w:sz w:val="20"/>
                <w:szCs w:val="20"/>
              </w:rPr>
              <w:t xml:space="preserve">, cioè gli archivi muti e gli Stati Zero; fenotipo contro genotipo; l'epigenetica delle prassi non scritte; la filogenesi del caso Moro; e </w:t>
            </w:r>
            <w:r>
              <w:rPr>
                <w:rFonts w:ascii="Barlow Semi Condensed" w:cs="Barlow Semi Condensed" w:eastAsia="Barlow Semi Condensed" w:hAnsi="Barlow Semi Condensed"/>
                <w:b/>
                <w:bCs/>
                <w:sz w:val="20"/>
                <w:szCs w:val="20"/>
              </w:rPr>
              <w:t xml:space="preserve">il limite della metafora</w:t>
            </w:r>
            <w:r>
              <w:rPr>
                <w:rFonts w:ascii="Barlow Semi Condensed" w:cs="Barlow Semi Condensed" w:eastAsia="Barlow Semi Condensed" w:hAnsi="Barlow Semi Condensed"/>
                <w:sz w:val="20"/>
                <w:szCs w:val="20"/>
              </w:rPr>
              <w:t xml:space="preserve">, che è la serie di chiusura e la più importante: </w:t>
            </w:r>
            <w:r>
              <w:rPr>
                <w:rFonts w:ascii="Barlow Semi Condensed" w:cs="Barlow Semi Condensed" w:eastAsia="Barlow Semi Condensed" w:hAnsi="Barlow Semi Condensed"/>
                <w:i/>
                <w:iCs/>
                <w:sz w:val="20"/>
                <w:szCs w:val="20"/>
              </w:rPr>
              <w:t xml:space="preserve">in biologia il carattere si eredita, in storia la responsabilità no</w:t>
            </w:r>
            <w:r>
              <w:rPr>
                <w:rFonts w:ascii="Barlow Semi Condensed" w:cs="Barlow Semi Condensed" w:eastAsia="Barlow Semi Condensed" w:hAnsi="Barlow Semi Condensed"/>
                <w:sz w:val="20"/>
                <w:szCs w:val="20"/>
              </w:rPr>
              <w:t xml:space="preserve">. Vale in ogni blocco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(rapporto documentato · convergenza strutturale · affermazione terziaria): un ponte è reale solo al piano 1. </w:t>
            </w:r>
            <w:r>
              <w:rPr>
                <w:rFonts w:ascii="Barlow Semi Condensed" w:cs="Barlow Semi Condensed" w:eastAsia="Barlow Semi Condensed" w:hAnsi="Barlow Semi Condensed"/>
                <w:b/>
                <w:bCs/>
                <w:sz w:val="20"/>
                <w:szCs w:val="20"/>
              </w:rPr>
              <w:t xml:space="preserve">Kissinger non fu condannato in alcun processo, non fu mai imputato né processato in alcun Paese, e nessun blocco lo indica come responsabile di reato</w:t>
            </w:r>
            <w:r>
              <w:rPr>
                <w:rFonts w:ascii="Barlow Semi Condensed" w:cs="Barlow Semi Condensed" w:eastAsia="Barlow Semi Condensed" w:hAnsi="Barlow Semi Condensed"/>
                <w:sz w:val="20"/>
                <w:szCs w:val="20"/>
              </w:rPr>
              <w:t xml:space="preserve">; il presunto avvertimento del 1974 è registrato come </w:t>
            </w:r>
            <w:r>
              <w:rPr>
                <w:rFonts w:ascii="Barlow Semi Condensed" w:cs="Barlow Semi Condensed" w:eastAsia="Barlow Semi Condensed" w:hAnsi="Barlow Semi Condensed"/>
                <w:b/>
                <w:bCs/>
                <w:sz w:val="20"/>
                <w:szCs w:val="20"/>
              </w:rPr>
              <w:t xml:space="preserve">testimonianza contestata</w:t>
            </w:r>
            <w:r>
              <w:rPr>
                <w:rFonts w:ascii="Barlow Semi Condensed" w:cs="Barlow Semi Condensed" w:eastAsia="Barlow Semi Condensed" w:hAnsi="Barlow Semi Condensed"/>
                <w:sz w:val="20"/>
                <w:szCs w:val="20"/>
              </w:rPr>
              <w:t xml:space="preserve">, con la smentita dell'interessato annotata e con l'accertamento — nuovo per il corpus — che il verbale dello Studio Ovale </w:t>
            </w:r>
            <w:r>
              <w:rPr>
                <w:rFonts w:ascii="Barlow Semi Condensed" w:cs="Barlow Semi Condensed" w:eastAsia="Barlow Semi Condensed" w:hAnsi="Barlow Semi Condensed"/>
                <w:b/>
                <w:bCs/>
                <w:sz w:val="20"/>
                <w:szCs w:val="20"/>
              </w:rPr>
              <w:t xml:space="preserve">non la contiene</w:t>
            </w:r>
            <w:r>
              <w:rPr>
                <w:rFonts w:ascii="Barlow Semi Condensed" w:cs="Barlow Semi Condensed" w:eastAsia="Barlow Semi Condensed" w:hAnsi="Barlow Semi Condensed"/>
                <w:sz w:val="20"/>
                <w:szCs w:val="20"/>
              </w:rPr>
              <w:t xml:space="preserve">. Chiude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in cinque sezioni, con le sette precisazioni sull'avvertimento e il limite dichiarato della campagna di verifica. </w:t>
            </w:r>
            <w:r>
              <w:rPr>
                <w:rFonts w:ascii="Barlow Semi Condensed" w:cs="Barlow Semi Condensed" w:eastAsia="Barlow Semi Condensed" w:hAnsi="Barlow Semi Condensed"/>
                <w:b/>
                <w:bCs/>
                <w:sz w:val="20"/>
                <w:szCs w:val="20"/>
              </w:rPr>
              <w:t xml:space="preserve">SECONDA CAMPAGNA, TERRITORIALE (serie XIV-LXV, blocchi 1.001-4.999).</w:t>
            </w:r>
            <w:r>
              <w:rPr>
                <w:rFonts w:ascii="Barlow Semi Condensed" w:cs="Barlow Semi Condensed" w:eastAsia="Barlow Semi Condensed" w:hAnsi="Barlow Semi Condensed"/>
                <w:sz w:val="20"/>
                <w:szCs w:val="20"/>
              </w:rPr>
              <w:t xml:space="preserve"> Dove la prima campagna applicava una lente al nome, la seconda porta il nome contro </w:t>
            </w:r>
            <w:r>
              <w:rPr>
                <w:rFonts w:ascii="Barlow Semi Condensed" w:cs="Barlow Semi Condensed" w:eastAsia="Barlow Semi Condensed" w:hAnsi="Barlow Semi Condensed"/>
                <w:b/>
                <w:bCs/>
                <w:sz w:val="20"/>
                <w:szCs w:val="20"/>
              </w:rPr>
              <w:t xml:space="preserve">ogni territorio del corpus</w:t>
            </w:r>
            <w:r>
              <w:rPr>
                <w:rFonts w:ascii="Barlow Semi Condensed" w:cs="Barlow Semi Condensed" w:eastAsia="Barlow Semi Condensed" w:hAnsi="Barlow Semi Condensed"/>
                <w:sz w:val="20"/>
                <w:szCs w:val="20"/>
              </w:rPr>
              <w:t xml:space="preserve">, uno per serie, con l'obbligo di leggerlo prima di scriverne: il corpus narrativo (il ritratto, il saggio-cerniera, i cinque studi guevariani, Feltrinelli, il ceppo Simioni, il Tribunale Speciale, gli amnistiati, le questioni aperte, il Portale); il corpus metodologico e giudiziario (il presidio del garante, le metodologie del Dossier, il registro giudiziario, il repertorio, le responsabilità personali, l'apparato dei gradi e </w:t>
            </w:r>
            <w:r>
              <w:rPr>
                <w:rFonts w:ascii="Barlow Semi Condensed" w:cs="Barlow Semi Condensed" w:eastAsia="Barlow Semi Condensed" w:hAnsi="Barlow Semi Condensed"/>
                <w:b/>
                <w:bCs/>
                <w:sz w:val="20"/>
                <w:szCs w:val="20"/>
              </w:rPr>
              <w:t xml:space="preserve">le sette ricognizioni della Farnesina</w:t>
            </w:r>
            <w:r>
              <w:rPr>
                <w:rFonts w:ascii="Barlow Semi Condensed" w:cs="Barlow Semi Condensed" w:eastAsia="Barlow Semi Condensed" w:hAnsi="Barlow Semi Condensed"/>
                <w:sz w:val="20"/>
                <w:szCs w:val="20"/>
              </w:rPr>
              <w:t xml:space="preserve">, unico territorio dove i ponti di piano 1 esistono davvero); </w:t>
            </w:r>
            <w:r>
              <w:rPr>
                <w:rFonts w:ascii="Barlow Semi Condensed" w:cs="Barlow Semi Condensed" w:eastAsia="Barlow Semi Condensed" w:hAnsi="Barlow Semi Condensed"/>
                <w:b/>
                <w:bCs/>
                <w:sz w:val="20"/>
                <w:szCs w:val="20"/>
              </w:rPr>
              <w:t xml:space="preserve">l'intera quadriga investigativa</w:t>
            </w:r>
            <w:r>
              <w:rPr>
                <w:rFonts w:ascii="Barlow Semi Condensed" w:cs="Barlow Semi Condensed" w:eastAsia="Barlow Semi Condensed" w:hAnsi="Barlow Semi Condensed"/>
                <w:sz w:val="20"/>
                <w:szCs w:val="20"/>
              </w:rPr>
              <w:t xml:space="preserve"> letta blocco per blocco, col Libro quattordicesimo e con la rilettura esterna delle prime tredici serie; e le </w:t>
            </w:r>
            <w:r>
              <w:rPr>
                <w:rFonts w:ascii="Barlow Semi Condensed" w:cs="Barlow Semi Condensed" w:eastAsia="Barlow Semi Condensed" w:hAnsi="Barlow Semi Condensed"/>
                <w:b/>
                <w:bCs/>
                <w:sz w:val="20"/>
                <w:szCs w:val="20"/>
              </w:rPr>
              <w:t xml:space="preserve">cerniere e i censimenti</w:t>
            </w:r>
            <w:r>
              <w:rPr>
                <w:rFonts w:ascii="Barlow Semi Condensed" w:cs="Barlow Semi Condensed" w:eastAsia="Barlow Semi Condensed" w:hAnsi="Barlow Semi Condensed"/>
                <w:sz w:val="20"/>
                <w:szCs w:val="20"/>
              </w:rPr>
              <w:t xml:space="preserve"> — cronologia, geografia, istituzioni, archivi, fonti orali, criteri di falsificazione, numeri, lingue, e i tre censimenti che l'opera non aveva: </w:t>
            </w:r>
            <w:r>
              <w:rPr>
                <w:rFonts w:ascii="Barlow Semi Condensed" w:cs="Barlow Semi Condensed" w:eastAsia="Barlow Semi Condensed" w:hAnsi="Barlow Semi Condensed"/>
                <w:b/>
                <w:bCs/>
                <w:sz w:val="20"/>
                <w:szCs w:val="20"/>
              </w:rPr>
              <w:t xml:space="preserve">gli Stati Zero, le divergenze non sciolte, i ponti di piano 1</w:t>
            </w:r>
            <w:r>
              <w:rPr>
                <w:rFonts w:ascii="Barlow Semi Condensed" w:cs="Barlow Semi Condensed" w:eastAsia="Barlow Semi Condensed" w:hAnsi="Barlow Semi Condensed"/>
                <w:sz w:val="20"/>
                <w:szCs w:val="20"/>
              </w:rPr>
              <w:t xml:space="preserve">. Ogni serie tiene distinte quattro domande: dove il nome compare e con quale piano; dove il territorio tocca la cornice senza toccare il nome; dove circola un'affermazione terziaria che quel territorio non sostiene; e dove si dovrebbe cercare e nessuno ha cercato. Chiude l'</w:t>
            </w:r>
            <w:r>
              <w:rPr>
                <w:rFonts w:ascii="Barlow Semi Condensed" w:cs="Barlow Semi Condensed" w:eastAsia="Barlow Semi Condensed" w:hAnsi="Barlow Semi Condensed"/>
                <w:b/>
                <w:bCs/>
                <w:sz w:val="20"/>
                <w:szCs w:val="20"/>
              </w:rPr>
              <w:t xml:space="preserve">Apparato L</w:t>
            </w:r>
            <w:r>
              <w:rPr>
                <w:rFonts w:ascii="Barlow Semi Condensed" w:cs="Barlow Semi Condensed" w:eastAsia="Barlow Semi Condensed" w:hAnsi="Barlow Semi Condensed"/>
                <w:sz w:val="20"/>
                <w:szCs w:val="20"/>
              </w:rPr>
              <w:t xml:space="preserve">, che registra i due esiti che il corpus deve recepire: la distinzione fra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che si predica di una ricerca condotta in una sede nominata — e </w:t>
            </w: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 che si predica del perimetro di un testo, correzione sollevata da un agente di ricerca contro l'istruzione ricevuta; e </w:t>
            </w:r>
            <w:r>
              <w:rPr>
                <w:rFonts w:ascii="Barlow Semi Condensed" w:cs="Barlow Semi Condensed" w:eastAsia="Barlow Semi Condensed" w:hAnsi="Barlow Semi Condensed"/>
                <w:b/>
                <w:bCs/>
                <w:sz w:val="20"/>
                <w:szCs w:val="20"/>
              </w:rPr>
              <w:t xml:space="preserve">l'asimmetria atlantica</w:t>
            </w:r>
            <w:r>
              <w:rPr>
                <w:rFonts w:ascii="Barlow Semi Condensed" w:cs="Barlow Semi Condensed" w:eastAsia="Barlow Semi Condensed" w:hAnsi="Barlow Semi Condensed"/>
                <w:sz w:val="20"/>
                <w:szCs w:val="20"/>
              </w:rPr>
              <w:t xml:space="preserve"> del versante di ricerca, che ha tre cantieri d'archivio alleato (Londra 17 menzioni, Parigi 23, Bonn 17) e non il quarto (Washington 7), in un caso il cui nodo più contestato è per definizione americano. La raccomandazione è operativa: un cantiere atlantico con la stessa griglia degli altri tre. </w:t>
            </w:r>
            <w:r>
              <w:rPr>
                <w:rFonts w:ascii="Barlow Semi Condensed" w:cs="Barlow Semi Condensed" w:eastAsia="Barlow Semi Condensed" w:hAnsi="Barlow Semi Condensed"/>
                <w:b/>
                <w:bCs/>
                <w:sz w:val="20"/>
                <w:szCs w:val="20"/>
              </w:rPr>
              <w:t xml:space="preserve">Sono 4.999 blocchi e non cinquemila, e il numero non si arrotonda.</w:t>
            </w:r>
            <w:r>
              <w:rPr>
                <w:rFonts w:ascii="Barlow Semi Condensed" w:cs="Barlow Semi Condensed" w:eastAsia="Barlow Semi Condensed" w:hAnsi="Barlow Semi Condensed"/>
                <w:sz w:val="20"/>
                <w:szCs w:val="20"/>
              </w:rPr>
              <w:t xml:space="preserv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il-meridiano-e-la-valle-mille-blocchi.md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MERIDIANO E LA VALLE» — DAL SUD AFRICA DELL'APARTHEID ALLA PAYPAL MAFIA.</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1.000 blocchi mirati di ricerca</w:t>
            </w:r>
            <w:r>
              <w:rPr>
                <w:rFonts w:ascii="Barlow Semi Condensed" w:cs="Barlow Semi Condensed" w:eastAsia="Barlow Semi Condensed" w:hAnsi="Barlow Semi Condensed"/>
                <w:sz w:val="20"/>
                <w:szCs w:val="20"/>
              </w:rPr>
              <w:t xml:space="preserve"> e tredici serie, </w:t>
            </w:r>
            <w:r>
              <w:rPr>
                <w:rFonts w:ascii="Barlow Semi Condensed" w:cs="Barlow Semi Condensed" w:eastAsia="Barlow Semi Condensed" w:hAnsi="Barlow Semi Condensed"/>
                <w:b/>
                <w:bCs/>
                <w:sz w:val="20"/>
                <w:szCs w:val="20"/>
              </w:rPr>
              <w:t xml:space="preserve">Libro quattordicesimo dell'Opera integrale</w:t>
            </w:r>
            <w:r>
              <w:rPr>
                <w:rFonts w:ascii="Barlow Semi Condensed" w:cs="Barlow Semi Condensed" w:eastAsia="Barlow Semi Condensed" w:hAnsi="Barlow Semi Condensed"/>
                <w:sz w:val="20"/>
                <w:szCs w:val="20"/>
              </w:rPr>
              <w:t xml:space="preserve">, costruita sulla chiave di continuità indicata dall'autore e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 e, novità di quest'opera, come </w:t>
            </w:r>
            <w:r>
              <w:rPr>
                <w:rFonts w:ascii="Barlow Semi Condensed" w:cs="Barlow Semi Condensed" w:eastAsia="Barlow Semi Condensed" w:hAnsi="Barlow Semi Condensed"/>
                <w:b/>
                <w:bCs/>
                <w:sz w:val="20"/>
                <w:szCs w:val="20"/>
              </w:rPr>
              <w:t xml:space="preserve">ipotesi da mettere alla prova e non premessa da illustrare</w:t>
            </w:r>
            <w:r>
              <w:rPr>
                <w:rFonts w:ascii="Barlow Semi Condensed" w:cs="Barlow Semi Condensed" w:eastAsia="Barlow Semi Condensed" w:hAnsi="Barlow Semi Condensed"/>
                <w:sz w:val="20"/>
                <w:szCs w:val="20"/>
              </w:rPr>
              <w:t xml:space="preserve">: ogni serie porta i propri </w:t>
            </w:r>
            <w:r>
              <w:rPr>
                <w:rFonts w:ascii="Barlow Semi Condensed" w:cs="Barlow Semi Condensed" w:eastAsia="Barlow Semi Condensed" w:hAnsi="Barlow Semi Condensed"/>
                <w:b/>
                <w:bCs/>
                <w:sz w:val="20"/>
                <w:szCs w:val="20"/>
              </w:rPr>
              <w:t xml:space="preserve">bersagli di smentita</w:t>
            </w:r>
            <w:r>
              <w:rPr>
                <w:rFonts w:ascii="Barlow Semi Condensed" w:cs="Barlow Semi Condensed" w:eastAsia="Barlow Semi Condensed" w:hAnsi="Barlow Semi Condensed"/>
                <w:sz w:val="20"/>
                <w:szCs w:val="20"/>
              </w:rPr>
              <w:t xml:space="preserve">. Le tredici serie: lo statuto e il metodo; l'anagrafe verificabile persona per persona; la cornice istituzionale del Sud Africa e dell'Africa del Sud-Ovest (Population Registration Act, risoluzione ONU 2145 del 1966, parere della Corte internazionale di giustizia del 1971, Decreto n. 1 del 1974, Truth and Reconciliation Commission); i lignaggi, con il caso </w:t>
            </w:r>
            <w:r>
              <w:rPr>
                <w:rFonts w:ascii="Barlow Semi Condensed" w:cs="Barlow Semi Condensed" w:eastAsia="Barlow Semi Condensed" w:hAnsi="Barlow Semi Condensed"/>
                <w:b/>
                <w:bCs/>
                <w:sz w:val="20"/>
                <w:szCs w:val="20"/>
              </w:rPr>
              <w:t xml:space="preserve">piano 1</w:t>
            </w:r>
            <w:r>
              <w:rPr>
                <w:rFonts w:ascii="Barlow Semi Condensed" w:cs="Barlow Semi Condensed" w:eastAsia="Barlow Semi Condensed" w:hAnsi="Barlow Semi Condensed"/>
                <w:sz w:val="20"/>
                <w:szCs w:val="20"/>
              </w:rPr>
              <w:t xml:space="preserve"> di Roelof Botha nipote di </w:t>
            </w:r>
            <w:r>
              <w:rPr>
                <w:rFonts w:ascii="Barlow Semi Condensed" w:cs="Barlow Semi Condensed" w:eastAsia="Barlow Semi Condensed" w:hAnsi="Barlow Semi Condensed"/>
                <w:b/>
                <w:bCs/>
                <w:sz w:val="20"/>
                <w:szCs w:val="20"/>
              </w:rPr>
              <w:t xml:space="preserve">Pik Botha</w:t>
            </w:r>
            <w:r>
              <w:rPr>
                <w:rFonts w:ascii="Barlow Semi Condensed" w:cs="Barlow Semi Condensed" w:eastAsia="Barlow Semi Condensed" w:hAnsi="Barlow Semi Condensed"/>
                <w:sz w:val="20"/>
                <w:szCs w:val="20"/>
              </w:rPr>
              <w:t xml:space="preserve"> — e l'avvertenza che Pik Botha non era parente di P.W. Botha, l'errore più diffuso della materia; le materie prime (gli smeraldi attribuiti a Errol Musk come caso di scuola della </w:t>
            </w:r>
            <w:r>
              <w:rPr>
                <w:rFonts w:ascii="Barlow Semi Condensed" w:cs="Barlow Semi Condensed" w:eastAsia="Barlow Semi Condensed" w:hAnsi="Barlow Semi Condensed"/>
                <w:b/>
                <w:bCs/>
                <w:sz w:val="20"/>
                <w:szCs w:val="20"/>
              </w:rPr>
              <w:t xml:space="preserve">divergenza irrisolta</w:t>
            </w:r>
            <w:r>
              <w:rPr>
                <w:rFonts w:ascii="Barlow Semi Condensed" w:cs="Barlow Semi Condensed" w:eastAsia="Barlow Semi Condensed" w:hAnsi="Barlow Semi Condensed"/>
                <w:sz w:val="20"/>
                <w:szCs w:val="20"/>
              </w:rPr>
              <w:t xml:space="preserve">, l'uranio di Rössing, oro e platino); l'embargo e le vie d'aggiramento; le rotte migratorie e le naturalizzazioni; la formazione e la coscrizione; la valle, cioè PayPal letta sui depositi societari; le dottrine e le loro genealogie; il denaro e le giurisdizioni, la serie con più Stati Zero; la critica delle fonti; e </w:t>
            </w:r>
            <w:r>
              <w:rPr>
                <w:rFonts w:ascii="Barlow Semi Condensed" w:cs="Barlow Semi Condensed" w:eastAsia="Barlow Semi Condensed" w:hAnsi="Barlow Semi Condensed"/>
                <w:b/>
                <w:bCs/>
                <w:sz w:val="20"/>
                <w:szCs w:val="20"/>
              </w:rPr>
              <w:t xml:space="preserve">il limite: la colpa non si eredita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Nessuna delle persone nominate è indicata come responsabile di reato o di illecito</w:t>
            </w:r>
            <w:r>
              <w:rPr>
                <w:rFonts w:ascii="Barlow Semi Condensed" w:cs="Barlow Semi Condensed" w:eastAsia="Barlow Semi Condensed" w:hAnsi="Barlow Semi Condensed"/>
                <w:sz w:val="20"/>
                <w:szCs w:val="20"/>
              </w:rPr>
              <w:t xml:space="preserve">, e nessuna risulta condannata: i nomi compaiono solo per fatti pubblici e documentabili. Vale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 un ponte è reale solo al piano 1 — e la distinzione fra omologia e analogia. Il raccordo con l'opera-madre è </w:t>
            </w:r>
            <w:r>
              <w:rPr>
                <w:rFonts w:ascii="Barlow Semi Condensed" w:cs="Barlow Semi Condensed" w:eastAsia="Barlow Semi Condensed" w:hAnsi="Barlow Semi Condensed"/>
                <w:b/>
                <w:bCs/>
                <w:sz w:val="20"/>
                <w:szCs w:val="20"/>
              </w:rPr>
              <w:t xml:space="preserve">tematico e non documentale</w:t>
            </w:r>
            <w:r>
              <w:rPr>
                <w:rFonts w:ascii="Barlow Semi Condensed" w:cs="Barlow Semi Condensed" w:eastAsia="Barlow Semi Condensed" w:hAnsi="Barlow Semi Condensed"/>
                <w:sz w:val="20"/>
                <w:szCs w:val="20"/>
              </w:rPr>
              <w:t xml:space="preserve">, dichiarato in copertina: l'unico ponte documentato che il corpus possiede col tema è il nodo </w:t>
            </w:r>
            <w:r>
              <w:rPr>
                <w:rFonts w:ascii="Barlow Semi Condensed" w:cs="Barlow Semi Condensed" w:eastAsia="Barlow Semi Condensed" w:hAnsi="Barlow Semi Condensed"/>
                <w:b/>
                <w:bCs/>
                <w:sz w:val="20"/>
                <w:szCs w:val="20"/>
              </w:rPr>
              <w:t xml:space="preserve">E-16</w:t>
            </w:r>
            <w:r>
              <w:rPr>
                <w:rFonts w:ascii="Barlow Semi Condensed" w:cs="Barlow Semi Condensed" w:eastAsia="Barlow Semi Condensed" w:hAnsi="Barlow Semi Condensed"/>
                <w:sz w:val="20"/>
                <w:szCs w:val="20"/>
              </w:rPr>
              <w:t xml:space="preserve"> della triangolazione Guevara-Moro, il discorso alle Nazioni Unite dell'</w:t>
            </w:r>
            <w:r>
              <w:rPr>
                <w:rFonts w:ascii="Barlow Semi Condensed" w:cs="Barlow Semi Condensed" w:eastAsia="Barlow Semi Condensed" w:hAnsi="Barlow Semi Condensed"/>
                <w:b/>
                <w:bCs/>
                <w:sz w:val="20"/>
                <w:szCs w:val="20"/>
              </w:rPr>
              <w:t xml:space="preserve">11 dicembre 1964</w:t>
            </w:r>
            <w:r>
              <w:rPr>
                <w:rFonts w:ascii="Barlow Semi Condensed" w:cs="Barlow Semi Condensed" w:eastAsia="Barlow Semi Condensed" w:hAnsi="Barlow Semi Condensed"/>
                <w:sz w:val="20"/>
                <w:szCs w:val="20"/>
              </w:rPr>
              <w:t xml:space="preserve">. Escluse come fonti </w:t>
            </w:r>
            <w:r>
              <w:rPr>
                <w:rFonts w:ascii="Barlow Semi Condensed" w:cs="Barlow Semi Condensed" w:eastAsia="Barlow Semi Condensed" w:hAnsi="Barlow Semi Condensed"/>
                <w:i/>
                <w:iCs/>
                <w:sz w:val="20"/>
                <w:szCs w:val="20"/>
              </w:rPr>
              <w:t xml:space="preserve">il manifesto</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Grokipedia</w:t>
            </w:r>
            <w:r>
              <w:rPr>
                <w:rFonts w:ascii="Barlow Semi Condensed" w:cs="Barlow Semi Condensed" w:eastAsia="Barlow Semi Condensed" w:hAnsi="Barlow Semi Condensed"/>
                <w:sz w:val="20"/>
                <w:szCs w:val="20"/>
              </w:rPr>
              <w:t xml:space="preserve">, quest'ultima anche perché parte in causa sul tema. Una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IL_DITTICO_DELLA_RICERCA_AGENDA_E_NOVE_CANTIERI.docx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.pdf`](IL_DITTICO_DELLA_RICERCA_AGENDA_E_NOVE_CANTIERI.pdf)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dittico della ricerca — volume rilegato del versante di ricerca della quadriga, in doppia edizione DOCX e PDF.</w:t>
            </w:r>
            <w:r>
              <w:rPr>
                <w:rFonts w:ascii="Barlow Semi Condensed" w:cs="Barlow Semi Condensed" w:eastAsia="Barlow Semi Condensed" w:hAnsi="Barlow Semi Condensed"/>
                <w:sz w:val="20"/>
                <w:szCs w:val="20"/>
              </w:rPr>
              <w:t xml:space="preserve"> Parte prima: l'agenda di ricerca in 300 blocchi mirati (dodici serie con statuto, l'Apparato V-1…V-12). Parte seconda: i nove cantieri in 1.000 blocchi mirati (nove Parti con statuto, l'Apparato C-1…C-9). Milletrecento bersagli documentali in un solo dorso; il gemello operativo (programma + manuale) resta rilegato nel volume del fascicolo aperto. DOCX verificato (1.433 paragrafi, zero residui); </w:t>
            </w:r>
            <w:r>
              <w:rPr>
                <w:rFonts w:ascii="Barlow Semi Condensed" w:cs="Barlow Semi Condensed" w:eastAsia="Barlow Semi Condensed" w:hAnsi="Barlow Semi Condensed"/>
                <w:b/>
                <w:bCs/>
                <w:sz w:val="20"/>
                <w:szCs w:val="20"/>
              </w:rPr>
              <w:t xml:space="preserve">PDF di 134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note-bibliografiche-opera-integrale.md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L'apparato delle note bibliografiche dell'opera integrale — dalla prima all'ultima</w:t>
            </w:r>
            <w:r>
              <w:rPr>
                <w:rFonts w:ascii="Barlow Semi Condensed" w:cs="Barlow Semi Condensed" w:eastAsia="Barlow Semi Condensed" w:hAnsi="Barlow Semi Condensed"/>
                <w:sz w:val="20"/>
                <w:szCs w:val="20"/>
              </w:rPr>
              <w:t xml:space="preserve">: il censimento meccanico e integrale di tutti gli indirizzi citati nei 35 capitoli (283 indirizzi distinti per 416 citazioni complessive su 139 domini), numerati in ordine di apparizione e registrati sotto il capitolo della prima citazione, con le ripetizioni contate; inclusi gli indirizzi citati in forma semplice senza collegamento (lo stile dell'agenda e dei cantieri). Con il riepilogo dei domini più citati. Generato dai testi e rigenerabile con essi: non una bibliografia selettiva ma l'impronta documentale dell'opera — 283 porte aperte alla verifica. Rilegato come Apparato conclusivo dell'OPERA INTEGRALE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Cartella: la dimensione diplomatica dello statista.</w:t>
            </w:r>
            <w:r>
              <w:rPr>
                <w:rFonts w:ascii="Barlow Semi Condensed" w:cs="Barlow Semi Condensed" w:eastAsia="Barlow Semi Condensed" w:hAnsi="Barlow Semi Condensed"/>
                <w:sz w:val="20"/>
                <w:szCs w:val="20"/>
              </w:rPr>
              <w:t xml:space="preserve"> Aldo Moro ministro degli Esteri (1969-1974) come complemento documentale della Fase ottava. Contiene: la ricognizione-madre in dodici capitoli (i due mandati, la dottrina dell'equilibrio,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i versanti libico e mediterraneo, CSCE); quattro versanti nazionali che verificano una proposizione confutabile sull'insediamento dell'Opus Dei — </w:t>
            </w:r>
            <w:r>
              <w:rPr>
                <w:rFonts w:ascii="Barlow Semi Condensed" w:cs="Barlow Semi Condensed" w:eastAsia="Barlow Semi Condensed" w:hAnsi="Barlow Semi Condensed"/>
                <w:b/>
                <w:bCs/>
                <w:sz w:val="20"/>
                <w:szCs w:val="20"/>
              </w:rPr>
              <w:t xml:space="preserve">Germania</w:t>
            </w:r>
            <w:r>
              <w:rPr>
                <w:rFonts w:ascii="Barlow Semi Condensed" w:cs="Barlow Semi Condensed" w:eastAsia="Barlow Semi Condensed" w:hAnsi="Barlow Semi Condensed"/>
                <w:sz w:val="20"/>
                <w:szCs w:val="20"/>
              </w:rPr>
              <w:t xml:space="preserve"> (presenza dal 1952) e </w:t>
            </w:r>
            <w:r>
              <w:rPr>
                <w:rFonts w:ascii="Barlow Semi Condensed" w:cs="Barlow Semi Condensed" w:eastAsia="Barlow Semi Condensed" w:hAnsi="Barlow Semi Condensed"/>
                <w:b/>
                <w:bCs/>
                <w:sz w:val="20"/>
                <w:szCs w:val="20"/>
              </w:rPr>
              <w:t xml:space="preserve">Portogallo</w:t>
            </w:r>
            <w:r>
              <w:rPr>
                <w:rFonts w:ascii="Barlow Semi Condensed" w:cs="Barlow Semi Condensed" w:eastAsia="Barlow Semi Condensed" w:hAnsi="Barlow Semi Condensed"/>
                <w:sz w:val="20"/>
                <w:szCs w:val="20"/>
              </w:rPr>
              <w:t xml:space="preserve"> (presenza dal 1945, «Stato Zero» su Moro) contro </w:t>
            </w:r>
            <w:r>
              <w:rPr>
                <w:rFonts w:ascii="Barlow Semi Condensed" w:cs="Barlow Semi Condensed" w:eastAsia="Barlow Semi Condensed" w:hAnsi="Barlow Semi Condensed"/>
                <w:b/>
                <w:bCs/>
                <w:sz w:val="20"/>
                <w:szCs w:val="20"/>
              </w:rPr>
              <w:t xml:space="preserve">Grecia</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Turchia</w:t>
            </w:r>
            <w:r>
              <w:rPr>
                <w:rFonts w:ascii="Barlow Semi Condensed" w:cs="Barlow Semi Condensed" w:eastAsia="Barlow Semi Condensed" w:hAnsi="Barlow Semi Condensed"/>
                <w:sz w:val="20"/>
                <w:szCs w:val="20"/>
              </w:rPr>
              <w:t xml:space="preserve"> («Stato Zero»), ciascuno col rispettivo versante moroteo (Ostpolitik e Moro-Brandt/Scheel; Grecia dei colonnelli e Consiglio d'Europa 1969; Accordo provvisorio CEE-Turchia firmato da Moro il 27/7/1971; Cipro 1974, embargo, oppiacei, Halki); il dossier </w:t>
            </w:r>
            <w:r>
              <w:rPr>
                <w:rFonts w:ascii="Barlow Semi Condensed" w:cs="Barlow Semi Condensed" w:eastAsia="Barlow Semi Condensed" w:hAnsi="Barlow Semi Condensed"/>
                <w:b/>
                <w:bCs/>
                <w:sz w:val="20"/>
                <w:szCs w:val="20"/>
              </w:rPr>
              <w:t xml:space="preserve">Santa Sede-Turchia e l'attentato del 13/5/1981 a Giovanni Paolo II</w:t>
            </w:r>
            <w:r>
              <w:rPr>
                <w:rFonts w:ascii="Barlow Semi Condensed" w:cs="Barlow Semi Condensed" w:eastAsia="Barlow Semi Condensed" w:hAnsi="Barlow Semi Condensed"/>
                <w:sz w:val="20"/>
                <w:szCs w:val="20"/>
              </w:rPr>
              <w:t xml:space="preserve"> (pista bulgara giudizialmente non provata; «appartenenza ≠ condotta» per i Lupi Grigi); una nota che estrae dall'OCR i </w:t>
            </w:r>
            <w:r>
              <w:rPr>
                <w:rFonts w:ascii="Barlow Semi Condensed" w:cs="Barlow Semi Condensed" w:eastAsia="Barlow Semi Condensed" w:hAnsi="Barlow Semi Condensed"/>
                <w:b/>
                <w:bCs/>
                <w:sz w:val="20"/>
                <w:szCs w:val="20"/>
              </w:rPr>
              <w:t xml:space="preserve">documenti del Dipartimento di Stato USA</w:t>
            </w:r>
            <w:r>
              <w:rPr>
                <w:rFonts w:ascii="Barlow Semi Condensed" w:cs="Barlow Semi Condensed" w:eastAsia="Barlow Semi Condensed" w:hAnsi="Barlow Semi Condensed"/>
                <w:sz w:val="20"/>
                <w:szCs w:val="20"/>
              </w:rPr>
              <w:t xml:space="preserve"> — la visita ufficiale del 1965 (Johnson, ONU, cittadinanza di Philadelphia) e i cablogrammi del 1978 (Montoneros, reazioni alla morte). Le tre firme convergenti (Moro, Santa Sede, Turchia) sull'Atto finale di Helsinki come triangolazione certa. </w:t>
            </w:r>
            <w:r>
              <w:rPr>
                <w:rFonts w:ascii="Barlow Semi Condensed" w:cs="Barlow Semi Condensed" w:eastAsia="Barlow Semi Condensed" w:hAnsi="Barlow Semi Condensed"/>
                <w:b/>
                <w:bCs/>
                <w:sz w:val="20"/>
                <w:szCs w:val="20"/>
              </w:rPr>
              <w:t xml:space="preserve">Seconda campagna (25 agosto 2026): tre ricognizioni nuove</w:t>
            </w:r>
            <w:r>
              <w:rPr>
                <w:rFonts w:ascii="Barlow Semi Condensed" w:cs="Barlow Semi Condensed" w:eastAsia="Barlow Semi Condensed" w:hAnsi="Barlow Semi Condensed"/>
                <w:sz w:val="20"/>
                <w:szCs w:val="20"/>
              </w:rPr>
              <w:t xml:space="preserve"> — i documenti di Stato italiani e spagnoli con l'Opus Dei come soggetto storico (documento CIA del 22/5/1970; la frase anonima sull'«Italian official» </w:t>
            </w:r>
            <w:r>
              <w:rPr>
                <w:rFonts w:ascii="Barlow Semi Condensed" w:cs="Barlow Semi Condensed" w:eastAsia="Barlow Semi Condensed" w:hAnsi="Barlow Semi Condensed"/>
                <w:b/>
                <w:bCs/>
                <w:sz w:val="20"/>
                <w:szCs w:val="20"/>
              </w:rPr>
              <w:t xml:space="preserve">non attribuibile a Moro</w:t>
            </w:r>
            <w:r>
              <w:rPr>
                <w:rFonts w:ascii="Barlow Semi Condensed" w:cs="Barlow Semi Condensed" w:eastAsia="Barlow Semi Condensed" w:hAnsi="Barlow Semi Condensed"/>
                <w:sz w:val="20"/>
                <w:szCs w:val="20"/>
              </w:rPr>
              <w:t xml:space="preserve">; Stato Zero sul contatto diretto coi ministri spagnoli); la Santa Sede e le due Germanie con l'</w:t>
            </w:r>
            <w:r>
              <w:rPr>
                <w:rFonts w:ascii="Barlow Semi Condensed" w:cs="Barlow Semi Condensed" w:eastAsia="Barlow Semi Condensed" w:hAnsi="Barlow Semi Condensed"/>
                <w:b/>
                <w:bCs/>
                <w:sz w:val="20"/>
                <w:szCs w:val="20"/>
              </w:rPr>
              <w:t xml:space="preserve">accertamento della sequenza Oder-Neisse</w:t>
            </w:r>
            <w:r>
              <w:rPr>
                <w:rFonts w:ascii="Barlow Semi Condensed" w:cs="Barlow Semi Condensed" w:eastAsia="Barlow Semi Condensed" w:hAnsi="Barlow Semi Condensed"/>
                <w:sz w:val="20"/>
                <w:szCs w:val="20"/>
              </w:rPr>
              <w:t xml:space="preserve"> (costituzioni apostoliche del 28/6/1972, venticinque giorni dopo l'entrata in vigore del Trattato di Varsavia, col nesso attestato dalla comunicazione vaticana e non dalla sola prossimità); il Portogallo e la Santa Sede (udienza di Paolo VI dell'1/7/1970, Wiriyamu, espulsione dei comboniani del 13/4/1974, </w:t>
            </w:r>
            <w:r>
              <w:rPr>
                <w:rFonts w:ascii="Barlow Semi Condensed" w:cs="Barlow Semi Condensed" w:eastAsia="Barlow Semi Condensed" w:hAnsi="Barlow Semi Condensed"/>
                <w:b/>
                <w:bCs/>
                <w:sz w:val="20"/>
                <w:szCs w:val="20"/>
              </w:rPr>
              <w:t xml:space="preserve">nessun atto italiano reperito</w:t>
            </w:r>
            <w:r>
              <w:rPr>
                <w:rFonts w:ascii="Barlow Semi Condensed" w:cs="Barlow Semi Condensed" w:eastAsia="Barlow Semi Condensed" w:hAnsi="Barlow Semi Condensed"/>
                <w:sz w:val="20"/>
                <w:szCs w:val="20"/>
              </w:rPr>
              <w:t xml:space="preserve">) — e il </w:t>
            </w:r>
            <w:r>
              <w:rPr>
                <w:rFonts w:ascii="Barlow Semi Condensed" w:cs="Barlow Semi Condensed" w:eastAsia="Barlow Semi Condensed" w:hAnsi="Barlow Semi Condensed"/>
                <w:b/>
                <w:bCs/>
                <w:sz w:val="20"/>
                <w:szCs w:val="20"/>
              </w:rPr>
              <w:t xml:space="preserve">verbale delle sei letture incrociate</w:t>
            </w:r>
            <w:r>
              <w:rPr>
                <w:rFonts w:ascii="Barlow Semi Condensed" w:cs="Barlow Semi Condensed" w:eastAsia="Barlow Semi Condensed" w:hAnsi="Barlow Semi Condensed"/>
                <w:sz w:val="20"/>
                <w:szCs w:val="20"/>
              </w:rPr>
              <w:t xml:space="preserve"> in `</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i/>
                <w:iCs/>
                <w:sz w:val="20"/>
                <w:szCs w:val="20"/>
              </w:rPr>
              <w:t xml:space="preserve">, con quindici acquisizioni, cinque correzioni (due dal corpus verso i documenti nuovi), otto divergenze lasciate aperte, sei Stati Zero condivisi e **tre correzioni imposte alla quadriga investigativa**. Con </w:t>
            </w:r>
            <w:r>
              <w:rPr>
                <w:rFonts w:ascii="Barlow Semi Condensed" w:cs="Barlow Semi Condensed" w:eastAsia="Barlow Semi Condensed" w:hAnsi="Barlow Semi Condensed"/>
                <w:sz w:val="20"/>
                <w:szCs w:val="20"/>
              </w:rPr>
              <w:t xml:space="preserve">manifest-sha256.txt` (catena di custodia, due file Germania identici deduplicati). Nessuna imputazione oltre il giudicato; esiti negativi dichiarati come acquisizioni di pieno 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ALDO_MORO_UNA_GUERRA_SENZA_FINE_OPERA_COMPLETA.docx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.pdf`](ALDO_MORO_UNA_GUERRA_SENZA_FINE_OPERA_COMPLETA.pdf) (57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integrale rilegato dell'intera opera</w:t>
            </w:r>
            <w:r>
              <w:rPr>
                <w:rFonts w:ascii="Barlow Semi Condensed" w:cs="Barlow Semi Condensed" w:eastAsia="Barlow Semi Condensed" w:hAnsi="Barlow Semi Condensed"/>
                <w:sz w:val="20"/>
                <w:szCs w:val="20"/>
              </w:rPr>
              <w:t xml:space="preserve"> su Moro, nell'ordine di lettura consigliato: Fase ottava (il ritratto), «Dal Che a Moro» (il saggio-cerniera con la Parte quarta pastiche dichiarato), Parte terza (il dossier delle questioni aperte), Fase sesta (il presidio del garante), Fase settima (il registro giudiziario), Fase nona (il repertorio), Fase decima (il principio personalistico: le responsabilità dei singoli, mai dei gruppi), Apparato dei gradi (indice analitico, in appendice). Frontespizio con l'ordine dell'opera e la disciplina dei gradi, indice, Barlow Semi Condensed 12, testo interamente giustificato. Verificato (45 H1, 10 tabelle). L'uomo al principio; nessuna imputazione oltre il giudicato; la graduatoria non riprodotta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ALDO_MORO_UNA_GUERRA_SENZA_FINE_TRE_NUOVE_FASI.docx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.pdf`](ALDO_MORO_UNA_GUERRA_SENZA_FINE_TRE_NUOVE_FASI.pdf) (26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 tre continuazioni più recenti dell'opera (capp. 56-76): Fase ottava (il ritratto dell'uomo), Fase settima (il registro giudiziario), Fase nona (il repertorio del caso). Frontespizio con l'ordine di lettura e la disciplina dei gradi, indice, Barlow Semi Condensed 12, testo interamente giustificato, fonti con indirizzi. Verificato strutturalmente (26 H1, 3 tabelle)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ALDO_MORO_UNA_GUERRA_SENZA_FINE_TRE_CONTINUAZIONI.docx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.pdf`](ALDO_MORO_UNA_GUERRA_SENZA_FINE_TRE_CONTINUAZIONI.pdf) (20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delle tre continuazioni originali dell'opera (Il ritorno del Pollo di Popper · Il presidio del garante · L'apparato dei gradi), in doppia edizione DOCX e PDF, Barlow Semi Condensed 12, testo interamente giustificato. Verificato strutturalmente (13 H1, 5 tabelle). Nessuna persona indicata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ALDO_MORO_MINISTRO_DEGLI_ESTERI_LA_DIMENSIONE_DIPLOMATICA.docx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.pdf`](ALDO_MORO_MINISTRO_DEGLI_ESTERI_LA_DIMENSIONE_DIPLOMATICA.pdf) (145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cartella ``moro-ministro-esteri/``</w:t>
            </w:r>
            <w:r>
              <w:rPr>
                <w:rFonts w:ascii="Barlow Semi Condensed" w:cs="Barlow Semi Condensed" w:eastAsia="Barlow Semi Condensed" w:hAnsi="Barlow Semi Condensed"/>
                <w:sz w:val="20"/>
                <w:szCs w:val="20"/>
              </w:rPr>
              <w:t xml:space="preserve">: la dimensione diplomatica dello statista in </w:t>
            </w:r>
            <w:r>
              <w:rPr>
                <w:rFonts w:ascii="Barlow Semi Condensed" w:cs="Barlow Semi Condensed" w:eastAsia="Barlow Semi Condensed" w:hAnsi="Barlow Semi Condensed"/>
                <w:b/>
                <w:bCs/>
                <w:sz w:val="20"/>
                <w:szCs w:val="20"/>
              </w:rPr>
              <w:t xml:space="preserve">undici parti</w:t>
            </w:r>
            <w:r>
              <w:rPr>
                <w:rFonts w:ascii="Barlow Semi Condensed" w:cs="Barlow Semi Condensed" w:eastAsia="Barlow Semi Condensed" w:hAnsi="Barlow Semi Condensed"/>
                <w:sz w:val="20"/>
                <w:szCs w:val="20"/>
              </w:rPr>
              <w:t xml:space="preserve"> — la collazione d'apertura, la ricognizione-madre sui due mandati (1969-1974), i quattro versanti nazionali (Germania, Portogallo, Grecia, Turchia con l'Opus Dei), il dossier Santa Sede-Turchia con l'attentato del 1981 a Giovanni Paolo II, </w:t>
            </w:r>
            <w:r>
              <w:rPr>
                <w:rFonts w:ascii="Barlow Semi Condensed" w:cs="Barlow Semi Condensed" w:eastAsia="Barlow Semi Condensed" w:hAnsi="Barlow Semi Condensed"/>
                <w:b/>
                <w:bCs/>
                <w:sz w:val="20"/>
                <w:szCs w:val="20"/>
              </w:rPr>
              <w:t xml:space="preserve">le tre ricognizioni della seconda campagna</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w:t>
            </w:r>
            <w:r>
              <w:rPr>
                <w:rFonts w:ascii="Barlow Semi Condensed" w:cs="Barlow Semi Condensed" w:eastAsia="Barlow Semi Condensed" w:hAnsi="Barlow Semi Condensed"/>
                <w:b/>
                <w:bCs/>
                <w:sz w:val="20"/>
                <w:szCs w:val="20"/>
              </w:rPr>
              <w:t xml:space="preserve">la triangolazione della seconda campagna</w:t>
            </w:r>
            <w:r>
              <w:rPr>
                <w:rFonts w:ascii="Barlow Semi Condensed" w:cs="Barlow Semi Condensed" w:eastAsia="Barlow Semi Condensed" w:hAnsi="Barlow Semi Condensed"/>
                <w:sz w:val="20"/>
                <w:szCs w:val="20"/>
              </w:rPr>
              <w:t xml:space="preserve"> e, in appendice, i documenti del Dipartimento di Stato USA (1965 e 1978). Frontespizio con l'ordine del volume e la disciplina, indice, Barlow Semi Condensed 12, testo interamente giustificato, fonti con indirizzi per la tracciabilità. Verificato strutturalmente (25 H1, 96 H2, 6 tabelle; 652 paragrafi, testo giustificato con sillabazione). Nessuna imputazione oltre il giudicato; esiti negativi dichiarati; pista bulgara qualificata come non provata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ALDO_MORO_FASE_DECIMA_IL_PRINCIPIO_PERSONALISTICO.docx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.pdf`](ALDO_MORO_FASE_DECIMA_IL_PRINCIPIO_PERSONALISTICO.pdf) (17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Fase decima</w:t>
            </w:r>
            <w:r>
              <w:rPr>
                <w:rFonts w:ascii="Barlow Semi Condensed" w:cs="Barlow Semi Condensed" w:eastAsia="Barlow Semi Condensed" w:hAnsi="Barlow Semi Condensed"/>
                <w:sz w:val="20"/>
                <w:szCs w:val="20"/>
              </w:rPr>
              <w:t xml:space="preserve"> (capp. 77-82) con, in appendice, la triangolazione dei tredici condannati con il corpus. Frontespizio con l'ordine del volume e la disciplina, indice, Barlow Semi Condensed 12, testo interamente giustificato, fonti con indirizzi. Verificato strutturalmente (11 H1, 16 H2, 4 tabelle; tabella del registro = intestazione + 13 persone). Nessuna graduatoria né percentuale; nessun ponte promosso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LA_TERZA_STRADA_CEPPO_SIMIONI_E_NODO_HYPERION.docx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.pdf`](LA_TERZA_STRADA_CEPPO_SIMIONI_E_NODO_HYPERION.pdf) (18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 dittico della «terza strada»</w:t>
            </w:r>
            <w:r>
              <w:rPr>
                <w:rFonts w:ascii="Barlow Semi Condensed" w:cs="Barlow Semi Condensed" w:eastAsia="Barlow Semi Condensed" w:hAnsi="Barlow Semi Condensed"/>
                <w:sz w:val="20"/>
                <w:szCs w:val="20"/>
              </w:rPr>
              <w:t xml:space="preserve">: pannello primo, lo studio monografico del ceppo Simioni (CPM → Superclan → Hyperion, nove capitoli); pannello secondo, la triangolazione del nodo Hyperion con il corpus (HY-1…HY-9). Frontespizio con l'esito in testa (proscioglimenti e assoluzioni per tutti), indice, Barlow Semi Condensed 12, testo interamente giustificato, fonti con indirizzi. Verificato strutturalmente (15 H1, 3 tabelle). Il «fu assolto, ma» bandito; nessuna tesi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IL_CODICE_E_LA_SUA_TRASMISSIONE_KISSINGER_MILLE_BLOCCHI.docx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.pdf`](IL_CODICE_E_LA_SUA_TRASMISSIONE_KISSINGER_MILLE_BLOCCHI.pdf) (626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dell'opera Kissinger, in doppia edizione DOCX e PDF.</w:t>
            </w:r>
            <w:r>
              <w:rPr>
                <w:rFonts w:ascii="Barlow Semi Condensed" w:cs="Barlow Semi Condensed" w:eastAsia="Barlow Semi Condensed" w:hAnsi="Barlow Semi Condensed"/>
                <w:sz w:val="20"/>
                <w:szCs w:val="20"/>
              </w:rPr>
              <w:t xml:space="preserve"> I 4.999 blocchi mirati nelle sessantacinque serie, col frontespizio che dichiara la chiave («Kissinger rappresenta metaforicamente la genetica» — lente e non sentenza), la regola dei tre piani e l'esito in testa: </w:t>
            </w:r>
            <w:r>
              <w:rPr>
                <w:rFonts w:ascii="Barlow Semi Condensed" w:cs="Barlow Semi Condensed" w:eastAsia="Barlow Semi Condensed" w:hAnsi="Barlow Semi Condensed"/>
                <w:b/>
                <w:bCs/>
                <w:sz w:val="20"/>
                <w:szCs w:val="20"/>
              </w:rPr>
              <w:t xml:space="preserve">nessuna condanna, nessuna imputazione, nessun blocco che indichi alcuno come responsabile di reato</w:t>
            </w:r>
            <w:r>
              <w:rPr>
                <w:rFonts w:ascii="Barlow Semi Condensed" w:cs="Barlow Semi Condensed" w:eastAsia="Barlow Semi Condensed" w:hAnsi="Barlow Semi Condensed"/>
                <w:sz w:val="20"/>
                <w:szCs w:val="20"/>
              </w:rPr>
              <w:t xml:space="preserve">. Indice, Barlow Semi Condensed, testo interamente giustificato con sillabazione automatica in entrambe le edizioni. In coda: «Che cosa quest'opera non ha stabilito» 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delle verifiche. In biologia il carattere si eredita, in storia la responsabilità 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IL_MERIDIANO_E_LA_VALLE_DAL_SUD_AFRICA_ALLA_PAYPAL_MAFIA.docx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.pdf`](IL_MERIDIANO_E_LA_VALLE_DAL_SUD_AFRICA_ALLA_PAYPAL_MAFIA.pdf) (133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Libro quattordicesimo, in doppia edizione DOCX e PDF.</w:t>
            </w:r>
            <w:r>
              <w:rPr>
                <w:rFonts w:ascii="Barlow Semi Condensed" w:cs="Barlow Semi Condensed" w:eastAsia="Barlow Semi Condensed" w:hAnsi="Barlow Semi Condensed"/>
                <w:sz w:val="20"/>
                <w:szCs w:val="20"/>
              </w:rPr>
              <w:t xml:space="preserve"> I 1.000 blocchi mirati di ricerca nelle tredici serie, col frontespizio che dichiara la chiave (lente e non sentenza, ipotesi e non premessa), la regola dei tre piani e lo statuto delle persone: </w:t>
            </w:r>
            <w:r>
              <w:rPr>
                <w:rFonts w:ascii="Barlow Semi Condensed" w:cs="Barlow Semi Condensed" w:eastAsia="Barlow Semi Condensed" w:hAnsi="Barlow Semi Condensed"/>
                <w:b/>
                <w:bCs/>
                <w:sz w:val="20"/>
                <w:szCs w:val="20"/>
              </w:rPr>
              <w:t xml:space="preserve">nessun blocco indica alcuno come responsabile di reato o di illecito</w:t>
            </w:r>
            <w:r>
              <w:rPr>
                <w:rFonts w:ascii="Barlow Semi Condensed" w:cs="Barlow Semi Condensed" w:eastAsia="Barlow Semi Condensed" w:hAnsi="Barlow Semi Condensed"/>
                <w:sz w:val="20"/>
                <w:szCs w:val="20"/>
              </w:rPr>
              <w:t xml:space="preserve">; l'origine non è una colpa e l'infanzia non è una scelta. Indice, Barlow Semi Condensed, testo interamente giustificato con sillabazione automatica in entrambe le edizioni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IL_FASCICOLO_APERTO_PROGRAMMA_INVESTIGATIVO.docx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.pdf`](IL_FASCICOLO_APERTO_PROGRAMMA_INVESTIGATIVO.pdf)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versante investigativo, in doppia edizione DOCX e PDF — edizione aggiornata e completa.</w:t>
            </w:r>
            <w:r>
              <w:rPr>
                <w:rFonts w:ascii="Barlow Semi Condensed" w:cs="Barlow Semi Condensed" w:eastAsia="Barlow Semi Condensed" w:hAnsi="Barlow Semi Condensed"/>
                <w:sz w:val="20"/>
                <w:szCs w:val="20"/>
              </w:rPr>
              <w:t xml:space="preserve"> Parte prima: il programma e le graduatorie. Parte seconda: le schede delle piste di testa con la Nota di revisione n. 1. Parte terza: </w:t>
            </w:r>
            <w:r>
              <w:rPr>
                <w:rFonts w:ascii="Barlow Semi Condensed" w:cs="Barlow Semi Condensed" w:eastAsia="Barlow Semi Condensed" w:hAnsi="Barlow Semi Condensed"/>
                <w:b/>
                <w:bCs/>
                <w:sz w:val="20"/>
                <w:szCs w:val="20"/>
              </w:rPr>
              <w:t xml:space="preserve">tutte e sei</w:t>
            </w:r>
            <w:r>
              <w:rPr>
                <w:rFonts w:ascii="Barlow Semi Condensed" w:cs="Barlow Semi Condensed" w:eastAsia="Barlow Semi Condensed" w:hAnsi="Barlow Semi Condensed"/>
                <w:sz w:val="20"/>
                <w:szCs w:val="20"/>
              </w:rPr>
              <w:t xml:space="preserve"> le schede delle entità (comitati, via Gradoli, condominio, mediazione vaticana, alleati, registro delle segnalazioni). </w:t>
            </w:r>
            <w:r>
              <w:rPr>
                <w:rFonts w:ascii="Barlow Semi Condensed" w:cs="Barlow Semi Condensed" w:eastAsia="Barlow Semi Condensed" w:hAnsi="Barlow Semi Condensed"/>
                <w:b/>
                <w:bCs/>
                <w:sz w:val="20"/>
                <w:szCs w:val="20"/>
              </w:rPr>
              <w:t xml:space="preserve">Parte quarta: il manuale del nuovo Caso Moro in quattrocento blocchi mirati (seconda edizione accresciuta)</w:t>
            </w:r>
            <w:r>
              <w:rPr>
                <w:rFonts w:ascii="Barlow Semi Condensed" w:cs="Barlow Semi Condensed" w:eastAsia="Barlow Semi Condensed" w:hAnsi="Barlow Semi Condensed"/>
                <w:sz w:val="20"/>
                <w:szCs w:val="20"/>
              </w:rPr>
              <w:t xml:space="preserve">, con la nota d'edizione al blocco 300. DOCX verificato (628 paragrafi, 10 H1, 3 tabelle, zero residui); </w:t>
            </w:r>
            <w:r>
              <w:rPr>
                <w:rFonts w:ascii="Barlow Semi Condensed" w:cs="Barlow Semi Condensed" w:eastAsia="Barlow Semi Condensed" w:hAnsi="Barlow Semi Condensed"/>
                <w:b/>
                <w:bCs/>
                <w:sz w:val="20"/>
                <w:szCs w:val="20"/>
              </w:rPr>
              <w:t xml:space="preserve">PDF di 60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UNA_GUERRA_SENZA_FINE_OPERA_INTEGRALE.docx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.pdf`](UNA_GUERRA_SENZA_FINE_OPERA_INTEGRALE.pdf)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«ALDO MORO — OTTANTA ANNI DI PACE» — L'OPERA INTEGRALE</w:t>
            </w:r>
            <w:r>
              <w:rPr>
                <w:rFonts w:ascii="Barlow Semi Condensed" w:cs="Barlow Semi Condensed" w:eastAsia="Barlow Semi Condensed" w:hAnsi="Barlow Semi Condensed"/>
                <w:sz w:val="20"/>
                <w:szCs w:val="20"/>
              </w:rPr>
              <w:t xml:space="preserve"> (il titolo è la chiave interpretativa scelta dall'autore, dichiarata in copertina come lente e non sentenza, e portatrice di due letture che l'opera non scioglie — gli ottant'anni dal 1945 e il decennio che il 1978 apre; l'opera resta, nel suo nome proprio, «Una guerra senza fine») — l'intero corpus storico del branch in un solo volume</w:t>
            </w:r>
            <w:r>
              <w:rPr>
                <w:rFonts w:ascii="Barlow Semi Condensed" w:cs="Barlow Semi Condensed" w:eastAsia="Barlow Semi Condensed" w:hAnsi="Barlow Semi Condensed"/>
                <w:b/>
                <w:bCs/>
                <w:sz w:val="20"/>
                <w:szCs w:val="20"/>
              </w:rPr>
              <w:t xml:space="preserve">, in doppia edizione DOCX e PDF: il Portale (l'edizione strutturata), i quattordici Libri (il ritratto; Dal Che a Moro; la parabola di Guevara in sei studi; </w:t>
            </w:r>
            <w:r>
              <w:rPr>
                <w:rFonts w:ascii="Barlow Semi Condensed" w:cs="Barlow Semi Condensed" w:eastAsia="Barlow Semi Condensed" w:hAnsi="Barlow Semi Condensed"/>
                <w:sz w:val="20"/>
                <w:szCs w:val="20"/>
              </w:rPr>
              <w:t xml:space="preserve">il Dossier maggiore dell'autore, «Una Pace senza Pace · Tutta la verità», conservato per intero come volume nel volume, con la divergenza di regime dichiarata in sua apertura</w:t>
            </w:r>
            <w:r>
              <w:rPr>
                <w:rFonts w:ascii="Barlow Semi Condensed" w:cs="Barlow Semi Condensed" w:eastAsia="Barlow Semi Condensed" w:hAnsi="Barlow Semi Condensed"/>
                <w:b/>
                <w:bCs/>
                <w:sz w:val="20"/>
                <w:szCs w:val="20"/>
              </w:rPr>
              <w:t xml:space="preserve">; il vettore e il ceppo in cinque; il filo del 1926 in tre; le questioni aperte; il metodo col presidio del garante e le metodologie calcolate; il registro giudiziario; il repertorio; le responsabilità personali col principio personalistico e la prosopografia; la dimensione diplomatica con la collazione Farnesina, i documenti State Dept e le pene oltre confine; </w:t>
            </w:r>
            <w:r>
              <w:rPr>
                <w:rFonts w:ascii="Barlow Semi Condensed" w:cs="Barlow Semi Condensed" w:eastAsia="Barlow Semi Condensed" w:hAnsi="Barlow Semi Condensed"/>
                <w:sz w:val="20"/>
                <w:szCs w:val="20"/>
              </w:rPr>
              <w:t xml:space="preserve">il fascicolo aperto in sette parti, con l'intera quadriga investigativa — il programma, il manuale in 400 blocchi, l'agenda in 300, i nove cantieri in 1.000 — e, in chiusura, la triangolazione di un solo nome contro tutto il corpus in altri 1.000: «Il codice e la sua trasmissione»</w:t>
            </w:r>
            <w:r>
              <w:rPr>
                <w:rFonts w:ascii="Barlow Semi Condensed" w:cs="Barlow Semi Condensed" w:eastAsia="Barlow Semi Condensed" w:hAnsi="Barlow Semi Condensed"/>
                <w:b/>
                <w:bCs/>
                <w:sz w:val="20"/>
                <w:szCs w:val="20"/>
              </w:rPr>
              <w:t xml:space="preserve">) e le quattro Appendici (l'apparato dei gradi; il pastiche dichiarato; la verifica di un elenco esterno, con lo Stato Zero sul calcolo per finestra temporale; e l'Appendice IV, che assorbe nel volume l'apparato di navigazione — guida e indice — e i tredici documenti del dossier di invio, sicché nessuna parte dell'opera resta fuori dal volume salvo il registro delle impronte, che non vi può entrare perché elenca impronte che la ricomposizione stessa cambia). </w:t>
            </w:r>
            <w:r>
              <w:rPr>
                <w:rFonts w:ascii="Barlow Semi Condensed" w:cs="Barlow Semi Condensed" w:eastAsia="Barlow Semi Condensed" w:hAnsi="Barlow Semi Condensed"/>
                <w:sz w:val="20"/>
                <w:szCs w:val="20"/>
              </w:rPr>
              <w:t xml:space="preserve">Centouno documenti</w:t>
            </w:r>
            <w:r>
              <w:rPr>
                <w:rFonts w:ascii="Barlow Semi Condensed" w:cs="Barlow Semi Condensed" w:eastAsia="Barlow Semi Condensed" w:hAnsi="Barlow Semi Condensed"/>
                <w:b/>
                <w:bCs/>
                <w:sz w:val="20"/>
                <w:szCs w:val="20"/>
              </w:rPr>
              <w:t xml:space="preserve"> in ordine di lettura — sesta edizione accresciuta. Chiude il volume l'</w:t>
            </w:r>
            <w:r>
              <w:rPr>
                <w:rFonts w:ascii="Barlow Semi Condensed" w:cs="Barlow Semi Condensed" w:eastAsia="Barlow Semi Condensed" w:hAnsi="Barlow Semi Condensed"/>
                <w:sz w:val="20"/>
                <w:szCs w:val="20"/>
              </w:rPr>
              <w:t xml:space="preserve">apparato conclusivo delle note bibliografiche, dalla prima all'ultima</w:t>
            </w:r>
            <w:r>
              <w:rPr>
                <w:rFonts w:ascii="Barlow Semi Condensed" w:cs="Barlow Semi Condensed" w:eastAsia="Barlow Semi Condensed" w:hAnsi="Barlow Semi Condensed"/>
                <w:b/>
                <w:bCs/>
                <w:sz w:val="20"/>
                <w:szCs w:val="20"/>
              </w:rPr>
              <w:t xml:space="preserve"> (687 indirizzi distinti per 1.043 citazioni su 357 domini, numerati in ordine di apparizione, coi propri due grafici 3D — che da questa edizione stanno sull'apparato stesso e non più, per un indice cablato, sul capitolo che li precedeva). DOCX verificato (1.183.437 parole, 235 immagini incorporate, zero duplicati); </w:t>
            </w:r>
            <w:r>
              <w:rPr>
                <w:rFonts w:ascii="Barlow Semi Condensed" w:cs="Barlow Semi Condensed" w:eastAsia="Barlow Semi Condensed" w:hAnsi="Barlow Semi Condensed"/>
                <w:sz w:val="20"/>
                <w:szCs w:val="20"/>
              </w:rPr>
              <w:t xml:space="preserve">PDF di 2.425 pagine</w:t>
            </w:r>
            <w:r>
              <w:rPr>
                <w:rFonts w:ascii="Barlow Semi Condensed" w:cs="Barlow Semi Condensed" w:eastAsia="Barlow Semi Condensed" w:hAnsi="Barlow Semi Condensed"/>
                <w:b/>
                <w:bCs/>
                <w:sz w:val="20"/>
                <w:szCs w:val="20"/>
              </w:rPr>
              <w:t xml:space="preserve"> composto tipograficamente in </w:t>
            </w:r>
            <w:r>
              <w:rPr>
                <w:rFonts w:ascii="Barlow Semi Condensed" w:cs="Barlow Semi Condensed" w:eastAsia="Barlow Semi Condensed" w:hAnsi="Barlow Semi Condensed"/>
                <w:sz w:val="20"/>
                <w:szCs w:val="20"/>
              </w:rPr>
              <w:t xml:space="preserve">Barlow Semi Condensed</w:t>
            </w:r>
            <w:r>
              <w:rPr>
                <w:rFonts w:ascii="Barlow Semi Condensed" w:cs="Barlow Semi Condensed" w:eastAsia="Barlow Semi Condensed" w:hAnsi="Barlow Semi Condensed"/>
                <w:b/>
                <w:bCs/>
                <w:sz w:val="20"/>
                <w:szCs w:val="20"/>
              </w:rPr>
              <w:t xml:space="preserve"> (font incorporato; A4, copertina, occhielli di libro) e verificato per campione. Con l'</w:t>
            </w:r>
            <w:r>
              <w:rPr>
                <w:rFonts w:ascii="Barlow Semi Condensed" w:cs="Barlow Semi Condensed" w:eastAsia="Barlow Semi Condensed" w:hAnsi="Barlow Semi Condensed"/>
                <w:sz w:val="20"/>
                <w:szCs w:val="20"/>
              </w:rPr>
              <w:t xml:space="preserve">apparato grafico a piè di ogni capitolo</w:t>
            </w:r>
            <w:r>
              <w:rPr>
                <w:rFonts w:ascii="Barlow Semi Condensed" w:cs="Barlow Semi Condensed" w:eastAsia="Barlow Semi Condensed" w:hAnsi="Barlow Semi Condensed"/>
                <w:b/>
                <w:bCs/>
                <w:sz w:val="20"/>
                <w:szCs w:val="20"/>
              </w:rPr>
              <w:t xml:space="preserve">: 235 grafici a barre orizzontali su fondo a gradiente crema (mai meno di due per capitolo, 102 capitoli coperti) — le misure del testo per sezione e, dove il corpus ha numeri verificati, i dati (le graduatorie delle piste, i 91 bossoli per attribuzione peritale, la macchina delle ricerche, i blocchi per serie della quadriga e delle tredici serie della triangolazione Kissinger, la scala ordinale dei tre piani, la centralità della rete documentata, gli stati e i decessi del registro); colori a palette: tavolozza a otto colori — blu, arancione, viola, verde, rosa, giallo, teal, rosso — convalidata col validatore del metodo (luminosità, croma, separazione CVD, contrasto), assegnata in ordine fisso con rotazione per capitolo; le metriche contano parole, documenti e atti — mai colpe. </w:t>
            </w:r>
            <w:r>
              <w:rPr>
                <w:rFonts w:ascii="Barlow Semi Condensed" w:cs="Barlow Semi Condensed" w:eastAsia="Barlow Semi Condensed" w:hAnsi="Barlow Semi Condensed"/>
                <w:sz w:val="20"/>
                <w:szCs w:val="20"/>
              </w:rPr>
              <w:t xml:space="preserve">Testo interamente giustificato</w:t>
            </w:r>
            <w:r>
              <w:rPr>
                <w:rFonts w:ascii="Barlow Semi Condensed" w:cs="Barlow Semi Condensed" w:eastAsia="Barlow Semi Condensed" w:hAnsi="Barlow Semi Condensed"/>
                <w:b/>
                <w:bCs/>
                <w:sz w:val="20"/>
                <w:szCs w:val="20"/>
              </w:rPr>
              <w:t xml:space="preserve"> (corpi, elenchi, citazioni e celle di tabella) con sillabazione automatica in entrambe le edizioni, come negli altri due volumi in doppia edizione. </w:t>
            </w:r>
            <w:r>
              <w:rPr>
                <w:rFonts w:ascii="Barlow Semi Condensed" w:cs="Barlow Semi Condensed" w:eastAsia="Barlow Semi Condensed" w:hAnsi="Barlow Semi Condensed"/>
                <w:sz w:val="20"/>
                <w:szCs w:val="20"/>
              </w:rPr>
              <w:t xml:space="preserve">Edizione integrale in senso stretto**: le nove ricognizioni originali della cartella Farnesina e la triangolazione della seconda campagna, prima rappresentate dalla sola collazione, vi compaiono per esteso nel Libro dodicesimo. Nessun documento del corpus moroteano resta fuori. La disciplina in copertina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IMPRONTE-SHA256.md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IMPRONTE-OPERA-MORO.txt</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IMPRONTE-SHA256.txt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REGISTRO DELLE IMPRONTE SHA-256.</w:t>
            </w:r>
            <w:r>
              <w:rPr>
                <w:rFonts w:ascii="Barlow Semi Condensed" w:cs="Barlow Semi Condensed" w:eastAsia="Barlow Semi Condensed" w:hAnsi="Barlow Semi Condensed"/>
                <w:sz w:val="20"/>
                <w:szCs w:val="20"/>
              </w:rPr>
              <w:t xml:space="preserve"> L'impronta crittografica di ogni file, con i comandi di verifica per Linux, macOS e Windows. </w:t>
            </w:r>
            <w:r>
              <w:rPr>
                <w:rFonts w:ascii="Barlow Semi Condensed" w:cs="Barlow Semi Condensed" w:eastAsia="Barlow Semi Condensed" w:hAnsi="Barlow Semi Condensed"/>
                <w:b/>
                <w:bCs/>
                <w:sz w:val="20"/>
                <w:szCs w:val="20"/>
              </w:rPr>
              <w:t xml:space="preserve">Tiene separate le due opere che il repository ospita</w:t>
            </w:r>
            <w:r>
              <w:rPr>
                <w:rFonts w:ascii="Barlow Semi Condensed" w:cs="Barlow Semi Condensed" w:eastAsia="Barlow Semi Condensed" w:hAnsi="Barlow Semi Condensed"/>
                <w:sz w:val="20"/>
                <w:szCs w:val="20"/>
              </w:rPr>
              <w:t xml:space="preserve">, come questo indice dichiara alla terza riga: l'opera del caso Moro (</w:t>
            </w:r>
            <w:r>
              <w:rPr>
                <w:rFonts w:ascii="Barlow Semi Condensed" w:cs="Barlow Semi Condensed" w:eastAsia="Barlow Semi Condensed" w:hAnsi="Barlow Semi Condensed"/>
                <w:b/>
                <w:bCs/>
                <w:sz w:val="20"/>
                <w:szCs w:val="20"/>
              </w:rPr>
              <w:t xml:space="preserve">131 file</w:t>
            </w:r>
            <w:r>
              <w:rPr>
                <w:rFonts w:ascii="Barlow Semi Condensed" w:cs="Barlow Semi Condensed" w:eastAsia="Barlow Semi Condensed" w:hAnsi="Barlow Semi Condensed"/>
                <w:sz w:val="20"/>
                <w:szCs w:val="20"/>
              </w:rPr>
              <w:t xml:space="preserve">, 66.308.876 byte) e lo Studio Integrale Puglia (78 file), che non è opera moroteana. Le impronte valgono per entrambe; l'attribuzione no, e contarle insieme sarebbe un errore di descrizione. Due manifesti in formato </w:t>
            </w:r>
            <w:r>
              <w:rPr>
                <w:rFonts w:ascii="Barlow Semi Condensed" w:cs="Barlow Semi Condensed" w:eastAsia="Barlow Semi Condensed" w:hAnsi="Barlow Semi Condensed"/>
                <w:i/>
                <w:iCs/>
                <w:sz w:val="20"/>
                <w:szCs w:val="20"/>
              </w:rPr>
              <w:t xml:space="preserve">sha256sum --check</w:t>
            </w:r>
            <w:r>
              <w:rPr>
                <w:rFonts w:ascii="Barlow Semi Condensed" w:cs="Barlow Semi Condensed" w:eastAsia="Barlow Semi Condensed" w:hAnsi="Barlow Semi Condensed"/>
                <w:sz w:val="20"/>
                <w:szCs w:val="20"/>
              </w:rPr>
              <w:t xml:space="preserve">, uno per opera, e </w:t>
            </w:r>
            <w:r>
              <w:rPr>
                <w:rFonts w:ascii="Barlow Semi Condensed" w:cs="Barlow Semi Condensed" w:eastAsia="Barlow Semi Condensed" w:hAnsi="Barlow Semi Condensed"/>
                <w:b/>
                <w:bCs/>
                <w:sz w:val="20"/>
                <w:szCs w:val="20"/>
              </w:rPr>
              <w:t xml:space="preserve">due impronte uniche</w:t>
            </w:r>
            <w:r>
              <w:rPr>
                <w:rFonts w:ascii="Barlow Semi Condensed" w:cs="Barlow Semi Condensed" w:eastAsia="Barlow Semi Condensed" w:hAnsi="Barlow Semi Condensed"/>
                <w:sz w:val="20"/>
                <w:szCs w:val="20"/>
              </w:rPr>
              <w:t xml:space="preserve">, una per ciascun insieme: </w:t>
            </w:r>
            <w:r>
              <w:rPr>
                <w:rFonts w:ascii="Barlow Semi Condensed" w:cs="Barlow Semi Condensed" w:eastAsia="Barlow Semi Condensed" w:hAnsi="Barlow Semi Condensed"/>
                <w:i/>
                <w:iCs/>
                <w:sz w:val="20"/>
                <w:szCs w:val="20"/>
              </w:rPr>
              <w:t xml:space="preserve">sha256sum IMPRONTE-OPERA-MORO.txt</w:t>
            </w:r>
            <w:r>
              <w:rPr>
                <w:rFonts w:ascii="Barlow Semi Condensed" w:cs="Barlow Semi Condensed" w:eastAsia="Barlow Semi Condensed" w:hAnsi="Barlow Semi Condensed"/>
                <w:sz w:val="20"/>
                <w:szCs w:val="20"/>
              </w:rPr>
              <w:t xml:space="preserve"> risponde </w:t>
            </w:r>
            <w:r>
              <w:rPr>
                <w:rFonts w:ascii="Barlow Semi Condensed" w:cs="Barlow Semi Condensed" w:eastAsia="Barlow Semi Condensed" w:hAnsi="Barlow Semi Condensed"/>
                <w:i/>
                <w:iCs/>
                <w:sz w:val="20"/>
                <w:szCs w:val="20"/>
              </w:rPr>
              <w:t xml:space="preserve">d7bc4f65…</w:t>
            </w:r>
            <w:r>
              <w:rPr>
                <w:rFonts w:ascii="Barlow Semi Condensed" w:cs="Barlow Semi Condensed" w:eastAsia="Barlow Semi Condensed" w:hAnsi="Barlow Semi Condensed"/>
                <w:sz w:val="20"/>
                <w:szCs w:val="20"/>
              </w:rPr>
              <w:t xml:space="preserve"> se il corpus moroteano è quello depositato, non un file di meno né uno diverso. Restano fuori dai manifesti due soli file, il manifesto stesso e il registro, perché un registro non può certificare sé stesso; la catena si chiude senza circoli, ed è dichiarato. Registra anche i tre archivi di consegna dell'opera intera, non versionati. Il registro dichiara il proprio limite, che è la distinzione su cui l'opera è costruita: l'impronta certifica l'</w:t>
            </w:r>
            <w:r>
              <w:rPr>
                <w:rFonts w:ascii="Barlow Semi Condensed" w:cs="Barlow Semi Condensed" w:eastAsia="Barlow Semi Condensed" w:hAnsi="Barlow Semi Condensed"/>
                <w:b/>
                <w:bCs/>
                <w:sz w:val="20"/>
                <w:szCs w:val="20"/>
              </w:rPr>
              <w:t xml:space="preserve">integrità del supporto</w:t>
            </w:r>
            <w:r>
              <w:rPr>
                <w:rFonts w:ascii="Barlow Semi Condensed" w:cs="Barlow Semi Condensed" w:eastAsia="Barlow Semi Condensed" w:hAnsi="Barlow Semi Condensed"/>
                <w:sz w:val="20"/>
                <w:szCs w:val="20"/>
              </w:rPr>
              <w:t xml:space="preserve">, non la verità del contenuto — un documento falso conserva la propria impronta con la stessa fedeltà di uno esatto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moro-ministro-esteri/volume.html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HTML navigabile</w:t>
            </w:r>
            <w:r>
              <w:rPr>
                <w:rFonts w:ascii="Barlow Semi Condensed" w:cs="Barlow Semi Condensed" w:eastAsia="Barlow Semi Condensed" w:hAnsi="Barlow Semi Condensed"/>
                <w:sz w:val="20"/>
                <w:szCs w:val="20"/>
              </w:rPr>
              <w:t xml:space="preserve"> dello stesso volume (pagina autonoma, tema chiaro/scuro): frontespizio con la legenda dei gradi, indice laterale con evidenziazione della parte corrente e barra di avanzamento, le otto parti in colonna di lettura. Tipografia Fraunces/Spectral/IBM Plex Mono; citazioni esterne come link tracciabili, rimandi interni neutralizzati. Stessi contenuti e stessa disciplina del .docx</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GUEVARA_LA_PARABOLA_INTEGRALE_1928-1967.docx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.pdf`](GUEVARA_LA_PARABOLA_INTEGRALE_1928-1967.pdf) (32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della parabola guevariana completa (i cinque studi 1928-1967 + la triangolazione Guevara-Moro), Barlow Semi Condensed 12, testo interamente giustificato, con indice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IL_VETTORE_E_IL_TRIBUNALE_DUE_STUDI_1926-1972.docx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.pdf`](IL_VETTORE_E_IL_TRIBUNALE_DUE_STUDI_1926-1972.pdf) (24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dei fronti italiani in sei parti: la monografia su Feltrinelli con la triangolazione integrale, la triangolazione del nodo Hyperion, la triangolazione d'incrocio Feltrinelli-Hyperion, lo studio sul Tribunale Speciale e l'approfondimento in otto sottonodi. Frontespizio comune sul «filo del 1926», indice, Barlow Semi Condensed 12, testo interamente giustificato, fonti con indirizzi per la tracciabilità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parabola e il mito» — cronologia sinottica navigabile (pagina HTML autonoma, tema chiaro/scuro): tre fili documentati su un unico asse del tempo (1916-1997) — la vita di Guevara, la trasmissione della sua immagine in mito (Korda 1960, Feltrinelli/</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Pecorile 1970), la vita di Moro. Solo fatti pubblici documentati; nessuna imputazione oltre il giudicato; nessun nesso causale affermato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tre troncature originarie dei testi guevariani (1934-47, 1958-65, Congo→Bolivia) sono state </w:t>
      </w:r>
      <w:r>
        <w:rPr>
          <w:rFonts w:ascii="Barlow Semi Condensed" w:cs="Barlow Semi Condensed" w:eastAsia="Barlow Semi Condensed" w:hAnsi="Barlow Semi Condensed"/>
          <w:b/>
          <w:bCs/>
          <w:sz w:val="24"/>
          <w:szCs w:val="24"/>
        </w:rPr>
        <w:t xml:space="preserve">completate il 24 agosto 2026</w:t>
      </w:r>
      <w:r>
        <w:rPr>
          <w:rFonts w:ascii="Barlow Semi Condensed" w:cs="Barlow Semi Condensed" w:eastAsia="Barlow Semi Condensed" w:hAnsi="Barlow Semi Condensed"/>
          <w:sz w:val="24"/>
          <w:szCs w:val="24"/>
        </w:rPr>
        <w:t xml:space="preserve"> con sezioni di integrazione esplicitamente marcate come tali, distinte dalla stesura d'autore e redatte su cronologia storiografica consolidata. Con l'aggiunta del capitolo sulla campagna boliviana, il corpus guevariano copre ora </w:t>
      </w:r>
      <w:r>
        <w:rPr>
          <w:rFonts w:ascii="Barlow Semi Condensed" w:cs="Barlow Semi Condensed" w:eastAsia="Barlow Semi Condensed" w:hAnsi="Barlow Semi Condensed"/>
          <w:b/>
          <w:bCs/>
          <w:sz w:val="24"/>
          <w:szCs w:val="24"/>
        </w:rPr>
        <w:t xml:space="preserve">senza soluzione di continuità l'intera parabola, dal 1928 alla morte a La Higuera (9 ottobre 1967) e al ritrovamento dei resti nel 1997</w:t>
      </w:r>
      <w:r>
        <w:rPr>
          <w:rFonts w:ascii="Barlow Semi Condensed" w:cs="Barlow Semi Condensed" w:eastAsia="Barlow Semi Condensed" w:hAnsi="Barlow Semi Condensed"/>
          <w:sz w:val="24"/>
          <w:szCs w:val="24"/>
        </w:rPr>
        <w:t xml:space="preserve">.</w:t>
      </w:r>
    </w:p>
    <w:p>
      <w:pPr>
        <w:pStyle w:val="Heading3"/>
        <w:spacing w:after="80" w:before="240"/>
      </w:pPr>
      <w:r>
        <w:rPr>
          <w:rFonts w:ascii="Barlow Semi Condensed" w:cs="Barlow Semi Condensed" w:eastAsia="Barlow Semi Condensed" w:hAnsi="Barlow Semi Condensed"/>
          <w:sz w:val="24"/>
          <w:szCs w:val="24"/>
        </w:rPr>
        <w:t xml:space="preserve">Apparato grafico — Appendici · ii. L'indice dei documenti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10.159 parole in 3 sezioni; la più ampia è §3 Segmento 3, con 9.993.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6 paragrafi in 3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iii. Il dossier di invio — la mappa</w:t>
      </w:r>
    </w:p>
    <w:p>
      <w:pPr>
        <w:pStyle w:val="Heading1"/>
        <w:spacing w:after="120" w:before="240"/>
      </w:pPr>
      <w:r>
        <w:rPr>
          <w:rFonts w:ascii="Barlow Semi Condensed" w:cs="Barlow Semi Condensed" w:eastAsia="Barlow Semi Condensed" w:hAnsi="Barlow Semi Condensed"/>
          <w:sz w:val="24"/>
          <w:szCs w:val="24"/>
        </w:rPr>
        <w:t xml:space="preserve">Diffusione dell'opera</w:t>
      </w:r>
    </w:p>
    <w:p>
      <w:pPr>
        <w:spacing w:after="120" w:line="276"/>
        <w:jc w:val="both"/>
      </w:pPr>
      <w:r>
        <w:rPr>
          <w:rFonts w:ascii="Barlow Semi Condensed" w:cs="Barlow Semi Condensed" w:eastAsia="Barlow Semi Condensed" w:hAnsi="Barlow Semi Condensed"/>
          <w:sz w:val="24"/>
          <w:szCs w:val="24"/>
        </w:rPr>
        <w:t xml:space="preserve">*Il dossier di invio: che cosa si manda, a chi, in che ordine. Sette documenti,</w:t>
      </w:r>
    </w:p>
    <w:p>
      <w:pPr>
        <w:spacing w:after="120" w:line="276"/>
        <w:jc w:val="both"/>
      </w:pPr>
      <w:r>
        <w:rPr>
          <w:rFonts w:ascii="Barlow Semi Condensed" w:cs="Barlow Semi Condensed" w:eastAsia="Barlow Semi Condensed" w:hAnsi="Barlow Semi Condensed"/>
          <w:sz w:val="24"/>
          <w:szCs w:val="24"/>
        </w:rPr>
        <w:t xml:space="preserve">uno solo dei quali va letto per primo.*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dove si comincia</w:t>
      </w:r>
    </w:p>
    <w:p>
      <w:pPr>
        <w:spacing w:after="120" w:line="276"/>
        <w:jc w:val="both"/>
      </w:pPr>
      <w:r>
        <w:rPr>
          <w:rFonts w:ascii="Barlow Semi Condensed" w:cs="Barlow Semi Condensed" w:eastAsia="Barlow Semi Condensed" w:hAnsi="Barlow Semi Condensed"/>
          <w:b/>
          <w:bCs/>
          <w:sz w:val="24"/>
          <w:szCs w:val="24"/>
        </w:rPr>
        <w:t xml:space="preserve">``checklist-di-invio.md``</w:t>
      </w:r>
      <w:r>
        <w:rPr>
          <w:rFonts w:ascii="Barlow Semi Condensed" w:cs="Barlow Semi Condensed" w:eastAsia="Barlow Semi Condensed" w:hAnsi="Barlow Semi Condensed"/>
          <w:sz w:val="24"/>
          <w:szCs w:val="24"/>
        </w:rPr>
        <w:t xml:space="preserve"> — è il documento operativo.</w:t>
      </w:r>
    </w:p>
    <w:p>
      <w:pPr>
        <w:spacing w:after="120" w:line="276"/>
        <w:jc w:val="both"/>
      </w:pPr>
      <w:r>
        <w:rPr>
          <w:rFonts w:ascii="Barlow Semi Condensed" w:cs="Barlow Semi Condensed" w:eastAsia="Barlow Semi Condensed" w:hAnsi="Barlow Semi Condensed"/>
          <w:sz w:val="24"/>
          <w:szCs w:val="24"/>
        </w:rPr>
        <w:t xml:space="preserve">Chi riceve che cosa, con quali allegati, in quale ordine, e la tabella su cui</w:t>
      </w:r>
    </w:p>
    <w:p>
      <w:pPr>
        <w:spacing w:after="120" w:line="276"/>
        <w:jc w:val="both"/>
      </w:pPr>
      <w:r>
        <w:rPr>
          <w:rFonts w:ascii="Barlow Semi Condensed" w:cs="Barlow Semi Condensed" w:eastAsia="Barlow Semi Condensed" w:hAnsi="Barlow Semi Condensed"/>
          <w:sz w:val="24"/>
          <w:szCs w:val="24"/>
        </w:rPr>
        <w:t xml:space="preserve">segnare le date. Gli altri sei sono materiale che la checklist richiama.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checklist-di-invio.md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leggere per primo.</w:t>
            </w:r>
            <w:r>
              <w:rPr>
                <w:rFonts w:ascii="Barlow Semi Condensed" w:cs="Barlow Semi Condensed" w:eastAsia="Barlow Semi Condensed" w:hAnsi="Barlow Semi Condensed"/>
                <w:sz w:val="20"/>
                <w:szCs w:val="20"/>
              </w:rPr>
              <w:t xml:space="preserve"> Seconda edizione: </w:t>
            </w:r>
            <w:r>
              <w:rPr>
                <w:rFonts w:ascii="Barlow Semi Condensed" w:cs="Barlow Semi Condensed" w:eastAsia="Barlow Semi Condensed" w:hAnsi="Barlow Semi Condensed"/>
                <w:b/>
                <w:bCs/>
                <w:sz w:val="20"/>
                <w:szCs w:val="20"/>
              </w:rPr>
              <w:t xml:space="preserve">nove editori</w:t>
            </w:r>
            <w:r>
              <w:rPr>
                <w:rFonts w:ascii="Barlow Semi Condensed" w:cs="Barlow Semi Condensed" w:eastAsia="Barlow Semi Condensed" w:hAnsi="Barlow Semi Condensed"/>
                <w:sz w:val="20"/>
                <w:szCs w:val="20"/>
              </w:rPr>
              <w:t xml:space="preserve">, un archivio, un deposito, una rivista. Tavola sinottica dei canali, quattro ondate d'invio, una scheda a sei campi per ciascun destinatario, tabella di tracciamento, e che cosa fare se arriva un rifiuto o un interesse. Dichiara il grado di verifica di ogni canale, comprese le due voci che non è stato possibile accertare sulla pagina ufficiale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mappa-dei-destinatari.md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mappa ragionata: chi potrebbe pubblicare, distinguendo i </w:t>
            </w:r>
            <w:r>
              <w:rPr>
                <w:rFonts w:ascii="Barlow Semi Condensed" w:cs="Barlow Semi Condensed" w:eastAsia="Barlow Semi Condensed" w:hAnsi="Barlow Semi Condensed"/>
                <w:b/>
                <w:bCs/>
                <w:sz w:val="20"/>
                <w:szCs w:val="20"/>
              </w:rPr>
              <w:t xml:space="preserve">tre oggetti</w:t>
            </w:r>
            <w:r>
              <w:rPr>
                <w:rFonts w:ascii="Barlow Semi Condensed" w:cs="Barlow Semi Condensed" w:eastAsia="Barlow Semi Condensed" w:hAnsi="Barlow Semi Condensed"/>
                <w:sz w:val="20"/>
                <w:szCs w:val="20"/>
              </w:rPr>
              <w:t xml:space="preserve"> diversi che il lavoro contiene — l'apparato, il saggio, la nota scientifica — perché vanno a porte diverse. Include le porte a cui non bussare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scheda-dell-opera.md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Una pagina con i numeri, la disciplina in sei righe, i tre accertamenti e i limiti dichiarati. </w:t>
            </w:r>
            <w:r>
              <w:rPr>
                <w:rFonts w:ascii="Barlow Semi Condensed" w:cs="Barlow Semi Condensed" w:eastAsia="Barlow Semi Condensed" w:hAnsi="Barlow Semi Condensed"/>
                <w:b/>
                <w:bCs/>
                <w:sz w:val="20"/>
                <w:szCs w:val="20"/>
              </w:rPr>
              <w:t xml:space="preserve">Allegato invariante</w:t>
            </w:r>
            <w:r>
              <w:rPr>
                <w:rFonts w:ascii="Barlow Semi Condensed" w:cs="Barlow Semi Condensed" w:eastAsia="Barlow Semi Condensed" w:hAnsi="Barlow Semi Condensed"/>
                <w:sz w:val="20"/>
                <w:szCs w:val="20"/>
              </w:rPr>
              <w:t xml:space="preserve">: lo stesso per tutti, perché tre editori ricevano gli stessi numeri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capitolo-campione.md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capitolo quarto scritto per intero — «Il documento che non dice ciò che tutti citano» — con l'esercizio eseguibile in coda. È il pezzo su cui si viene giudicati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pec-archivio-flamigni.md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di presa in carico dell'apparato al Centro documentazione Archivio «Flamigni». Non è una proposta di libro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lettera-fondazione-aldo-moro.md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propone nulla.</w:t>
            </w:r>
            <w:r>
              <w:rPr>
                <w:rFonts w:ascii="Barlow Semi Condensed" w:cs="Barlow Semi Condensed" w:eastAsia="Barlow Semi Condensed" w:hAnsi="Barlow Semi Condensed"/>
                <w:sz w:val="20"/>
                <w:szCs w:val="20"/>
              </w:rPr>
              <w:t xml:space="preserve"> Porta alla Fondazione una domanda d'archivio sola — se esista l'appunto italiano del colloquio del 25 settembre 1974 — e comunica, prima che lo leggano altrove, l'accertamento sul verbale americano. È la lettera che riguarda la memoria di una persona: la nota di prudenza in coda vale più del testo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proposta-editrice-laterza.md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a Laterza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proposte-mulino-carocci-einaudi.md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Tre proposte differenziate, ciascuna nel formato che quell'editore usa davvero. Contiene l'avvertimento su Einaudi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proposte-chiarelettere-bompiani.md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Le due proposte che mancavano. </w:t>
            </w:r>
            <w:r>
              <w:rPr>
                <w:rFonts w:ascii="Barlow Semi Condensed" w:cs="Barlow Semi Condensed" w:eastAsia="Barlow Semi Condensed" w:hAnsi="Barlow Semi Condensed"/>
                <w:b/>
                <w:bCs/>
                <w:sz w:val="20"/>
                <w:szCs w:val="20"/>
              </w:rPr>
              <w:t xml:space="preserve">Chiarelettere</w:t>
            </w:r>
            <w:r>
              <w:rPr>
                <w:rFonts w:ascii="Barlow Semi Condensed" w:cs="Barlow Semi Condensed" w:eastAsia="Barlow Semi Condensed" w:hAnsi="Barlow Semi Condensed"/>
                <w:sz w:val="20"/>
                <w:szCs w:val="20"/>
              </w:rPr>
              <w:t xml:space="preserve">: la porta più affine, e per questo la più difficile — l'angolatura non promette la rivelazione che quel catalogo cerca, ma offre il criterio per giudicarle. </w:t>
            </w:r>
            <w:r>
              <w:rPr>
                <w:rFonts w:ascii="Barlow Semi Condensed" w:cs="Barlow Semi Condensed" w:eastAsia="Barlow Semi Condensed" w:hAnsi="Barlow Semi Condensed"/>
                <w:b/>
                <w:bCs/>
                <w:sz w:val="20"/>
                <w:szCs w:val="20"/>
              </w:rPr>
              <w:t xml:space="preserve">Bompiani</w:t>
            </w:r>
            <w:r>
              <w:rPr>
                <w:rFonts w:ascii="Barlow Semi Condensed" w:cs="Barlow Semi Condensed" w:eastAsia="Barlow Semi Condensed" w:hAnsi="Barlow Semi Condensed"/>
                <w:sz w:val="20"/>
                <w:szCs w:val="20"/>
              </w:rPr>
              <w:t xml:space="preserve">: pronta ma in attesa, perché la regola dei dodici mesi rende l'attesa meno costosa del tentativo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relazione-al-centro-flamigni.md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Accompagna la PEC. Come il progetto è nato, come è cambiato e dove può andare, ricostruito sul registro delle revisioni: 154 revisioni, di cui 103 del corpus, in tre giornate. Ogni regola con la data del lavoro che l'ha resa necessaria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curriculum-modello.md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Modello da compilare. Richiesto per intero da Einaudi, in forma ridotta dagli altri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allegati già composti</w:t>
      </w:r>
    </w:p>
    <w:p>
      <w:pPr>
        <w:spacing w:after="120" w:line="276"/>
        <w:jc w:val="both"/>
      </w:pPr>
      <w:r>
        <w:rPr>
          <w:rFonts w:ascii="Barlow Semi Condensed" w:cs="Barlow Semi Condensed" w:eastAsia="Barlow Semi Condensed" w:hAnsi="Barlow Semi Condensed"/>
          <w:sz w:val="24"/>
          <w:szCs w:val="24"/>
        </w:rPr>
        <w:t xml:space="preserve">I tre documenti che si spediscono come file — e non si incollano in un modulo —</w:t>
      </w:r>
    </w:p>
    <w:p>
      <w:pPr>
        <w:spacing w:after="120" w:line="276"/>
        <w:jc w:val="both"/>
      </w:pPr>
      <w:r>
        <w:rPr>
          <w:rFonts w:ascii="Barlow Semi Condensed" w:cs="Barlow Semi Condensed" w:eastAsia="Barlow Semi Condensed" w:hAnsi="Barlow Semi Condensed"/>
          <w:sz w:val="24"/>
          <w:szCs w:val="24"/>
        </w:rPr>
        <w:t xml:space="preserve">esistono anche in DOCX e in PDF, nella stessa tipografia dei volumi del corpus</w:t>
      </w:r>
    </w:p>
    <w:p>
      <w:pPr>
        <w:spacing w:after="120" w:line="276"/>
        <w:jc w:val="both"/>
      </w:pPr>
      <w:r>
        <w:rPr>
          <w:rFonts w:ascii="Barlow Semi Condensed" w:cs="Barlow Semi Condensed" w:eastAsia="Barlow Semi Condensed" w:hAnsi="Barlow Semi Condensed"/>
          <w:sz w:val="24"/>
          <w:szCs w:val="24"/>
        </w:rPr>
        <w:t xml:space="preserve">(Barlow Semi Condensed, testo giustificato con sillabazione automatica):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Formati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Capitolo campione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ALLEGATO_CAPITOLO_CAMPIONE.docx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Scheda dell'opera</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ALLEGATO_SCHEDA_DELL_OPERA.docx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Curriculum da compilare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ALLEGATO_CURRICULUM_DA_COMPILARE.docx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Checklist di invio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CHECKLIST_DI_INVIO.docx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sul progetto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RELAZIONE_SUL_PROGETTO.docx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DOCX serve dove va compilato o annotato — il curriculum, sempre; il capitolo,</w:t>
      </w:r>
    </w:p>
    <w:p>
      <w:pPr>
        <w:spacing w:after="120" w:line="276"/>
        <w:jc w:val="both"/>
      </w:pPr>
      <w:r>
        <w:rPr>
          <w:rFonts w:ascii="Barlow Semi Condensed" w:cs="Barlow Semi Condensed" w:eastAsia="Barlow Semi Condensed" w:hAnsi="Barlow Semi Condensed"/>
          <w:sz w:val="24"/>
          <w:szCs w:val="24"/>
        </w:rPr>
        <w:t xml:space="preserve">se un editor chiede di lavorarci sopra. </w:t>
      </w:r>
      <w:r>
        <w:rPr>
          <w:rFonts w:ascii="Barlow Semi Condensed" w:cs="Barlow Semi Condensed" w:eastAsia="Barlow Semi Condensed" w:hAnsi="Barlow Semi Condensed"/>
          <w:b/>
          <w:bCs/>
          <w:sz w:val="24"/>
          <w:szCs w:val="24"/>
        </w:rPr>
        <w:t xml:space="preserve">Il PDF serve in tutti gli altri casi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perché non si riformatta sullo schermo di chi lo apre.</w:t>
      </w:r>
    </w:p>
    <w:p>
      <w:pPr>
        <w:spacing w:after="120" w:line="276"/>
        <w:jc w:val="both"/>
      </w:pPr>
      <w:r>
        <w:rPr>
          <w:rFonts w:ascii="Barlow Semi Condensed" w:cs="Barlow Semi Condensed" w:eastAsia="Barlow Semi Condensed" w:hAnsi="Barlow Semi Condensed"/>
          <w:sz w:val="24"/>
          <w:szCs w:val="24"/>
        </w:rPr>
        <w:t xml:space="preserve">La checklist non si allega a nessuno: è il documento di lavoro. Esiste in PDF</w:t>
      </w:r>
    </w:p>
    <w:p>
      <w:pPr>
        <w:spacing w:after="120" w:line="276"/>
        <w:jc w:val="both"/>
      </w:pPr>
      <w:r>
        <w:rPr>
          <w:rFonts w:ascii="Barlow Semi Condensed" w:cs="Barlow Semi Condensed" w:eastAsia="Barlow Semi Condensed" w:hAnsi="Barlow Semi Condensed"/>
          <w:sz w:val="24"/>
          <w:szCs w:val="24"/>
        </w:rPr>
        <w:t xml:space="preserve">perché si stampi e si tenga accanto — le caselle e la tabella di tracciamento</w:t>
      </w:r>
    </w:p>
    <w:p>
      <w:pPr>
        <w:spacing w:after="120" w:line="276"/>
        <w:jc w:val="both"/>
      </w:pPr>
      <w:r>
        <w:rPr>
          <w:rFonts w:ascii="Barlow Semi Condensed" w:cs="Barlow Semi Condensed" w:eastAsia="Barlow Semi Condensed" w:hAnsi="Barlow Semi Condensed"/>
          <w:sz w:val="24"/>
          <w:szCs w:val="24"/>
        </w:rPr>
        <w:t xml:space="preserve">sono rigate per essere compilate a mano — e in DOCX per chi preferisce</w:t>
      </w:r>
    </w:p>
    <w:p>
      <w:pPr>
        <w:spacing w:after="120" w:line="276"/>
        <w:jc w:val="both"/>
      </w:pPr>
      <w:r>
        <w:rPr>
          <w:rFonts w:ascii="Barlow Semi Condensed" w:cs="Barlow Semi Condensed" w:eastAsia="Barlow Semi Condensed" w:hAnsi="Barlow Semi Condensed"/>
          <w:sz w:val="24"/>
          <w:szCs w:val="24"/>
        </w:rPr>
        <w:t xml:space="preserve">compilarla sullo schermo.</w:t>
      </w:r>
    </w:p>
    <w:p>
      <w:pPr>
        <w:spacing w:after="120" w:line="276"/>
        <w:jc w:val="both"/>
      </w:pPr>
      <w:r>
        <w:rPr>
          <w:rFonts w:ascii="Barlow Semi Condensed" w:cs="Barlow Semi Condensed" w:eastAsia="Barlow Semi Condensed" w:hAnsi="Barlow Semi Condensed"/>
          <w:sz w:val="24"/>
          <w:szCs w:val="24"/>
        </w:rPr>
        <w:t xml:space="preserve">I due documenti restanti — la PEC all'archivio e le proposte agli editori — non</w:t>
      </w:r>
    </w:p>
    <w:p>
      <w:pPr>
        <w:spacing w:after="120" w:line="276"/>
        <w:jc w:val="both"/>
      </w:pPr>
      <w:r>
        <w:rPr>
          <w:rFonts w:ascii="Barlow Semi Condensed" w:cs="Barlow Semi Condensed" w:eastAsia="Barlow Semi Condensed" w:hAnsi="Barlow Semi Condensed"/>
          <w:sz w:val="24"/>
          <w:szCs w:val="24"/>
        </w:rPr>
        <w:t xml:space="preserve">si allegano: si incollano nel corpo del messaggio o nei campi del modulo.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cose da non perdere di vista</w:t>
      </w:r>
    </w:p>
    <w:p>
      <w:pPr>
        <w:spacing w:after="120" w:line="276"/>
        <w:jc w:val="both"/>
      </w:pPr>
      <w:r>
        <w:rPr>
          <w:rFonts w:ascii="Barlow Semi Condensed" w:cs="Barlow Semi Condensed" w:eastAsia="Barlow Semi Condensed" w:hAnsi="Barlow Semi Condensed"/>
          <w:b/>
          <w:bCs/>
          <w:sz w:val="24"/>
          <w:szCs w:val="24"/>
        </w:rPr>
        <w:t xml:space="preserve">Le porte non sono tutte dello stesso tipo.</w:t>
      </w:r>
      <w:r>
        <w:rPr>
          <w:rFonts w:ascii="Barlow Semi Condensed" w:cs="Barlow Semi Condensed" w:eastAsia="Barlow Semi Condensed" w:hAnsi="Barlow Semi Condensed"/>
          <w:sz w:val="24"/>
          <w:szCs w:val="24"/>
        </w:rPr>
        <w:t xml:space="preserve"> Agli editori si propone un libro;</w:t>
      </w:r>
    </w:p>
    <w:p>
      <w:pPr>
        <w:spacing w:after="120" w:line="276"/>
        <w:jc w:val="both"/>
      </w:pPr>
      <w:r>
        <w:rPr>
          <w:rFonts w:ascii="Barlow Semi Condensed" w:cs="Barlow Semi Condensed" w:eastAsia="Barlow Semi Condensed" w:hAnsi="Barlow Semi Condensed"/>
          <w:sz w:val="24"/>
          <w:szCs w:val="24"/>
        </w:rPr>
        <w:t xml:space="preserve">al Centro Flamigni un apparato da valutare e correggere; alla Fondazione Aldo</w:t>
      </w:r>
    </w:p>
    <w:p>
      <w:pPr>
        <w:spacing w:after="120" w:line="276"/>
        <w:jc w:val="both"/>
      </w:pPr>
      <w:r>
        <w:rPr>
          <w:rFonts w:ascii="Barlow Semi Condensed" w:cs="Barlow Semi Condensed" w:eastAsia="Barlow Semi Condensed" w:hAnsi="Barlow Semi Condensed"/>
          <w:sz w:val="24"/>
          <w:szCs w:val="24"/>
        </w:rPr>
        <w:t xml:space="preserve">Moro </w:t>
      </w:r>
      <w:r>
        <w:rPr>
          <w:rFonts w:ascii="Barlow Semi Condensed" w:cs="Barlow Semi Condensed" w:eastAsia="Barlow Semi Condensed" w:hAnsi="Barlow Semi Condensed"/>
          <w:b/>
          <w:bCs/>
          <w:sz w:val="24"/>
          <w:szCs w:val="24"/>
        </w:rPr>
        <w:t xml:space="preserve">non si propone nulla</w:t>
      </w:r>
      <w:r>
        <w:rPr>
          <w:rFonts w:ascii="Barlow Semi Condensed" w:cs="Barlow Semi Condensed" w:eastAsia="Barlow Semi Condensed" w:hAnsi="Barlow Semi Condensed"/>
          <w:sz w:val="24"/>
          <w:szCs w:val="24"/>
        </w:rPr>
        <w:t xml:space="preserve"> — si porta una domanda e si dà una notizia dovuta.</w:t>
      </w:r>
    </w:p>
    <w:p>
      <w:pPr>
        <w:spacing w:after="120" w:line="276"/>
        <w:jc w:val="both"/>
      </w:pPr>
      <w:r>
        <w:rPr>
          <w:rFonts w:ascii="Barlow Semi Condensed" w:cs="Barlow Semi Condensed" w:eastAsia="Barlow Semi Condensed" w:hAnsi="Barlow Semi Condensed"/>
          <w:sz w:val="24"/>
          <w:szCs w:val="24"/>
        </w:rPr>
        <w:t xml:space="preserve">Usare il registro sbagliato alla porta sbagliata è il modo più rapido per non</w:t>
      </w:r>
    </w:p>
    <w:p>
      <w:pPr>
        <w:spacing w:after="120" w:line="276"/>
        <w:jc w:val="both"/>
      </w:pPr>
      <w:r>
        <w:rPr>
          <w:rFonts w:ascii="Barlow Semi Condensed" w:cs="Barlow Semi Condensed" w:eastAsia="Barlow Semi Condensed" w:hAnsi="Barlow Semi Condensed"/>
          <w:sz w:val="24"/>
          <w:szCs w:val="24"/>
        </w:rPr>
        <w:t xml:space="preserve">essere letti.</w:t>
      </w:r>
    </w:p>
    <w:p>
      <w:pPr>
        <w:spacing w:after="120" w:line="276"/>
        <w:jc w:val="both"/>
      </w:pPr>
      <w:r>
        <w:rPr>
          <w:rFonts w:ascii="Barlow Semi Condensed" w:cs="Barlow Semi Condensed" w:eastAsia="Barlow Semi Condensed" w:hAnsi="Barlow Semi Condensed"/>
          <w:b/>
          <w:bCs/>
          <w:sz w:val="24"/>
          <w:szCs w:val="24"/>
        </w:rPr>
        <w:t xml:space="preserve">Non si propone il corpus.</w:t>
      </w:r>
      <w:r>
        <w:rPr>
          <w:rFonts w:ascii="Barlow Semi Condensed" w:cs="Barlow Semi Condensed" w:eastAsia="Barlow Semi Condensed" w:hAnsi="Barlow Semi Condensed"/>
          <w:sz w:val="24"/>
          <w:szCs w:val="24"/>
        </w:rPr>
        <w:t xml:space="preserve"> L'opera integrale di 1.762 pagine resta apparato di</w:t>
      </w:r>
    </w:p>
    <w:p>
      <w:pPr>
        <w:spacing w:after="120" w:line="276"/>
        <w:jc w:val="both"/>
      </w:pPr>
      <w:r>
        <w:rPr>
          <w:rFonts w:ascii="Barlow Semi Condensed" w:cs="Barlow Semi Condensed" w:eastAsia="Barlow Semi Condensed" w:hAnsi="Barlow Semi Condensed"/>
          <w:sz w:val="24"/>
          <w:szCs w:val="24"/>
        </w:rPr>
        <w:t xml:space="preserve">consultazione, e va a un archivio. Agli editori si propone il </w:t>
      </w:r>
      <w:r>
        <w:rPr>
          <w:rFonts w:ascii="Barlow Semi Condensed" w:cs="Barlow Semi Condensed" w:eastAsia="Barlow Semi Condensed" w:hAnsi="Barlow Semi Condensed"/>
          <w:b/>
          <w:bCs/>
          <w:sz w:val="24"/>
          <w:szCs w:val="24"/>
        </w:rPr>
        <w:t xml:space="preserve">saggio breve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140-200 pagine, sette capitoli — che ne nasce. Confondere i due oggetti è il modo</w:t>
      </w:r>
    </w:p>
    <w:p>
      <w:pPr>
        <w:spacing w:after="120" w:line="276"/>
        <w:jc w:val="both"/>
      </w:pPr>
      <w:r>
        <w:rPr>
          <w:rFonts w:ascii="Barlow Semi Condensed" w:cs="Barlow Semi Condensed" w:eastAsia="Barlow Semi Condensed" w:hAnsi="Barlow Semi Condensed"/>
          <w:sz w:val="24"/>
          <w:szCs w:val="24"/>
        </w:rPr>
        <w:t xml:space="preserve">più rapido per essere rifiutati da entrambe le porte.</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ogni proposta e nel libro. Non è cautela legale: è l'oggetto del libro. Un</w:t>
      </w:r>
    </w:p>
    <w:p>
      <w:pPr>
        <w:spacing w:after="120" w:line="276"/>
        <w:jc w:val="both"/>
      </w:pPr>
      <w:r>
        <w:rPr>
          <w:rFonts w:ascii="Barlow Semi Condensed" w:cs="Barlow Semi Condensed" w:eastAsia="Barlow Semi Condensed" w:hAnsi="Barlow Semi Condensed"/>
          <w:sz w:val="24"/>
          <w:szCs w:val="24"/>
        </w:rPr>
        <w:t xml:space="preserve">editore che chiedesse di spostarla in fondo starebbe chiedendo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per intero.</w:t>
      </w:r>
      <w:r>
        <w:rPr>
          <w:rFonts w:ascii="Barlow Semi Condensed" w:cs="Barlow Semi Condensed" w:eastAsia="Barlow Semi Condensed" w:hAnsi="Barlow Semi Condensed"/>
          <w:sz w:val="24"/>
          <w:szCs w:val="24"/>
        </w:rPr>
        <w:t xml:space="preserve"> Corpus completo e verificato,</w:t>
      </w:r>
    </w:p>
    <w:p>
      <w:pPr>
        <w:spacing w:after="120" w:line="276"/>
        <w:jc w:val="both"/>
      </w:pPr>
      <w:r>
        <w:rPr>
          <w:rFonts w:ascii="Barlow Semi Condensed" w:cs="Barlow Semi Condensed" w:eastAsia="Barlow Semi Condensed" w:hAnsi="Barlow Semi Condensed"/>
          <w:sz w:val="24"/>
          <w:szCs w:val="24"/>
        </w:rPr>
        <w:t xml:space="preserve">struttura definita, capitolo campione scritto, resto da scrivere. La stessa</w:t>
      </w:r>
    </w:p>
    <w:p>
      <w:pPr>
        <w:spacing w:after="120" w:line="276"/>
        <w:jc w:val="both"/>
      </w:pPr>
      <w:r>
        <w:rPr>
          <w:rFonts w:ascii="Barlow Semi Condensed" w:cs="Barlow Semi Condensed" w:eastAsia="Barlow Semi Condensed" w:hAnsi="Barlow Semi Condensed"/>
          <w:sz w:val="24"/>
          <w:szCs w:val="24"/>
        </w:rPr>
        <w:t xml:space="preserve">formula ovunque.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w:t>
      </w:r>
    </w:p>
    <w:p>
      <w:pPr>
        <w:pStyle w:val="Heading3"/>
        <w:spacing w:after="80" w:before="240"/>
      </w:pPr>
      <w:r>
        <w:rPr>
          <w:rFonts w:ascii="Barlow Semi Condensed" w:cs="Barlow Semi Condensed" w:eastAsia="Barlow Semi Condensed" w:hAnsi="Barlow Semi Condensed"/>
          <w:sz w:val="24"/>
          <w:szCs w:val="24"/>
        </w:rPr>
        <w:t xml:space="preserve">Apparato grafico — Appendici · la mappa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830 parole in 4 sezioni; la più ampia è §2 I documenti, con 401.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iv. La scheda dell'opera</w:t>
      </w:r>
    </w:p>
    <w:p>
      <w:pPr>
        <w:pStyle w:val="Heading1"/>
        <w:spacing w:after="120" w:before="240"/>
      </w:pPr>
      <w:r>
        <w:rPr>
          <w:rFonts w:ascii="Barlow Semi Condensed" w:cs="Barlow Semi Condensed" w:eastAsia="Barlow Semi Condensed" w:hAnsi="Barlow Semi Condensed"/>
          <w:sz w:val="24"/>
          <w:szCs w:val="24"/>
        </w:rPr>
        <w:t xml:space="preserve">Scheda dell'opera</w:t>
      </w:r>
    </w:p>
    <w:p>
      <w:pPr>
        <w:spacing w:after="120" w:line="276"/>
        <w:jc w:val="both"/>
      </w:pPr>
      <w:r>
        <w:rPr>
          <w:rFonts w:ascii="Barlow Semi Condensed" w:cs="Barlow Semi Condensed" w:eastAsia="Barlow Semi Condensed" w:hAnsi="Barlow Semi Condensed"/>
          <w:sz w:val="24"/>
          <w:szCs w:val="24"/>
        </w:rPr>
        <w:t xml:space="preserve">*Una pagina. È l'allegato che accompagna ogni proposta, invariato, in modo che</w:t>
      </w:r>
    </w:p>
    <w:p>
      <w:pPr>
        <w:spacing w:after="120" w:line="276"/>
        <w:jc w:val="both"/>
      </w:pPr>
      <w:r>
        <w:rPr>
          <w:rFonts w:ascii="Barlow Semi Condensed" w:cs="Barlow Semi Condensed" w:eastAsia="Barlow Semi Condensed" w:hAnsi="Barlow Semi Condensed"/>
          <w:sz w:val="24"/>
          <w:szCs w:val="24"/>
        </w:rPr>
        <w:t xml:space="preserve">tre editori diversi ricevano gli stessi numeri. Aggiornata al 27 agosto 2026, sesta edizione.*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cos'è</w:t>
      </w:r>
    </w:p>
    <w:p>
      <w:pPr>
        <w:spacing w:after="120" w:line="276"/>
        <w:jc w:val="both"/>
      </w:pPr>
      <w:r>
        <w:rPr>
          <w:rFonts w:ascii="Barlow Semi Condensed" w:cs="Barlow Semi Condensed" w:eastAsia="Barlow Semi Condensed" w:hAnsi="Barlow Semi Condensed"/>
          <w:sz w:val="24"/>
          <w:szCs w:val="24"/>
        </w:rPr>
        <w:t xml:space="preserve">Un corpus di ricerca storica sul caso Moro e sul suo contesto internazionale,</w:t>
      </w:r>
    </w:p>
    <w:p>
      <w:pPr>
        <w:spacing w:after="120" w:line="276"/>
        <w:jc w:val="both"/>
      </w:pPr>
      <w:r>
        <w:rPr>
          <w:rFonts w:ascii="Barlow Semi Condensed" w:cs="Barlow Semi Condensed" w:eastAsia="Barlow Semi Condensed" w:hAnsi="Barlow Semi Condensed"/>
          <w:sz w:val="24"/>
          <w:szCs w:val="24"/>
        </w:rPr>
        <w:t xml:space="preserve">prodotto nel 2026 con sistemi di intelligenza artificiale sotto direzione umana e</w:t>
      </w:r>
    </w:p>
    <w:p>
      <w:pPr>
        <w:spacing w:after="120" w:line="276"/>
        <w:jc w:val="both"/>
      </w:pPr>
      <w:r>
        <w:rPr>
          <w:rFonts w:ascii="Barlow Semi Condensed" w:cs="Barlow Semi Condensed" w:eastAsia="Barlow Semi Condensed" w:hAnsi="Barlow Semi Condensed"/>
          <w:sz w:val="24"/>
          <w:szCs w:val="24"/>
        </w:rPr>
        <w:t xml:space="preserve">sotto una disciplina metodologica vincolante,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L'accrescimento è</w:t>
      </w:r>
    </w:p>
    <w:p>
      <w:pPr>
        <w:spacing w:after="120" w:line="276"/>
        <w:jc w:val="both"/>
      </w:pPr>
      <w:r>
        <w:rPr>
          <w:rFonts w:ascii="Barlow Semi Condensed" w:cs="Barlow Semi Condensed" w:eastAsia="Barlow Semi Condensed" w:hAnsi="Barlow Semi Condensed"/>
          <w:sz w:val="24"/>
          <w:szCs w:val="24"/>
        </w:rPr>
        <w:t xml:space="preserve">datato: il registro delle revisioni assegna a ciascuna regola il giorno e l'ora</w:t>
      </w:r>
    </w:p>
    <w:p>
      <w:pPr>
        <w:spacing w:after="120" w:line="276"/>
        <w:jc w:val="both"/>
      </w:pPr>
      <w:r>
        <w:rPr>
          <w:rFonts w:ascii="Barlow Semi Condensed" w:cs="Barlow Semi Condensed" w:eastAsia="Barlow Semi Condensed" w:hAnsi="Barlow Semi Condensed"/>
          <w:sz w:val="24"/>
          <w:szCs w:val="24"/>
        </w:rPr>
        <w:t xml:space="preserve">del lavoro che l'ha resa necessaria.</w:t>
      </w:r>
    </w:p>
    <w:p>
      <w:pPr>
        <w:spacing w:after="120" w:line="276"/>
        <w:jc w:val="both"/>
      </w:pPr>
      <w:r>
        <w:rPr>
          <w:rFonts w:ascii="Barlow Semi Condensed" w:cs="Barlow Semi Condensed" w:eastAsia="Barlow Semi Condensed" w:hAnsi="Barlow Semi Condensed"/>
          <w:b/>
          <w:bCs/>
          <w:sz w:val="24"/>
          <w:szCs w:val="24"/>
        </w:rPr>
        <w:t xml:space="preserve">Il corpus non è, nel suo impianto, una ricostruzione dei fatti del 1978.</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propone una tesi sul sequestro, non indica responsabili, non rivela nulla.</w:t>
      </w:r>
    </w:p>
    <w:p>
      <w:pPr>
        <w:spacing w:after="120" w:line="276"/>
        <w:jc w:val="both"/>
      </w:pPr>
      <w:r>
        <w:rPr>
          <w:rFonts w:ascii="Barlow Semi Condensed" w:cs="Barlow Semi Condensed" w:eastAsia="Barlow Semi Condensed" w:hAnsi="Barlow Semi Condensed"/>
          <w:sz w:val="24"/>
          <w:szCs w:val="24"/>
        </w:rPr>
        <w:t xml:space="preserve">Produce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 domande formulate in modo che qualcuno possa</w:t>
      </w:r>
    </w:p>
    <w:p>
      <w:pPr>
        <w:spacing w:after="120" w:line="276"/>
        <w:jc w:val="both"/>
      </w:pPr>
      <w:r>
        <w:rPr>
          <w:rFonts w:ascii="Barlow Semi Condensed" w:cs="Barlow Semi Condensed" w:eastAsia="Barlow Semi Condensed" w:hAnsi="Barlow Semi Condensed"/>
          <w:sz w:val="24"/>
          <w:szCs w:val="24"/>
        </w:rPr>
        <w:t xml:space="preserve">andare in archivio a rispondervi, ciascuna col grado di ciò che si sa già e con</w:t>
      </w:r>
    </w:p>
    <w:p>
      <w:pPr>
        <w:spacing w:after="120" w:line="276"/>
        <w:jc w:val="both"/>
      </w:pPr>
      <w:r>
        <w:rPr>
          <w:rFonts w:ascii="Barlow Semi Condensed" w:cs="Barlow Semi Condensed" w:eastAsia="Barlow Semi Condensed" w:hAnsi="Barlow Semi Condensed"/>
          <w:sz w:val="24"/>
          <w:szCs w:val="24"/>
        </w:rPr>
        <w:t xml:space="preserve">la sede in cui si</w:t>
      </w:r>
    </w:p>
    <w:p>
      <w:pPr>
        <w:spacing w:after="120" w:line="276"/>
        <w:jc w:val="both"/>
      </w:pPr>
      <w:r>
        <w:rPr>
          <w:rFonts w:ascii="Barlow Semi Condensed" w:cs="Barlow Semi Condensed" w:eastAsia="Barlow Semi Condensed" w:hAnsi="Barlow Semi Condensed"/>
          <w:sz w:val="24"/>
          <w:szCs w:val="24"/>
        </w:rPr>
        <w:t xml:space="preserve">cercherebbe.</w:t>
      </w:r>
    </w:p>
    <w:p>
      <w:pPr>
        <w:spacing w:after="120" w:line="276"/>
        <w:jc w:val="both"/>
      </w:pPr>
      <w:r>
        <w:rPr>
          <w:rFonts w:ascii="Barlow Semi Condensed" w:cs="Barlow Semi Condensed" w:eastAsia="Barlow Semi Condensed" w:hAnsi="Barlow Semi Condensed"/>
          <w:b/>
          <w:bCs/>
          <w:sz w:val="24"/>
          <w:szCs w:val="24"/>
        </w:rPr>
        <w:t xml:space="preserve">Un solo Libro fa eccezione, e la dichiara.</w:t>
      </w:r>
      <w:r>
        <w:rPr>
          <w:rFonts w:ascii="Barlow Semi Condensed" w:cs="Barlow Semi Condensed" w:eastAsia="Barlow Semi Condensed" w:hAnsi="Barlow Semi Condensed"/>
          <w:sz w:val="24"/>
          <w:szCs w:val="24"/>
        </w:rPr>
        <w:t xml:space="preserve"> Il Libro quarto — il Dossier</w:t>
      </w:r>
    </w:p>
    <w:p>
      <w:pPr>
        <w:spacing w:after="120" w:line="276"/>
        <w:jc w:val="both"/>
      </w:pPr>
      <w:r>
        <w:rPr>
          <w:rFonts w:ascii="Barlow Semi Condensed" w:cs="Barlow Semi Condensed" w:eastAsia="Barlow Semi Condensed" w:hAnsi="Barlow Semi Condensed"/>
          <w:sz w:val="24"/>
          <w:szCs w:val="24"/>
        </w:rPr>
        <w:t xml:space="preserve">maggiore dell'autore, «Una Pace senza Pace · Tutta la verità», opera anteriore</w:t>
      </w:r>
    </w:p>
    <w:p>
      <w:pPr>
        <w:spacing w:after="120" w:line="276"/>
        <w:jc w:val="both"/>
      </w:pPr>
      <w:r>
        <w:rPr>
          <w:rFonts w:ascii="Barlow Semi Condensed" w:cs="Barlow Semi Condensed" w:eastAsia="Barlow Semi Condensed" w:hAnsi="Barlow Semi Condensed"/>
          <w:sz w:val="24"/>
          <w:szCs w:val="24"/>
        </w:rPr>
        <w:t xml:space="preserve">al corpus e qui conservata per intero anziché riscritta — ricostruisce i fatti</w:t>
      </w:r>
    </w:p>
    <w:p>
      <w:pPr>
        <w:spacing w:after="120" w:line="276"/>
        <w:jc w:val="both"/>
      </w:pPr>
      <w:r>
        <w:rPr>
          <w:rFonts w:ascii="Barlow Semi Condensed" w:cs="Barlow Semi Condensed" w:eastAsia="Barlow Semi Condensed" w:hAnsi="Barlow Semi Condensed"/>
          <w:sz w:val="24"/>
          <w:szCs w:val="24"/>
        </w:rPr>
        <w:t xml:space="preserve">e, nella sua seconda metà, congeda dichiaratamente la sospensione prudente per</w:t>
      </w:r>
    </w:p>
    <w:p>
      <w:pPr>
        <w:spacing w:after="120" w:line="276"/>
        <w:jc w:val="both"/>
      </w:pPr>
      <w:r>
        <w:rPr>
          <w:rFonts w:ascii="Barlow Semi Condensed" w:cs="Barlow Semi Condensed" w:eastAsia="Barlow Semi Condensed" w:hAnsi="Barlow Semi Condensed"/>
          <w:sz w:val="24"/>
          <w:szCs w:val="24"/>
        </w:rPr>
        <w:t xml:space="preserve">ordinare secondo la plausibilità del coinvolgimento. **Ordina categorie di</w:t>
      </w:r>
    </w:p>
    <w:p>
      <w:pPr>
        <w:spacing w:after="120" w:line="276"/>
        <w:jc w:val="both"/>
      </w:pPr>
      <w:r>
        <w:rPr>
          <w:rFonts w:ascii="Barlow Semi Condensed" w:cs="Barlow Semi Condensed" w:eastAsia="Barlow Semi Condensed" w:hAnsi="Barlow Semi Condensed"/>
          <w:sz w:val="24"/>
          <w:szCs w:val="24"/>
        </w:rPr>
        <w:t xml:space="preserve">soggetti, non nomi individuali**: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coinvolti nei depistaggi, i portatori d'interesse esterno. L'eccezione è</w:t>
      </w:r>
    </w:p>
    <w:p>
      <w:pPr>
        <w:spacing w:after="120" w:line="276"/>
        <w:jc w:val="both"/>
      </w:pPr>
      <w:r>
        <w:rPr>
          <w:rFonts w:ascii="Barlow Semi Condensed" w:cs="Barlow Semi Condensed" w:eastAsia="Barlow Semi Condensed" w:hAnsi="Barlow Semi Condensed"/>
          <w:sz w:val="24"/>
          <w:szCs w:val="24"/>
        </w:rPr>
        <w:t xml:space="preserve">registrata nella disciplina in copertina dell'opera, ripetuta nella nota che</w:t>
      </w:r>
    </w:p>
    <w:p>
      <w:pPr>
        <w:spacing w:after="120" w:line="276"/>
        <w:jc w:val="both"/>
      </w:pPr>
      <w:r>
        <w:rPr>
          <w:rFonts w:ascii="Barlow Semi Condensed" w:cs="Barlow Semi Condensed" w:eastAsia="Barlow Semi Condensed" w:hAnsi="Barlow Semi Condensed"/>
          <w:sz w:val="24"/>
          <w:szCs w:val="24"/>
        </w:rPr>
        <w:t xml:space="preserve">apre quel Libro, e vale per quel Libro soltanto.</w:t>
      </w:r>
    </w:p>
    <w:p>
      <w:pPr>
        <w:pStyle w:val="Heading2"/>
        <w:spacing w:after="100" w:before="200"/>
      </w:pPr>
      <w:r>
        <w:rPr>
          <w:rFonts w:ascii="Barlow Semi Condensed" w:cs="Barlow Semi Condensed" w:eastAsia="Barlow Semi Condensed" w:hAnsi="Barlow Semi Condensed"/>
          <w:sz w:val="24"/>
          <w:szCs w:val="24"/>
        </w:rPr>
        <w:t xml:space="preserve">I numeri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Blocchi mirati di ricerca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7.699</w:t>
            </w:r>
            <w:r>
              <w:rPr>
                <w:rFonts w:ascii="Barlow Semi Condensed" w:cs="Barlow Semi Condensed" w:eastAsia="Barlow Semi Condensed" w:hAnsi="Barlow Semi Condensed"/>
                <w:sz w:val="20"/>
                <w:szCs w:val="20"/>
              </w:rPr>
              <w:t xml:space="preserve"> in cinque opere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Opera integrale rilegata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oltre </w:t>
            </w:r>
            <w:r>
              <w:rPr>
                <w:rFonts w:ascii="Barlow Semi Condensed" w:cs="Barlow Semi Condensed" w:eastAsia="Barlow Semi Condensed" w:hAnsi="Barlow Semi Condensed"/>
                <w:b/>
                <w:bCs/>
                <w:sz w:val="20"/>
                <w:szCs w:val="20"/>
              </w:rPr>
              <w:t xml:space="preserve">2.500</w:t>
            </w:r>
            <w:r>
              <w:rPr>
                <w:rFonts w:ascii="Barlow Semi Condensed" w:cs="Barlow Semi Condensed" w:eastAsia="Barlow Semi Condensed" w:hAnsi="Barlow Semi Condensed"/>
                <w:sz w:val="20"/>
                <w:szCs w:val="20"/>
              </w:rPr>
              <w:t xml:space="preserve"> pagine, </w:t>
            </w:r>
            <w:r>
              <w:rPr>
                <w:rFonts w:ascii="Barlow Semi Condensed" w:cs="Barlow Semi Condensed" w:eastAsia="Barlow Semi Condensed" w:hAnsi="Barlow Semi Condensed"/>
                <w:b/>
                <w:bCs/>
                <w:sz w:val="20"/>
                <w:szCs w:val="20"/>
              </w:rPr>
              <w:t xml:space="preserve">108</w:t>
            </w:r>
            <w:r>
              <w:rPr>
                <w:rFonts w:ascii="Barlow Semi Condensed" w:cs="Barlow Semi Condensed" w:eastAsia="Barlow Semi Condensed" w:hAnsi="Barlow Semi Condensed"/>
                <w:sz w:val="20"/>
                <w:szCs w:val="20"/>
              </w:rPr>
              <w:t xml:space="preserve"> documenti su 111 del perimetro, quindici Libri e cinque Appendici, doppia edizione DOCX e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Documenti in markdown nel ramo pubblico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Volumi rilegati in doppia edizione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14 DOCX + 14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Riferimenti bibliografici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736</w:t>
            </w:r>
            <w:r>
              <w:rPr>
                <w:rFonts w:ascii="Barlow Semi Condensed" w:cs="Barlow Semi Condensed" w:eastAsia="Barlow Semi Condensed" w:hAnsi="Barlow Semi Condensed"/>
                <w:sz w:val="20"/>
                <w:szCs w:val="20"/>
              </w:rPr>
              <w:t xml:space="preserve"> indirizzi distinti, </w:t>
            </w:r>
            <w:r>
              <w:rPr>
                <w:rFonts w:ascii="Barlow Semi Condensed" w:cs="Barlow Semi Condensed" w:eastAsia="Barlow Semi Condensed" w:hAnsi="Barlow Semi Condensed"/>
                <w:b/>
                <w:bCs/>
                <w:sz w:val="20"/>
                <w:szCs w:val="20"/>
              </w:rPr>
              <w:t xml:space="preserve">1.332</w:t>
            </w:r>
            <w:r>
              <w:rPr>
                <w:rFonts w:ascii="Barlow Semi Condensed" w:cs="Barlow Semi Condensed" w:eastAsia="Barlow Semi Condensed" w:hAnsi="Barlow Semi Condensed"/>
                <w:sz w:val="20"/>
                <w:szCs w:val="20"/>
              </w:rPr>
              <w:t xml:space="preserve"> citazioni, </w:t>
            </w:r>
            <w:r>
              <w:rPr>
                <w:rFonts w:ascii="Barlow Semi Condensed" w:cs="Barlow Semi Condensed" w:eastAsia="Barlow Semi Condensed" w:hAnsi="Barlow Semi Condensed"/>
                <w:b/>
                <w:bCs/>
                <w:sz w:val="20"/>
                <w:szCs w:val="20"/>
              </w:rPr>
              <w:t xml:space="preserve">390</w:t>
            </w:r>
            <w:r>
              <w:rPr>
                <w:rFonts w:ascii="Barlow Semi Condensed" w:cs="Barlow Semi Condensed" w:eastAsia="Barlow Semi Condensed" w:hAnsi="Barlow Semi Condensed"/>
                <w:sz w:val="20"/>
                <w:szCs w:val="20"/>
              </w:rPr>
              <w:t xml:space="preserve"> domini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Apparato grafico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247</w:t>
            </w:r>
            <w:r>
              <w:rPr>
                <w:rFonts w:ascii="Barlow Semi Condensed" w:cs="Barlow Semi Condensed" w:eastAsia="Barlow Semi Condensed" w:hAnsi="Barlow Semi Condensed"/>
                <w:sz w:val="20"/>
                <w:szCs w:val="20"/>
              </w:rPr>
              <w:t xml:space="preserve"> grafici su 108 capitoli, mai meno di due per capitolo</w:t>
            </w:r>
          </w:p>
        </w:tc>
      </w:tr>
    </w:tbl>
    <w:p>
      <w:pPr>
        <w:spacing w:after="80"/>
      </w:pPr>
    </w:p>
    <w:p>
      <w:pPr>
        <w:spacing w:after="120" w:line="276"/>
        <w:jc w:val="both"/>
      </w:pPr>
      <w:r>
        <w:rPr>
          <w:rFonts w:ascii="Barlow Semi Condensed" w:cs="Barlow Semi Condensed" w:eastAsia="Barlow Semi Condensed" w:hAnsi="Barlow Semi Condensed"/>
          <w:i/>
          <w:iCs/>
          <w:sz w:val="24"/>
          <w:szCs w:val="24"/>
        </w:rPr>
        <w:t xml:space="preserve">Sui tre documenti che non entrano.</w:t>
      </w:r>
      <w:r>
        <w:rPr>
          <w:rFonts w:ascii="Barlow Semi Condensed" w:cs="Barlow Semi Condensed" w:eastAsia="Barlow Semi Condensed" w:hAnsi="Barlow Semi Condensed"/>
          <w:sz w:val="24"/>
          <w:szCs w:val="24"/>
        </w:rPr>
        <w:t xml:space="preserve"> Il registro delle impronte misura il volume e</w:t>
      </w:r>
    </w:p>
    <w:p>
      <w:pPr>
        <w:spacing w:after="120" w:line="276"/>
        <w:jc w:val="both"/>
      </w:pPr>
      <w:r>
        <w:rPr>
          <w:rFonts w:ascii="Barlow Semi Condensed" w:cs="Barlow Semi Condensed" w:eastAsia="Barlow Semi Condensed" w:hAnsi="Barlow Semi Condensed"/>
          <w:sz w:val="24"/>
          <w:szCs w:val="24"/>
        </w:rPr>
        <w:t xml:space="preserve">non può stare dentro ciò che misura; il memorandum operativo si esclude per</w:t>
      </w:r>
    </w:p>
    <w:p>
      <w:pPr>
        <w:spacing w:after="120" w:line="276"/>
        <w:jc w:val="both"/>
      </w:pPr>
      <w:r>
        <w:rPr>
          <w:rFonts w:ascii="Barlow Semi Condensed" w:cs="Barlow Semi Condensed" w:eastAsia="Barlow Semi Condensed" w:hAnsi="Barlow Semi Condensed"/>
          <w:sz w:val="24"/>
          <w:szCs w:val="24"/>
        </w:rPr>
        <w:t xml:space="preserve">statuto proprio; la nota sugli strumenti ricevuti riguarda codice e segue i</w:t>
      </w:r>
    </w:p>
    <w:p>
      <w:pPr>
        <w:spacing w:after="120" w:line="276"/>
        <w:jc w:val="both"/>
      </w:pPr>
      <w:r>
        <w:rPr>
          <w:rFonts w:ascii="Barlow Semi Condensed" w:cs="Barlow Semi Condensed" w:eastAsia="Barlow Semi Condensed" w:hAnsi="Barlow Semi Condensed"/>
          <w:sz w:val="24"/>
          <w:szCs w:val="24"/>
        </w:rPr>
        <w:t xml:space="preserve">generatori. Il conteggio delle pagine è dato in tondo per la stessa ragione per</w:t>
      </w:r>
    </w:p>
    <w:p>
      <w:pPr>
        <w:spacing w:after="120" w:line="276"/>
        <w:jc w:val="both"/>
      </w:pPr>
      <w:r>
        <w:rPr>
          <w:rFonts w:ascii="Barlow Semi Condensed" w:cs="Barlow Semi Condensed" w:eastAsia="Barlow Semi Condensed" w:hAnsi="Barlow Semi Condensed"/>
          <w:sz w:val="24"/>
          <w:szCs w:val="24"/>
        </w:rPr>
        <w:t xml:space="preserve">cui lo è nel foglio del deposito: questa scheda è rilegata nel volume che conta,</w:t>
      </w:r>
    </w:p>
    <w:p>
      <w:pPr>
        <w:spacing w:after="120" w:line="276"/>
        <w:jc w:val="both"/>
      </w:pPr>
      <w:r>
        <w:rPr>
          <w:rFonts w:ascii="Barlow Semi Condensed" w:cs="Barlow Semi Condensed" w:eastAsia="Barlow Semi Condensed" w:hAnsi="Barlow Semi Condensed"/>
          <w:sz w:val="24"/>
          <w:szCs w:val="24"/>
        </w:rPr>
        <w:t xml:space="preserve">e ogni volta che vi si scrive il numero esatto il numero cambia. La cifra si</w:t>
      </w:r>
    </w:p>
    <w:p>
      <w:pPr>
        <w:spacing w:after="120" w:line="276"/>
        <w:jc w:val="both"/>
      </w:pPr>
      <w:r>
        <w:rPr>
          <w:rFonts w:ascii="Barlow Semi Condensed" w:cs="Barlow Semi Condensed" w:eastAsia="Barlow Semi Condensed" w:hAnsi="Barlow Semi Condensed"/>
          <w:sz w:val="24"/>
          <w:szCs w:val="24"/>
        </w:rPr>
        <w:t xml:space="preserve">legge sulla copertina.*</w:t>
      </w:r>
    </w:p>
    <w:p>
      <w:pPr>
        <w:spacing w:after="120" w:line="276"/>
        <w:jc w:val="both"/>
      </w:pPr>
      <w:r>
        <w:rPr>
          <w:rFonts w:ascii="Barlow Semi Condensed" w:cs="Barlow Semi Condensed" w:eastAsia="Barlow Semi Condensed" w:hAnsi="Barlow Semi Condensed"/>
          <w:sz w:val="24"/>
          <w:szCs w:val="24"/>
        </w:rPr>
        <w:t xml:space="preserve">*Annotazione del 27 agosto 2026 — Questa tavola è stata aggiornata, e va detto\</w:t>
      </w:r>
    </w:p>
    <w:p>
      <w:pPr>
        <w:spacing w:after="120" w:line="276"/>
        <w:jc w:val="both"/>
      </w:pPr>
      <w:r>
        <w:rPr>
          <w:rFonts w:ascii="Barlow Semi Condensed" w:cs="Barlow Semi Condensed" w:eastAsia="Barlow Semi Condensed" w:hAnsi="Barlow Semi Condensed"/>
          <w:sz w:val="24"/>
          <w:szCs w:val="24"/>
        </w:rPr>
        <w:t xml:space="preserve">da che cosa. Fino al 26 agosto vi si leggeva: opera integrale di **1.331 pagine\</w:t>
      </w:r>
    </w:p>
    <w:p>
      <w:pPr>
        <w:spacing w:after="120" w:line="276"/>
        <w:jc w:val="both"/>
      </w:pPr>
      <w:r>
        <w:rPr>
          <w:rFonts w:ascii="Barlow Semi Condensed" w:cs="Barlow Semi Condensed" w:eastAsia="Barlow Semi Condensed" w:hAnsi="Barlow Semi Condensed"/>
          <w:sz w:val="24"/>
          <w:szCs w:val="24"/>
        </w:rPr>
        <w:t xml:space="preserve">e 47 documenti</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39</w:t>
      </w:r>
      <w:r>
        <w:rPr>
          <w:rFonts w:ascii="Barlow Semi Condensed" w:cs="Barlow Semi Condensed" w:eastAsia="Barlow Semi Condensed" w:hAnsi="Barlow Semi Condensed"/>
          <w:b/>
          <w:bCs/>
          <w:sz w:val="24"/>
          <w:szCs w:val="24"/>
        </w:rPr>
        <w:t xml:space="preserve"> documenti in markdown, </w:t>
      </w:r>
      <w:r>
        <w:rPr>
          <w:rFonts w:ascii="Barlow Semi Condensed" w:cs="Barlow Semi Condensed" w:eastAsia="Barlow Semi Condensed" w:hAnsi="Barlow Semi Condensed"/>
          <w:sz w:val="24"/>
          <w:szCs w:val="24"/>
        </w:rPr>
        <w:t xml:space="preserve">667** indirizzi distinti con\</w:t>
      </w:r>
    </w:p>
    <w:p>
      <w:pPr>
        <w:spacing w:after="120" w:line="276"/>
        <w:jc w:val="both"/>
      </w:pPr>
      <w:r>
        <w:rPr>
          <w:rFonts w:ascii="Barlow Semi Condensed" w:cs="Barlow Semi Condensed" w:eastAsia="Barlow Semi Condensed" w:hAnsi="Barlow Semi Condensed"/>
          <w:b/>
          <w:bCs/>
          <w:sz w:val="24"/>
          <w:szCs w:val="24"/>
        </w:rPr>
        <w:t xml:space="preserve">1.002</w:t>
      </w:r>
      <w:r>
        <w:rPr>
          <w:rFonts w:ascii="Barlow Semi Condensed" w:cs="Barlow Semi Condensed" w:eastAsia="Barlow Semi Condensed" w:hAnsi="Barlow Semi Condensed"/>
          <w:sz w:val="24"/>
          <w:szCs w:val="24"/>
        </w:rPr>
        <w:t xml:space="preserve"> citazioni su </w:t>
      </w: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domini, </w:t>
      </w: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grafici. Quelle cifre erano esatte\</w:t>
      </w:r>
    </w:p>
    <w:p>
      <w:pPr>
        <w:spacing w:after="120" w:line="276"/>
        <w:jc w:val="both"/>
      </w:pPr>
      <w:r>
        <w:rPr>
          <w:rFonts w:ascii="Barlow Semi Condensed" w:cs="Barlow Semi Condensed" w:eastAsia="Barlow Semi Condensed" w:hAnsi="Barlow Semi Condensed"/>
          <w:sz w:val="24"/>
          <w:szCs w:val="24"/>
        </w:rPr>
        <w:t xml:space="preserve">alla loro data e sono diventate false quando l'opera è cresciuta della terza\</w:t>
      </w:r>
    </w:p>
    <w:p>
      <w:pPr>
        <w:spacing w:after="120" w:line="276"/>
        <w:jc w:val="both"/>
      </w:pPr>
      <w:r>
        <w:rPr>
          <w:rFonts w:ascii="Barlow Semi Condensed" w:cs="Barlow Semi Condensed" w:eastAsia="Barlow Semi Condensed" w:hAnsi="Barlow Semi Condensed"/>
          <w:sz w:val="24"/>
          <w:szCs w:val="24"/>
        </w:rPr>
        <w:t xml:space="preserve">campagna Farnesina, dell'opera seconda sui cinquantacinque giorni e delle undici\</w:t>
      </w:r>
    </w:p>
    <w:p>
      <w:pPr>
        <w:spacing w:after="120" w:line="276"/>
        <w:jc w:val="both"/>
      </w:pPr>
      <w:r>
        <w:rPr>
          <w:rFonts w:ascii="Barlow Semi Condensed" w:cs="Barlow Semi Condensed" w:eastAsia="Barlow Semi Condensed" w:hAnsi="Barlow Semi Condensed"/>
          <w:sz w:val="24"/>
          <w:szCs w:val="24"/>
        </w:rPr>
        <w:t xml:space="preserve">appendici alla Fase settima. Sono lasciate qui accanto alle nuove, e non\</w:t>
      </w:r>
    </w:p>
    <w:p>
      <w:pPr>
        <w:spacing w:after="120" w:line="276"/>
        <w:jc w:val="both"/>
      </w:pPr>
      <w:r>
        <w:rPr>
          <w:rFonts w:ascii="Barlow Semi Condensed" w:cs="Barlow Semi Condensed" w:eastAsia="Barlow Semi Condensed" w:hAnsi="Barlow Semi Condensed"/>
          <w:sz w:val="24"/>
          <w:szCs w:val="24"/>
        </w:rPr>
        <w:t xml:space="preserve">cancellate, perché una scheda che si aggiorna in silenzio non permette a chi l'ha\</w:t>
      </w:r>
    </w:p>
    <w:p>
      <w:pPr>
        <w:spacing w:after="120" w:line="276"/>
        <w:jc w:val="both"/>
      </w:pPr>
      <w:r>
        <w:rPr>
          <w:rFonts w:ascii="Barlow Semi Condensed" w:cs="Barlow Semi Condensed" w:eastAsia="Barlow Semi Condensed" w:hAnsi="Barlow Semi Condensed"/>
          <w:sz w:val="24"/>
          <w:szCs w:val="24"/>
        </w:rPr>
        <w:t xml:space="preserve">già ricevuta di accorgersi che i numeri sono cambiati. Chi ha in mano la\</w:t>
      </w:r>
    </w:p>
    <w:p>
      <w:pPr>
        <w:spacing w:after="120" w:line="276"/>
        <w:jc w:val="both"/>
      </w:pPr>
      <w:r>
        <w:rPr>
          <w:rFonts w:ascii="Barlow Semi Condensed" w:cs="Barlow Semi Condensed" w:eastAsia="Barlow Semi Condensed" w:hAnsi="Barlow Semi Condensed"/>
          <w:sz w:val="24"/>
          <w:szCs w:val="24"/>
        </w:rPr>
        <w:t xml:space="preserve">redazione del 26 agosto legga questa riga: nessuna cifra è stata ritirata come\</w:t>
      </w:r>
    </w:p>
    <w:p>
      <w:pPr>
        <w:spacing w:after="120" w:line="276"/>
        <w:jc w:val="both"/>
      </w:pPr>
      <w:r>
        <w:rPr>
          <w:rFonts w:ascii="Barlow Semi Condensed" w:cs="Barlow Semi Condensed" w:eastAsia="Barlow Semi Condensed" w:hAnsi="Barlow Semi Condensed"/>
          <w:sz w:val="24"/>
          <w:szCs w:val="24"/>
        </w:rPr>
        <w:t xml:space="preserve">sbagliata, tutte sono state superate dalla crescita del corpus. Un esemplare\</w:t>
      </w:r>
    </w:p>
    <w:p>
      <w:pPr>
        <w:spacing w:after="120" w:line="276"/>
        <w:jc w:val="both"/>
      </w:pPr>
      <w:r>
        <w:rPr>
          <w:rFonts w:ascii="Barlow Semi Condensed" w:cs="Barlow Semi Condensed" w:eastAsia="Barlow Semi Condensed" w:hAnsi="Barlow Semi Condensed"/>
          <w:sz w:val="24"/>
          <w:szCs w:val="24"/>
        </w:rPr>
        <w:t xml:space="preserve">dell'allegato in quella redazione, in PDF, è stato ripresentato il 27 agosto ed è\</w:t>
      </w:r>
    </w:p>
    <w:p>
      <w:pPr>
        <w:spacing w:after="120" w:line="276"/>
        <w:jc w:val="both"/>
      </w:pPr>
      <w:r>
        <w:rPr>
          <w:rFonts w:ascii="Barlow Semi Condensed" w:cs="Barlow Semi Condensed" w:eastAsia="Barlow Semi Condensed" w:hAnsi="Barlow Semi Condensed"/>
          <w:sz w:val="24"/>
          <w:szCs w:val="24"/>
        </w:rPr>
        <w:t xml:space="preserve">appunto quello che porta le cifre anteriori.*</w:t>
      </w:r>
    </w:p>
    <w:p>
      <w:pPr>
        <w:spacing w:after="120" w:line="276"/>
        <w:jc w:val="both"/>
      </w:pPr>
      <w:r>
        <w:rPr>
          <w:rFonts w:ascii="Barlow Semi Condensed" w:cs="Barlow Semi Condensed" w:eastAsia="Barlow Semi Condensed" w:hAnsi="Barlow Semi Condensed"/>
          <w:sz w:val="24"/>
          <w:szCs w:val="24"/>
        </w:rPr>
        <w:t xml:space="preserve">Le cinque opere in blocchi: la triangolazione di un solo nome contro tutto il</w:t>
      </w:r>
    </w:p>
    <w:p>
      <w:pPr>
        <w:spacing w:after="120" w:line="276"/>
        <w:jc w:val="both"/>
      </w:pPr>
      <w:r>
        <w:rPr>
          <w:rFonts w:ascii="Barlow Semi Condensed" w:cs="Barlow Semi Condensed" w:eastAsia="Barlow Semi Condensed" w:hAnsi="Barlow Semi Condensed"/>
          <w:sz w:val="24"/>
          <w:szCs w:val="24"/>
        </w:rPr>
        <w:t xml:space="preserve">corpus (</w:t>
      </w:r>
      <w:r>
        <w:rPr>
          <w:rFonts w:ascii="Barlow Semi Condensed" w:cs="Barlow Semi Condensed" w:eastAsia="Barlow Semi Condensed" w:hAnsi="Barlow Semi Condensed"/>
          <w:b/>
          <w:bCs/>
          <w:sz w:val="24"/>
          <w:szCs w:val="24"/>
        </w:rPr>
        <w:t xml:space="preserve">4.999</w:t>
      </w:r>
      <w:r>
        <w:rPr>
          <w:rFonts w:ascii="Barlow Semi Condensed" w:cs="Barlow Semi Condensed" w:eastAsia="Barlow Semi Condensed" w:hAnsi="Barlow Semi Condensed"/>
          <w:sz w:val="24"/>
          <w:szCs w:val="24"/>
        </w:rPr>
        <w:t xml:space="preserve"> blocchi, 65 serie); i nove cantieri d'archivio (</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la</w:t>
      </w:r>
    </w:p>
    <w:p>
      <w:pPr>
        <w:spacing w:after="120" w:line="276"/>
        <w:jc w:val="both"/>
      </w:pPr>
      <w:r>
        <w:rPr>
          <w:rFonts w:ascii="Barlow Semi Condensed" w:cs="Barlow Semi Condensed" w:eastAsia="Barlow Semi Condensed" w:hAnsi="Barlow Semi Condensed"/>
          <w:sz w:val="24"/>
          <w:szCs w:val="24"/>
        </w:rPr>
        <w:t xml:space="preserve">continuità dal Sud Africa dell'apartheid alle imprese tecnologiche californiane</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il manuale investigativo (</w:t>
      </w: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l'agenda di ricerca (</w:t>
      </w: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La disciplina, in sei righe</w:t>
      </w:r>
    </w:p>
    <w:p>
      <w:pPr>
        <w:spacing w:after="40"/>
        <w:ind w:left="360"/>
        <w:jc w:val="both"/>
      </w:pPr>
      <w:r>
        <w:rPr>
          <w:rFonts w:ascii="Barlow Semi Condensed" w:cs="Barlow Semi Condensed" w:eastAsia="Barlow Semi Condensed" w:hAnsi="Barlow Semi Condensed"/>
          <w:sz w:val="24"/>
          <w:szCs w:val="24"/>
        </w:rPr>
        <w:t xml:space="preserve">1. Un legame è reale solo se **un documento di provenienza nomina entrambe le</w:t>
      </w:r>
    </w:p>
    <w:p>
      <w:pPr>
        <w:spacing w:after="120" w:line="276"/>
        <w:jc w:val="both"/>
      </w:pPr>
      <w:r>
        <w:rPr>
          <w:rFonts w:ascii="Barlow Semi Condensed" w:cs="Barlow Semi Condensed" w:eastAsia="Barlow Semi Condensed" w:hAnsi="Barlow Semi Condensed"/>
          <w:sz w:val="24"/>
          <w:szCs w:val="24"/>
        </w:rPr>
        <w:t xml:space="preserve">   parti**. La convergenza strutturale e l'affermazione di terza mano si</w:t>
      </w:r>
    </w:p>
    <w:p>
      <w:pPr>
        <w:spacing w:after="120" w:line="276"/>
        <w:jc w:val="both"/>
      </w:pPr>
      <w:r>
        <w:rPr>
          <w:rFonts w:ascii="Barlow Semi Condensed" w:cs="Barlow Semi Condensed" w:eastAsia="Barlow Semi Condensed" w:hAnsi="Barlow Semi Condensed"/>
          <w:sz w:val="24"/>
          <w:szCs w:val="24"/>
        </w:rPr>
        <w:t xml:space="preserve">   registrano, ma su un altro piano, e il piano si dichiara ogni volta.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contemporaneità non è prova di nesso.</w:t>
      </w:r>
      <w:r>
        <w:rPr>
          <w:rFonts w:ascii="Barlow Semi Condensed" w:cs="Barlow Semi Condensed" w:eastAsia="Barlow Semi Condensed" w:hAnsi="Barlow Semi Condensed"/>
          <w:sz w:val="24"/>
          <w:szCs w:val="24"/>
        </w:rPr>
        <w:t xml:space="preserve"> Due fatti dello stesso anno</w:t>
      </w:r>
    </w:p>
    <w:p>
      <w:pPr>
        <w:spacing w:after="120" w:line="276"/>
        <w:jc w:val="both"/>
      </w:pPr>
      <w:r>
        <w:rPr>
          <w:rFonts w:ascii="Barlow Semi Condensed" w:cs="Barlow Semi Condensed" w:eastAsia="Barlow Semi Condensed" w:hAnsi="Barlow Semi Condensed"/>
          <w:sz w:val="24"/>
          <w:szCs w:val="24"/>
        </w:rPr>
        <w:t xml:space="preserve">   restano due fatti.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L'appartenenza a un'organizzazione non è prova di condotta.</w:t>
      </w:r>
    </w:p>
    <w:p>
      <w:pPr>
        <w:spacing w:after="40"/>
        <w:ind w:left="360"/>
        <w:jc w:val="both"/>
      </w:pPr>
      <w:r>
        <w:rPr>
          <w:rFonts w:ascii="Barlow Semi Condensed" w:cs="Barlow Semi Condensed" w:eastAsia="Barlow Semi Condensed" w:hAnsi="Barlow Semi Condensed"/>
          <w:sz w:val="24"/>
          <w:szCs w:val="24"/>
        </w:rPr>
        <w:t xml:space="preserve">4. **Nessuna persona è indicata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   definitivo.** Nessuna graduatoria di colpa è compilata, con una sola eccezione</w:t>
      </w:r>
    </w:p>
    <w:p>
      <w:pPr>
        <w:spacing w:after="120" w:line="276"/>
        <w:jc w:val="both"/>
      </w:pPr>
      <w:r>
        <w:rPr>
          <w:rFonts w:ascii="Barlow Semi Condensed" w:cs="Barlow Semi Condensed" w:eastAsia="Barlow Semi Condensed" w:hAnsi="Barlow Semi Condensed"/>
          <w:sz w:val="24"/>
          <w:szCs w:val="24"/>
        </w:rPr>
        <w:t xml:space="preserve">   dichiarata: il Libro quarto, nella seconda metà, ordina secondo la plausibilità</w:t>
      </w:r>
    </w:p>
    <w:p>
      <w:pPr>
        <w:spacing w:after="120" w:line="276"/>
        <w:jc w:val="both"/>
      </w:pPr>
      <w:r>
        <w:rPr>
          <w:rFonts w:ascii="Barlow Semi Condensed" w:cs="Barlow Semi Condensed" w:eastAsia="Barlow Semi Condensed" w:hAnsi="Barlow Semi Condensed"/>
          <w:sz w:val="24"/>
          <w:szCs w:val="24"/>
        </w:rPr>
        <w:t xml:space="preserve">   del coinvolgimento — per categorie di soggetti, non per nomi individuali — e lo</w:t>
      </w:r>
    </w:p>
    <w:p>
      <w:pPr>
        <w:spacing w:after="120" w:line="276"/>
        <w:jc w:val="both"/>
      </w:pPr>
      <w:r>
        <w:rPr>
          <w:rFonts w:ascii="Barlow Semi Condensed" w:cs="Barlow Semi Condensed" w:eastAsia="Barlow Semi Condensed" w:hAnsi="Barlow Semi Condensed"/>
          <w:sz w:val="24"/>
          <w:szCs w:val="24"/>
        </w:rPr>
        <w:t xml:space="preserve">   avverte in apertura. Ordinare per plausibilità non è condannare, l'eccezione vale</w:t>
      </w:r>
    </w:p>
    <w:p>
      <w:pPr>
        <w:spacing w:after="120" w:line="276"/>
        <w:jc w:val="both"/>
      </w:pPr>
      <w:r>
        <w:rPr>
          <w:rFonts w:ascii="Barlow Semi Condensed" w:cs="Barlow Semi Condensed" w:eastAsia="Barlow Semi Condensed" w:hAnsi="Barlow Semi Condensed"/>
          <w:sz w:val="24"/>
          <w:szCs w:val="24"/>
        </w:rPr>
        <w:t xml:space="preserve">   per quel Libro soltanto, e nessuna sua affermazione è trasportata negli altri.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divergenze si riportano e non si scelgono in silenzio.</w:t>
      </w:r>
      <w:r>
        <w:rPr>
          <w:rFonts w:ascii="Barlow Semi Condensed" w:cs="Barlow Semi Condensed" w:eastAsia="Barlow Semi Condensed" w:hAnsi="Barlow Semi Condensed"/>
          <w:sz w:val="24"/>
          <w:szCs w:val="24"/>
        </w:rPr>
        <w:t xml:space="preserve"> Quando due fonti</w:t>
      </w:r>
    </w:p>
    <w:p>
      <w:pPr>
        <w:spacing w:after="120" w:line="276"/>
        <w:jc w:val="both"/>
      </w:pPr>
      <w:r>
        <w:rPr>
          <w:rFonts w:ascii="Barlow Semi Condensed" w:cs="Barlow Semi Condensed" w:eastAsia="Barlow Semi Condensed" w:hAnsi="Barlow Semi Condensed"/>
          <w:sz w:val="24"/>
          <w:szCs w:val="24"/>
        </w:rPr>
        <w:t xml:space="preserve">   danno date diverse, il testo dà due date.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Le correzioni si fanno per nota, mai riscrivendo in silenzio.</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   registra il proprio tasso d'errore.</w:t>
      </w:r>
    </w:p>
    <w:p>
      <w:pPr>
        <w:pStyle w:val="Heading2"/>
        <w:spacing w:after="100" w:before="200"/>
      </w:pPr>
      <w:r>
        <w:rPr>
          <w:rFonts w:ascii="Barlow Semi Condensed" w:cs="Barlow Semi Condensed" w:eastAsia="Barlow Semi Condensed" w:hAnsi="Barlow Semi Condensed"/>
          <w:sz w:val="24"/>
          <w:szCs w:val="24"/>
        </w:rPr>
        <w:t xml:space="preserve">Che cosa il corpus ha effettivamente accertato</w:t>
      </w:r>
    </w:p>
    <w:p>
      <w:pPr>
        <w:spacing w:after="120" w:line="276"/>
        <w:jc w:val="both"/>
      </w:pPr>
      <w:r>
        <w:rPr>
          <w:rFonts w:ascii="Barlow Semi Condensed" w:cs="Barlow Semi Condensed" w:eastAsia="Barlow Semi Condensed" w:hAnsi="Barlow Semi Condensed"/>
          <w:sz w:val="24"/>
          <w:szCs w:val="24"/>
        </w:rPr>
        <w:t xml:space="preserve">Tre cose, tutte verificabili da terzi, tutte di natura documentale e nessuna di</w:t>
      </w:r>
    </w:p>
    <w:p>
      <w:pPr>
        <w:spacing w:after="120" w:line="276"/>
        <w:jc w:val="both"/>
      </w:pPr>
      <w:r>
        <w:rPr>
          <w:rFonts w:ascii="Barlow Semi Condensed" w:cs="Barlow Semi Condensed" w:eastAsia="Barlow Semi Condensed" w:hAnsi="Barlow Semi Condensed"/>
          <w:sz w:val="24"/>
          <w:szCs w:val="24"/>
        </w:rPr>
        <w:t xml:space="preserve">natura rivelatoria: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verbale dello Studio Ovale del 25 settembre 1974</w:t>
      </w:r>
      <w:r>
        <w:rPr>
          <w:rFonts w:ascii="Barlow Semi Condensed" w:cs="Barlow Semi Condensed" w:eastAsia="Barlow Semi Condensed" w:hAnsi="Barlow Semi Condensed"/>
          <w:sz w:val="24"/>
          <w:szCs w:val="24"/>
        </w:rPr>
        <w:t xml:space="preserve"> — pubblicato, dotato di</w:t>
      </w:r>
    </w:p>
    <w:p>
      <w:pPr>
        <w:spacing w:after="120" w:line="276"/>
        <w:jc w:val="both"/>
      </w:pPr>
      <w:r>
        <w:rPr>
          <w:rFonts w:ascii="Barlow Semi Condensed" w:cs="Barlow Semi Condensed" w:eastAsia="Barlow Semi Condensed" w:hAnsi="Barlow Semi Condensed"/>
          <w:sz w:val="24"/>
          <w:szCs w:val="24"/>
        </w:rPr>
        <w:t xml:space="preserve">  doppia segnatura d'archivio — è correntemente citato come la prova documentale</w:t>
      </w:r>
    </w:p>
    <w:p>
      <w:pPr>
        <w:spacing w:after="120" w:line="276"/>
        <w:jc w:val="both"/>
      </w:pPr>
      <w:r>
        <w:rPr>
          <w:rFonts w:ascii="Barlow Semi Condensed" w:cs="Barlow Semi Condensed" w:eastAsia="Barlow Semi Condensed" w:hAnsi="Barlow Semi Condensed"/>
          <w:sz w:val="24"/>
          <w:szCs w:val="24"/>
        </w:rPr>
        <w:t xml:space="preserve">  di un ultimatum ad Aldo Moro, e non contiene quella frase.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 quel colloquio esiste un solo versante, quello americano.</w:t>
      </w:r>
      <w:r>
        <w:rPr>
          <w:rFonts w:ascii="Barlow Semi Condensed" w:cs="Barlow Semi Condensed" w:eastAsia="Barlow Semi Condensed" w:hAnsi="Barlow Semi Condensed"/>
          <w:sz w:val="24"/>
          <w:szCs w:val="24"/>
        </w:rPr>
        <w:t xml:space="preserve"> L'appunto</w:t>
      </w:r>
    </w:p>
    <w:p>
      <w:pPr>
        <w:spacing w:after="120" w:line="276"/>
        <w:jc w:val="both"/>
      </w:pPr>
      <w:r>
        <w:rPr>
          <w:rFonts w:ascii="Barlow Semi Condensed" w:cs="Barlow Semi Condensed" w:eastAsia="Barlow Semi Condensed" w:hAnsi="Barlow Semi Condensed"/>
          <w:sz w:val="24"/>
          <w:szCs w:val="24"/>
        </w:rPr>
        <w:t xml:space="preserve">  italiano dello stesso incontro non risulta mai cercato, in cinquant'anni. Sono</w:t>
      </w:r>
    </w:p>
    <w:p>
      <w:pPr>
        <w:spacing w:after="120" w:line="276"/>
        <w:jc w:val="both"/>
      </w:pPr>
      <w:r>
        <w:rPr>
          <w:rFonts w:ascii="Barlow Semi Condensed" w:cs="Barlow Semi Condensed" w:eastAsia="Barlow Semi Condensed" w:hAnsi="Barlow Semi Condensed"/>
          <w:sz w:val="24"/>
          <w:szCs w:val="24"/>
        </w:rPr>
        <w:t xml:space="preserve">  indicate cinque sedi in cui cercarlo.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decine di riprese pressoché</w:t>
      </w:r>
    </w:p>
    <w:p>
      <w:pPr>
        <w:spacing w:after="120" w:line="276"/>
        <w:jc w:val="both"/>
      </w:pPr>
      <w:r>
        <w:rPr>
          <w:rFonts w:ascii="Barlow Semi Condensed" w:cs="Barlow Semi Condensed" w:eastAsia="Barlow Semi Condensed" w:hAnsi="Barlow Semi Condensed"/>
          <w:sz w:val="24"/>
          <w:szCs w:val="24"/>
        </w:rPr>
        <w:t xml:space="preserve">  identiche della stessa frase risalgono a un unico lancio d'agenzia del 30</w:t>
      </w:r>
    </w:p>
    <w:p>
      <w:pPr>
        <w:spacing w:after="120" w:line="276"/>
        <w:jc w:val="both"/>
      </w:pPr>
      <w:r>
        <w:rPr>
          <w:rFonts w:ascii="Barlow Semi Condensed" w:cs="Barlow Semi Condensed" w:eastAsia="Barlow Semi Condensed" w:hAnsi="Barlow Semi Condensed"/>
          <w:sz w:val="24"/>
          <w:szCs w:val="24"/>
        </w:rPr>
        <w:t xml:space="preserve">  novembre 2023. Cento copie di una fonte restano una fonte.</w:t>
      </w:r>
    </w:p>
    <w:p>
      <w:pPr>
        <w:pStyle w:val="Heading2"/>
        <w:spacing w:after="100" w:before="200"/>
      </w:pPr>
      <w:r>
        <w:rPr>
          <w:rFonts w:ascii="Barlow Semi Condensed" w:cs="Barlow Semi Condensed" w:eastAsia="Barlow Semi Condensed" w:hAnsi="Barlow Semi Condensed"/>
          <w:sz w:val="24"/>
          <w:szCs w:val="24"/>
        </w:rPr>
        <w:t xml:space="preserve">Che cosa il corpus dichiara di non aver stabilito</w:t>
      </w:r>
    </w:p>
    <w:p>
      <w:pPr>
        <w:spacing w:after="120" w:line="276"/>
        <w:jc w:val="both"/>
      </w:pPr>
      <w:r>
        <w:rPr>
          <w:rFonts w:ascii="Barlow Semi Condensed" w:cs="Barlow Semi Condensed" w:eastAsia="Barlow Semi Condensed" w:hAnsi="Barlow Semi Condensed"/>
          <w:sz w:val="24"/>
          <w:szCs w:val="24"/>
        </w:rPr>
        <w:t xml:space="preserve">Che la frase non sia stata pronunciata; che qualcuno menta; qualsiasi cosa</w:t>
      </w:r>
    </w:p>
    <w:p>
      <w:pPr>
        <w:spacing w:after="120" w:line="276"/>
        <w:jc w:val="both"/>
      </w:pPr>
      <w:r>
        <w:rPr>
          <w:rFonts w:ascii="Barlow Semi Condensed" w:cs="Barlow Semi Condensed" w:eastAsia="Barlow Semi Condensed" w:hAnsi="Barlow Semi Condensed"/>
          <w:sz w:val="24"/>
          <w:szCs w:val="24"/>
        </w:rPr>
        <w:t xml:space="preserve">riguardi la responsabilità del sequestro e dell'omicidio. **Henry Kissinger non</w:t>
      </w:r>
    </w:p>
    <w:p>
      <w:pPr>
        <w:spacing w:after="120" w:line="276"/>
        <w:jc w:val="both"/>
      </w:pPr>
      <w:r>
        <w:rPr>
          <w:rFonts w:ascii="Barlow Semi Condensed" w:cs="Barlow Semi Condensed" w:eastAsia="Barlow Semi Condensed" w:hAnsi="Barlow Semi Condensed"/>
          <w:sz w:val="24"/>
          <w:szCs w:val="24"/>
        </w:rPr>
        <w:t xml:space="preserve">fu condannato in alcun processo, non fu mai imputato né processato in alcun</w:t>
      </w:r>
    </w:p>
    <w:p>
      <w:pPr>
        <w:spacing w:after="120" w:line="276"/>
        <w:jc w:val="both"/>
      </w:pPr>
      <w:r>
        <w:rPr>
          <w:rFonts w:ascii="Barlow Semi Condensed" w:cs="Barlow Semi Condensed" w:eastAsia="Barlow Semi Condensed" w:hAnsi="Barlow Semi Condensed"/>
          <w:sz w:val="24"/>
          <w:szCs w:val="24"/>
        </w:rPr>
        <w:t xml:space="preserve">Paese**, e nessuna sentenza definitiva ha attribuito ad alcuna autorità</w:t>
      </w:r>
    </w:p>
    <w:p>
      <w:pPr>
        <w:spacing w:after="120" w:line="276"/>
        <w:jc w:val="both"/>
      </w:pPr>
      <w:r>
        <w:rPr>
          <w:rFonts w:ascii="Barlow Semi Condensed" w:cs="Barlow Semi Condensed" w:eastAsia="Barlow Semi Condensed" w:hAnsi="Barlow Semi Condensed"/>
          <w:sz w:val="24"/>
          <w:szCs w:val="24"/>
        </w:rPr>
        <w:t xml:space="preserve">statunitense responsabilità penali nel caso: le condanne definitive riguardano</w:t>
      </w:r>
    </w:p>
    <w:p>
      <w:pPr>
        <w:spacing w:after="120" w:line="276"/>
        <w:jc w:val="both"/>
      </w:pPr>
      <w:r>
        <w:rPr>
          <w:rFonts w:ascii="Barlow Semi Condensed" w:cs="Barlow Semi Condensed" w:eastAsia="Barlow Semi Condensed" w:hAnsi="Barlow Semi Condensed"/>
          <w:sz w:val="24"/>
          <w:szCs w:val="24"/>
        </w:rPr>
        <w:t xml:space="preserve">esponenti delle Brigate Rosse.</w:t>
      </w:r>
    </w:p>
    <w:p>
      <w:pPr>
        <w:spacing w:after="120" w:line="276"/>
        <w:jc w:val="both"/>
      </w:pPr>
      <w:r>
        <w:rPr>
          <w:rFonts w:ascii="Barlow Semi Condensed" w:cs="Barlow Semi Condensed" w:eastAsia="Barlow Semi Condensed" w:hAnsi="Barlow Semi Condensed"/>
          <w:sz w:val="24"/>
          <w:szCs w:val="24"/>
        </w:rPr>
        <w:t xml:space="preserve">Il corpus dichiara inoltre i propri limiti d'accesso: per una parte dei materiali</w:t>
      </w:r>
    </w:p>
    <w:p>
      <w:pPr>
        <w:spacing w:after="120" w:line="276"/>
        <w:jc w:val="both"/>
      </w:pPr>
      <w:r>
        <w:rPr>
          <w:rFonts w:ascii="Barlow Semi Condensed" w:cs="Barlow Semi Condensed" w:eastAsia="Barlow Semi Condensed" w:hAnsi="Barlow Semi Condensed"/>
          <w:sz w:val="24"/>
          <w:szCs w:val="24"/>
        </w:rPr>
        <w:t xml:space="preserve">primari ha lavorato su sintesi e fonti secondarie,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sui resoconti</w:t>
      </w:r>
    </w:p>
    <w:p>
      <w:pPr>
        <w:spacing w:after="120" w:line="276"/>
        <w:jc w:val="both"/>
      </w:pPr>
      <w:r>
        <w:rPr>
          <w:rFonts w:ascii="Barlow Semi Condensed" w:cs="Barlow Semi Condensed" w:eastAsia="Barlow Semi Condensed" w:hAnsi="Barlow Semi Condensed"/>
          <w:sz w:val="24"/>
          <w:szCs w:val="24"/>
        </w:rPr>
        <w:t xml:space="preserve">stenografici della Commissione parlamentare d'inchiesta né sui verbali d'udienza</w:t>
      </w:r>
    </w:p>
    <w:p>
      <w:pPr>
        <w:spacing w:after="120" w:line="276"/>
        <w:jc w:val="both"/>
      </w:pPr>
      <w:r>
        <w:rPr>
          <w:rFonts w:ascii="Barlow Semi Condensed" w:cs="Barlow Semi Condensed" w:eastAsia="Barlow Semi Condensed" w:hAnsi="Barlow Semi Condensed"/>
          <w:sz w:val="24"/>
          <w:szCs w:val="24"/>
        </w:rPr>
        <w:t xml:space="preserve">del processo.</w:t>
      </w:r>
    </w:p>
    <w:p>
      <w:pPr>
        <w:pStyle w:val="Heading2"/>
        <w:spacing w:after="100" w:before="200"/>
      </w:pPr>
      <w:r>
        <w:rPr>
          <w:rFonts w:ascii="Barlow Semi Condensed" w:cs="Barlow Semi Condensed" w:eastAsia="Barlow Semi Condensed" w:hAnsi="Barlow Semi Condensed"/>
          <w:sz w:val="24"/>
          <w:szCs w:val="24"/>
        </w:rPr>
        <w:t xml:space="preserve">Il libro proposto agli editori</w:t>
      </w:r>
    </w:p>
    <w:p>
      <w:pPr>
        <w:spacing w:after="120" w:line="276"/>
        <w:jc w:val="both"/>
      </w:pPr>
      <w:r>
        <w:rPr>
          <w:rFonts w:ascii="Barlow Semi Condensed" w:cs="Barlow Semi Condensed" w:eastAsia="Barlow Semi Condensed" w:hAnsi="Barlow Semi Condensed"/>
          <w:b/>
          <w:bCs/>
          <w:sz w:val="24"/>
          <w:szCs w:val="24"/>
        </w:rPr>
        <w:t xml:space="preserve">Non è questo corpus</w:t>
      </w:r>
      <w:r>
        <w:rPr>
          <w:rFonts w:ascii="Barlow Semi Condensed" w:cs="Barlow Semi Condensed" w:eastAsia="Barlow Semi Condensed" w:hAnsi="Barlow Semi Condensed"/>
          <w:sz w:val="24"/>
          <w:szCs w:val="24"/>
        </w:rPr>
        <w:t xml:space="preserve">, che resta apparato di consultazione. È il saggio breve</w:t>
      </w:r>
    </w:p>
    <w:p>
      <w:pPr>
        <w:spacing w:after="120" w:line="276"/>
        <w:jc w:val="both"/>
      </w:pPr>
      <w:r>
        <w:rPr>
          <w:rFonts w:ascii="Barlow Semi Condensed" w:cs="Barlow Semi Condensed" w:eastAsia="Barlow Semi Condensed" w:hAnsi="Barlow Semi Condensed"/>
          <w:sz w:val="24"/>
          <w:szCs w:val="24"/>
        </w:rPr>
        <w:t xml:space="preserve">che ne nasce: </w:t>
      </w:r>
      <w:r>
        <w:rPr>
          <w:rFonts w:ascii="Barlow Semi Condensed" w:cs="Barlow Semi Condensed" w:eastAsia="Barlow Semi Condensed" w:hAnsi="Barlow Semi Condensed"/>
          <w:b/>
          <w:bCs/>
          <w:sz w:val="24"/>
          <w:szCs w:val="24"/>
        </w:rPr>
        <w:t xml:space="preserve">140-200 pagine</w:t>
      </w:r>
      <w:r>
        <w:rPr>
          <w:rFonts w:ascii="Barlow Semi Condensed" w:cs="Barlow Semi Condensed" w:eastAsia="Barlow Semi Condensed" w:hAnsi="Barlow Semi Condensed"/>
          <w:sz w:val="24"/>
          <w:szCs w:val="24"/>
        </w:rPr>
        <w:t xml:space="preserve">, sette capitoli, il resoconto dell'esperimento e</w:t>
      </w:r>
    </w:p>
    <w:p>
      <w:pPr>
        <w:spacing w:after="120" w:line="276"/>
        <w:jc w:val="both"/>
      </w:pPr>
      <w:r>
        <w:rPr>
          <w:rFonts w:ascii="Barlow Semi Condensed" w:cs="Barlow Semi Condensed" w:eastAsia="Barlow Semi Condensed" w:hAnsi="Barlow Semi Condensed"/>
          <w:sz w:val="24"/>
          <w:szCs w:val="24"/>
        </w:rPr>
        <w:t xml:space="preserve">dei suoi fallimenti metodologici. Il caso Moro vi funziona da banco di prova e</w:t>
      </w:r>
    </w:p>
    <w:p>
      <w:pPr>
        <w:spacing w:after="120" w:line="276"/>
        <w:jc w:val="both"/>
      </w:pPr>
      <w:r>
        <w:rPr>
          <w:rFonts w:ascii="Barlow Semi Condensed" w:cs="Barlow Semi Condensed" w:eastAsia="Barlow Semi Condensed" w:hAnsi="Barlow Semi Condensed"/>
          <w:sz w:val="24"/>
          <w:szCs w:val="24"/>
        </w:rPr>
        <w:t xml:space="preserve">non da oggetto.</w:t>
      </w:r>
    </w:p>
    <w:p>
      <w:pPr>
        <w:pStyle w:val="Heading2"/>
        <w:spacing w:after="100" w:before="200"/>
      </w:pPr>
      <w:r>
        <w:rPr>
          <w:rFonts w:ascii="Barlow Semi Condensed" w:cs="Barlow Semi Condensed" w:eastAsia="Barlow Semi Condensed" w:hAnsi="Barlow Semi Condensed"/>
          <w:sz w:val="24"/>
          <w:szCs w:val="24"/>
        </w:rPr>
        <w:t xml:space="preserve">Stato del lavoro</w:t>
      </w:r>
    </w:p>
    <w:p>
      <w:pPr>
        <w:spacing w:after="120" w:line="276"/>
        <w:jc w:val="both"/>
      </w:pPr>
      <w:r>
        <w:rPr>
          <w:rFonts w:ascii="Barlow Semi Condensed" w:cs="Barlow Semi Condensed" w:eastAsia="Barlow Semi Condensed" w:hAnsi="Barlow Semi Condensed"/>
          <w:sz w:val="24"/>
          <w:szCs w:val="24"/>
        </w:rPr>
        <w:t xml:space="preserve">Corpus completo e verificato. Struttura del saggio definita, sette casi</w:t>
      </w:r>
    </w:p>
    <w:p>
      <w:pPr>
        <w:spacing w:after="120" w:line="276"/>
        <w:jc w:val="both"/>
      </w:pPr>
      <w:r>
        <w:rPr>
          <w:rFonts w:ascii="Barlow Semi Condensed" w:cs="Barlow Semi Condensed" w:eastAsia="Barlow Semi Condensed" w:hAnsi="Barlow Semi Condensed"/>
          <w:sz w:val="24"/>
          <w:szCs w:val="24"/>
        </w:rPr>
        <w:t xml:space="preserve">documentati, </w:t>
      </w:r>
      <w:r>
        <w:rPr>
          <w:rFonts w:ascii="Barlow Semi Condensed" w:cs="Barlow Semi Condensed" w:eastAsia="Barlow Semi Condensed" w:hAnsi="Barlow Semi Condensed"/>
          <w:b/>
          <w:bCs/>
          <w:sz w:val="24"/>
          <w:szCs w:val="24"/>
        </w:rPr>
        <w:t xml:space="preserve">capitolo campione scritto</w:t>
      </w:r>
      <w:r>
        <w:rPr>
          <w:rFonts w:ascii="Barlow Semi Condensed" w:cs="Barlow Semi Condensed" w:eastAsia="Barlow Semi Condensed" w:hAnsi="Barlow Semi Condensed"/>
          <w:sz w:val="24"/>
          <w:szCs w:val="24"/>
        </w:rPr>
        <w:t xml:space="preserve">. Il resto del testo è da scrivere.</w:t>
      </w:r>
    </w:p>
    <w:p>
      <w:pPr>
        <w:pStyle w:val="Heading2"/>
        <w:spacing w:after="100" w:before="200"/>
      </w:pPr>
      <w:r>
        <w:rPr>
          <w:rFonts w:ascii="Barlow Semi Condensed" w:cs="Barlow Semi Condensed" w:eastAsia="Barlow Semi Condensed" w:hAnsi="Barlow Semi Condensed"/>
          <w:sz w:val="24"/>
          <w:szCs w:val="24"/>
        </w:rPr>
        <w:t xml:space="preserve">Regime dei diritti e disponibilità</w:t>
      </w:r>
    </w:p>
    <w:p>
      <w:pPr>
        <w:spacing w:after="120" w:line="276"/>
        <w:jc w:val="both"/>
      </w:pPr>
      <w:r>
        <w:rPr>
          <w:rFonts w:ascii="Barlow Semi Condensed" w:cs="Barlow Semi Condensed" w:eastAsia="Barlow Semi Condensed" w:hAnsi="Barlow Semi Condensed"/>
          <w:sz w:val="24"/>
          <w:szCs w:val="24"/>
        </w:rPr>
        <w:t xml:space="preserve">Il corpus è depositato su un archivio pubblico ad accesso libero. Nulla di ciò</w:t>
      </w:r>
    </w:p>
    <w:p>
      <w:pPr>
        <w:spacing w:after="120" w:line="276"/>
        <w:jc w:val="both"/>
      </w:pPr>
      <w:r>
        <w:rPr>
          <w:rFonts w:ascii="Barlow Semi Condensed" w:cs="Barlow Semi Condensed" w:eastAsia="Barlow Semi Condensed" w:hAnsi="Barlow Semi Condensed"/>
          <w:sz w:val="24"/>
          <w:szCs w:val="24"/>
        </w:rPr>
        <w:t xml:space="preserve">che riguarda persone viventi con attribuzioni non verificate è pubblicato: quel</w:t>
      </w:r>
    </w:p>
    <w:p>
      <w:pPr>
        <w:spacing w:after="120" w:line="276"/>
        <w:jc w:val="both"/>
      </w:pPr>
      <w:r>
        <w:rPr>
          <w:rFonts w:ascii="Barlow Semi Condensed" w:cs="Barlow Semi Condensed" w:eastAsia="Barlow Semi Condensed" w:hAnsi="Barlow Semi Condensed"/>
          <w:sz w:val="24"/>
          <w:szCs w:val="24"/>
        </w:rPr>
        <w:t xml:space="preserve">materiale resta in un archivio separato e non divulgabile.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pStyle w:val="Heading3"/>
        <w:spacing w:after="80" w:before="240"/>
      </w:pPr>
      <w:r>
        <w:rPr>
          <w:rFonts w:ascii="Barlow Semi Condensed" w:cs="Barlow Semi Condensed" w:eastAsia="Barlow Semi Condensed" w:hAnsi="Barlow Semi Condensed"/>
          <w:sz w:val="24"/>
          <w:szCs w:val="24"/>
        </w:rPr>
        <w:t xml:space="preserve">Apparato grafico — Appendici · iv. La scheda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1.085 parole in 8 sezioni; la più ampia è §2 I numeri, con 382.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17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 Il capitolo campione</w:t>
      </w:r>
    </w:p>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*È il quarto dei sette, ed è</w:t>
      </w:r>
    </w:p>
    <w:p>
      <w:pPr>
        <w:spacing w:after="120" w:line="276"/>
        <w:jc w:val="both"/>
      </w:pPr>
      <w:r>
        <w:rPr>
          <w:rFonts w:ascii="Barlow Semi Condensed" w:cs="Barlow Semi Condensed" w:eastAsia="Barlow Semi Condensed" w:hAnsi="Barlow Semi Condensed"/>
          <w:sz w:val="24"/>
          <w:szCs w:val="24"/>
        </w:rPr>
        <w:t xml:space="preserve">stato scelto come estratto perché è il più verificabile: ogni sua affermazione</w:t>
      </w:r>
    </w:p>
    <w:p>
      <w:pPr>
        <w:spacing w:after="120" w:line="276"/>
        <w:jc w:val="both"/>
      </w:pPr>
      <w:r>
        <w:rPr>
          <w:rFonts w:ascii="Barlow Semi Condensed" w:cs="Barlow Semi Condensed" w:eastAsia="Barlow Semi Condensed" w:hAnsi="Barlow Semi Condensed"/>
          <w:sz w:val="24"/>
          <w:szCs w:val="24"/>
        </w:rPr>
        <w:t xml:space="preserve">può essere controllata da chi legge, in mezz'ora, senza uscire di casa e senza</w:t>
      </w:r>
    </w:p>
    <w:p>
      <w:pPr>
        <w:spacing w:after="120" w:line="276"/>
        <w:jc w:val="both"/>
      </w:pPr>
      <w:r>
        <w:rPr>
          <w:rFonts w:ascii="Barlow Semi Condensed" w:cs="Barlow Semi Condensed" w:eastAsia="Barlow Semi Condensed" w:hAnsi="Barlow Semi Condensed"/>
          <w:sz w:val="24"/>
          <w:szCs w:val="24"/>
        </w:rPr>
        <w:t xml:space="preserve">chiedere niente a nessuno. Il capitolo si chiude con l'esercizio che permette di</w:t>
      </w:r>
    </w:p>
    <w:p>
      <w:pPr>
        <w:spacing w:after="120" w:line="276"/>
        <w:jc w:val="both"/>
      </w:pPr>
      <w:r>
        <w:rPr>
          <w:rFonts w:ascii="Barlow Semi Condensed" w:cs="Barlow Semi Condensed" w:eastAsia="Barlow Semi Condensed" w:hAnsi="Barlow Semi Condensed"/>
          <w:sz w:val="24"/>
          <w:szCs w:val="24"/>
        </w:rPr>
        <w:t xml:space="preserve">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w:t>
      </w:r>
    </w:p>
    <w:p>
      <w:pPr>
        <w:spacing w:after="120" w:line="276"/>
        <w:jc w:val="both"/>
      </w:pPr>
      <w:r>
        <w:rPr>
          <w:rFonts w:ascii="Barlow Semi Condensed" w:cs="Barlow Semi Condensed" w:eastAsia="Barlow Semi Condensed" w:hAnsi="Barlow Semi Condensed"/>
          <w:sz w:val="24"/>
          <w:szCs w:val="24"/>
        </w:rPr>
        <w:t xml:space="preserve">Basta accennarle e la sala le completa. Una di queste dice, più o meno, che nel</w:t>
      </w:r>
    </w:p>
    <w:p>
      <w:pPr>
        <w:spacing w:after="120" w:line="276"/>
        <w:jc w:val="both"/>
      </w:pPr>
      <w:r>
        <w:rPr>
          <w:rFonts w:ascii="Barlow Semi Condensed" w:cs="Barlow Semi Condensed" w:eastAsia="Barlow Semi Condensed" w:hAnsi="Barlow Semi Condensed"/>
          <w:sz w:val="24"/>
          <w:szCs w:val="24"/>
        </w:rPr>
        <w:t xml:space="preserve">settembre del 1974 il Segretario di Stato americano avvertì Aldo Moro che se</w:t>
      </w:r>
    </w:p>
    <w:p>
      <w:pPr>
        <w:spacing w:after="120" w:line="276"/>
        <w:jc w:val="both"/>
      </w:pPr>
      <w:r>
        <w:rPr>
          <w:rFonts w:ascii="Barlow Semi Condensed" w:cs="Barlow Semi Condensed" w:eastAsia="Barlow Semi Condensed" w:hAnsi="Barlow Semi Condensed"/>
          <w:sz w:val="24"/>
          <w:szCs w:val="24"/>
        </w:rPr>
        <w:t xml:space="preserve">avesse insistito sulla sua linea politica l'avrebbe pagata cara. Le versioni</w:t>
      </w:r>
    </w:p>
    <w:p>
      <w:pPr>
        <w:spacing w:after="120" w:line="276"/>
        <w:jc w:val="both"/>
      </w:pPr>
      <w:r>
        <w:rPr>
          <w:rFonts w:ascii="Barlow Semi Condensed" w:cs="Barlow Semi Condensed" w:eastAsia="Barlow Semi Condensed" w:hAnsi="Barlow Semi Condensed"/>
          <w:sz w:val="24"/>
          <w:szCs w:val="24"/>
        </w:rPr>
        <w:t xml:space="preserve">oscillano — «la pagherà cara», «smetta o ne subirà le conseguenze» — ma la</w:t>
      </w:r>
    </w:p>
    <w:p>
      <w:pPr>
        <w:spacing w:after="120" w:line="276"/>
        <w:jc w:val="both"/>
      </w:pPr>
      <w:r>
        <w:rPr>
          <w:rFonts w:ascii="Barlow Semi Condensed" w:cs="Barlow Semi Condensed" w:eastAsia="Barlow Semi Condensed" w:hAnsi="Barlow Semi Condensed"/>
          <w:sz w:val="24"/>
          <w:szCs w:val="24"/>
        </w:rPr>
        <w:t xml:space="preserve">sostanza circola compatta da quarant'anni, e circola sempre agganciata a un</w:t>
      </w:r>
    </w:p>
    <w:p>
      <w:pPr>
        <w:spacing w:after="120" w:line="276"/>
        <w:jc w:val="both"/>
      </w:pPr>
      <w:r>
        <w:rPr>
          <w:rFonts w:ascii="Barlow Semi Condensed" w:cs="Barlow Semi Condensed" w:eastAsia="Barlow Semi Condensed" w:hAnsi="Barlow Semi Condensed"/>
          <w:sz w:val="24"/>
          <w:szCs w:val="24"/>
        </w:rPr>
        <w:t xml:space="preserve">appiglio documentale preciso: **il verbale del colloquio dello Studio Ovale del</w:t>
      </w:r>
    </w:p>
    <w:p>
      <w:pPr>
        <w:spacing w:after="120" w:line="276"/>
        <w:jc w:val="both"/>
      </w:pPr>
      <w:r>
        <w:rPr>
          <w:rFonts w:ascii="Barlow Semi Condensed" w:cs="Barlow Semi Condensed" w:eastAsia="Barlow Semi Condensed" w:hAnsi="Barlow Semi Condensed"/>
          <w:sz w:val="24"/>
          <w:szCs w:val="24"/>
        </w:rPr>
        <w:t xml:space="preserve">25 settembre 1974**.</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w:t>
      </w:r>
    </w:p>
    <w:p>
      <w:pPr>
        <w:spacing w:after="120" w:line="276"/>
        <w:jc w:val="both"/>
      </w:pPr>
      <w:r>
        <w:rPr>
          <w:rFonts w:ascii="Barlow Semi Condensed" w:cs="Barlow Semi Condensed" w:eastAsia="Barlow Semi Condensed" w:hAnsi="Barlow Semi Condensed"/>
          <w:sz w:val="24"/>
          <w:szCs w:val="24"/>
        </w:rPr>
        <w:t xml:space="preserve">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w:t>
      </w:r>
    </w:p>
    <w:p>
      <w:pPr>
        <w:spacing w:after="120" w:line="276"/>
        <w:jc w:val="both"/>
      </w:pPr>
      <w:r>
        <w:rPr>
          <w:rFonts w:ascii="Barlow Semi Condensed" w:cs="Barlow Semi Condensed" w:eastAsia="Barlow Semi Condensed" w:hAnsi="Barlow Semi Condensed"/>
          <w:sz w:val="24"/>
          <w:szCs w:val="24"/>
        </w:rPr>
        <w:t xml:space="preserve">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w:t>
      </w:r>
    </w:p>
    <w:p>
      <w:pPr>
        <w:spacing w:after="120" w:line="276"/>
        <w:jc w:val="both"/>
      </w:pPr>
      <w:r>
        <w:rPr>
          <w:rFonts w:ascii="Barlow Semi Condensed" w:cs="Barlow Semi Condensed" w:eastAsia="Barlow Semi Condensed" w:hAnsi="Barlow Semi Condensed"/>
          <w:sz w:val="24"/>
          <w:szCs w:val="24"/>
        </w:rPr>
        <w:t xml:space="preserve">arrivati qui, è di scrivere che la storia è smontata; e sarebbe un errore dello</w:t>
      </w:r>
    </w:p>
    <w:p>
      <w:pPr>
        <w:spacing w:after="120" w:line="276"/>
        <w:jc w:val="both"/>
      </w:pPr>
      <w:r>
        <w:rPr>
          <w:rFonts w:ascii="Barlow Semi Condensed" w:cs="Barlow Semi Condensed" w:eastAsia="Barlow Semi Condensed" w:hAnsi="Barlow Semi Condensed"/>
          <w:sz w:val="24"/>
          <w:szCs w:val="24"/>
        </w:rPr>
        <w:t xml:space="preserve">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**Studio Ovale, 25 settembre 1974, ore</w:t>
      </w:r>
    </w:p>
    <w:p>
      <w:pPr>
        <w:spacing w:after="120" w:line="276"/>
        <w:jc w:val="both"/>
      </w:pPr>
      <w:r>
        <w:rPr>
          <w:rFonts w:ascii="Barlow Semi Condensed" w:cs="Barlow Semi Condensed" w:eastAsia="Barlow Semi Condensed" w:hAnsi="Barlow Semi Condensed"/>
          <w:sz w:val="24"/>
          <w:szCs w:val="24"/>
        </w:rPr>
        <w:t xml:space="preserve">11.30**. Presenti: il Presidente della Repubblica italiana Giovanni Leone, il</w:t>
      </w:r>
    </w:p>
    <w:p>
      <w:pPr>
        <w:spacing w:after="120" w:line="276"/>
        <w:jc w:val="both"/>
      </w:pPr>
      <w:r>
        <w:rPr>
          <w:rFonts w:ascii="Barlow Semi Condensed" w:cs="Barlow Semi Condensed" w:eastAsia="Barlow Semi Condensed" w:hAnsi="Barlow Semi Condensed"/>
          <w:sz w:val="24"/>
          <w:szCs w:val="24"/>
        </w:rPr>
        <w:t xml:space="preserve">ministro degli Esteri Aldo Moro, il Presidente degli Stati Uniti Gerald Ford, il</w:t>
      </w:r>
    </w:p>
    <w:p>
      <w:pPr>
        <w:spacing w:after="120" w:line="276"/>
        <w:jc w:val="both"/>
      </w:pPr>
      <w:r>
        <w:rPr>
          <w:rFonts w:ascii="Barlow Semi Condensed" w:cs="Barlow Semi Condensed" w:eastAsia="Barlow Semi Condensed" w:hAnsi="Barlow Semi Condensed"/>
          <w:sz w:val="24"/>
          <w:szCs w:val="24"/>
        </w:rPr>
        <w:t xml:space="preserve">Segretario di Stato Henry Kissinger, e Brent Scowcroft, allora vice consigliere</w:t>
      </w:r>
    </w:p>
    <w:p>
      <w:pPr>
        <w:spacing w:after="120" w:line="276"/>
        <w:jc w:val="both"/>
      </w:pPr>
      <w:r>
        <w:rPr>
          <w:rFonts w:ascii="Barlow Semi Condensed" w:cs="Barlow Semi Condensed" w:eastAsia="Barlow Semi Condensed" w:hAnsi="Barlow Semi Condensed"/>
          <w:sz w:val="24"/>
          <w:szCs w:val="24"/>
        </w:rPr>
        <w:t xml:space="preserve">per la sicurezza nazionale, che dei colloqui presidenziali era anche il</w:t>
      </w:r>
    </w:p>
    <w:p>
      <w:pPr>
        <w:spacing w:after="120" w:line="276"/>
        <w:jc w:val="both"/>
      </w:pPr>
      <w:r>
        <w:rPr>
          <w:rFonts w:ascii="Barlow Semi Condensed" w:cs="Barlow Semi Condensed" w:eastAsia="Barlow Semi Condensed" w:hAnsi="Barlow Semi Condensed"/>
          <w:sz w:val="24"/>
          <w:szCs w:val="24"/>
        </w:rPr>
        <w:t xml:space="preserve">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w:t>
      </w:r>
    </w:p>
    <w:p>
      <w:pPr>
        <w:spacing w:after="120" w:line="276"/>
        <w:jc w:val="both"/>
      </w:pPr>
      <w:r>
        <w:rPr>
          <w:rFonts w:ascii="Barlow Semi Condensed" w:cs="Barlow Semi Condensed" w:eastAsia="Barlow Semi Condensed" w:hAnsi="Barlow Semi Condensed"/>
          <w:sz w:val="24"/>
          <w:szCs w:val="24"/>
        </w:rPr>
        <w:t xml:space="preserve">ma il resoconto redatto da uno dei presenti, in inglese, per uso interno</w:t>
      </w:r>
    </w:p>
    <w:p>
      <w:pPr>
        <w:spacing w:after="120" w:line="276"/>
        <w:jc w:val="both"/>
      </w:pPr>
      <w:r>
        <w:rPr>
          <w:rFonts w:ascii="Barlow Semi Condensed" w:cs="Barlow Semi Condensed" w:eastAsia="Barlow Semi Condensed" w:hAnsi="Barlow Semi Condensed"/>
          <w:sz w:val="24"/>
          <w:szCs w:val="24"/>
        </w:rPr>
        <w:t xml:space="preserve">dell'amministrazione. È stato pubblicato come **documento 350 del volume</w:t>
      </w:r>
    </w:p>
    <w:p>
      <w:pPr>
        <w:spacing w:after="120" w:line="276"/>
        <w:jc w:val="both"/>
      </w:pPr>
      <w:r>
        <w:rPr>
          <w:rFonts w:ascii="Barlow Semi Condensed" w:cs="Barlow Semi Condensed" w:eastAsia="Barlow Semi Condensed" w:hAnsi="Barlow Semi Condensed"/>
          <w:i/>
          <w:iCs/>
          <w:sz w:val="24"/>
          <w:szCs w:val="24"/>
        </w:rPr>
        <w:t xml:space="preserve">Foreign Relations of the United States</w:t>
      </w:r>
      <w:r>
        <w:rPr>
          <w:rFonts w:ascii="Barlow Semi Condensed" w:cs="Barlow Semi Condensed" w:eastAsia="Barlow Semi Condensed" w:hAnsi="Barlow Semi Condensed"/>
          <w:sz w:val="24"/>
          <w:szCs w:val="24"/>
        </w:rPr>
        <w:t xml:space="preserve">, 1969-1976, E-15, parte 2**, ed è</w:t>
      </w:r>
    </w:p>
    <w:p>
      <w:pPr>
        <w:spacing w:after="120" w:line="276"/>
        <w:jc w:val="both"/>
      </w:pPr>
      <w:r>
        <w:rPr>
          <w:rFonts w:ascii="Barlow Semi Condensed" w:cs="Barlow Semi Condensed" w:eastAsia="Barlow Semi Condensed" w:hAnsi="Barlow Semi Condensed"/>
          <w:sz w:val="24"/>
          <w:szCs w:val="24"/>
        </w:rPr>
        <w:t xml:space="preserve">conservato come </w:t>
      </w:r>
      <w:r>
        <w:rPr>
          <w:rFonts w:ascii="Barlow Semi Condensed" w:cs="Barlow Semi Condensed" w:eastAsia="Barlow Semi Condensed" w:hAnsi="Barlow Semi Condensed"/>
          <w:b/>
          <w:b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w:t>
      </w:r>
    </w:p>
    <w:p>
      <w:pPr>
        <w:spacing w:after="120" w:line="276"/>
        <w:jc w:val="both"/>
      </w:pPr>
      <w:r>
        <w:rPr>
          <w:rFonts w:ascii="Barlow Semi Condensed" w:cs="Barlow Semi Condensed" w:eastAsia="Barlow Semi Condensed" w:hAnsi="Barlow Semi Condensed"/>
          <w:sz w:val="24"/>
          <w:szCs w:val="24"/>
        </w:rPr>
        <w:t xml:space="preserve">dei documenti non è garantita identica fra le edizioni. Chi cita «documento 350»</w:t>
      </w:r>
    </w:p>
    <w:p>
      <w:pPr>
        <w:spacing w:after="120" w:line="276"/>
        <w:jc w:val="both"/>
      </w:pPr>
      <w:r>
        <w:rPr>
          <w:rFonts w:ascii="Barlow Semi Condensed" w:cs="Barlow Semi Condensed" w:eastAsia="Barlow Semi Condensed" w:hAnsi="Barlow Semi Condensed"/>
          <w:sz w:val="24"/>
          <w:szCs w:val="24"/>
        </w:rPr>
        <w:t xml:space="preserve">senza dire quale edizione sta citando consegna al lettore un riferimento che fra</w:t>
      </w:r>
    </w:p>
    <w:p>
      <w:pPr>
        <w:spacing w:after="120" w:line="276"/>
        <w:jc w:val="both"/>
      </w:pPr>
      <w:r>
        <w:rPr>
          <w:rFonts w:ascii="Barlow Semi Condensed" w:cs="Barlow Semi Condensed" w:eastAsia="Barlow Semi Condensed" w:hAnsi="Barlow Semi Condensed"/>
          <w:sz w:val="24"/>
          <w:szCs w:val="24"/>
        </w:rPr>
        <w:t xml:space="preserve">dieci anni potrebbe non risolvere. Ho perso un pomeriggio su questo, e lo scrivo</w:t>
      </w:r>
    </w:p>
    <w:p>
      <w:pPr>
        <w:spacing w:after="120" w:line="276"/>
        <w:jc w:val="both"/>
      </w:pPr>
      <w:r>
        <w:rPr>
          <w:rFonts w:ascii="Barlow Semi Condensed" w:cs="Barlow Semi Condensed" w:eastAsia="Barlow Semi Condensed" w:hAnsi="Barlow Semi Condensed"/>
          <w:sz w:val="24"/>
          <w:szCs w:val="24"/>
        </w:rPr>
        <w:t xml:space="preserve">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w:t>
      </w:r>
    </w:p>
    <w:p>
      <w:pPr>
        <w:spacing w:after="120" w:line="276"/>
        <w:jc w:val="both"/>
      </w:pPr>
      <w:r>
        <w:rPr>
          <w:rFonts w:ascii="Barlow Semi Condensed" w:cs="Barlow Semi Condensed" w:eastAsia="Barlow Semi Condensed" w:hAnsi="Barlow Semi Condensed"/>
          <w:sz w:val="24"/>
          <w:szCs w:val="24"/>
        </w:rPr>
        <w:t xml:space="preserve">della stessa biblioteca presidenziale), relativo a un incontro del giorno</w:t>
      </w:r>
    </w:p>
    <w:p>
      <w:pPr>
        <w:spacing w:after="120" w:line="276"/>
        <w:jc w:val="both"/>
      </w:pPr>
      <w:r>
        <w:rPr>
          <w:rFonts w:ascii="Barlow Semi Condensed" w:cs="Barlow Semi Condensed" w:eastAsia="Barlow Semi Condensed" w:hAnsi="Barlow Semi Condensed"/>
          <w:sz w:val="24"/>
          <w:szCs w:val="24"/>
        </w:rPr>
        <w:t xml:space="preserve">successivo. Sui suoi contenuti gli estratti che ho potuto reperire sono parziali</w:t>
      </w:r>
    </w:p>
    <w:p>
      <w:pPr>
        <w:spacing w:after="120" w:line="276"/>
        <w:jc w:val="both"/>
      </w:pPr>
      <w:r>
        <w:rPr>
          <w:rFonts w:ascii="Barlow Semi Condensed" w:cs="Barlow Semi Condensed" w:eastAsia="Barlow Semi Condensed" w:hAnsi="Barlow Semi Condensed"/>
          <w:sz w:val="24"/>
          <w:szCs w:val="24"/>
        </w:rPr>
        <w:t xml:space="preserve">e non del tutto concordi fra loro. Lo segnalo perché è il primo posto dove</w:t>
      </w:r>
    </w:p>
    <w:p>
      <w:pPr>
        <w:spacing w:after="120" w:line="276"/>
        <w:jc w:val="both"/>
      </w:pPr>
      <w:r>
        <w:rPr>
          <w:rFonts w:ascii="Barlow Semi Condensed" w:cs="Barlow Semi Condensed" w:eastAsia="Barlow Semi Condensed" w:hAnsi="Barlow Semi Condensed"/>
          <w:sz w:val="24"/>
          <w:szCs w:val="24"/>
        </w:rPr>
        <w:t xml:space="preserve">guarderebbe chiunque volesse obiettare a questo capitolo, e ha ragione di</w:t>
      </w:r>
    </w:p>
    <w:p>
      <w:pPr>
        <w:spacing w:after="120" w:line="276"/>
        <w:jc w:val="both"/>
      </w:pPr>
      <w:r>
        <w:rPr>
          <w:rFonts w:ascii="Barlow Semi Condensed" w:cs="Barlow Semi Condensed" w:eastAsia="Barlow Semi Condensed" w:hAnsi="Barlow Semi Condensed"/>
          <w:sz w:val="24"/>
          <w:szCs w:val="24"/>
        </w:rPr>
        <w:t xml:space="preserve">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w:t>
      </w:r>
    </w:p>
    <w:p>
      <w:pPr>
        <w:spacing w:after="120" w:line="276"/>
        <w:jc w:val="both"/>
      </w:pPr>
      <w:r>
        <w:rPr>
          <w:rFonts w:ascii="Barlow Semi Condensed" w:cs="Barlow Semi Condensed" w:eastAsia="Barlow Semi Condensed" w:hAnsi="Barlow Semi Condensed"/>
          <w:sz w:val="24"/>
          <w:szCs w:val="24"/>
        </w:rPr>
        <w:t xml:space="preserve">perché il criterio di questo libro è riportarle tutte anche quando non pesano: il</w:t>
      </w:r>
    </w:p>
    <w:p>
      <w:pPr>
        <w:spacing w:after="120" w:line="276"/>
        <w:jc w:val="both"/>
      </w:pPr>
      <w:r>
        <w:rPr>
          <w:rFonts w:ascii="Barlow Semi Condensed" w:cs="Barlow Semi Condensed" w:eastAsia="Barlow Semi Condensed" w:hAnsi="Barlow Semi Condensed"/>
          <w:sz w:val="24"/>
          <w:szCs w:val="24"/>
        </w:rPr>
        <w:t xml:space="preserve">comunicato congiunto pubblicato negli atti presidenziali parla di visita **dal 25</w:t>
      </w:r>
    </w:p>
    <w:p>
      <w:pPr>
        <w:spacing w:after="120" w:line="276"/>
        <w:jc w:val="both"/>
      </w:pPr>
      <w:r>
        <w:rPr>
          <w:rFonts w:ascii="Barlow Semi Condensed" w:cs="Barlow Semi Condensed" w:eastAsia="Barlow Semi Condensed" w:hAnsi="Barlow Semi Condensed"/>
          <w:sz w:val="24"/>
          <w:szCs w:val="24"/>
        </w:rPr>
        <w:t xml:space="preserve">al 29 settembre 1974</w:t>
      </w:r>
      <w:r>
        <w:rPr>
          <w:rFonts w:ascii="Barlow Semi Condensed" w:cs="Barlow Semi Condensed" w:eastAsia="Barlow Semi Condensed" w:hAnsi="Barlow Semi Condensed"/>
          <w:b/>
          <w:bCs/>
          <w:sz w:val="24"/>
          <w:szCs w:val="24"/>
        </w:rPr>
        <w:t xml:space="preserve">; la nota editoriale del volume FRUS indica </w:t>
      </w:r>
      <w:r>
        <w:rPr>
          <w:rFonts w:ascii="Barlow Semi Condensed" w:cs="Barlow Semi Condensed" w:eastAsia="Barlow Semi Condensed" w:hAnsi="Barlow Semi Condensed"/>
          <w:sz w:val="24"/>
          <w:szCs w:val="24"/>
        </w:rPr>
        <w:t xml:space="preserve">dal 25 al</w:t>
      </w:r>
    </w:p>
    <w:p>
      <w:pPr>
        <w:spacing w:after="120" w:line="276"/>
        <w:jc w:val="both"/>
      </w:pPr>
      <w:r>
        <w:rPr>
          <w:rFonts w:ascii="Barlow Semi Condensed" w:cs="Barlow Semi Condensed" w:eastAsia="Barlow Semi Condensed" w:hAnsi="Barlow Semi Condensed"/>
          <w:sz w:val="24"/>
          <w:szCs w:val="24"/>
        </w:rPr>
        <w:t xml:space="preserve">27**. Non ho elementi per sciogliere la divergenza. Non serve scioglierla per</w:t>
      </w:r>
    </w:p>
    <w:p>
      <w:pPr>
        <w:spacing w:after="120" w:line="276"/>
        <w:jc w:val="both"/>
      </w:pPr>
      <w:r>
        <w:rPr>
          <w:rFonts w:ascii="Barlow Semi Condensed" w:cs="Barlow Semi Condensed" w:eastAsia="Barlow Semi Condensed" w:hAnsi="Barlow Semi Condensed"/>
          <w:sz w:val="24"/>
          <w:szCs w:val="24"/>
        </w:rPr>
        <w:t xml:space="preserve">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**non potrebbero</w:t>
      </w:r>
    </w:p>
    <w:p>
      <w:pPr>
        <w:spacing w:after="120" w:line="276"/>
        <w:jc w:val="both"/>
      </w:pPr>
      <w:r>
        <w:rPr>
          <w:rFonts w:ascii="Barlow Semi Condensed" w:cs="Barlow Semi Condensed" w:eastAsia="Barlow Semi Condensed" w:hAnsi="Barlow Semi Condensed"/>
          <w:sz w:val="24"/>
          <w:szCs w:val="24"/>
        </w:rPr>
        <w:t xml:space="preserve">scambiare informazioni militari** con un governo che includesse i comunisti, col</w:t>
      </w:r>
    </w:p>
    <w:p>
      <w:pPr>
        <w:spacing w:after="120" w:line="276"/>
        <w:jc w:val="both"/>
      </w:pPr>
      <w:r>
        <w:rPr>
          <w:rFonts w:ascii="Barlow Semi Condensed" w:cs="Barlow Semi Condensed" w:eastAsia="Barlow Semi Condensed" w:hAnsi="Barlow Semi Condensed"/>
          <w:sz w:val="24"/>
          <w:szCs w:val="24"/>
        </w:rPr>
        <w:t xml:space="preserve">precedente portoghese richiamato esplicitamente — il Portogallo del 1974, dopo</w:t>
      </w:r>
    </w:p>
    <w:p>
      <w:pPr>
        <w:spacing w:after="120" w:line="276"/>
        <w:jc w:val="both"/>
      </w:pPr>
      <w:r>
        <w:rPr>
          <w:rFonts w:ascii="Barlow Semi Condensed" w:cs="Barlow Semi Condensed" w:eastAsia="Barlow Semi Condensed" w:hAnsi="Barlow Semi Condensed"/>
          <w:sz w:val="24"/>
          <w:szCs w:val="24"/>
        </w:rPr>
        <w:t xml:space="preserve">il 25 aprile, era in quel momento la ferita aperta dell'Alleanza. E vi è messo a</w:t>
      </w:r>
    </w:p>
    <w:p>
      <w:pPr>
        <w:spacing w:after="120" w:line="276"/>
        <w:jc w:val="both"/>
      </w:pPr>
      <w:r>
        <w:rPr>
          <w:rFonts w:ascii="Barlow Semi Condensed" w:cs="Barlow Semi Condensed" w:eastAsia="Barlow Semi Condensed" w:hAnsi="Barlow Semi Condensed"/>
          <w:sz w:val="24"/>
          <w:szCs w:val="24"/>
        </w:rPr>
        <w:t xml:space="preserve">verbale il rilievo che un partito comunista «responsabile» sarebbe alla lunga</w:t>
      </w:r>
    </w:p>
    <w:p>
      <w:pPr>
        <w:spacing w:after="120" w:line="276"/>
        <w:jc w:val="both"/>
      </w:pP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w:t>
      </w:r>
    </w:p>
    <w:p>
      <w:pPr>
        <w:spacing w:after="120" w:line="276"/>
        <w:jc w:val="both"/>
      </w:pPr>
      <w:r>
        <w:rPr>
          <w:rFonts w:ascii="Barlow Semi Condensed" w:cs="Barlow Semi Condensed" w:eastAsia="Barlow Semi Condensed" w:hAnsi="Barlow Semi Condensed"/>
          <w:sz w:val="24"/>
          <w:szCs w:val="24"/>
        </w:rPr>
        <w:t xml:space="preserve">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w:t>
      </w:r>
    </w:p>
    <w:p>
      <w:pPr>
        <w:spacing w:after="120" w:line="276"/>
        <w:jc w:val="both"/>
      </w:pPr>
      <w:r>
        <w:rPr>
          <w:rFonts w:ascii="Barlow Semi Condensed" w:cs="Barlow Semi Condensed" w:eastAsia="Barlow Semi Condensed" w:hAnsi="Barlow Semi Condensed"/>
          <w:sz w:val="24"/>
          <w:szCs w:val="24"/>
        </w:rPr>
        <w:t xml:space="preserve">messa nero su bianco da chi la esprimeva, in presenza del ministro degli Esteri</w:t>
      </w:r>
    </w:p>
    <w:p>
      <w:pPr>
        <w:spacing w:after="120" w:line="276"/>
        <w:jc w:val="both"/>
      </w:pPr>
      <w:r>
        <w:rPr>
          <w:rFonts w:ascii="Barlow Semi Condensed" w:cs="Barlow Semi Condensed" w:eastAsia="Barlow Semi Condensed" w:hAnsi="Barlow Semi Condensed"/>
          <w:sz w:val="24"/>
          <w:szCs w:val="24"/>
        </w:rPr>
        <w:t xml:space="preserve">italiano, in un documento d'archivio. Chi volesse sostenere che gli Stati Uniti</w:t>
      </w:r>
    </w:p>
    <w:p>
      <w:pPr>
        <w:spacing w:after="120" w:line="276"/>
        <w:jc w:val="both"/>
      </w:pPr>
      <w:r>
        <w:rPr>
          <w:rFonts w:ascii="Barlow Semi Condensed" w:cs="Barlow Semi Condensed" w:eastAsia="Barlow Semi Condensed" w:hAnsi="Barlow Semi Condensed"/>
          <w:sz w:val="24"/>
          <w:szCs w:val="24"/>
        </w:rPr>
        <w:t xml:space="preserve">guardassero con favore alla linea di Moro troverebbe qui la sua smentita, e non</w:t>
      </w:r>
    </w:p>
    <w:p>
      <w:pPr>
        <w:spacing w:after="120" w:line="276"/>
        <w:jc w:val="both"/>
      </w:pPr>
      <w:r>
        <w:rPr>
          <w:rFonts w:ascii="Barlow Semi Condensed" w:cs="Barlow Semi Condensed" w:eastAsia="Barlow Semi Condensed" w:hAnsi="Barlow Semi Condensed"/>
          <w:sz w:val="24"/>
          <w:szCs w:val="24"/>
        </w:rPr>
        <w:t xml:space="preserve">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w:t>
      </w:r>
    </w:p>
    <w:p>
      <w:pPr>
        <w:spacing w:after="120" w:line="276"/>
        <w:jc w:val="both"/>
      </w:pPr>
      <w:r>
        <w:rPr>
          <w:rFonts w:ascii="Barlow Semi Condensed" w:cs="Barlow Semi Condensed" w:eastAsia="Barlow Semi Condensed" w:hAnsi="Barlow Semi Condensed"/>
          <w:sz w:val="24"/>
          <w:szCs w:val="24"/>
        </w:rPr>
        <w:t xml:space="preserve">molto più specifica: che in quella stanza, quel giorno, a quell'uomo, sia stata</w:t>
      </w:r>
    </w:p>
    <w:p>
      <w:pPr>
        <w:spacing w:after="120" w:line="276"/>
        <w:jc w:val="both"/>
      </w:pPr>
      <w:r>
        <w:rPr>
          <w:rFonts w:ascii="Barlow Semi Condensed" w:cs="Barlow Semi Condensed" w:eastAsia="Barlow Semi Condensed" w:hAnsi="Barlow Semi Condensed"/>
          <w:sz w:val="24"/>
          <w:szCs w:val="24"/>
        </w:rPr>
        <w:t xml:space="preserve">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w:t>
      </w:r>
    </w:p>
    <w:p>
      <w:pPr>
        <w:spacing w:after="120" w:line="276"/>
        <w:jc w:val="both"/>
      </w:pPr>
      <w:r>
        <w:rPr>
          <w:rFonts w:ascii="Barlow Semi Condensed" w:cs="Barlow Semi Condensed" w:eastAsia="Barlow Semi Condensed" w:hAnsi="Barlow Semi Condensed"/>
          <w:sz w:val="24"/>
          <w:szCs w:val="24"/>
        </w:rPr>
        <w:t xml:space="preserve">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w:t>
      </w:r>
    </w:p>
    <w:p>
      <w:pPr>
        <w:spacing w:after="120" w:line="276"/>
        <w:jc w:val="both"/>
      </w:pPr>
      <w:r>
        <w:rPr>
          <w:rFonts w:ascii="Barlow Semi Condensed" w:cs="Barlow Semi Condensed" w:eastAsia="Barlow Semi Condensed" w:hAnsi="Barlow Semi Condensed"/>
          <w:sz w:val="24"/>
          <w:szCs w:val="24"/>
        </w:rPr>
        <w:t xml:space="preserve">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w:t>
      </w:r>
    </w:p>
    <w:p>
      <w:pPr>
        <w:spacing w:after="120" w:line="276"/>
        <w:jc w:val="both"/>
      </w:pPr>
      <w:r>
        <w:rPr>
          <w:rFonts w:ascii="Barlow Semi Condensed" w:cs="Barlow Semi Condensed" w:eastAsia="Barlow Semi Condensed" w:hAnsi="Barlow Semi Condensed"/>
          <w:sz w:val="24"/>
          <w:szCs w:val="24"/>
        </w:rPr>
        <w:t xml:space="preserve">descrizioni d'archivio della biblioteca presidenziale e ogni resa del contenuto</w:t>
      </w:r>
    </w:p>
    <w:p>
      <w:pPr>
        <w:spacing w:after="120" w:line="276"/>
        <w:jc w:val="both"/>
      </w:pPr>
      <w:r>
        <w:rPr>
          <w:rFonts w:ascii="Barlow Semi Condensed" w:cs="Barlow Semi Condensed" w:eastAsia="Barlow Semi Condensed" w:hAnsi="Barlow Semi Condensed"/>
          <w:sz w:val="24"/>
          <w:szCs w:val="24"/>
        </w:rPr>
        <w:t xml:space="preserve">che ho potuto raccogliere **riportano le due posizioni politiche appena citate e</w:t>
      </w:r>
    </w:p>
    <w:p>
      <w:pPr>
        <w:spacing w:after="120" w:line="276"/>
        <w:jc w:val="both"/>
      </w:pPr>
      <w:r>
        <w:rPr>
          <w:rFonts w:ascii="Barlow Semi Condensed" w:cs="Barlow Semi Condensed" w:eastAsia="Barlow Semi Condensed" w:hAnsi="Barlow Semi Condensed"/>
          <w:sz w:val="24"/>
          <w:szCs w:val="24"/>
        </w:rPr>
        <w:t xml:space="preserve">non riportano la frase**. Nessuna delle fonti che affermano la minaccia la cita</w:t>
      </w:r>
    </w:p>
    <w:p>
      <w:pPr>
        <w:spacing w:after="120" w:line="276"/>
        <w:jc w:val="both"/>
      </w:pP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w:t>
      </w:r>
    </w:p>
    <w:p>
      <w:pPr>
        <w:spacing w:after="120" w:line="276"/>
        <w:jc w:val="both"/>
      </w:pPr>
      <w:r>
        <w:rPr>
          <w:rFonts w:ascii="Barlow Semi Condensed" w:cs="Barlow Semi Condensed" w:eastAsia="Barlow Semi Condensed" w:hAnsi="Barlow Semi Condensed"/>
          <w:sz w:val="24"/>
          <w:szCs w:val="24"/>
        </w:rPr>
        <w:t xml:space="preserve">contesto. La distanza fra queste due operazioni è tutto ciò di cui tratta questo</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w:t>
      </w:r>
    </w:p>
    <w:p>
      <w:pPr>
        <w:spacing w:after="120" w:line="276"/>
        <w:jc w:val="both"/>
      </w:pPr>
      <w:r>
        <w:rPr>
          <w:rFonts w:ascii="Barlow Semi Condensed" w:cs="Barlow Semi Condensed" w:eastAsia="Barlow Semi Condensed" w:hAnsi="Barlow Semi Condensed"/>
          <w:sz w:val="24"/>
          <w:szCs w:val="24"/>
        </w:rPr>
        <w:t xml:space="preserve">nota. La campagna di ricerca da cui questo capitolo nasce **ha lavorato con un</w:t>
      </w:r>
    </w:p>
    <w:p>
      <w:pPr>
        <w:spacing w:after="120" w:line="276"/>
        <w:jc w:val="both"/>
      </w:pPr>
      <w:r>
        <w:rPr>
          <w:rFonts w:ascii="Barlow Semi Condensed" w:cs="Barlow Semi Condensed" w:eastAsia="Barlow Semi Condensed" w:hAnsi="Barlow Semi Condensed"/>
          <w:sz w:val="24"/>
          <w:szCs w:val="24"/>
        </w:rPr>
        <w:t xml:space="preserve">accesso di rete filtrato**, e per una parte dei materiali primari ha dovuto</w:t>
      </w:r>
    </w:p>
    <w:p>
      <w:pPr>
        <w:spacing w:after="120" w:line="276"/>
        <w:jc w:val="both"/>
      </w:pPr>
      <w:r>
        <w:rPr>
          <w:rFonts w:ascii="Barlow Semi Condensed" w:cs="Barlow Semi Condensed" w:eastAsia="Barlow Semi Condensed" w:hAnsi="Barlow Semi Condensed"/>
          <w:sz w:val="24"/>
          <w:szCs w:val="24"/>
        </w:rPr>
        <w:t xml:space="preserve">appoggiarsi a sintesi e a fonti secondarie invece che alla pagina originale.</w:t>
      </w:r>
    </w:p>
    <w:p>
      <w:pPr>
        <w:spacing w:after="120" w:line="276"/>
        <w:jc w:val="both"/>
      </w:pPr>
      <w:r>
        <w:rPr>
          <w:rFonts w:ascii="Barlow Semi Condensed" w:cs="Barlow Semi Condensed" w:eastAsia="Barlow Semi Condensed" w:hAnsi="Barlow Semi Condensed"/>
          <w:sz w:val="24"/>
          <w:szCs w:val="24"/>
        </w:rPr>
        <w:t xml:space="preserve">Questo vale in modo particolarmente pesante per due giacimenti che avrebbero</w:t>
      </w:r>
    </w:p>
    <w:p>
      <w:pPr>
        <w:spacing w:after="120" w:line="276"/>
        <w:jc w:val="both"/>
      </w:pPr>
      <w:r>
        <w:rPr>
          <w:rFonts w:ascii="Barlow Semi Condensed" w:cs="Barlow Semi Condensed" w:eastAsia="Barlow Semi Condensed" w:hAnsi="Barlow Semi Condensed"/>
          <w:sz w:val="24"/>
          <w:szCs w:val="24"/>
        </w:rPr>
        <w:t xml:space="preserve">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w:t>
      </w:r>
    </w:p>
    <w:p>
      <w:pPr>
        <w:spacing w:after="120" w:line="276"/>
        <w:jc w:val="both"/>
      </w:pPr>
      <w:r>
        <w:rPr>
          <w:rFonts w:ascii="Barlow Semi Condensed" w:cs="Barlow Semi Condensed" w:eastAsia="Barlow Semi Condensed" w:hAnsi="Barlow Semi Condensed"/>
          <w:sz w:val="24"/>
          <w:szCs w:val="24"/>
        </w:rPr>
        <w:t xml:space="preserve">contiene la frase» detto con la voce di chi ha collazionato l'originale riga per</w:t>
      </w:r>
    </w:p>
    <w:p>
      <w:pPr>
        <w:spacing w:after="120" w:line="276"/>
        <w:jc w:val="both"/>
      </w:pPr>
      <w:r>
        <w:rPr>
          <w:rFonts w:ascii="Barlow Semi Condensed" w:cs="Barlow Semi Condensed" w:eastAsia="Barlow Semi Condensed" w:hAnsi="Barlow Semi Condensed"/>
          <w:sz w:val="24"/>
          <w:szCs w:val="24"/>
        </w:rPr>
        <w:t xml:space="preserve">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w:t>
      </w:r>
    </w:p>
    <w:p>
      <w:pPr>
        <w:spacing w:after="120" w:line="276"/>
        <w:jc w:val="both"/>
      </w:pPr>
      <w:r>
        <w:rPr>
          <w:rFonts w:ascii="Barlow Semi Condensed" w:cs="Barlow Semi Condensed" w:eastAsia="Barlow Semi Condensed" w:hAnsi="Barlow Semi Condensed"/>
          <w:sz w:val="24"/>
          <w:szCs w:val="24"/>
        </w:rPr>
        <w:t xml:space="preserve">posso firmare. E ha una proprietà che la versione forte non avrebbe: **è</w:t>
      </w:r>
    </w:p>
    <w:p>
      <w:pPr>
        <w:spacing w:after="120" w:line="276"/>
        <w:jc w:val="both"/>
      </w:pPr>
      <w:r>
        <w:rPr>
          <w:rFonts w:ascii="Barlow Semi Condensed" w:cs="Barlow Semi Condensed" w:eastAsia="Barlow Semi Condensed" w:hAnsi="Barlow Semi Condensed"/>
          <w:sz w:val="24"/>
          <w:szCs w:val="24"/>
        </w:rPr>
        <w:t xml:space="preserve">falsificabile da chi legge**. Se sbaglio, si vede subito, e si vede senza</w:t>
      </w:r>
    </w:p>
    <w:p>
      <w:pPr>
        <w:spacing w:after="120" w:line="276"/>
        <w:jc w:val="both"/>
      </w:pPr>
      <w:r>
        <w:rPr>
          <w:rFonts w:ascii="Barlow Semi Condensed" w:cs="Barlow Semi Condensed" w:eastAsia="Barlow Semi Condensed" w:hAnsi="Barlow Semi Condensed"/>
          <w:sz w:val="24"/>
          <w:szCs w:val="24"/>
        </w:rPr>
        <w:t xml:space="preserve">credermi sulla parola. Nel capitolo secondo ho chiamato questa cosa la regola</w:t>
      </w:r>
    </w:p>
    <w:p>
      <w:pPr>
        <w:spacing w:after="120" w:line="276"/>
        <w:jc w:val="both"/>
      </w:pPr>
      <w:r>
        <w:rPr>
          <w:rFonts w:ascii="Barlow Semi Condensed" w:cs="Barlow Semi Condensed" w:eastAsia="Barlow Semi Condensed" w:hAnsi="Barlow Semi Condensed"/>
          <w:sz w:val="24"/>
          <w:szCs w:val="24"/>
        </w:rPr>
        <w:t xml:space="preserve">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w:t>
      </w:r>
    </w:p>
    <w:p>
      <w:pPr>
        <w:spacing w:after="120" w:line="276"/>
        <w:jc w:val="both"/>
      </w:pPr>
      <w:r>
        <w:rPr>
          <w:rFonts w:ascii="Barlow Semi Condensed" w:cs="Barlow Semi Condensed" w:eastAsia="Barlow Semi Condensed" w:hAnsi="Barlow Semi Condensed"/>
          <w:sz w:val="24"/>
          <w:szCs w:val="24"/>
        </w:rPr>
        <w:t xml:space="preserve">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**la frase, secondo chi la riporta, non sarebbe stata pronunciata nel</w:t>
      </w:r>
    </w:p>
    <w:p>
      <w:pPr>
        <w:spacing w:after="120" w:line="276"/>
        <w:jc w:val="both"/>
      </w:pPr>
      <w:r>
        <w:rPr>
          <w:rFonts w:ascii="Barlow Semi Condensed" w:cs="Barlow Semi Condensed" w:eastAsia="Barlow Semi Condensed" w:hAnsi="Barlow Semi Condensed"/>
          <w:sz w:val="24"/>
          <w:szCs w:val="24"/>
        </w:rPr>
        <w:t xml:space="preserve">colloquio ufficiale.** Sarebbe stata detta a margine — in un fuori programma, in</w:t>
      </w:r>
    </w:p>
    <w:p>
      <w:pPr>
        <w:spacing w:after="120" w:line="276"/>
        <w:jc w:val="both"/>
      </w:pPr>
      <w:r>
        <w:rPr>
          <w:rFonts w:ascii="Barlow Semi Condensed" w:cs="Barlow Semi Condensed" w:eastAsia="Barlow Semi Condensed" w:hAnsi="Barlow Semi Condensed"/>
          <w:sz w:val="24"/>
          <w:szCs w:val="24"/>
        </w:rPr>
        <w:t xml:space="preserve">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w:t>
      </w:r>
    </w:p>
    <w:p>
      <w:pPr>
        <w:spacing w:after="120" w:line="276"/>
        <w:jc w:val="both"/>
      </w:pPr>
      <w:r>
        <w:rPr>
          <w:rFonts w:ascii="Barlow Semi Condensed" w:cs="Barlow Semi Condensed" w:eastAsia="Barlow Semi Condensed" w:hAnsi="Barlow Semi Condensed"/>
          <w:sz w:val="24"/>
          <w:szCs w:val="24"/>
        </w:rPr>
        <w:t xml:space="preserve">la riunione, non i corridoi. Il verbalizzante annota ciò che si dice al tavolo.</w:t>
      </w:r>
    </w:p>
    <w:p>
      <w:pPr>
        <w:spacing w:after="120" w:line="276"/>
        <w:jc w:val="both"/>
      </w:pPr>
      <w:r>
        <w:rPr>
          <w:rFonts w:ascii="Barlow Semi Condensed" w:cs="Barlow Semi Condensed" w:eastAsia="Barlow Semi Condensed" w:hAnsi="Barlow Semi Condensed"/>
          <w:sz w:val="24"/>
          <w:szCs w:val="24"/>
        </w:rPr>
        <w:t xml:space="preserve">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**L'assenza dal verbale non</w:t>
      </w:r>
    </w:p>
    <w:p>
      <w:pPr>
        <w:spacing w:after="120" w:line="276"/>
        <w:jc w:val="both"/>
      </w:pPr>
      <w:r>
        <w:rPr>
          <w:rFonts w:ascii="Barlow Semi Condensed" w:cs="Barlow Semi Condensed" w:eastAsia="Barlow Semi Condensed" w:hAnsi="Barlow Semi Condensed"/>
          <w:sz w:val="24"/>
          <w:szCs w:val="24"/>
        </w:rPr>
        <w:t xml:space="preserve">prova né la falsità né la verità dell'episodio.** Un fatto avvenuto fuori</w:t>
      </w:r>
    </w:p>
    <w:p>
      <w:pPr>
        <w:spacing w:after="120" w:line="276"/>
        <w:jc w:val="both"/>
      </w:pPr>
      <w:r>
        <w:rPr>
          <w:rFonts w:ascii="Barlow Semi Condensed" w:cs="Barlow Semi Condensed" w:eastAsia="Barlow Semi Condensed" w:hAnsi="Barlow Semi Condensed"/>
          <w:sz w:val="24"/>
          <w:szCs w:val="24"/>
        </w:rPr>
        <w:t xml:space="preserve">verbale è, per definizione, un fatto che il verbale non registra; e pretendere il</w:t>
      </w:r>
    </w:p>
    <w:p>
      <w:pPr>
        <w:spacing w:after="120" w:line="276"/>
        <w:jc w:val="both"/>
      </w:pPr>
      <w:r>
        <w:rPr>
          <w:rFonts w:ascii="Barlow Semi Condensed" w:cs="Barlow Semi Condensed" w:eastAsia="Barlow Semi Condensed" w:hAnsi="Barlow Semi Condensed"/>
          <w:sz w:val="24"/>
          <w:szCs w:val="24"/>
        </w:rPr>
        <w:t xml:space="preserve">contrario significherebbe sostenere che tutto ciò che non è archiviato non è</w:t>
      </w:r>
    </w:p>
    <w:p>
      <w:pPr>
        <w:spacing w:after="120" w:line="276"/>
        <w:jc w:val="both"/>
      </w:pPr>
      <w:r>
        <w:rPr>
          <w:rFonts w:ascii="Barlow Semi Condensed" w:cs="Barlow Semi Condensed" w:eastAsia="Barlow Semi Condensed" w:hAnsi="Barlow Semi Condensed"/>
          <w:sz w:val="24"/>
          <w:szCs w:val="24"/>
        </w:rPr>
        <w:t xml:space="preserve">accaduto, che è una sciocchezza dimostrabile in ogni giornata di lavoro di</w:t>
      </w:r>
    </w:p>
    <w:p>
      <w:pPr>
        <w:spacing w:after="120" w:line="276"/>
        <w:jc w:val="both"/>
      </w:pPr>
      <w:r>
        <w:rPr>
          <w:rFonts w:ascii="Barlow Semi Condensed" w:cs="Barlow Semi Condensed" w:eastAsia="Barlow Semi Condensed" w:hAnsi="Barlow Semi Condensed"/>
          <w:sz w:val="24"/>
          <w:szCs w:val="24"/>
        </w:rPr>
        <w:t xml:space="preserve">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**Il documento smette di essere una prova</w:t>
      </w:r>
    </w:p>
    <w:p>
      <w:pPr>
        <w:spacing w:after="120" w:line="276"/>
        <w:jc w:val="both"/>
      </w:pPr>
      <w:r>
        <w:rPr>
          <w:rFonts w:ascii="Barlow Semi Condensed" w:cs="Barlow Semi Condensed" w:eastAsia="Barlow Semi Condensed" w:hAnsi="Barlow Semi Condensed"/>
          <w:sz w:val="24"/>
          <w:szCs w:val="24"/>
        </w:rPr>
        <w:t xml:space="preserve">e torna a essere un contesto.** L'operazione che la circolazione pubblica compie</w:t>
      </w:r>
    </w:p>
    <w:p>
      <w:pPr>
        <w:spacing w:after="120" w:line="276"/>
        <w:jc w:val="both"/>
      </w:pPr>
      <w:r>
        <w:rPr>
          <w:rFonts w:ascii="Barlow Semi Condensed" w:cs="Barlow Semi Condensed" w:eastAsia="Barlow Semi Condensed" w:hAnsi="Barlow Semi Condensed"/>
          <w:sz w:val="24"/>
          <w:szCs w:val="24"/>
        </w:rPr>
        <w:t xml:space="preserve">da decenni — presentare il verbale dello Studio Ovale come </w:t>
      </w:r>
      <w:r>
        <w:rPr>
          <w:rFonts w:ascii="Barlow Semi Condensed" w:cs="Barlow Semi Condensed" w:eastAsia="Barlow Semi Condensed" w:hAnsi="Barlow Semi Condensed"/>
          <w:i/>
          <w:iCs/>
          <w:sz w:val="24"/>
          <w:szCs w:val="24"/>
        </w:rPr>
        <w:t xml:space="preserve">la prova documentale</w:t>
      </w:r>
    </w:p>
    <w:p>
      <w:pPr>
        <w:spacing w:after="120" w:line="276"/>
        <w:jc w:val="both"/>
      </w:pPr>
      <w:r>
        <w:rPr>
          <w:rFonts w:ascii="Barlow Semi Condensed" w:cs="Barlow Semi Condensed" w:eastAsia="Barlow Semi Condensed" w:hAnsi="Barlow Semi Condensed"/>
          <w:sz w:val="24"/>
          <w:szCs w:val="24"/>
        </w:rPr>
        <w:t xml:space="preserve">della minaccia — è un'operazione che il documento non regge. La minaccia, se fu</w:t>
      </w:r>
    </w:p>
    <w:p>
      <w:pPr>
        <w:spacing w:after="120" w:line="276"/>
        <w:jc w:val="both"/>
      </w:pPr>
      <w:r>
        <w:rPr>
          <w:rFonts w:ascii="Barlow Semi Condensed" w:cs="Barlow Semi Condensed" w:eastAsia="Barlow Semi Condensed" w:hAnsi="Barlow Semi Condensed"/>
          <w:sz w:val="24"/>
          <w:szCs w:val="24"/>
        </w:rPr>
        <w:t xml:space="preserve">detta, fu detta altrove: e allora il verbale non c'entra, e chi lo esibisce sta</w:t>
      </w:r>
    </w:p>
    <w:p>
      <w:pPr>
        <w:spacing w:after="120" w:line="276"/>
        <w:jc w:val="both"/>
      </w:pPr>
      <w:r>
        <w:rPr>
          <w:rFonts w:ascii="Barlow Semi Condensed" w:cs="Barlow Semi Condensed" w:eastAsia="Barlow Semi Condensed" w:hAnsi="Barlow Semi Condensed"/>
          <w:sz w:val="24"/>
          <w:szCs w:val="24"/>
        </w:rPr>
        <w:t xml:space="preserve">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**l'unico oggetto materiale a cui</w:t>
      </w:r>
    </w:p>
    <w:p>
      <w:pPr>
        <w:spacing w:after="120" w:line="276"/>
        <w:jc w:val="both"/>
      </w:pPr>
      <w:r>
        <w:rPr>
          <w:rFonts w:ascii="Barlow Semi Condensed" w:cs="Barlow Semi Condensed" w:eastAsia="Barlow Semi Condensed" w:hAnsi="Barlow Semi Condensed"/>
          <w:sz w:val="24"/>
          <w:szCs w:val="24"/>
        </w:rPr>
        <w:t xml:space="preserve">si era attaccata**, e l'ho restituita a ciò che è sempre stata: una</w:t>
      </w:r>
    </w:p>
    <w:p>
      <w:pPr>
        <w:spacing w:after="120" w:line="276"/>
        <w:jc w:val="both"/>
      </w:pPr>
      <w:r>
        <w:rPr>
          <w:rFonts w:ascii="Barlow Semi Condensed" w:cs="Barlow Semi Condensed" w:eastAsia="Barlow Semi Condensed" w:hAnsi="Barlow Semi Condensed"/>
          <w:sz w:val="24"/>
          <w:szCs w:val="24"/>
        </w:rPr>
        <w:t xml:space="preserve">testimonianza. Contesa, indiretta, resa anni dopo. Il capitolo successivo si</w:t>
      </w:r>
    </w:p>
    <w:p>
      <w:pPr>
        <w:spacing w:after="120" w:line="276"/>
        <w:jc w:val="both"/>
      </w:pPr>
      <w:r>
        <w:rPr>
          <w:rFonts w:ascii="Barlow Semi Condensed" w:cs="Barlow Semi Condensed" w:eastAsia="Barlow Semi Condensed" w:hAnsi="Barlow Semi Condensed"/>
          <w:sz w:val="24"/>
          <w:szCs w:val="24"/>
        </w:rPr>
        <w:t xml:space="preserve">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w:t>
      </w:r>
    </w:p>
    <w:p>
      <w:pPr>
        <w:spacing w:after="120" w:line="276"/>
        <w:jc w:val="both"/>
      </w:pPr>
      <w:r>
        <w:rPr>
          <w:rFonts w:ascii="Barlow Semi Condensed" w:cs="Barlow Semi Condensed" w:eastAsia="Barlow Semi Condensed" w:hAnsi="Barlow Semi Condensed"/>
          <w:sz w:val="24"/>
          <w:szCs w:val="24"/>
        </w:rPr>
        <w:t xml:space="preserve">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w:t>
      </w:r>
    </w:p>
    <w:p>
      <w:pPr>
        <w:spacing w:after="120" w:line="276"/>
        <w:jc w:val="both"/>
      </w:pPr>
      <w:r>
        <w:rPr>
          <w:rFonts w:ascii="Barlow Semi Condensed" w:cs="Barlow Semi Condensed" w:eastAsia="Barlow Semi Condensed" w:hAnsi="Barlow Semi Condensed"/>
          <w:sz w:val="24"/>
          <w:szCs w:val="24"/>
        </w:rPr>
        <w:t xml:space="preserve">Ma una fonte d'agenzia statunitense coeva — un lancio dell'aprile 1983 — riferiva</w:t>
      </w:r>
    </w:p>
    <w:p>
      <w:pPr>
        <w:spacing w:after="120" w:line="276"/>
        <w:jc w:val="both"/>
      </w:pPr>
      <w:r>
        <w:rPr>
          <w:rFonts w:ascii="Barlow Semi Condensed" w:cs="Barlow Semi Condensed" w:eastAsia="Barlow Semi Condensed" w:hAnsi="Barlow Semi Condensed"/>
          <w:sz w:val="24"/>
          <w:szCs w:val="24"/>
        </w:rPr>
        <w:t xml:space="preserve">che i magistrati che allora indagavano volevano interrogare Kissinger su un</w:t>
      </w:r>
    </w:p>
    <w:p>
      <w:pPr>
        <w:spacing w:after="120" w:line="276"/>
        <w:jc w:val="both"/>
      </w:pP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w:t>
      </w:r>
    </w:p>
    <w:p>
      <w:pPr>
        <w:spacing w:after="120" w:line="276"/>
        <w:jc w:val="both"/>
      </w:pPr>
      <w:r>
        <w:rPr>
          <w:rFonts w:ascii="Barlow Semi Condensed" w:cs="Barlow Semi Condensed" w:eastAsia="Barlow Semi Condensed" w:hAnsi="Barlow Semi Condensed"/>
          <w:sz w:val="24"/>
          <w:szCs w:val="24"/>
        </w:rPr>
        <w:t xml:space="preserve">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w:t>
      </w:r>
    </w:p>
    <w:p>
      <w:pPr>
        <w:spacing w:after="120" w:line="276"/>
        <w:jc w:val="both"/>
      </w:pPr>
      <w:r>
        <w:rPr>
          <w:rFonts w:ascii="Barlow Semi Condensed" w:cs="Barlow Semi Condensed" w:eastAsia="Barlow Semi Condensed" w:hAnsi="Barlow Semi Condensed"/>
          <w:sz w:val="24"/>
          <w:szCs w:val="24"/>
        </w:rPr>
        <w:t xml:space="preserve">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w:t>
      </w:r>
    </w:p>
    <w:p>
      <w:pPr>
        <w:spacing w:after="120" w:line="276"/>
        <w:jc w:val="both"/>
      </w:pPr>
      <w:r>
        <w:rPr>
          <w:rFonts w:ascii="Barlow Semi Condensed" w:cs="Barlow Semi Condensed" w:eastAsia="Barlow Semi Condensed" w:hAnsi="Barlow Semi Condensed"/>
          <w:sz w:val="24"/>
          <w:szCs w:val="24"/>
        </w:rPr>
        <w:t xml:space="preserve">ricordato male nei particolari. È un episodio **la cui identità stessa non è</w:t>
      </w:r>
    </w:p>
    <w:p>
      <w:pPr>
        <w:spacing w:after="120" w:line="276"/>
        <w:jc w:val="both"/>
      </w:pPr>
      <w:r>
        <w:rPr>
          <w:rFonts w:ascii="Barlow Semi Condensed" w:cs="Barlow Semi Condensed" w:eastAsia="Barlow Semi Condensed" w:hAnsi="Barlow Semi Condensed"/>
          <w:sz w:val="24"/>
          <w:szCs w:val="24"/>
        </w:rPr>
        <w:t xml:space="preserve">fissata**: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**Nel 1977 Kissinger non era più</w:t>
      </w:r>
    </w:p>
    <w:p>
      <w:pPr>
        <w:spacing w:after="120" w:line="276"/>
        <w:jc w:val="both"/>
      </w:pPr>
      <w:r>
        <w:rPr>
          <w:rFonts w:ascii="Barlow Semi Condensed" w:cs="Barlow Semi Condensed" w:eastAsia="Barlow Semi Condensed" w:hAnsi="Barlow Semi Condensed"/>
          <w:sz w:val="24"/>
          <w:szCs w:val="24"/>
        </w:rPr>
        <w:t xml:space="preserve">Segretario di Stato.** Il suo mandato era finito il 20 gennaio di quell'anno.</w:t>
      </w:r>
    </w:p>
    <w:p>
      <w:pPr>
        <w:spacing w:after="120" w:line="276"/>
        <w:jc w:val="both"/>
      </w:pPr>
      <w:r>
        <w:rPr>
          <w:rFonts w:ascii="Barlow Semi Condensed" w:cs="Barlow Semi Condensed" w:eastAsia="Barlow Semi Condensed" w:hAnsi="Barlow Semi Condensed"/>
          <w:sz w:val="24"/>
          <w:szCs w:val="24"/>
        </w:rPr>
        <w:t xml:space="preserve">Chi colloca l'episodio nel 1977 sta raccontando un uomo che parla da privato</w:t>
      </w:r>
    </w:p>
    <w:p>
      <w:pPr>
        <w:spacing w:after="120" w:line="276"/>
        <w:jc w:val="both"/>
      </w:pPr>
      <w:r>
        <w:rPr>
          <w:rFonts w:ascii="Barlow Semi Condensed" w:cs="Barlow Semi Condensed" w:eastAsia="Barlow Semi Condensed" w:hAnsi="Barlow Semi Condensed"/>
          <w:sz w:val="24"/>
          <w:szCs w:val="24"/>
        </w:rPr>
        <w:t xml:space="preserve">cittadino; chi lo colloca nel 1974 sta raccontando il capo della diplomazia</w:t>
      </w:r>
    </w:p>
    <w:p>
      <w:pPr>
        <w:spacing w:after="120" w:line="276"/>
        <w:jc w:val="both"/>
      </w:pPr>
      <w:r>
        <w:rPr>
          <w:rFonts w:ascii="Barlow Semi Condensed" w:cs="Barlow Semi Condensed" w:eastAsia="Barlow Semi Condensed" w:hAnsi="Barlow Semi Condensed"/>
          <w:sz w:val="24"/>
          <w:szCs w:val="24"/>
        </w:rPr>
        <w:t xml:space="preserve">americana in carica che parla a un ministro degli Esteri alleato. Sono due fatti</w:t>
      </w:r>
    </w:p>
    <w:p>
      <w:pPr>
        <w:spacing w:after="120" w:line="276"/>
        <w:jc w:val="both"/>
      </w:pPr>
      <w:r>
        <w:rPr>
          <w:rFonts w:ascii="Barlow Semi Condensed" w:cs="Barlow Semi Condensed" w:eastAsia="Barlow Semi Condensed" w:hAnsi="Barlow Semi Condensed"/>
          <w:sz w:val="24"/>
          <w:szCs w:val="24"/>
        </w:rPr>
        <w:t xml:space="preserve">di natura giuridica e politica completamente diversa, e in circolazione stanno</w:t>
      </w:r>
    </w:p>
    <w:p>
      <w:pPr>
        <w:spacing w:after="120" w:line="276"/>
        <w:jc w:val="both"/>
      </w:pPr>
      <w:r>
        <w:rPr>
          <w:rFonts w:ascii="Barlow Semi Condensed" w:cs="Barlow Semi Condensed" w:eastAsia="Barlow Semi Condensed" w:hAnsi="Barlow Semi Condensed"/>
          <w:sz w:val="24"/>
          <w:szCs w:val="24"/>
        </w:rPr>
        <w:t xml:space="preserve">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w:t>
      </w:r>
    </w:p>
    <w:p>
      <w:pPr>
        <w:spacing w:after="120" w:line="276"/>
        <w:jc w:val="both"/>
      </w:pPr>
      <w:r>
        <w:rPr>
          <w:rFonts w:ascii="Barlow Semi Condensed" w:cs="Barlow Semi Condensed" w:eastAsia="Barlow Semi Condensed" w:hAnsi="Barlow Semi Condensed"/>
          <w:sz w:val="24"/>
          <w:szCs w:val="24"/>
        </w:rPr>
        <w:t xml:space="preserve">serve a stabilire se qualcuno mente. Serve a stabilire **di che cosa si stia</w:t>
      </w:r>
    </w:p>
    <w:p>
      <w:pPr>
        <w:spacing w:after="120" w:line="276"/>
        <w:jc w:val="both"/>
      </w:pPr>
      <w:r>
        <w:rPr>
          <w:rFonts w:ascii="Barlow Semi Condensed" w:cs="Barlow Semi Condensed" w:eastAsia="Barlow Semi Condensed" w:hAnsi="Barlow Semi Condensed"/>
          <w:sz w:val="24"/>
          <w:szCs w:val="24"/>
        </w:rPr>
        <w:t xml:space="preserve">parlando**,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w:t>
      </w:r>
    </w:p>
    <w:p>
      <w:pPr>
        <w:spacing w:after="120" w:line="276"/>
        <w:jc w:val="both"/>
      </w:pPr>
      <w:r>
        <w:rPr>
          <w:rFonts w:ascii="Barlow Semi Condensed" w:cs="Barlow Semi Condensed" w:eastAsia="Barlow Semi Condensed" w:hAnsi="Barlow Semi Condensed"/>
          <w:sz w:val="24"/>
          <w:szCs w:val="24"/>
        </w:rPr>
        <w:t xml:space="preserve">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**portavoce di Moro, Corrado Guerzoni, depose come teste davanti alla Corte</w:t>
      </w:r>
    </w:p>
    <w:p>
      <w:pPr>
        <w:spacing w:after="120" w:line="276"/>
        <w:jc w:val="both"/>
      </w:pPr>
      <w:r>
        <w:rPr>
          <w:rFonts w:ascii="Barlow Semi Condensed" w:cs="Barlow Semi Condensed" w:eastAsia="Barlow Semi Condensed" w:hAnsi="Barlow Semi Condensed"/>
          <w:sz w:val="24"/>
          <w:szCs w:val="24"/>
        </w:rPr>
        <w:t xml:space="preserve">d'assise di Roma nel novembre 1982** — il 10, secondo la datazione più</w:t>
      </w:r>
    </w:p>
    <w:p>
      <w:pPr>
        <w:spacing w:after="120" w:line="276"/>
        <w:jc w:val="both"/>
      </w:pPr>
      <w:r>
        <w:rPr>
          <w:rFonts w:ascii="Barlow Semi Condensed" w:cs="Barlow Semi Condensed" w:eastAsia="Barlow Semi Condensed" w:hAnsi="Barlow Semi Condensed"/>
          <w:sz w:val="24"/>
          <w:szCs w:val="24"/>
        </w:rPr>
        <w:t xml:space="preserve">ricorrente; una fonte indica il 15, e la divergenza resta lì irrisolta. Ma</w:t>
      </w:r>
    </w:p>
    <w:p>
      <w:pPr>
        <w:spacing w:after="120" w:line="276"/>
        <w:jc w:val="both"/>
      </w:pPr>
      <w:r>
        <w:rPr>
          <w:rFonts w:ascii="Barlow Semi Condensed" w:cs="Barlow Semi Condensed" w:eastAsia="Barlow Semi Condensed" w:hAnsi="Barlow Semi Condensed"/>
          <w:sz w:val="24"/>
          <w:szCs w:val="24"/>
        </w:rPr>
        <w:t xml:space="preserve">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w:t>
      </w:r>
    </w:p>
    <w:p>
      <w:pPr>
        <w:spacing w:after="120" w:line="276"/>
        <w:jc w:val="both"/>
      </w:pPr>
      <w:r>
        <w:rPr>
          <w:rFonts w:ascii="Barlow Semi Condensed" w:cs="Barlow Semi Condensed" w:eastAsia="Barlow Semi Condensed" w:hAnsi="Barlow Semi Condensed"/>
          <w:sz w:val="24"/>
          <w:szCs w:val="24"/>
        </w:rPr>
        <w:t xml:space="preserve">fatto da Moro e dall'entourage. Questo dato è quello che le riprese omettono più</w:t>
      </w:r>
    </w:p>
    <w:p>
      <w:pPr>
        <w:spacing w:after="120" w:line="276"/>
        <w:jc w:val="both"/>
      </w:pPr>
      <w:r>
        <w:rPr>
          <w:rFonts w:ascii="Barlow Semi Condensed" w:cs="Barlow Semi Condensed" w:eastAsia="Barlow Semi Condensed" w:hAnsi="Barlow Semi Condensed"/>
          <w:sz w:val="24"/>
          <w:szCs w:val="24"/>
        </w:rPr>
        <w:t xml:space="preserve">spesso, e cambia tutto. Non squalifica la deposizione — un teste indiretto è un</w:t>
      </w:r>
    </w:p>
    <w:p>
      <w:pPr>
        <w:spacing w:after="120" w:line="276"/>
        <w:jc w:val="both"/>
      </w:pPr>
      <w:r>
        <w:rPr>
          <w:rFonts w:ascii="Barlow Semi Condensed" w:cs="Barlow Semi Condensed" w:eastAsia="Barlow Semi Condensed" w:hAnsi="Barlow Semi Condensed"/>
          <w:sz w:val="24"/>
          <w:szCs w:val="24"/>
        </w:rPr>
        <w:t xml:space="preserve">teste, e la sua deposizione è un atto processuale — ma la colloca dove</w:t>
      </w:r>
    </w:p>
    <w:p>
      <w:pPr>
        <w:spacing w:after="120" w:line="276"/>
        <w:jc w:val="both"/>
      </w:pPr>
      <w:r>
        <w:rPr>
          <w:rFonts w:ascii="Barlow Semi Condensed" w:cs="Barlow Semi Condensed" w:eastAsia="Barlow Semi Condensed" w:hAnsi="Barlow Semi Condensed"/>
          <w:sz w:val="24"/>
          <w:szCs w:val="24"/>
        </w:rPr>
        <w:t xml:space="preserve">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w:t>
      </w:r>
    </w:p>
    <w:p>
      <w:pPr>
        <w:spacing w:after="120" w:line="276"/>
        <w:jc w:val="both"/>
      </w:pPr>
      <w:r>
        <w:rPr>
          <w:rFonts w:ascii="Barlow Semi Condensed" w:cs="Barlow Semi Condensed" w:eastAsia="Barlow Semi Condensed" w:hAnsi="Barlow Semi Condensed"/>
          <w:sz w:val="24"/>
          <w:szCs w:val="24"/>
        </w:rPr>
        <w:t xml:space="preserve">il presidente della corte, richiamando quanto detto dal portavoce, a ottenere</w:t>
      </w:r>
    </w:p>
    <w:p>
      <w:pPr>
        <w:spacing w:after="120" w:line="276"/>
        <w:jc w:val="both"/>
      </w:pPr>
      <w:r>
        <w:rPr>
          <w:rFonts w:ascii="Barlow Semi Condensed" w:cs="Barlow Semi Condensed" w:eastAsia="Barlow Semi Condensed" w:hAnsi="Barlow Semi Condensed"/>
          <w:sz w:val="24"/>
          <w:szCs w:val="24"/>
        </w:rPr>
        <w:t xml:space="preserve">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**1°</w:t>
      </w:r>
    </w:p>
    <w:p>
      <w:pPr>
        <w:spacing w:after="120" w:line="276"/>
        <w:jc w:val="both"/>
      </w:pPr>
      <w:r>
        <w:rPr>
          <w:rFonts w:ascii="Barlow Semi Condensed" w:cs="Barlow Semi Condensed" w:eastAsia="Barlow Semi Condensed" w:hAnsi="Barlow Semi Condensed"/>
          <w:sz w:val="24"/>
          <w:szCs w:val="24"/>
        </w:rPr>
        <w:t xml:space="preserve">agosto 1980** (una fonte indica l'11, verosimilmente per lettura errata di «1°»)</w:t>
      </w:r>
    </w:p>
    <w:p>
      <w:pPr>
        <w:spacing w:after="120" w:line="276"/>
        <w:jc w:val="both"/>
      </w:pPr>
      <w:r>
        <w:rPr>
          <w:rFonts w:ascii="Barlow Semi Condensed" w:cs="Barlow Semi Condensed" w:eastAsia="Barlow Semi Condensed" w:hAnsi="Barlow Semi Condensed"/>
          <w:sz w:val="24"/>
          <w:szCs w:val="24"/>
        </w:rPr>
        <w:t xml:space="preserve">— ma qui devo di nuovo dichiarare un grado. **Il contenuto verbatim della frase</w:t>
      </w:r>
    </w:p>
    <w:p>
      <w:pPr>
        <w:spacing w:after="120" w:line="276"/>
        <w:jc w:val="both"/>
      </w:pPr>
      <w:r>
        <w:rPr>
          <w:rFonts w:ascii="Barlow Semi Condensed" w:cs="Barlow Semi Condensed" w:eastAsia="Barlow Semi Condensed" w:hAnsi="Barlow Semi Condensed"/>
          <w:sz w:val="24"/>
          <w:szCs w:val="24"/>
        </w:rPr>
        <w:t xml:space="preserve">in quella sede resta da riscontrare**: le sintesi attribuiscono la frase alla</w:t>
      </w:r>
    </w:p>
    <w:p>
      <w:pPr>
        <w:spacing w:after="120" w:line="276"/>
        <w:jc w:val="both"/>
      </w:pPr>
      <w:r>
        <w:rPr>
          <w:rFonts w:ascii="Barlow Semi Condensed" w:cs="Barlow Semi Condensed" w:eastAsia="Barlow Semi Condensed" w:hAnsi="Barlow Semi Condensed"/>
          <w:sz w:val="24"/>
          <w:szCs w:val="24"/>
        </w:rPr>
        <w:t xml:space="preserve">deposizione giudiziaria del 1982, mentre dell'audizione del 1980 riportano</w:t>
      </w:r>
    </w:p>
    <w:p>
      <w:pPr>
        <w:spacing w:after="120" w:line="276"/>
        <w:jc w:val="both"/>
      </w:pPr>
      <w:r>
        <w:rPr>
          <w:rFonts w:ascii="Barlow Semi Condensed" w:cs="Barlow Semi Condensed" w:eastAsia="Barlow Semi Condensed" w:hAnsi="Barlow Semi Condensed"/>
          <w:sz w:val="24"/>
          <w:szCs w:val="24"/>
        </w:rPr>
        <w:t xml:space="preserve">soprattutto un riferimento a minacce risalenti al 1975 e crescenti nel tempo.</w:t>
      </w:r>
    </w:p>
    <w:p>
      <w:pPr>
        <w:spacing w:after="120" w:line="276"/>
        <w:jc w:val="both"/>
      </w:pPr>
      <w:r>
        <w:rPr>
          <w:rFonts w:ascii="Barlow Semi Condensed" w:cs="Barlow Semi Condensed" w:eastAsia="Barlow Semi Condensed" w:hAnsi="Barlow Semi Condensed"/>
          <w:sz w:val="24"/>
          <w:szCs w:val="24"/>
        </w:rPr>
        <w:t xml:space="preserve">Sede confermata, contenuto no. Sono due piani, e vanno tenuti separati anche</w:t>
      </w:r>
    </w:p>
    <w:p>
      <w:pPr>
        <w:spacing w:after="120" w:line="276"/>
        <w:jc w:val="both"/>
      </w:pPr>
      <w:r>
        <w:rPr>
          <w:rFonts w:ascii="Barlow Semi Condensed" w:cs="Barlow Semi Condensed" w:eastAsia="Barlow Semi Condensed" w:hAnsi="Barlow Semi Condensed"/>
          <w:sz w:val="24"/>
          <w:szCs w:val="24"/>
        </w:rPr>
        <w:t xml:space="preserve">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w:t>
      </w:r>
    </w:p>
    <w:p>
      <w:pPr>
        <w:spacing w:after="120" w:line="276"/>
        <w:jc w:val="both"/>
      </w:pPr>
      <w:r>
        <w:rPr>
          <w:rFonts w:ascii="Barlow Semi Condensed" w:cs="Barlow Semi Condensed" w:eastAsia="Barlow Semi Condensed" w:hAnsi="Barlow Semi Condensed"/>
          <w:sz w:val="24"/>
          <w:szCs w:val="24"/>
        </w:rPr>
        <w:t xml:space="preserve">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w:t>
      </w:r>
    </w:p>
    <w:p>
      <w:pPr>
        <w:spacing w:after="120" w:line="276"/>
        <w:jc w:val="both"/>
      </w:pPr>
      <w:r>
        <w:rPr>
          <w:rFonts w:ascii="Barlow Semi Condensed" w:cs="Barlow Semi Condensed" w:eastAsia="Barlow Semi Condensed" w:hAnsi="Barlow Semi Condensed"/>
          <w:sz w:val="24"/>
          <w:szCs w:val="24"/>
        </w:rPr>
        <w:t xml:space="preserve">Italia si pensasse davvero questo di lui. È testimonianza giornalistica di un</w:t>
      </w:r>
    </w:p>
    <w:p>
      <w:pPr>
        <w:spacing w:after="120" w:line="276"/>
        <w:jc w:val="both"/>
      </w:pPr>
      <w:r>
        <w:rPr>
          <w:rFonts w:ascii="Barlow Semi Condensed" w:cs="Barlow Semi Condensed" w:eastAsia="Barlow Semi Condensed" w:hAnsi="Barlow Semi Condensed"/>
          <w:sz w:val="24"/>
          <w:szCs w:val="24"/>
        </w:rPr>
        <w:t xml:space="preserve">solo interlocutore, non un comunicato: vale quanto vale, e va detto quanto vale.</w:t>
      </w:r>
    </w:p>
    <w:p>
      <w:pPr>
        <w:spacing w:after="120" w:line="276"/>
        <w:jc w:val="both"/>
      </w:pPr>
      <w:r>
        <w:rPr>
          <w:rFonts w:ascii="Barlow Semi Condensed" w:cs="Barlow Semi Condensed" w:eastAsia="Barlow Semi Condensed" w:hAnsi="Barlow Semi Condensed"/>
          <w:sz w:val="24"/>
          <w:szCs w:val="24"/>
        </w:rPr>
        <w:t xml:space="preserve">Già nel 1983, però, l'agenzia americana scriveva che egli ammetteva la propria</w:t>
      </w:r>
    </w:p>
    <w:p>
      <w:pPr>
        <w:spacing w:after="120" w:line="276"/>
        <w:jc w:val="both"/>
      </w:pPr>
      <w:r>
        <w:rPr>
          <w:rFonts w:ascii="Barlow Semi Condensed" w:cs="Barlow Semi Condensed" w:eastAsia="Barlow Semi Condensed" w:hAnsi="Barlow Semi Condensed"/>
          <w:sz w:val="24"/>
          <w:szCs w:val="24"/>
        </w:rPr>
        <w:t xml:space="preserve">contrarietà all'ingresso dei comunisti al governo ma </w:t>
      </w:r>
      <w:r>
        <w:rPr>
          <w:rFonts w:ascii="Barlow Semi Condensed" w:cs="Barlow Semi Condensed" w:eastAsia="Barlow Semi Condensed" w:hAnsi="Barlow Semi Condensed"/>
          <w:b/>
          <w:bCs/>
          <w:sz w:val="24"/>
          <w:szCs w:val="24"/>
        </w:rPr>
        <w:t xml:space="preserve">aveva smentito più volte</w:t>
      </w:r>
    </w:p>
    <w:p>
      <w:pPr>
        <w:spacing w:after="120" w:line="276"/>
        <w:jc w:val="both"/>
      </w:pPr>
      <w:r>
        <w:rPr>
          <w:rFonts w:ascii="Barlow Semi Condensed" w:cs="Barlow Semi Condensed" w:eastAsia="Barlow Semi Condensed" w:hAnsi="Barlow Semi Condensed"/>
          <w:sz w:val="24"/>
          <w:szCs w:val="24"/>
        </w:rPr>
        <w:t xml:space="preserve">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w:t>
      </w:r>
    </w:p>
    <w:p>
      <w:pPr>
        <w:spacing w:after="120" w:line="276"/>
        <w:jc w:val="both"/>
      </w:pPr>
      <w:r>
        <w:rPr>
          <w:rFonts w:ascii="Barlow Semi Condensed" w:cs="Barlow Semi Condensed" w:eastAsia="Barlow Semi Condensed" w:hAnsi="Barlow Semi Condensed"/>
          <w:sz w:val="24"/>
          <w:szCs w:val="24"/>
        </w:rPr>
        <w:t xml:space="preserve">portavoce personale sul merito. E un dato che pesa: **Kissinger non fu mai</w:t>
      </w:r>
    </w:p>
    <w:p>
      <w:pPr>
        <w:spacing w:after="120" w:line="276"/>
        <w:jc w:val="both"/>
      </w:pPr>
      <w:r>
        <w:rPr>
          <w:rFonts w:ascii="Barlow Semi Condensed" w:cs="Barlow Semi Condensed" w:eastAsia="Barlow Semi Condensed" w:hAnsi="Barlow Semi Condensed"/>
          <w:sz w:val="24"/>
          <w:szCs w:val="24"/>
        </w:rPr>
        <w:t xml:space="preserve">sentito dai magistrati italiani** — la richiesta informale del 1983 non ebbe</w:t>
      </w:r>
    </w:p>
    <w:p>
      <w:pPr>
        <w:spacing w:after="120" w:line="276"/>
        <w:jc w:val="both"/>
      </w:pPr>
      <w:r>
        <w:rPr>
          <w:rFonts w:ascii="Barlow Semi Condensed" w:cs="Barlow Semi Condensed" w:eastAsia="Barlow Semi Condensed" w:hAnsi="Barlow Semi Condensed"/>
          <w:sz w:val="24"/>
          <w:szCs w:val="24"/>
        </w:rPr>
        <w:t xml:space="preserve">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w:t>
      </w:r>
    </w:p>
    <w:p>
      <w:pPr>
        <w:spacing w:after="120" w:line="276"/>
        <w:jc w:val="both"/>
      </w:pPr>
      <w:r>
        <w:rPr>
          <w:rFonts w:ascii="Barlow Semi Condensed" w:cs="Barlow Semi Condensed" w:eastAsia="Barlow Semi Condensed" w:hAnsi="Barlow Semi Condensed"/>
          <w:sz w:val="24"/>
          <w:szCs w:val="24"/>
        </w:rPr>
        <w:t xml:space="preserve">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dicendo di averlo verificato allora con l'interprete, **perché Moro non parlava</w:t>
      </w:r>
    </w:p>
    <w:p>
      <w:pPr>
        <w:spacing w:after="120" w:line="276"/>
        <w:jc w:val="both"/>
      </w:pPr>
      <w:r>
        <w:rPr>
          <w:rFonts w:ascii="Barlow Semi Condensed" w:cs="Barlow Semi Condensed" w:eastAsia="Barlow Semi Condensed" w:hAnsi="Barlow Semi Condensed"/>
          <w:sz w:val="24"/>
          <w:szCs w:val="24"/>
        </w:rPr>
        <w:t xml:space="preserve">inglese**; lo stesso testimone, altrove, ha però descritto un colloquio</w:t>
      </w:r>
    </w:p>
    <w:p>
      <w:pPr>
        <w:spacing w:after="120" w:line="276"/>
        <w:jc w:val="both"/>
      </w:pPr>
      <w:r>
        <w:rPr>
          <w:rFonts w:ascii="Barlow Semi Condensed" w:cs="Barlow Semi Condensed" w:eastAsia="Barlow Semi Condensed" w:hAnsi="Barlow Semi Condensed"/>
          <w:sz w:val="24"/>
          <w:szCs w:val="24"/>
        </w:rPr>
        <w:t xml:space="preserve">politicamente durissimo, distinguendo il rimprovero aspro dalla minaccia. Un</w:t>
      </w:r>
    </w:p>
    <w:p>
      <w:pPr>
        <w:spacing w:after="120" w:line="276"/>
        <w:jc w:val="both"/>
      </w:pPr>
      <w:r>
        <w:rPr>
          <w:rFonts w:ascii="Barlow Semi Condensed" w:cs="Barlow Semi Condensed" w:eastAsia="Barlow Semi Condensed" w:hAnsi="Barlow Semi Condensed"/>
          <w:sz w:val="24"/>
          <w:szCs w:val="24"/>
        </w:rPr>
        <w:t xml:space="preserve">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w:t>
      </w:r>
    </w:p>
    <w:p>
      <w:pPr>
        <w:spacing w:after="120" w:line="276"/>
        <w:jc w:val="both"/>
      </w:pPr>
      <w:r>
        <w:rPr>
          <w:rFonts w:ascii="Barlow Semi Condensed" w:cs="Barlow Semi Condensed" w:eastAsia="Barlow Semi Condensed" w:hAnsi="Barlow Semi Condensed"/>
          <w:sz w:val="24"/>
          <w:szCs w:val="24"/>
        </w:rPr>
        <w:t xml:space="preserve">plausibilità materiale di uno scambio verbale diretto e riservato: una minaccia</w:t>
      </w:r>
    </w:p>
    <w:p>
      <w:pPr>
        <w:spacing w:after="120" w:line="276"/>
        <w:jc w:val="both"/>
      </w:pPr>
      <w:r>
        <w:rPr>
          <w:rFonts w:ascii="Barlow Semi Condensed" w:cs="Barlow Semi Condensed" w:eastAsia="Barlow Semi Condensed" w:hAnsi="Barlow Semi Condensed"/>
          <w:sz w:val="24"/>
          <w:szCs w:val="24"/>
        </w:rPr>
        <w:t xml:space="preserve">sussurrata a margine ha bisogno di una lingua comune, o di un terzo che traduca —</w:t>
      </w:r>
    </w:p>
    <w:p>
      <w:pPr>
        <w:spacing w:after="120" w:line="276"/>
        <w:jc w:val="both"/>
      </w:pPr>
      <w:r>
        <w:rPr>
          <w:rFonts w:ascii="Barlow Semi Condensed" w:cs="Barlow Semi Condensed" w:eastAsia="Barlow Semi Condensed" w:hAnsi="Barlow Semi Condensed"/>
          <w:sz w:val="24"/>
          <w:szCs w:val="24"/>
        </w:rPr>
        <w:t xml:space="preserve">e un terzo che traduce è un testimone in più, di cui non si ha notizia. Ma non</w:t>
      </w:r>
    </w:p>
    <w:p>
      <w:pPr>
        <w:spacing w:after="120" w:line="276"/>
        <w:jc w:val="both"/>
      </w:pPr>
      <w:r>
        <w:rPr>
          <w:rFonts w:ascii="Barlow Semi Condensed" w:cs="Barlow Semi Condensed" w:eastAsia="Barlow Semi Condensed" w:hAnsi="Barlow Semi Condensed"/>
          <w:sz w:val="24"/>
          <w:szCs w:val="24"/>
        </w:rPr>
        <w:t xml:space="preserve">concludo neppure di qui, per una ragione semplice: **nessuna di queste smentite</w:t>
      </w:r>
    </w:p>
    <w:p>
      <w:pPr>
        <w:spacing w:after="120" w:line="276"/>
        <w:jc w:val="both"/>
      </w:pPr>
      <w:r>
        <w:rPr>
          <w:rFonts w:ascii="Barlow Semi Condensed" w:cs="Barlow Semi Condensed" w:eastAsia="Barlow Semi Condensed" w:hAnsi="Barlow Semi Condensed"/>
          <w:sz w:val="24"/>
          <w:szCs w:val="24"/>
        </w:rPr>
        <w:t xml:space="preserve">proviene da un presente al colloquio riservato**. Chi nega non c'era più di</w:t>
      </w:r>
    </w:p>
    <w:p>
      <w:pPr>
        <w:spacing w:after="120" w:line="276"/>
        <w:jc w:val="both"/>
      </w:pPr>
      <w:r>
        <w:rPr>
          <w:rFonts w:ascii="Barlow Semi Condensed" w:cs="Barlow Semi Condensed" w:eastAsia="Barlow Semi Condensed" w:hAnsi="Barlow Semi Condensed"/>
          <w:sz w:val="24"/>
          <w:szCs w:val="24"/>
        </w:rPr>
        <w:t xml:space="preserve">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w:t>
      </w:r>
    </w:p>
    <w:p>
      <w:pPr>
        <w:spacing w:after="120" w:line="276"/>
        <w:jc w:val="both"/>
      </w:pPr>
      <w:r>
        <w:rPr>
          <w:rFonts w:ascii="Barlow Semi Condensed" w:cs="Barlow Semi Condensed" w:eastAsia="Barlow Semi Condensed" w:hAnsi="Barlow Semi Condensed"/>
          <w:sz w:val="24"/>
          <w:szCs w:val="24"/>
        </w:rPr>
        <w:t xml:space="preserve">siti, aggregatori, enciclopedie collaborative, blog. La sensazione, per il</w:t>
      </w:r>
    </w:p>
    <w:p>
      <w:pPr>
        <w:spacing w:after="120" w:line="276"/>
        <w:jc w:val="both"/>
      </w:pPr>
      <w:r>
        <w:rPr>
          <w:rFonts w:ascii="Barlow Semi Condensed" w:cs="Barlow Semi Condensed" w:eastAsia="Barlow Semi Condensed" w:hAnsi="Barlow Semi Condensed"/>
          <w:sz w:val="24"/>
          <w:szCs w:val="24"/>
        </w:rPr>
        <w:t xml:space="preserve">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w:t>
      </w:r>
    </w:p>
    <w:p>
      <w:pPr>
        <w:spacing w:after="120" w:line="276"/>
        <w:jc w:val="both"/>
      </w:pPr>
      <w:r>
        <w:rPr>
          <w:rFonts w:ascii="Barlow Semi Condensed" w:cs="Barlow Semi Condensed" w:eastAsia="Barlow Semi Condensed" w:hAnsi="Barlow Semi Condensed"/>
          <w:sz w:val="24"/>
          <w:szCs w:val="24"/>
        </w:rPr>
        <w:t xml:space="preserve">E la convergenza di fonti indipendenti è, giustamente, uno dei criteri più solidi</w:t>
      </w:r>
    </w:p>
    <w:p>
      <w:pPr>
        <w:spacing w:after="120" w:line="276"/>
        <w:jc w:val="both"/>
      </w:pPr>
      <w:r>
        <w:rPr>
          <w:rFonts w:ascii="Barlow Semi Condensed" w:cs="Barlow Semi Condensed" w:eastAsia="Barlow Semi Condensed" w:hAnsi="Barlow Semi Condensed"/>
          <w:sz w:val="24"/>
          <w:szCs w:val="24"/>
        </w:rPr>
        <w:t xml:space="preserve">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**in forma pressoché</w:t>
      </w:r>
    </w:p>
    <w:p>
      <w:pPr>
        <w:spacing w:after="120" w:line="276"/>
        <w:jc w:val="both"/>
      </w:pPr>
      <w:r>
        <w:rPr>
          <w:rFonts w:ascii="Barlow Semi Condensed" w:cs="Barlow Semi Condensed" w:eastAsia="Barlow Semi Condensed" w:hAnsi="Barlow Semi Condensed"/>
          <w:sz w:val="24"/>
          <w:szCs w:val="24"/>
        </w:rPr>
        <w:t xml:space="preserve">identica**, con gli stessi incisi e gli stessi errori, e risalgono — a spoglio —</w:t>
      </w:r>
    </w:p>
    <w:p>
      <w:pPr>
        <w:spacing w:after="120" w:line="276"/>
        <w:jc w:val="both"/>
      </w:pPr>
      <w:r>
        <w:rPr>
          <w:rFonts w:ascii="Barlow Semi Condensed" w:cs="Barlow Semi Condensed" w:eastAsia="Barlow Semi Condensed" w:hAnsi="Barlow Semi Condensed"/>
          <w:sz w:val="24"/>
          <w:szCs w:val="24"/>
        </w:rPr>
        <w:t xml:space="preserve">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w:t>
      </w:r>
    </w:p>
    <w:p>
      <w:pPr>
        <w:spacing w:after="120" w:line="276"/>
        <w:jc w:val="both"/>
      </w:pPr>
      <w:r>
        <w:rPr>
          <w:rFonts w:ascii="Barlow Semi Condensed" w:cs="Barlow Semi Condensed" w:eastAsia="Barlow Semi Condensed" w:hAnsi="Barlow Semi Condensed"/>
          <w:sz w:val="24"/>
          <w:szCs w:val="24"/>
        </w:rPr>
        <w:t xml:space="preserve">Kissinger. Sul piano internazionale la vicenda era già stata rilanciata nel 1982</w:t>
      </w:r>
    </w:p>
    <w:p>
      <w:pPr>
        <w:spacing w:after="120" w:line="276"/>
        <w:jc w:val="both"/>
      </w:pPr>
      <w:r>
        <w:rPr>
          <w:rFonts w:ascii="Barlow Semi Condensed" w:cs="Barlow Semi Condensed" w:eastAsia="Barlow Semi Condensed" w:hAnsi="Barlow Semi Condensed"/>
          <w:sz w:val="24"/>
          <w:szCs w:val="24"/>
        </w:rPr>
        <w:t xml:space="preserve">da una pubblicazione di orientamento apertamente cospirazionista, che è dato di</w:t>
      </w:r>
    </w:p>
    <w:p>
      <w:pPr>
        <w:spacing w:after="120" w:line="276"/>
        <w:jc w:val="both"/>
      </w:pPr>
      <w:r>
        <w:rPr>
          <w:rFonts w:ascii="Barlow Semi Condensed" w:cs="Barlow Semi Condensed" w:eastAsia="Barlow Semi Condensed" w:hAnsi="Barlow Semi Condensed"/>
          <w:sz w:val="24"/>
          <w:szCs w:val="24"/>
        </w:rPr>
        <w:t xml:space="preserve">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w:t>
      </w:r>
    </w:p>
    <w:p>
      <w:pPr>
        <w:spacing w:after="120" w:line="276"/>
        <w:jc w:val="both"/>
      </w:pPr>
      <w:r>
        <w:rPr>
          <w:rFonts w:ascii="Barlow Semi Condensed" w:cs="Barlow Semi Condensed" w:eastAsia="Barlow Semi Condensed" w:hAnsi="Barlow Semi Condensed"/>
          <w:sz w:val="24"/>
          <w:szCs w:val="24"/>
        </w:rPr>
        <w:t xml:space="preserve">ripetizioni non aggiunge un grammo di valore probatorio: è replicazione senza</w:t>
      </w:r>
    </w:p>
    <w:p>
      <w:pPr>
        <w:spacing w:after="120" w:line="276"/>
        <w:jc w:val="both"/>
      </w:pPr>
      <w:r>
        <w:rPr>
          <w:rFonts w:ascii="Barlow Semi Condensed" w:cs="Barlow Semi Condensed" w:eastAsia="Barlow Semi Condensed" w:hAnsi="Barlow Semi Condensed"/>
          <w:sz w:val="24"/>
          <w:szCs w:val="24"/>
        </w:rPr>
        <w:t xml:space="preserve">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w:t>
      </w:r>
    </w:p>
    <w:p>
      <w:pPr>
        <w:spacing w:after="120" w:line="276"/>
        <w:jc w:val="both"/>
      </w:pPr>
      <w:r>
        <w:rPr>
          <w:rFonts w:ascii="Barlow Semi Condensed" w:cs="Barlow Semi Condensed" w:eastAsia="Barlow Semi Condensed" w:hAnsi="Barlow Semi Condensed"/>
          <w:sz w:val="24"/>
          <w:szCs w:val="24"/>
        </w:rPr>
        <w:t xml:space="preserve">peggiore, e per una ragione strutturale, non per un difetto correggibile. Un</w:t>
      </w:r>
    </w:p>
    <w:p>
      <w:pPr>
        <w:spacing w:after="120" w:line="276"/>
        <w:jc w:val="both"/>
      </w:pPr>
      <w:r>
        <w:rPr>
          <w:rFonts w:ascii="Barlow Semi Condensed" w:cs="Barlow Semi Condensed" w:eastAsia="Barlow Semi Condensed" w:hAnsi="Barlow Semi Condensed"/>
          <w:sz w:val="24"/>
          <w:szCs w:val="24"/>
        </w:rPr>
        <w:t xml:space="preserve">sistema addestrato su testi ha visto quella frase cento volte. Cento occorrenze,</w:t>
      </w:r>
    </w:p>
    <w:p>
      <w:pPr>
        <w:spacing w:after="120" w:line="276"/>
        <w:jc w:val="both"/>
      </w:pPr>
      <w:r>
        <w:rPr>
          <w:rFonts w:ascii="Barlow Semi Condensed" w:cs="Barlow Semi Condensed" w:eastAsia="Barlow Semi Condensed" w:hAnsi="Barlow Semi Condensed"/>
          <w:sz w:val="24"/>
          <w:szCs w:val="24"/>
        </w:rPr>
        <w:t xml:space="preserve">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w:t>
      </w:r>
    </w:p>
    <w:p>
      <w:pPr>
        <w:spacing w:after="120" w:line="276"/>
        <w:jc w:val="both"/>
      </w:pPr>
      <w:r>
        <w:rPr>
          <w:rFonts w:ascii="Barlow Semi Condensed" w:cs="Barlow Semi Condensed" w:eastAsia="Barlow Semi Condensed" w:hAnsi="Barlow Semi Condensed"/>
          <w:sz w:val="24"/>
          <w:szCs w:val="24"/>
        </w:rPr>
        <w:t xml:space="preserve">si presenta in contesti coerenti. Che le cento occorrenze abbiano un solo</w:t>
      </w:r>
    </w:p>
    <w:p>
      <w:pPr>
        <w:spacing w:after="120" w:line="276"/>
        <w:jc w:val="both"/>
      </w:pPr>
      <w:r>
        <w:rPr>
          <w:rFonts w:ascii="Barlow Semi Condensed" w:cs="Barlow Semi Condensed" w:eastAsia="Barlow Semi Condensed" w:hAnsi="Barlow Semi Condensed"/>
          <w:sz w:val="24"/>
          <w:szCs w:val="24"/>
        </w:rPr>
        <w:t xml:space="preserve">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w:t>
      </w:r>
    </w:p>
    <w:p>
      <w:pPr>
        <w:spacing w:after="120" w:line="276"/>
        <w:jc w:val="both"/>
      </w:pPr>
      <w:r>
        <w:rPr>
          <w:rFonts w:ascii="Barlow Semi Condensed" w:cs="Barlow Semi Condensed" w:eastAsia="Barlow Semi Condensed" w:hAnsi="Barlow Semi Condensed"/>
          <w:sz w:val="24"/>
          <w:szCs w:val="24"/>
        </w:rPr>
        <w:t xml:space="preserve">copie porta scritto da dove viene. Bisogna andarla a cercare, con lo spoglio, a</w:t>
      </w:r>
    </w:p>
    <w:p>
      <w:pPr>
        <w:spacing w:after="120" w:line="276"/>
        <w:jc w:val="both"/>
      </w:pPr>
      <w:r>
        <w:rPr>
          <w:rFonts w:ascii="Barlow Semi Condensed" w:cs="Barlow Semi Condensed" w:eastAsia="Barlow Semi Condensed" w:hAnsi="Barlow Semi Condensed"/>
          <w:sz w:val="24"/>
          <w:szCs w:val="24"/>
        </w:rPr>
        <w:t xml:space="preserve">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w:t>
      </w:r>
    </w:p>
    <w:p>
      <w:pPr>
        <w:spacing w:after="120" w:line="276"/>
        <w:jc w:val="both"/>
      </w:pPr>
      <w:r>
        <w:rPr>
          <w:rFonts w:ascii="Barlow Semi Condensed" w:cs="Barlow Semi Condensed" w:eastAsia="Barlow Semi Condensed" w:hAnsi="Barlow Semi Condensed"/>
          <w:sz w:val="24"/>
          <w:szCs w:val="24"/>
        </w:rPr>
        <w:t xml:space="preserve">diversi, che cosa fosse successo il 25 settembre 1974. Ho ricevuto</w:t>
      </w:r>
    </w:p>
    <w:p>
      <w:pPr>
        <w:spacing w:after="120" w:line="276"/>
        <w:jc w:val="both"/>
      </w:pPr>
      <w:r>
        <w:rPr>
          <w:rFonts w:ascii="Barlow Semi Condensed" w:cs="Barlow Semi Condensed" w:eastAsia="Barlow Semi Condensed" w:hAnsi="Barlow Semi Condensed"/>
          <w:sz w:val="24"/>
          <w:szCs w:val="24"/>
        </w:rPr>
        <w:t xml:space="preserve">risposte fluenti, corrette nella forma, prudenti nel tono, e concordi</w:t>
      </w:r>
    </w:p>
    <w:p>
      <w:pPr>
        <w:spacing w:after="120" w:line="276"/>
        <w:jc w:val="both"/>
      </w:pPr>
      <w:r>
        <w:rPr>
          <w:rFonts w:ascii="Barlow Semi Condensed" w:cs="Barlow Semi Condensed" w:eastAsia="Barlow Semi Condensed" w:hAnsi="Barlow Semi Condensed"/>
          <w:sz w:val="24"/>
          <w:szCs w:val="24"/>
        </w:rPr>
        <w:t xml:space="preserve">nell'attribuire la frase a quel giorno e a quella stanza. Non è una loro</w:t>
      </w:r>
    </w:p>
    <w:p>
      <w:pPr>
        <w:spacing w:after="120" w:line="276"/>
        <w:jc w:val="both"/>
      </w:pPr>
      <w:r>
        <w:rPr>
          <w:rFonts w:ascii="Barlow Semi Condensed" w:cs="Barlow Semi Condensed" w:eastAsia="Barlow Semi Condensed" w:hAnsi="Barlow Semi Condensed"/>
          <w:sz w:val="24"/>
          <w:szCs w:val="24"/>
        </w:rPr>
        <w:t xml:space="preserve">patologia. È il comportamento previsto di uno strumento che misura la frequenza e</w:t>
      </w:r>
    </w:p>
    <w:p>
      <w:pPr>
        <w:spacing w:after="120" w:line="276"/>
        <w:jc w:val="both"/>
      </w:pPr>
      <w:r>
        <w:rPr>
          <w:rFonts w:ascii="Barlow Semi Condensed" w:cs="Barlow Semi Condensed" w:eastAsia="Barlow Semi Condensed" w:hAnsi="Barlow Semi Condensed"/>
          <w:sz w:val="24"/>
          <w:szCs w:val="24"/>
        </w:rPr>
        <w:t xml:space="preserve">non la discendenza — e la stessa cosa che fa un lettore umano quando apre cinque</w:t>
      </w:r>
    </w:p>
    <w:p>
      <w:pPr>
        <w:spacing w:after="120" w:line="276"/>
        <w:jc w:val="both"/>
      </w:pPr>
      <w:r>
        <w:rPr>
          <w:rFonts w:ascii="Barlow Semi Condensed" w:cs="Barlow Semi Condensed" w:eastAsia="Barlow Semi Condensed" w:hAnsi="Barlow Semi Condensed"/>
          <w:sz w:val="24"/>
          <w:szCs w:val="24"/>
        </w:rPr>
        <w:t xml:space="preserve">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**Ha eseguito il nostro, più in</w:t>
      </w:r>
    </w:p>
    <w:p>
      <w:pPr>
        <w:spacing w:after="120" w:line="276"/>
        <w:jc w:val="both"/>
      </w:pPr>
      <w:r>
        <w:rPr>
          <w:rFonts w:ascii="Barlow Semi Condensed" w:cs="Barlow Semi Condensed" w:eastAsia="Barlow Semi Condensed" w:hAnsi="Barlow Semi Condensed"/>
          <w:sz w:val="24"/>
          <w:szCs w:val="24"/>
        </w:rPr>
        <w:t xml:space="preserve">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w:t>
      </w:r>
    </w:p>
    <w:p>
      <w:pPr>
        <w:spacing w:after="120" w:line="276"/>
        <w:jc w:val="both"/>
      </w:pPr>
      <w:r>
        <w:rPr>
          <w:rFonts w:ascii="Barlow Semi Condensed" w:cs="Barlow Semi Condensed" w:eastAsia="Barlow Semi Condensed" w:hAnsi="Barlow Semi Condensed"/>
          <w:sz w:val="24"/>
          <w:szCs w:val="24"/>
        </w:rPr>
        <w:t xml:space="preserve">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w:t>
      </w:r>
    </w:p>
    <w:p>
      <w:pPr>
        <w:spacing w:after="120" w:line="276"/>
        <w:jc w:val="both"/>
      </w:pPr>
      <w:r>
        <w:rPr>
          <w:rFonts w:ascii="Barlow Semi Condensed" w:cs="Barlow Semi Condensed" w:eastAsia="Barlow Semi Condensed" w:hAnsi="Barlow Semi Condensed"/>
          <w:sz w:val="24"/>
          <w:szCs w:val="24"/>
        </w:rPr>
        <w:t xml:space="preserve">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w:t>
      </w:r>
    </w:p>
    <w:p>
      <w:pPr>
        <w:spacing w:after="120" w:line="276"/>
        <w:jc w:val="both"/>
      </w:pPr>
      <w:r>
        <w:rPr>
          <w:rFonts w:ascii="Barlow Semi Condensed" w:cs="Barlow Semi Condensed" w:eastAsia="Barlow Semi Condensed" w:hAnsi="Barlow Semi Condensed"/>
          <w:sz w:val="24"/>
          <w:szCs w:val="24"/>
        </w:rPr>
        <w:t xml:space="preserve">ministro degli Esteri italiano. Un ministro degli Esteri che esce da un</w:t>
      </w:r>
    </w:p>
    <w:p>
      <w:pPr>
        <w:spacing w:after="120" w:line="276"/>
        <w:jc w:val="both"/>
      </w:pPr>
      <w:r>
        <w:rPr>
          <w:rFonts w:ascii="Barlow Semi Condensed" w:cs="Barlow Semi Condensed" w:eastAsia="Barlow Semi Condensed" w:hAnsi="Barlow Semi Condensed"/>
          <w:sz w:val="24"/>
          <w:szCs w:val="24"/>
        </w:rPr>
        <w:t xml:space="preserve">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w:t>
      </w:r>
    </w:p>
    <w:p>
      <w:pPr>
        <w:spacing w:after="120" w:line="276"/>
        <w:jc w:val="both"/>
      </w:pPr>
      <w:r>
        <w:rPr>
          <w:rFonts w:ascii="Barlow Semi Condensed" w:cs="Barlow Semi Condensed" w:eastAsia="Barlow Semi Condensed" w:hAnsi="Barlow Semi Condensed"/>
          <w:sz w:val="24"/>
          <w:szCs w:val="24"/>
        </w:rPr>
        <w:t xml:space="preserve">telespresso, una nota di gabinetto, un promemoria per il Presidente del</w:t>
      </w:r>
    </w:p>
    <w:p>
      <w:pPr>
        <w:spacing w:after="120" w:line="276"/>
        <w:jc w:val="both"/>
      </w:pPr>
      <w:r>
        <w:rPr>
          <w:rFonts w:ascii="Barlow Semi Condensed" w:cs="Barlow Semi Condensed" w:eastAsia="Barlow Semi Condensed" w:hAnsi="Barlow Semi Condensed"/>
          <w:sz w:val="24"/>
          <w:szCs w:val="24"/>
        </w:rPr>
        <w:t xml:space="preserve">Consiglio. È prassi ordinaria, quotidiana, noiosa. Non è un'eccezione: è il</w:t>
      </w:r>
    </w:p>
    <w:p>
      <w:pPr>
        <w:spacing w:after="120" w:line="276"/>
        <w:jc w:val="both"/>
      </w:pPr>
      <w:r>
        <w:rPr>
          <w:rFonts w:ascii="Barlow Semi Condensed" w:cs="Barlow Semi Condensed" w:eastAsia="Barlow Semi Condensed" w:hAnsi="Barlow Semi Condensed"/>
          <w:sz w:val="24"/>
          <w:szCs w:val="24"/>
        </w:rPr>
        <w:t xml:space="preserve">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w:t>
      </w:r>
    </w:p>
    <w:p>
      <w:pPr>
        <w:spacing w:after="120" w:line="276"/>
        <w:jc w:val="both"/>
      </w:pPr>
      <w:r>
        <w:rPr>
          <w:rFonts w:ascii="Barlow Semi Condensed" w:cs="Barlow Semi Condensed" w:eastAsia="Barlow Semi Condensed" w:hAnsi="Barlow Semi Condensed"/>
          <w:sz w:val="24"/>
          <w:szCs w:val="24"/>
        </w:rPr>
        <w:t xml:space="preserve">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w:t>
      </w:r>
    </w:p>
    <w:p>
      <w:pPr>
        <w:spacing w:after="120" w:line="276"/>
        <w:jc w:val="both"/>
      </w:pPr>
      <w:r>
        <w:rPr>
          <w:rFonts w:ascii="Barlow Semi Condensed" w:cs="Barlow Semi Condensed" w:eastAsia="Barlow Semi Condensed" w:hAnsi="Barlow Semi Condensed"/>
          <w:sz w:val="24"/>
          <w:szCs w:val="24"/>
        </w:rPr>
        <w:t xml:space="preserve">qualcosa. Da cinquant'anni si discute di che cosa fu detto in quella stanza. La</w:t>
      </w:r>
    </w:p>
    <w:p>
      <w:pPr>
        <w:spacing w:after="120" w:line="276"/>
        <w:jc w:val="both"/>
      </w:pPr>
      <w:r>
        <w:rPr>
          <w:rFonts w:ascii="Barlow Semi Condensed" w:cs="Barlow Semi Condensed" w:eastAsia="Barlow Semi Condensed" w:hAnsi="Barlow Semi Condensed"/>
          <w:sz w:val="24"/>
          <w:szCs w:val="24"/>
        </w:rPr>
        <w:t xml:space="preserve">discussione si svolge, su un fronte, con una fonte sola e straniera, e sull'altro</w:t>
      </w:r>
    </w:p>
    <w:p>
      <w:pPr>
        <w:spacing w:after="120" w:line="276"/>
        <w:jc w:val="both"/>
      </w:pPr>
      <w:r>
        <w:rPr>
          <w:rFonts w:ascii="Barlow Semi Condensed" w:cs="Barlow Semi Condensed" w:eastAsia="Barlow Semi Condensed" w:hAnsi="Barlow Semi Condensed"/>
          <w:sz w:val="24"/>
          <w:szCs w:val="24"/>
        </w:rPr>
        <w:t xml:space="preserve">con una testimonianza orale resa otto anni dopo. E nessuno, in mezzo secolo, ha</w:t>
      </w:r>
    </w:p>
    <w:p>
      <w:pPr>
        <w:spacing w:after="120" w:line="276"/>
        <w:jc w:val="both"/>
      </w:pPr>
      <w:r>
        <w:rPr>
          <w:rFonts w:ascii="Barlow Semi Condensed" w:cs="Barlow Semi Condensed" w:eastAsia="Barlow Semi Condensed" w:hAnsi="Barlow Semi Condensed"/>
          <w:sz w:val="24"/>
          <w:szCs w:val="24"/>
        </w:rPr>
        <w:t xml:space="preserve">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w:t>
      </w:r>
    </w:p>
    <w:p>
      <w:pPr>
        <w:spacing w:after="120" w:line="276"/>
        <w:jc w:val="both"/>
      </w:pPr>
      <w:r>
        <w:rPr>
          <w:rFonts w:ascii="Barlow Semi Condensed" w:cs="Barlow Semi Condensed" w:eastAsia="Barlow Semi Condensed" w:hAnsi="Barlow Semi Condensed"/>
          <w:sz w:val="24"/>
          <w:szCs w:val="24"/>
        </w:rPr>
        <w:t xml:space="preserve">che in quella stanza fu detto. E l'esito conta in tutte e tre le direzioni,</w:t>
      </w:r>
    </w:p>
    <w:p>
      <w:pPr>
        <w:spacing w:after="120" w:line="276"/>
        <w:jc w:val="both"/>
      </w:pPr>
      <w:r>
        <w:rPr>
          <w:rFonts w:ascii="Barlow Semi Condensed" w:cs="Barlow Semi Condensed" w:eastAsia="Barlow Semi Condensed" w:hAnsi="Barlow Semi Condensed"/>
          <w:sz w:val="24"/>
          <w:szCs w:val="24"/>
        </w:rPr>
        <w:t xml:space="preserve">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w:t>
      </w:r>
    </w:p>
    <w:p>
      <w:pPr>
        <w:spacing w:after="120" w:line="276"/>
        <w:jc w:val="both"/>
      </w:pPr>
      <w:r>
        <w:rPr>
          <w:rFonts w:ascii="Barlow Semi Condensed" w:cs="Barlow Semi Condensed" w:eastAsia="Barlow Semi Condensed" w:hAnsi="Barlow Semi Condensed"/>
          <w:sz w:val="24"/>
          <w:szCs w:val="24"/>
        </w:rPr>
        <w:t xml:space="preserv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w:t>
      </w:r>
    </w:p>
    <w:p>
      <w:pPr>
        <w:spacing w:after="120" w:line="276"/>
        <w:jc w:val="both"/>
      </w:pPr>
      <w:r>
        <w:rPr>
          <w:rFonts w:ascii="Barlow Semi Condensed" w:cs="Barlow Semi Condensed" w:eastAsia="Barlow Semi Condensed" w:hAnsi="Barlow Semi Condensed"/>
          <w:sz w:val="24"/>
          <w:szCs w:val="24"/>
        </w:rPr>
        <w:t xml:space="preserve">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w:t>
      </w:r>
    </w:p>
    <w:p>
      <w:pPr>
        <w:spacing w:after="120" w:line="276"/>
        <w:jc w:val="both"/>
      </w:pPr>
      <w:r>
        <w:rPr>
          <w:rFonts w:ascii="Barlow Semi Condensed" w:cs="Barlow Semi Condensed" w:eastAsia="Barlow Semi Condensed" w:hAnsi="Barlow Semi Condensed"/>
          <w:sz w:val="24"/>
          <w:szCs w:val="24"/>
        </w:rPr>
        <w:t xml:space="preserve">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carteggi del gabinetto del ministro, annata 1974, con verifica preliminare dei</w:t>
      </w:r>
    </w:p>
    <w:p>
      <w:pPr>
        <w:spacing w:after="120" w:line="276"/>
        <w:jc w:val="both"/>
      </w:pPr>
      <w:r>
        <w:rPr>
          <w:rFonts w:ascii="Barlow Semi Condensed" w:cs="Barlow Semi Condensed" w:eastAsia="Barlow Semi Condensed" w:hAnsi="Barlow Semi Condensed"/>
          <w:sz w:val="24"/>
          <w:szCs w:val="24"/>
        </w:rPr>
        <w:t xml:space="preserve">faldoni sul portale dell'archivio. In subordine: **Archivio centrale dello</w:t>
      </w:r>
    </w:p>
    <w:p>
      <w:pPr>
        <w:spacing w:after="120" w:line="276"/>
        <w:jc w:val="both"/>
      </w:pPr>
      <w:r>
        <w:rPr>
          <w:rFonts w:ascii="Barlow Semi Condensed" w:cs="Barlow Semi Condensed" w:eastAsia="Barlow Semi Condensed" w:hAnsi="Barlow Semi Condensed"/>
          <w:sz w:val="24"/>
          <w:szCs w:val="24"/>
        </w:rPr>
        <w:t xml:space="preserve">Stato</w:t>
      </w:r>
      <w:r>
        <w:rPr>
          <w:rFonts w:ascii="Barlow Semi Condensed" w:cs="Barlow Semi Condensed" w:eastAsia="Barlow Semi Condensed" w:hAnsi="Barlow Semi Condensed"/>
          <w:b/>
          <w:bCs/>
          <w:sz w:val="24"/>
          <w:szCs w:val="24"/>
        </w:rPr>
        <w:t xml:space="preserve">, carte della Presidenza del Consiglio dello stesso periodo; e </w:t>
      </w:r>
      <w:r>
        <w:rPr>
          <w:rFonts w:ascii="Barlow Semi Condensed" w:cs="Barlow Semi Condensed" w:eastAsia="Barlow Semi Condensed" w:hAnsi="Barlow Semi Condensed"/>
          <w:sz w:val="24"/>
          <w:szCs w:val="24"/>
        </w:rPr>
        <w:t xml:space="preserve">Fondo</w:t>
      </w:r>
    </w:p>
    <w:p>
      <w:pPr>
        <w:spacing w:after="120" w:line="276"/>
        <w:jc w:val="both"/>
      </w:pPr>
      <w:r>
        <w:rPr>
          <w:rFonts w:ascii="Barlow Semi Condensed" w:cs="Barlow Semi Condensed" w:eastAsia="Barlow Semi Condensed" w:hAnsi="Barlow Semi Condensed"/>
          <w:sz w:val="24"/>
          <w:szCs w:val="24"/>
        </w:rPr>
        <w:t xml:space="preserve">Moro** presso l'Archivio storico del Senato. Se le carte di gabinetto non</w:t>
      </w:r>
    </w:p>
    <w:p>
      <w:pPr>
        <w:spacing w:after="120" w:line="276"/>
        <w:jc w:val="both"/>
      </w:pPr>
      <w:r>
        <w:rPr>
          <w:rFonts w:ascii="Barlow Semi Condensed" w:cs="Barlow Semi Condensed" w:eastAsia="Barlow Semi Condensed" w:hAnsi="Barlow Semi Condensed"/>
          <w:sz w:val="24"/>
          <w:szCs w:val="24"/>
        </w:rPr>
        <w:t xml:space="preserve">conservano l'appunto, resta la memorialistica politica, dove i colloqui con</w:t>
      </w:r>
    </w:p>
    <w:p>
      <w:pPr>
        <w:spacing w:after="120" w:line="276"/>
        <w:jc w:val="both"/>
      </w:pPr>
      <w:r>
        <w:rPr>
          <w:rFonts w:ascii="Barlow Semi Condensed" w:cs="Barlow Semi Condensed" w:eastAsia="Barlow Semi Condensed" w:hAnsi="Barlow Semi Condensed"/>
          <w:sz w:val="24"/>
          <w:szCs w:val="24"/>
        </w:rPr>
        <w:t xml:space="preserve">Washington sono spesso registrati in forma privata e datata: il </w:t>
      </w:r>
      <w:r>
        <w:rPr>
          <w:rFonts w:ascii="Barlow Semi Condensed" w:cs="Barlow Semi Condensed" w:eastAsia="Barlow Semi Condensed" w:hAnsi="Barlow Semi Condensed"/>
          <w:b/>
          <w:bCs/>
          <w:sz w:val="24"/>
          <w:szCs w:val="24"/>
        </w:rPr>
        <w:t xml:space="preserve">fondo Fanfani</w:t>
      </w:r>
    </w:p>
    <w:p>
      <w:pPr>
        <w:spacing w:after="120" w:line="276"/>
        <w:jc w:val="both"/>
      </w:pPr>
      <w:r>
        <w:rPr>
          <w:rFonts w:ascii="Barlow Semi Condensed" w:cs="Barlow Semi Condensed" w:eastAsia="Barlow Semi Condensed" w:hAnsi="Barlow Semi Condensed"/>
          <w:sz w:val="24"/>
          <w:szCs w:val="24"/>
        </w:rPr>
        <w:t xml:space="preserve">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**fondo</w:t>
      </w:r>
    </w:p>
    <w:p>
      <w:pPr>
        <w:spacing w:after="120" w:line="276"/>
        <w:jc w:val="both"/>
      </w:pPr>
      <w:r>
        <w:rPr>
          <w:rFonts w:ascii="Barlow Semi Condensed" w:cs="Barlow Semi Condensed" w:eastAsia="Barlow Semi Condensed" w:hAnsi="Barlow Semi Condensed"/>
          <w:sz w:val="24"/>
          <w:szCs w:val="24"/>
        </w:rPr>
        <w:t xml:space="preserve">Craxi** presso la Fondazione che ne porta il nome, in gran parte digitalizzato.</w:t>
      </w:r>
    </w:p>
    <w:p>
      <w:pPr>
        <w:spacing w:after="120" w:line="276"/>
        <w:jc w:val="both"/>
      </w:pPr>
      <w:r>
        <w:rPr>
          <w:rFonts w:ascii="Barlow Semi Condensed" w:cs="Barlow Semi Condensed" w:eastAsia="Barlow Semi Condensed" w:hAnsi="Barlow Semi Condensed"/>
          <w:sz w:val="24"/>
          <w:szCs w:val="24"/>
        </w:rPr>
        <w:t xml:space="preserve">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w:t>
      </w:r>
    </w:p>
    <w:p>
      <w:pPr>
        <w:spacing w:after="120" w:line="276"/>
        <w:jc w:val="both"/>
      </w:pPr>
      <w:r>
        <w:rPr>
          <w:rFonts w:ascii="Barlow Semi Condensed" w:cs="Barlow Semi Condensed" w:eastAsia="Barlow Semi Condensed" w:hAnsi="Barlow Semi Condensed"/>
          <w:sz w:val="24"/>
          <w:szCs w:val="24"/>
        </w:rPr>
        <w:t xml:space="preserve">tacesse sull'episodio, tenuto da chi ne fu contemporaneo e informato, sarebbe</w:t>
      </w:r>
    </w:p>
    <w:p>
      <w:pPr>
        <w:spacing w:after="120" w:line="276"/>
        <w:jc w:val="both"/>
      </w:pPr>
      <w:r>
        <w:rPr>
          <w:rFonts w:ascii="Barlow Semi Condensed" w:cs="Barlow Semi Condensed" w:eastAsia="Barlow Semi Condensed" w:hAnsi="Barlow Semi Condensed"/>
          <w:sz w:val="24"/>
          <w:szCs w:val="24"/>
        </w:rPr>
        <w:t xml:space="preserve">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w:t>
      </w:r>
    </w:p>
    <w:p>
      <w:pPr>
        <w:spacing w:after="120" w:line="276"/>
        <w:jc w:val="both"/>
      </w:pPr>
      <w:r>
        <w:rPr>
          <w:rFonts w:ascii="Barlow Semi Condensed" w:cs="Barlow Semi Condensed" w:eastAsia="Barlow Semi Condensed" w:hAnsi="Barlow Semi Condensed"/>
          <w:sz w:val="24"/>
          <w:szCs w:val="24"/>
        </w:rPr>
        <w:t xml:space="preserve">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w:t>
      </w:r>
    </w:p>
    <w:p>
      <w:pPr>
        <w:spacing w:after="120" w:line="276"/>
        <w:jc w:val="both"/>
      </w:pPr>
      <w:r>
        <w:rPr>
          <w:rFonts w:ascii="Barlow Semi Condensed" w:cs="Barlow Semi Condensed" w:eastAsia="Barlow Semi Condensed" w:hAnsi="Barlow Semi Condensed"/>
          <w:sz w:val="24"/>
          <w:szCs w:val="24"/>
        </w:rPr>
        <w:t xml:space="preserve">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w:t>
      </w:r>
    </w:p>
    <w:p>
      <w:pPr>
        <w:spacing w:after="120" w:line="276"/>
        <w:jc w:val="both"/>
      </w:pPr>
      <w:r>
        <w:rPr>
          <w:rFonts w:ascii="Barlow Semi Condensed" w:cs="Barlow Semi Condensed" w:eastAsia="Barlow Semi Condensed" w:hAnsi="Barlow Semi Condensed"/>
          <w:sz w:val="24"/>
          <w:szCs w:val="24"/>
        </w:rPr>
        <w:t xml:space="preserve">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w:t>
      </w:r>
    </w:p>
    <w:p>
      <w:pPr>
        <w:spacing w:after="120" w:line="276"/>
        <w:jc w:val="both"/>
      </w:pPr>
      <w:r>
        <w:rPr>
          <w:rFonts w:ascii="Barlow Semi Condensed" w:cs="Barlow Semi Condensed" w:eastAsia="Barlow Semi Condensed" w:hAnsi="Barlow Semi Condensed"/>
          <w:sz w:val="24"/>
          <w:szCs w:val="24"/>
        </w:rPr>
        <w:t xml:space="preserve">documento comunemente esibito come sua prova non la contiene, e che la frase, se</w:t>
      </w:r>
    </w:p>
    <w:p>
      <w:pPr>
        <w:spacing w:after="120" w:line="276"/>
        <w:jc w:val="both"/>
      </w:pPr>
      <w:r>
        <w:rPr>
          <w:rFonts w:ascii="Barlow Semi Condensed" w:cs="Barlow Semi Condensed" w:eastAsia="Barlow Semi Condensed" w:hAnsi="Barlow Semi Condensed"/>
          <w:sz w:val="24"/>
          <w:szCs w:val="24"/>
        </w:rPr>
        <w:t xml:space="preserve">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w:t>
      </w:r>
    </w:p>
    <w:p>
      <w:pPr>
        <w:spacing w:after="120" w:line="276"/>
        <w:jc w:val="both"/>
      </w:pPr>
      <w:r>
        <w:rPr>
          <w:rFonts w:ascii="Barlow Semi Condensed" w:cs="Barlow Semi Condensed" w:eastAsia="Barlow Semi Condensed" w:hAnsi="Barlow Semi Condensed"/>
          <w:sz w:val="24"/>
          <w:szCs w:val="24"/>
        </w:rPr>
        <w:t xml:space="preserve">testimoniale è colto in contraddizione con sé stesso. Una testimonianza indiretta</w:t>
      </w:r>
    </w:p>
    <w:p>
      <w:pPr>
        <w:spacing w:after="120" w:line="276"/>
        <w:jc w:val="both"/>
      </w:pPr>
      <w:r>
        <w:rPr>
          <w:rFonts w:ascii="Barlow Semi Condensed" w:cs="Barlow Semi Condensed" w:eastAsia="Barlow Semi Condensed" w:hAnsi="Barlow Semi Condensed"/>
          <w:sz w:val="24"/>
          <w:szCs w:val="24"/>
        </w:rPr>
        <w:t xml:space="preserve">resa in buona fede a otto anni di distanza è esattamente ciò che ci si aspetta di</w:t>
      </w:r>
    </w:p>
    <w:p>
      <w:pPr>
        <w:spacing w:after="120" w:line="276"/>
        <w:jc w:val="both"/>
      </w:pPr>
      <w:r>
        <w:rPr>
          <w:rFonts w:ascii="Barlow Semi Condensed" w:cs="Barlow Semi Condensed" w:eastAsia="Barlow Semi Condensed" w:hAnsi="Barlow Semi Condensed"/>
          <w:sz w:val="24"/>
          <w:szCs w:val="24"/>
        </w:rPr>
        <w:t xml:space="preserve">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w:t>
      </w:r>
    </w:p>
    <w:p>
      <w:pPr>
        <w:spacing w:after="120" w:line="276"/>
        <w:jc w:val="both"/>
      </w:pPr>
      <w:r>
        <w:rPr>
          <w:rFonts w:ascii="Barlow Semi Condensed" w:cs="Barlow Semi Condensed" w:eastAsia="Barlow Semi Condensed" w:hAnsi="Barlow Semi Condensed"/>
          <w:sz w:val="24"/>
          <w:szCs w:val="24"/>
        </w:rPr>
        <w:t xml:space="preserve">sul sequestro, sulla prigionia, sulla morte di Aldo Moro. Non indica</w:t>
      </w:r>
    </w:p>
    <w:p>
      <w:pPr>
        <w:spacing w:after="120" w:line="276"/>
        <w:jc w:val="both"/>
      </w:pPr>
      <w:r>
        <w:rPr>
          <w:rFonts w:ascii="Barlow Semi Condensed" w:cs="Barlow Semi Condensed" w:eastAsia="Barlow Semi Condensed" w:hAnsi="Barlow Semi Condensed"/>
          <w:sz w:val="24"/>
          <w:szCs w:val="24"/>
        </w:rPr>
        <w:t xml:space="preserve">responsabili, non propone piste, non chiude né apre alcuna delle questioni del</w:t>
      </w:r>
    </w:p>
    <w:p>
      <w:pPr>
        <w:spacing w:after="120" w:line="276"/>
        <w:jc w:val="both"/>
      </w:pPr>
      <w:r>
        <w:rPr>
          <w:rFonts w:ascii="Barlow Semi Condensed" w:cs="Barlow Semi Condensed" w:eastAsia="Barlow Semi Condensed" w:hAnsi="Barlow Semi Condensed"/>
          <w:sz w:val="24"/>
          <w:szCs w:val="24"/>
        </w:rPr>
        <w:t xml:space="preserve">caso. Henry Kissinger non fu condannato in alcun processo, non fu mai imputato né</w:t>
      </w:r>
    </w:p>
    <w:p>
      <w:pPr>
        <w:spacing w:after="120" w:line="276"/>
        <w:jc w:val="both"/>
      </w:pPr>
      <w:r>
        <w:rPr>
          <w:rFonts w:ascii="Barlow Semi Condensed" w:cs="Barlow Semi Condensed" w:eastAsia="Barlow Semi Condensed" w:hAnsi="Barlow Semi Condensed"/>
          <w:sz w:val="24"/>
          <w:szCs w:val="24"/>
        </w:rPr>
        <w:t xml:space="preserve">processato in alcun Paese, e nessuna sentenza definitiva ha attribuito ad alcuna</w:t>
      </w:r>
    </w:p>
    <w:p>
      <w:pPr>
        <w:spacing w:after="120" w:line="276"/>
        <w:jc w:val="both"/>
      </w:pPr>
      <w:r>
        <w:rPr>
          <w:rFonts w:ascii="Barlow Semi Condensed" w:cs="Barlow Semi Condensed" w:eastAsia="Barlow Semi Condensed" w:hAnsi="Barlow Semi Condensed"/>
          <w:sz w:val="24"/>
          <w:szCs w:val="24"/>
        </w:rPr>
        <w:t xml:space="preserve">autorità statunitense responsabilità penali nel sequestro e nell'omicidio: le</w:t>
      </w:r>
    </w:p>
    <w:p>
      <w:pPr>
        <w:spacing w:after="120" w:line="276"/>
        <w:jc w:val="both"/>
      </w:pPr>
      <w:r>
        <w:rPr>
          <w:rFonts w:ascii="Barlow Semi Condensed" w:cs="Barlow Semi Condensed" w:eastAsia="Barlow Semi Condensed" w:hAnsi="Barlow Semi Condensed"/>
          <w:sz w:val="24"/>
          <w:szCs w:val="24"/>
        </w:rPr>
        <w:t xml:space="preserve">condanne definitive riguardano esponenti delle Brigate Rosse. L'episodio non ha</w:t>
      </w:r>
    </w:p>
    <w:p>
      <w:pPr>
        <w:spacing w:after="120" w:line="276"/>
        <w:jc w:val="both"/>
      </w:pPr>
      <w:r>
        <w:rPr>
          <w:rFonts w:ascii="Barlow Semi Condensed" w:cs="Barlow Semi Condensed" w:eastAsia="Barlow Semi Condensed" w:hAnsi="Barlow Semi Condensed"/>
          <w:sz w:val="24"/>
          <w:szCs w:val="24"/>
        </w:rPr>
        <w:t xml:space="preserve">mai formato oggetto d'imputazione. Questo va scritto ogni volta, e non per</w:t>
      </w:r>
    </w:p>
    <w:p>
      <w:pPr>
        <w:spacing w:after="120" w:line="276"/>
        <w:jc w:val="both"/>
      </w:pPr>
      <w:r>
        <w:rPr>
          <w:rFonts w:ascii="Barlow Semi Condensed" w:cs="Barlow Semi Condensed" w:eastAsia="Barlow Semi Condensed" w:hAnsi="Barlow Semi Condensed"/>
          <w:sz w:val="24"/>
          <w:szCs w:val="24"/>
        </w:rPr>
        <w:t xml:space="preserve">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w:t>
      </w:r>
    </w:p>
    <w:p>
      <w:pPr>
        <w:spacing w:after="120" w:line="276"/>
        <w:jc w:val="both"/>
      </w:pPr>
      <w:r>
        <w:rPr>
          <w:rFonts w:ascii="Barlow Semi Condensed" w:cs="Barlow Semi Condensed" w:eastAsia="Barlow Semi Condensed" w:hAnsi="Barlow Semi Condensed"/>
          <w:sz w:val="24"/>
          <w:szCs w:val="24"/>
        </w:rPr>
        <w:t xml:space="preserve">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w:t>
      </w:r>
    </w:p>
    <w:p>
      <w:pPr>
        <w:spacing w:after="120" w:line="276"/>
        <w:jc w:val="both"/>
      </w:pPr>
      <w:r>
        <w:rPr>
          <w:rFonts w:ascii="Barlow Semi Condensed" w:cs="Barlow Semi Condensed" w:eastAsia="Barlow Semi Condensed" w:hAnsi="Barlow Semi Condensed"/>
          <w:sz w:val="24"/>
          <w:szCs w:val="24"/>
        </w:rPr>
        <w:t xml:space="preserve">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w:t>
      </w:r>
    </w:p>
    <w:p>
      <w:pPr>
        <w:spacing w:after="120" w:line="276"/>
        <w:jc w:val="both"/>
      </w:pPr>
      <w:r>
        <w:rPr>
          <w:rFonts w:ascii="Barlow Semi Condensed" w:cs="Barlow Semi Condensed" w:eastAsia="Barlow Semi Condensed" w:hAnsi="Barlow Semi Condensed"/>
          <w:sz w:val="24"/>
          <w:szCs w:val="24"/>
        </w:rPr>
        <w:t xml:space="preserve">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sz w:val="24"/>
          <w:szCs w:val="24"/>
        </w:rPr>
        <w:t xml:space="preserve">*Ogni capitolo si chiude con un esercizio eseguibile. Questo richiede circa due</w:t>
      </w:r>
    </w:p>
    <w:p>
      <w:pPr>
        <w:spacing w:after="120" w:line="276"/>
        <w:jc w:val="both"/>
      </w:pPr>
      <w:r>
        <w:rPr>
          <w:rFonts w:ascii="Barlow Semi Condensed" w:cs="Barlow Semi Condensed" w:eastAsia="Barlow Semi Condensed" w:hAnsi="Barlow Semi Condensed"/>
          <w:sz w:val="24"/>
          <w:szCs w:val="24"/>
        </w:rPr>
        <w:t xml:space="preserve">ore, una connessione, nessun accesso a pagamento e nessuna competenza tecnica.</w:t>
      </w:r>
    </w:p>
    <w:p>
      <w:pPr>
        <w:spacing w:after="120" w:line="276"/>
        <w:jc w:val="both"/>
      </w:pPr>
      <w:r>
        <w:rPr>
          <w:rFonts w:ascii="Barlow Semi Condensed" w:cs="Barlow Semi Condensed" w:eastAsia="Barlow Semi Condensed" w:hAnsi="Barlow Semi Condensed"/>
          <w:sz w:val="24"/>
          <w:szCs w:val="24"/>
        </w:rPr>
        <w:t xml:space="preserve">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p>
    <w:p>
      <w:pPr>
        <w:spacing w:after="120" w:line="276"/>
        <w:jc w:val="both"/>
      </w:pPr>
      <w:r>
        <w:rPr>
          <w:rFonts w:ascii="Barlow Semi Condensed" w:cs="Barlow Semi Condensed" w:eastAsia="Barlow Semi Condensed" w:hAnsi="Barlow Semi Condensed"/>
          <w:sz w:val="24"/>
          <w:szCs w:val="24"/>
        </w:rPr>
        <w:t xml:space="preserve">Si scelga una qualunque affermazione circolante che riguardi un fatto storico</w:t>
      </w:r>
    </w:p>
    <w:p>
      <w:pPr>
        <w:spacing w:after="120" w:line="276"/>
        <w:jc w:val="both"/>
      </w:pPr>
      <w:r>
        <w:rPr>
          <w:rFonts w:ascii="Barlow Semi Condensed" w:cs="Barlow Semi Condensed" w:eastAsia="Barlow Semi Condensed" w:hAnsi="Barlow Semi Condensed"/>
          <w:sz w:val="24"/>
          <w:szCs w:val="24"/>
        </w:rPr>
        <w:t xml:space="preserve">recente e che appaia sostenuta da molte fonti concordi. Si raccolgano **almeno</w:t>
      </w:r>
    </w:p>
    <w:p>
      <w:pPr>
        <w:spacing w:after="120" w:line="276"/>
        <w:jc w:val="both"/>
      </w:pPr>
      <w:r>
        <w:rPr>
          <w:rFonts w:ascii="Barlow Semi Condensed" w:cs="Barlow Semi Condensed" w:eastAsia="Barlow Semi Condensed" w:hAnsi="Barlow Semi Condensed"/>
          <w:sz w:val="24"/>
          <w:szCs w:val="24"/>
        </w:rPr>
        <w:t xml:space="preserve">dodici** pagine che la riportano. Per ciascuna si registri in tabella: indirizzo,</w:t>
      </w:r>
    </w:p>
    <w:p>
      <w:pPr>
        <w:spacing w:after="120" w:line="276"/>
        <w:jc w:val="both"/>
      </w:pP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w:t>
      </w:r>
    </w:p>
    <w:p>
      <w:pPr>
        <w:spacing w:after="120" w:line="276"/>
        <w:jc w:val="both"/>
      </w:pPr>
      <w:r>
        <w:rPr>
          <w:rFonts w:ascii="Barlow Semi Condensed" w:cs="Barlow Semi Condensed" w:eastAsia="Barlow Semi Condensed" w:hAnsi="Barlow Semi Condensed"/>
          <w:sz w:val="24"/>
          <w:szCs w:val="24"/>
        </w:rPr>
        <w:t xml:space="preserve">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**realmente</w:t>
      </w:r>
    </w:p>
    <w:p>
      <w:pPr>
        <w:spacing w:after="120" w:line="276"/>
        <w:jc w:val="both"/>
      </w:pPr>
      <w:r>
        <w:rPr>
          <w:rFonts w:ascii="Barlow Semi Condensed" w:cs="Barlow Semi Condensed" w:eastAsia="Barlow Semi Condensed" w:hAnsi="Barlow Semi Condensed"/>
          <w:sz w:val="24"/>
          <w:szCs w:val="24"/>
        </w:rPr>
        <w:t xml:space="preserve">diverse** ci sono, e non semplicemente riscritte? Qual è la data più antica?</w:t>
      </w:r>
    </w:p>
    <w:p>
      <w:pPr>
        <w:spacing w:after="120" w:line="276"/>
        <w:jc w:val="both"/>
      </w:pPr>
      <w:r>
        <w:rPr>
          <w:rFonts w:ascii="Barlow Semi Condensed" w:cs="Barlow Semi Condensed" w:eastAsia="Barlow Semi Condensed" w:hAnsi="Barlow Semi Condensed"/>
          <w:sz w:val="24"/>
          <w:szCs w:val="24"/>
        </w:rPr>
        <w:t xml:space="preserve">Quella pagina cita a sua volta qualcuno? Quante delle dodici sono, alla fine,</w:t>
      </w:r>
    </w:p>
    <w:p>
      <w:pPr>
        <w:spacing w:after="120" w:line="276"/>
        <w:jc w:val="both"/>
      </w:pPr>
      <w:r>
        <w:rPr>
          <w:rFonts w:ascii="Barlow Semi Condensed" w:cs="Barlow Semi Condensed" w:eastAsia="Barlow Semi Condensed" w:hAnsi="Barlow Semi Condensed"/>
          <w:sz w:val="24"/>
          <w:szCs w:val="24"/>
        </w:rPr>
        <w:t xml:space="preserve">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p>
    <w:p>
      <w:pPr>
        <w:spacing w:after="120" w:line="276"/>
        <w:jc w:val="both"/>
      </w:pPr>
      <w:r>
        <w:rPr>
          <w:rFonts w:ascii="Barlow Semi Condensed" w:cs="Barlow Semi Condensed" w:eastAsia="Barlow Semi Condensed" w:hAnsi="Barlow Semi Condensed"/>
          <w:sz w:val="24"/>
          <w:szCs w:val="24"/>
        </w:rPr>
        <w:t xml:space="preserve">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w:t>
      </w:r>
    </w:p>
    <w:p>
      <w:pPr>
        <w:spacing w:after="120" w:line="276"/>
        <w:jc w:val="both"/>
      </w:pPr>
      <w:r>
        <w:rPr>
          <w:rFonts w:ascii="Barlow Semi Condensed" w:cs="Barlow Semi Condensed" w:eastAsia="Barlow Semi Condensed" w:hAnsi="Barlow Semi Condensed"/>
          <w:sz w:val="24"/>
          <w:szCs w:val="24"/>
        </w:rPr>
        <w:t xml:space="preserve">(edizione riveduta), oppure il file 1552802 della Gerald R. Ford Presidential</w:t>
      </w:r>
    </w:p>
    <w:p>
      <w:pPr>
        <w:spacing w:after="120" w:line="276"/>
        <w:jc w:val="both"/>
      </w:pPr>
      <w:r>
        <w:rPr>
          <w:rFonts w:ascii="Barlow Semi Condensed" w:cs="Barlow Semi Condensed" w:eastAsia="Barlow Semi Condensed" w:hAnsi="Barlow Semi Condensed"/>
          <w:sz w:val="24"/>
          <w:szCs w:val="24"/>
        </w:rPr>
        <w:t xml:space="preserve">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w:t>
      </w:r>
    </w:p>
    <w:p>
      <w:pPr>
        <w:spacing w:after="40"/>
        <w:ind w:left="360"/>
        <w:jc w:val="both"/>
      </w:pPr>
      <w:r>
        <w:rPr>
          <w:rFonts w:ascii="Barlow Semi Condensed" w:cs="Barlow Semi Condensed" w:eastAsia="Barlow Semi Condensed" w:hAnsi="Barlow Semi Condensed"/>
          <w:sz w:val="24"/>
          <w:szCs w:val="24"/>
        </w:rPr>
        <w:t xml:space="preserve">1974. Si trascrivano i passaggi che riguardano la posizione americana sul PCI.</w:t>
      </w:r>
    </w:p>
    <w:p>
      <w:pPr>
        <w:spacing w:after="120" w:line="276"/>
        <w:jc w:val="both"/>
      </w:pPr>
      <w:r>
        <w:rPr>
          <w:rFonts w:ascii="Barlow Semi Condensed" w:cs="Barlow Semi Condensed" w:eastAsia="Barlow Semi Condensed" w:hAnsi="Barlow Semi Condensed"/>
          <w:sz w:val="24"/>
          <w:szCs w:val="24"/>
        </w:rPr>
        <w:t xml:space="preserve">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w:t>
      </w:r>
    </w:p>
    <w:p>
      <w:pPr>
        <w:spacing w:after="120" w:line="276"/>
        <w:jc w:val="both"/>
      </w:pPr>
      <w:r>
        <w:rPr>
          <w:rFonts w:ascii="Barlow Semi Condensed" w:cs="Barlow Semi Condensed" w:eastAsia="Barlow Semi Condensed" w:hAnsi="Barlow Semi Condensed"/>
          <w:sz w:val="24"/>
          <w:szCs w:val="24"/>
        </w:rPr>
        <w:t xml:space="preserve">più alto che si sarebbe tentati di usare, una seconda al grado che le prove</w:t>
      </w:r>
    </w:p>
    <w:p>
      <w:pPr>
        <w:spacing w:after="120" w:line="276"/>
        <w:jc w:val="both"/>
      </w:pPr>
      <w:r>
        <w:rPr>
          <w:rFonts w:ascii="Barlow Semi Condensed" w:cs="Barlow Semi Condensed" w:eastAsia="Barlow Semi Condensed" w:hAnsi="Barlow Semi Condensed"/>
          <w:sz w:val="24"/>
          <w:szCs w:val="24"/>
        </w:rPr>
        <w:t xml:space="preserve">effettivamente reggono. Si confrontino. La distanza fra le due è la misura di</w:t>
      </w:r>
    </w:p>
    <w:p>
      <w:pPr>
        <w:spacing w:after="120" w:line="276"/>
        <w:jc w:val="both"/>
      </w:pPr>
      <w:r>
        <w:rPr>
          <w:rFonts w:ascii="Barlow Semi Condensed" w:cs="Barlow Semi Condensed" w:eastAsia="Barlow Semi Condensed" w:hAnsi="Barlow Semi Condensed"/>
          <w:sz w:val="24"/>
          <w:szCs w:val="24"/>
        </w:rPr>
        <w:t xml:space="preserve">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p>
    <w:p>
      <w:pPr>
        <w:spacing w:after="120" w:line="276"/>
        <w:jc w:val="both"/>
      </w:pP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w:t>
      </w:r>
    </w:p>
    <w:p>
      <w:pPr>
        <w:spacing w:after="120" w:line="276"/>
        <w:jc w:val="both"/>
      </w:pPr>
      <w:r>
        <w:rPr>
          <w:rFonts w:ascii="Barlow Semi Condensed" w:cs="Barlow Semi Condensed" w:eastAsia="Barlow Semi Condensed" w:hAnsi="Barlow Semi Condensed"/>
          <w:sz w:val="24"/>
          <w:szCs w:val="24"/>
        </w:rPr>
        <w:t xml:space="preserve">aspetta di trovare cercando «Stati Uniti 1974» nel portale dell'Archivio storico</w:t>
      </w:r>
    </w:p>
    <w:p>
      <w:pPr>
        <w:spacing w:after="120" w:line="276"/>
        <w:jc w:val="both"/>
      </w:pPr>
      <w:r>
        <w:rPr>
          <w:rFonts w:ascii="Barlow Semi Condensed" w:cs="Barlow Semi Condensed" w:eastAsia="Barlow Semi Condensed" w:hAnsi="Barlow Semi Condensed"/>
          <w:sz w:val="24"/>
          <w:szCs w:val="24"/>
        </w:rPr>
        <w:t xml:space="preserve">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w:t>
      </w:r>
    </w:p>
    <w:p>
      <w:pPr>
        <w:spacing w:after="120" w:line="276"/>
        <w:jc w:val="both"/>
      </w:pPr>
      <w:r>
        <w:rPr>
          <w:rFonts w:ascii="Barlow Semi Condensed" w:cs="Barlow Semi Condensed" w:eastAsia="Barlow Semi Condensed" w:hAnsi="Barlow Semi Condensed"/>
          <w:sz w:val="24"/>
          <w:szCs w:val="24"/>
        </w:rPr>
        <w:t xml:space="preserve">sullo schermo e un valore completamente diverso. L'unico modo per distinguerli è</w:t>
      </w:r>
    </w:p>
    <w:p>
      <w:pPr>
        <w:spacing w:after="120" w:line="276"/>
        <w:jc w:val="both"/>
      </w:pPr>
      <w:r>
        <w:rPr>
          <w:rFonts w:ascii="Barlow Semi Condensed" w:cs="Barlow Semi Condensed" w:eastAsia="Barlow Semi Condensed" w:hAnsi="Barlow Semi Condensed"/>
          <w:sz w:val="24"/>
          <w:szCs w:val="24"/>
        </w:rPr>
        <w:t xml:space="preserve">aver scritto l'attesa prima. È il contenuto del capitolo sesto, e questo è il</w:t>
      </w:r>
    </w:p>
    <w:p>
      <w:pPr>
        <w:spacing w:after="120" w:line="276"/>
        <w:jc w:val="both"/>
      </w:pPr>
      <w:r>
        <w:rPr>
          <w:rFonts w:ascii="Barlow Semi Condensed" w:cs="Barlow Semi Condensed" w:eastAsia="Barlow Semi Condensed" w:hAnsi="Barlow Semi Condensed"/>
          <w:sz w:val="24"/>
          <w:szCs w:val="24"/>
        </w:rPr>
        <w:t xml:space="preserve">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v. Il capitolo campione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3.385 parole in 9 sezioni; la più ampia è §9 9. Che cosa questo capitolo non ha stabilito, con 638.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83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 La mappa dei destinatari</w:t>
      </w:r>
    </w:p>
    <w:p>
      <w:pPr>
        <w:pStyle w:val="Heading1"/>
        <w:spacing w:after="120" w:before="240"/>
      </w:pPr>
      <w:r>
        <w:rPr>
          <w:rFonts w:ascii="Barlow Semi Condensed" w:cs="Barlow Semi Condensed" w:eastAsia="Barlow Semi Condensed" w:hAnsi="Barlow Semi Condensed"/>
          <w:sz w:val="24"/>
          <w:szCs w:val="24"/>
        </w:rPr>
        <w:t xml:space="preserve">Dove può andare quest'opera — mappa ragionata dei destinatari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26 agosto 2026.</w:t>
      </w:r>
      <w:r>
        <w:rPr>
          <w:rFonts w:ascii="Barlow Semi Condensed" w:cs="Barlow Semi Condensed" w:eastAsia="Barlow Semi Condensed" w:hAnsi="Barlow Semi Condensed"/>
          <w:i w:val="false"/>
          <w:iCs w:val="false"/>
          <w:sz w:val="24"/>
          <w:szCs w:val="24"/>
        </w:rPr>
        <w:t xml:space="preserve"> Questa mappa ragiona sul </w:t>
      </w:r>
      <w:r>
        <w:rPr>
          <w:rFonts w:ascii="Barlow Semi Condensed" w:cs="Barlow Semi Condensed" w:eastAsia="Barlow Semi Condensed" w:hAnsi="Barlow Semi Condensed"/>
          <w:i w:val="false"/>
          <w:iCs w:val="false"/>
          <w:sz w:val="24"/>
          <w:szCs w:val="24"/>
        </w:rPr>
        <w:t xml:space="preserve">chi</w:t>
      </w:r>
      <w:r>
        <w:rPr>
          <w:rFonts w:ascii="Barlow Semi Condensed" w:cs="Barlow Semi Condensed" w:eastAsia="Barlow Semi Condensed" w:hAnsi="Barlow Semi Condensed"/>
          <w:i w:val="false"/>
          <w:iCs w:val="false"/>
          <w:sz w:val="24"/>
          <w:szCs w:val="24"/>
        </w:rPr>
        <w:t xml:space="preserve">: quale editore per quale dei tre oggetti. Sui </w:t>
      </w:r>
      <w:r>
        <w:rPr>
          <w:rFonts w:ascii="Barlow Semi Condensed" w:cs="Barlow Semi Condensed" w:eastAsia="Barlow Semi Condensed" w:hAnsi="Barlow Semi Condensed"/>
          <w:i w:val="false"/>
          <w:iCs w:val="false"/>
          <w:sz w:val="24"/>
          <w:szCs w:val="24"/>
        </w:rPr>
        <w:t xml:space="preserve">canali</w:t>
      </w:r>
      <w:r>
        <w:rPr>
          <w:rFonts w:ascii="Barlow Semi Condensed" w:cs="Barlow Semi Condensed" w:eastAsia="Barlow Semi Condensed" w:hAnsi="Barlow Semi Condensed"/>
          <w:i w:val="false"/>
          <w:iCs w:val="false"/>
          <w:sz w:val="24"/>
          <w:szCs w:val="24"/>
        </w:rPr>
        <w:t xml:space="preserve"> — indirizzi, moduli, tempi, porte chiuse — fa fede la </w:t>
      </w:r>
      <w:r>
        <w:rPr>
          <w:rFonts w:ascii="Barlow Semi Condensed" w:cs="Barlow Semi Condensed" w:eastAsia="Barlow Semi Condensed" w:hAnsi="Barlow Semi Condensed"/>
          <w:i w:val="false"/>
          <w:iCs w:val="false"/>
          <w:sz w:val="24"/>
          <w:szCs w:val="24"/>
        </w:rPr>
        <w:t xml:space="preserve">checklist di invio</w:t>
      </w:r>
      <w:r>
        <w:rPr>
          <w:rFonts w:ascii="Barlow Semi Condensed" w:cs="Barlow Semi Condensed" w:eastAsia="Barlow Semi Condensed" w:hAnsi="Barlow Semi Condensed"/>
          <w:i w:val="false"/>
          <w:iCs w:val="false"/>
          <w:sz w:val="24"/>
          <w:szCs w:val="24"/>
        </w:rPr>
        <w:t xml:space="preserve">, seconda edizione, che copre nove editori con il grado di verifica di ciascuno e dove i due documenti divergessero prevale la checklist, che è più recente.</w:t>
      </w:r>
    </w:p>
    <w:p>
      <w:pPr>
        <w:spacing w:after="120" w:line="276"/>
        <w:jc w:val="both"/>
      </w:pPr>
      <w:r>
        <w:rPr>
          <w:rFonts w:ascii="Barlow Semi Condensed" w:cs="Barlow Semi Condensed" w:eastAsia="Barlow Semi Condensed" w:hAnsi="Barlow Semi Condensed"/>
          <w:i/>
          <w:iCs/>
          <w:sz w:val="24"/>
          <w:szCs w:val="24"/>
        </w:rPr>
        <w:t xml:space="preserve">Preparata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punto di partenza: non è un oggetto solo, sono tre</w:t>
      </w:r>
    </w:p>
    <w:p>
      <w:pPr>
        <w:spacing w:after="120" w:line="276"/>
        <w:jc w:val="both"/>
      </w:pPr>
      <w:r>
        <w:rPr>
          <w:rFonts w:ascii="Barlow Semi Condensed" w:cs="Barlow Semi Condensed" w:eastAsia="Barlow Semi Condensed" w:hAnsi="Barlow Semi Condensed"/>
          <w:sz w:val="24"/>
          <w:szCs w:val="24"/>
        </w:rPr>
        <w:t xml:space="preserve">Trattarli come una cosa sola è la ragione per cui una proposta del genere di</w:t>
      </w:r>
    </w:p>
    <w:p>
      <w:pPr>
        <w:spacing w:after="120" w:line="276"/>
        <w:jc w:val="both"/>
      </w:pPr>
      <w:r>
        <w:rPr>
          <w:rFonts w:ascii="Barlow Semi Condensed" w:cs="Barlow Semi Condensed" w:eastAsia="Barlow Semi Condensed" w:hAnsi="Barlow Semi Condensed"/>
          <w:sz w:val="24"/>
          <w:szCs w:val="24"/>
        </w:rPr>
        <w:t xml:space="preserve">solito non riceve risposta. Sono tre prodotti diversi, con tre mercati diversi</w:t>
      </w:r>
    </w:p>
    <w:p>
      <w:pPr>
        <w:spacing w:after="120" w:line="276"/>
        <w:jc w:val="both"/>
      </w:pPr>
      <w:r>
        <w:rPr>
          <w:rFonts w:ascii="Barlow Semi Condensed" w:cs="Barlow Semi Condensed" w:eastAsia="Barlow Semi Condensed" w:hAnsi="Barlow Semi Condensed"/>
          <w:sz w:val="24"/>
          <w:szCs w:val="24"/>
        </w:rPr>
        <w:t xml:space="preserve">e tre gradi di maturità diversi.</w:t>
      </w:r>
    </w:p>
    <w:p>
      <w:pPr>
        <w:spacing w:after="120" w:line="276"/>
        <w:jc w:val="both"/>
      </w:pPr>
      <w:r>
        <w:rPr>
          <w:rFonts w:ascii="Barlow Semi Condensed" w:cs="Barlow Semi Condensed" w:eastAsia="Barlow Semi Condensed" w:hAnsi="Barlow Semi Condensed"/>
          <w:b/>
          <w:bCs/>
          <w:sz w:val="24"/>
          <w:szCs w:val="24"/>
        </w:rPr>
        <w:t xml:space="preserve">Primo — l'apparato.</w:t>
      </w:r>
      <w:r>
        <w:rPr>
          <w:rFonts w:ascii="Barlow Semi Condensed" w:cs="Barlow Semi Condensed" w:eastAsia="Barlow Semi Condensed" w:hAnsi="Barlow Semi Condensed"/>
          <w:sz w:val="24"/>
          <w:szCs w:val="24"/>
        </w:rPr>
        <w:t xml:space="preserve"> Millesettecentocinquantacinque pagine, 7.699 blocchi</w:t>
      </w:r>
    </w:p>
    <w:p>
      <w:pPr>
        <w:spacing w:after="120" w:line="276"/>
        <w:jc w:val="both"/>
      </w:pPr>
      <w:r>
        <w:rPr>
          <w:rFonts w:ascii="Barlow Semi Condensed" w:cs="Barlow Semi Condensed" w:eastAsia="Barlow Semi Condensed" w:hAnsi="Barlow Semi Condensed"/>
          <w:sz w:val="24"/>
          <w:szCs w:val="24"/>
        </w:rPr>
        <w:t xml:space="preserve">mirati di ricerca — e, a parte e non in somma, 538 blocchi certificati di</w:t>
      </w:r>
    </w:p>
    <w:p>
      <w:pPr>
        <w:spacing w:after="120" w:line="276"/>
        <w:jc w:val="both"/>
      </w:pPr>
      <w:r>
        <w:rPr>
          <w:rFonts w:ascii="Barlow Semi Condensed" w:cs="Barlow Semi Condensed" w:eastAsia="Barlow Semi Condensed" w:hAnsi="Barlow Semi Condensed"/>
          <w:sz w:val="24"/>
          <w:szCs w:val="24"/>
        </w:rPr>
        <w:t xml:space="preserve">verifica nel solo Libro quarto —,</w:t>
      </w:r>
    </w:p>
    <w:p>
      <w:pPr>
        <w:spacing w:after="120" w:line="276"/>
        <w:jc w:val="both"/>
      </w:pPr>
      <w:r>
        <w:rPr>
          <w:rFonts w:ascii="Barlow Semi Condensed" w:cs="Barlow Semi Condensed" w:eastAsia="Barlow Semi Condensed" w:hAnsi="Barlow Semi Condensed"/>
          <w:sz w:val="24"/>
          <w:szCs w:val="24"/>
        </w:rPr>
        <w:t xml:space="preserve">l'indice, la guida. Non è un libro e non lo diventerà: è materiale di</w:t>
      </w:r>
    </w:p>
    <w:p>
      <w:pPr>
        <w:spacing w:after="120" w:line="276"/>
        <w:jc w:val="both"/>
      </w:pPr>
      <w:r>
        <w:rPr>
          <w:rFonts w:ascii="Barlow Semi Condensed" w:cs="Barlow Semi Condensed" w:eastAsia="Barlow Semi Condensed" w:hAnsi="Barlow Semi Condensed"/>
          <w:sz w:val="24"/>
          <w:szCs w:val="24"/>
        </w:rPr>
        <w:t xml:space="preserve">consultazione. Il suo posto è un archivio o un deposito digitale permanente.</w:t>
      </w:r>
    </w:p>
    <w:p>
      <w:pPr>
        <w:spacing w:after="120" w:line="276"/>
        <w:jc w:val="both"/>
      </w:pPr>
      <w:r>
        <w:rPr>
          <w:rFonts w:ascii="Barlow Semi Condensed" w:cs="Barlow Semi Condensed" w:eastAsia="Barlow Semi Condensed" w:hAnsi="Barlow Semi Condensed"/>
          <w:b/>
          <w:bCs/>
          <w:sz w:val="24"/>
          <w:szCs w:val="24"/>
        </w:rPr>
        <w:t xml:space="preserve">Secondo — il saggio.</w:t>
      </w:r>
      <w:r>
        <w:rPr>
          <w:rFonts w:ascii="Barlow Semi Condensed" w:cs="Barlow Semi Condensed" w:eastAsia="Barlow Semi Condensed" w:hAnsi="Barlow Semi Condensed"/>
          <w:sz w:val="24"/>
          <w:szCs w:val="24"/>
        </w:rPr>
        <w:t xml:space="preserve"> Il resoconto dell'esperimento e dei suoi fallimenti</w:t>
      </w:r>
    </w:p>
    <w:p>
      <w:pPr>
        <w:spacing w:after="120" w:line="276"/>
        <w:jc w:val="both"/>
      </w:pPr>
      <w:r>
        <w:rPr>
          <w:rFonts w:ascii="Barlow Semi Condensed" w:cs="Barlow Semi Condensed" w:eastAsia="Barlow Semi Condensed" w:hAnsi="Barlow Semi Condensed"/>
          <w:sz w:val="24"/>
          <w:szCs w:val="24"/>
        </w:rPr>
        <w:t xml:space="preserve">metodologici, 140-180 pagine. È il solo dei tre che possa essere un libro</w:t>
      </w:r>
    </w:p>
    <w:p>
      <w:pPr>
        <w:spacing w:after="120" w:line="276"/>
        <w:jc w:val="both"/>
      </w:pPr>
      <w:r>
        <w:rPr>
          <w:rFonts w:ascii="Barlow Semi Condensed" w:cs="Barlow Semi Condensed" w:eastAsia="Barlow Semi Condensed" w:hAnsi="Barlow Semi Condensed"/>
          <w:sz w:val="24"/>
          <w:szCs w:val="24"/>
        </w:rPr>
        <w:t xml:space="preserve">commerciale, ed è </w:t>
      </w:r>
      <w:r>
        <w:rPr>
          <w:rFonts w:ascii="Barlow Semi Condensed" w:cs="Barlow Semi Condensed" w:eastAsia="Barlow Semi Condensed" w:hAnsi="Barlow Semi Condensed"/>
          <w:b/>
          <w:bCs/>
          <w:sz w:val="24"/>
          <w:szCs w:val="24"/>
        </w:rPr>
        <w:t xml:space="preserve">da scrivere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Terzo — i due accertamenti.</w:t>
      </w:r>
      <w:r>
        <w:rPr>
          <w:rFonts w:ascii="Barlow Semi Condensed" w:cs="Barlow Semi Condensed" w:eastAsia="Barlow Semi Condensed" w:hAnsi="Barlow Semi Condensed"/>
          <w:sz w:val="24"/>
          <w:szCs w:val="24"/>
        </w:rPr>
        <w:t xml:space="preserve"> Che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non contiene la frase che gli si attribuisce; e che di quel</w:t>
      </w:r>
    </w:p>
    <w:p>
      <w:pPr>
        <w:spacing w:after="120" w:line="276"/>
        <w:jc w:val="both"/>
      </w:pPr>
      <w:r>
        <w:rPr>
          <w:rFonts w:ascii="Barlow Semi Condensed" w:cs="Barlow Semi Condensed" w:eastAsia="Barlow Semi Condensed" w:hAnsi="Barlow Semi Condensed"/>
          <w:sz w:val="24"/>
          <w:szCs w:val="24"/>
        </w:rPr>
        <w:t xml:space="preserve">colloquio non risulta mai cercato il versante italiano. Questi non sono un</w:t>
      </w:r>
    </w:p>
    <w:p>
      <w:pPr>
        <w:spacing w:after="120" w:line="276"/>
        <w:jc w:val="both"/>
      </w:pPr>
      <w:r>
        <w:rPr>
          <w:rFonts w:ascii="Barlow Semi Condensed" w:cs="Barlow Semi Condensed" w:eastAsia="Barlow Semi Condensed" w:hAnsi="Barlow Semi Condensed"/>
          <w:sz w:val="24"/>
          <w:szCs w:val="24"/>
        </w:rPr>
        <w:t xml:space="preserve">libro: sono </w:t>
      </w:r>
      <w:r>
        <w:rPr>
          <w:rFonts w:ascii="Barlow Semi Condensed" w:cs="Barlow Semi Condensed" w:eastAsia="Barlow Semi Condensed" w:hAnsi="Barlow Semi Condensed"/>
          <w:b/>
          <w:bCs/>
          <w:sz w:val="24"/>
          <w:szCs w:val="24"/>
        </w:rPr>
        <w:t xml:space="preserve">una nota di quattro pagine per una rivista scientifica</w:t>
      </w:r>
      <w:r>
        <w:rPr>
          <w:rFonts w:ascii="Barlow Semi Condensed" w:cs="Barlow Semi Condensed" w:eastAsia="Barlow Semi Condensed" w:hAnsi="Barlow Semi Condensed"/>
          <w:sz w:val="24"/>
          <w:szCs w:val="24"/>
        </w:rPr>
        <w:t xml:space="preserve">, ed è</w:t>
      </w:r>
    </w:p>
    <w:p>
      <w:pPr>
        <w:spacing w:after="120" w:line="276"/>
        <w:jc w:val="both"/>
      </w:pPr>
      <w:r>
        <w:rPr>
          <w:rFonts w:ascii="Barlow Semi Condensed" w:cs="Barlow Semi Condensed" w:eastAsia="Barlow Semi Condensed" w:hAnsi="Barlow Semi Condensed"/>
          <w:sz w:val="24"/>
          <w:szCs w:val="24"/>
        </w:rPr>
        <w:t xml:space="preserve">la cosa con la maggiore probabilità di essere accettata e la maggiore utilità</w:t>
      </w:r>
    </w:p>
    <w:p>
      <w:pPr>
        <w:spacing w:after="120" w:line="276"/>
        <w:jc w:val="both"/>
      </w:pPr>
      <w:r>
        <w:rPr>
          <w:rFonts w:ascii="Barlow Semi Condensed" w:cs="Barlow Semi Condensed" w:eastAsia="Barlow Semi Condensed" w:hAnsi="Barlow Semi Condensed"/>
          <w:sz w:val="24"/>
          <w:szCs w:val="24"/>
        </w:rPr>
        <w:t xml:space="preserve">per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terzo oggetto — la nota scientifica</w:t>
      </w:r>
    </w:p>
    <w:p>
      <w:pPr>
        <w:spacing w:after="120" w:line="276"/>
        <w:jc w:val="both"/>
      </w:pPr>
      <w:r>
        <w:rPr>
          <w:rFonts w:ascii="Barlow Semi Condensed" w:cs="Barlow Semi Condensed" w:eastAsia="Barlow Semi Condensed" w:hAnsi="Barlow Semi Condensed"/>
          <w:b/>
          <w:bCs/>
          <w:sz w:val="24"/>
          <w:szCs w:val="24"/>
        </w:rPr>
        <w:t xml:space="preserve">È la porta da bussare per prima.</w:t>
      </w:r>
      <w:r>
        <w:rPr>
          <w:rFonts w:ascii="Barlow Semi Condensed" w:cs="Barlow Semi Condensed" w:eastAsia="Barlow Semi Condensed" w:hAnsi="Barlow Semi Condensed"/>
          <w:sz w:val="24"/>
          <w:szCs w:val="24"/>
        </w:rPr>
        <w:t xml:space="preserve"> Costa meno di tutte, ha la soglia</w:t>
      </w:r>
    </w:p>
    <w:p>
      <w:pPr>
        <w:spacing w:after="120" w:line="276"/>
        <w:jc w:val="both"/>
      </w:pPr>
      <w:r>
        <w:rPr>
          <w:rFonts w:ascii="Barlow Semi Condensed" w:cs="Barlow Semi Condensed" w:eastAsia="Barlow Semi Condensed" w:hAnsi="Barlow Semi Condensed"/>
          <w:sz w:val="24"/>
          <w:szCs w:val="24"/>
        </w:rPr>
        <w:t xml:space="preserve">d'ingresso più bassa e produce l'unica cosa che dia autorevolezza al resto: una</w:t>
      </w:r>
    </w:p>
    <w:p>
      <w:pPr>
        <w:spacing w:after="120" w:line="276"/>
        <w:jc w:val="both"/>
      </w:pPr>
      <w:r>
        <w:rPr>
          <w:rFonts w:ascii="Barlow Semi Condensed" w:cs="Barlow Semi Condensed" w:eastAsia="Barlow Semi Condensed" w:hAnsi="Barlow Semi Condensed"/>
          <w:sz w:val="24"/>
          <w:szCs w:val="24"/>
        </w:rPr>
        <w:t xml:space="preserve">pubblicazione con revisione, citabile.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«Italia contemporanea»</w:t>
      </w:r>
      <w:r>
        <w:rPr>
          <w:rFonts w:ascii="Barlow Semi Condensed" w:cs="Barlow Semi Condensed" w:eastAsia="Barlow Semi Condensed" w:hAnsi="Barlow Semi Condensed"/>
          <w:sz w:val="24"/>
          <w:szCs w:val="24"/>
        </w:rPr>
        <w:t xml:space="preserve">, rivista dell'Istituto nazionale Ferruccio Parri.</w:t>
      </w:r>
    </w:p>
    <w:p>
      <w:pPr>
        <w:spacing w:after="120" w:line="276"/>
        <w:jc w:val="both"/>
      </w:pPr>
      <w:r>
        <w:rPr>
          <w:rFonts w:ascii="Barlow Semi Condensed" w:cs="Barlow Semi Condensed" w:eastAsia="Barlow Semi Condensed" w:hAnsi="Barlow Semi Condensed"/>
          <w:sz w:val="24"/>
          <w:szCs w:val="24"/>
        </w:rPr>
        <w:t xml:space="preserve">  Ha una sezione </w:t>
      </w:r>
      <w:r>
        <w:rPr>
          <w:rFonts w:ascii="Barlow Semi Condensed" w:cs="Barlow Semi Condensed" w:eastAsia="Barlow Semi Condensed" w:hAnsi="Barlow Semi Condensed"/>
          <w:b/>
          <w:bCs/>
          <w:sz w:val="24"/>
          <w:szCs w:val="24"/>
        </w:rPr>
        <w:t xml:space="preserve">«Note e discussioni»</w:t>
      </w:r>
      <w:r>
        <w:rPr>
          <w:rFonts w:ascii="Barlow Semi Condensed" w:cs="Barlow Semi Condensed" w:eastAsia="Barlow Semi Condensed" w:hAnsi="Barlow Semi Condensed"/>
          <w:sz w:val="24"/>
          <w:szCs w:val="24"/>
        </w:rPr>
        <w:t xml:space="preserve"> espressamente dedicata a note critiche</w:t>
      </w:r>
    </w:p>
    <w:p>
      <w:pPr>
        <w:spacing w:after="120" w:line="276"/>
        <w:jc w:val="both"/>
      </w:pPr>
      <w:r>
        <w:rPr>
          <w:rFonts w:ascii="Barlow Semi Condensed" w:cs="Barlow Semi Condensed" w:eastAsia="Barlow Semi Condensed" w:hAnsi="Barlow Semi Condensed"/>
          <w:sz w:val="24"/>
          <w:szCs w:val="24"/>
        </w:rPr>
        <w:t xml:space="preserve">  e alla pubblicazione di fonti e materiali d'archivio significativi: è</w:t>
      </w:r>
    </w:p>
    <w:p>
      <w:pPr>
        <w:spacing w:after="120" w:line="276"/>
        <w:jc w:val="both"/>
      </w:pPr>
      <w:r>
        <w:rPr>
          <w:rFonts w:ascii="Barlow Semi Condensed" w:cs="Barlow Semi Condensed" w:eastAsia="Barlow Semi Condensed" w:hAnsi="Barlow Semi Condensed"/>
          <w:sz w:val="24"/>
          <w:szCs w:val="24"/>
        </w:rPr>
        <w:t xml:space="preserve">  precisamente la sede di una nota che rettifica un documento mal citato e ne</w:t>
      </w:r>
    </w:p>
    <w:p>
      <w:pPr>
        <w:spacing w:after="120" w:line="276"/>
        <w:jc w:val="both"/>
      </w:pPr>
      <w:r>
        <w:rPr>
          <w:rFonts w:ascii="Barlow Semi Condensed" w:cs="Barlow Semi Condensed" w:eastAsia="Barlow Semi Condensed" w:hAnsi="Barlow Semi Condensed"/>
          <w:sz w:val="24"/>
          <w:szCs w:val="24"/>
        </w:rPr>
        <w:t xml:space="preserve">  segnala uno mai cercato. Prima scelta.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«Mondo contemporaneo»</w:t>
      </w:r>
      <w:r>
        <w:rPr>
          <w:rFonts w:ascii="Barlow Semi Condensed" w:cs="Barlow Semi Condensed" w:eastAsia="Barlow Semi Condensed" w:hAnsi="Barlow Semi Condensed"/>
          <w:sz w:val="24"/>
          <w:szCs w:val="24"/>
        </w:rPr>
        <w:t xml:space="preserve"> (FrancoAngeli) e </w:t>
      </w:r>
      <w:r>
        <w:rPr>
          <w:rFonts w:ascii="Barlow Semi Condensed" w:cs="Barlow Semi Condensed" w:eastAsia="Barlow Semi Condensed" w:hAnsi="Barlow Semi Condensed"/>
          <w:b/>
          <w:bCs/>
          <w:sz w:val="24"/>
          <w:szCs w:val="24"/>
        </w:rPr>
        <w:t xml:space="preserve">«Ricerche di storia politica»</w:t>
      </w:r>
    </w:p>
    <w:p>
      <w:pPr>
        <w:spacing w:after="120" w:line="276"/>
        <w:jc w:val="both"/>
      </w:pPr>
      <w:r>
        <w:rPr>
          <w:rFonts w:ascii="Barlow Semi Condensed" w:cs="Barlow Semi Condensed" w:eastAsia="Barlow Semi Condensed" w:hAnsi="Barlow Semi Condensed"/>
          <w:sz w:val="24"/>
          <w:szCs w:val="24"/>
        </w:rPr>
        <w:t xml:space="preserve">  (il Mulino), entrambe aperte a note brevi su 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«Studi Storici»</w:t>
      </w:r>
      <w:r>
        <w:rPr>
          <w:rFonts w:ascii="Barlow Semi Condensed" w:cs="Barlow Semi Condensed" w:eastAsia="Barlow Semi Condensed" w:hAnsi="Barlow Semi Condensed"/>
          <w:sz w:val="24"/>
          <w:szCs w:val="24"/>
        </w:rPr>
        <w:t xml:space="preserve">, Fondazione Gramsci — più selettiva, taglio più ampio.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Per il versante diplomatico, le riviste di storia delle relazioni</w:t>
      </w:r>
    </w:p>
    <w:p>
      <w:pPr>
        <w:spacing w:after="120" w:line="276"/>
        <w:jc w:val="both"/>
      </w:pPr>
      <w:r>
        <w:rPr>
          <w:rFonts w:ascii="Barlow Semi Condensed" w:cs="Barlow Semi Condensed" w:eastAsia="Barlow Semi Condensed" w:hAnsi="Barlow Semi Condensed"/>
          <w:sz w:val="24"/>
          <w:szCs w:val="24"/>
        </w:rPr>
        <w:t xml:space="preserve">  internazionali sono un'alternativa naturale, dato che il documento centrale è</w:t>
      </w:r>
    </w:p>
    <w:p>
      <w:pPr>
        <w:spacing w:after="120" w:line="276"/>
        <w:jc w:val="both"/>
      </w:pP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dei FRUS.</w:t>
      </w:r>
    </w:p>
    <w:p>
      <w:pPr>
        <w:spacing w:after="120" w:line="276"/>
        <w:jc w:val="both"/>
      </w:pPr>
      <w:r>
        <w:rPr>
          <w:rFonts w:ascii="Barlow Semi Condensed" w:cs="Barlow Semi Condensed" w:eastAsia="Barlow Semi Condensed" w:hAnsi="Barlow Semi Condensed"/>
          <w:b/>
          <w:bCs/>
          <w:sz w:val="24"/>
          <w:szCs w:val="24"/>
        </w:rPr>
        <w:t xml:space="preserve">Avvertenza che conta.</w:t>
      </w:r>
      <w:r>
        <w:rPr>
          <w:rFonts w:ascii="Barlow Semi Condensed" w:cs="Barlow Semi Condensed" w:eastAsia="Barlow Semi Condensed" w:hAnsi="Barlow Semi Condensed"/>
          <w:sz w:val="24"/>
          <w:szCs w:val="24"/>
        </w:rPr>
        <w:t xml:space="preserve"> Quasi tutte le riviste hanno oggi una politica sull'uso</w:t>
      </w:r>
    </w:p>
    <w:p>
      <w:pPr>
        <w:spacing w:after="120" w:line="276"/>
        <w:jc w:val="both"/>
      </w:pPr>
      <w:r>
        <w:rPr>
          <w:rFonts w:ascii="Barlow Semi Condensed" w:cs="Barlow Semi Condensed" w:eastAsia="Barlow Semi Condensed" w:hAnsi="Barlow Semi Condensed"/>
          <w:sz w:val="24"/>
          <w:szCs w:val="24"/>
        </w:rPr>
        <w:t xml:space="preserve">dell'intelligenza artificiale. Va letta prima e rispettata alla lettera: in</w:t>
      </w:r>
    </w:p>
    <w:p>
      <w:pPr>
        <w:spacing w:after="120" w:line="276"/>
        <w:jc w:val="both"/>
      </w:pPr>
      <w:r>
        <w:rPr>
          <w:rFonts w:ascii="Barlow Semi Condensed" w:cs="Barlow Semi Condensed" w:eastAsia="Barlow Semi Condensed" w:hAnsi="Barlow Semi Condensed"/>
          <w:sz w:val="24"/>
          <w:szCs w:val="24"/>
        </w:rPr>
        <w:t xml:space="preserve">genere l'uso è ammesso se dichiarato, mentre l'omissione è motivo di ritiro.</w:t>
      </w:r>
    </w:p>
    <w:p>
      <w:pPr>
        <w:spacing w:after="120" w:line="276"/>
        <w:jc w:val="both"/>
      </w:pPr>
      <w:r>
        <w:rPr>
          <w:rFonts w:ascii="Barlow Semi Condensed" w:cs="Barlow Semi Condensed" w:eastAsia="Barlow Semi Condensed" w:hAnsi="Barlow Semi Condensed"/>
          <w:sz w:val="24"/>
          <w:szCs w:val="24"/>
        </w:rPr>
        <w:t xml:space="preserve">Nel caso specifico la dichiarazione non indebolisce la nota, perché</w:t>
      </w:r>
    </w:p>
    <w:p>
      <w:pPr>
        <w:spacing w:after="120" w:line="276"/>
        <w:jc w:val="both"/>
      </w:pPr>
      <w:r>
        <w:rPr>
          <w:rFonts w:ascii="Barlow Semi Condensed" w:cs="Barlow Semi Condensed" w:eastAsia="Barlow Semi Condensed" w:hAnsi="Barlow Semi Condensed"/>
          <w:b/>
          <w:bCs/>
          <w:sz w:val="24"/>
          <w:szCs w:val="24"/>
        </w:rPr>
        <w:t xml:space="preserve">l'accertamento è verificabile da chiunque in mezz'ora</w:t>
      </w:r>
      <w:r>
        <w:rPr>
          <w:rFonts w:ascii="Barlow Semi Condensed" w:cs="Barlow Semi Condensed" w:eastAsia="Barlow Semi Condensed" w:hAnsi="Barlow Semi Condensed"/>
          <w:sz w:val="24"/>
          <w:szCs w:val="24"/>
        </w:rPr>
        <w:t xml:space="preserve">: si apre il documento</w:t>
      </w:r>
    </w:p>
    <w:p>
      <w:pPr>
        <w:spacing w:after="120" w:line="276"/>
        <w:jc w:val="both"/>
      </w:pPr>
      <w:r>
        <w:rPr>
          <w:rFonts w:ascii="Barlow Semi Condensed" w:cs="Barlow Semi Condensed" w:eastAsia="Barlow Semi Condensed" w:hAnsi="Barlow Semi Condensed"/>
          <w:sz w:val="24"/>
          <w:szCs w:val="24"/>
        </w:rPr>
        <w:t xml:space="preserve">350 e si legge se la frase c'è.</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secondo oggetto — il saggio</w:t>
      </w:r>
    </w:p>
    <w:p>
      <w:pPr>
        <w:spacing w:after="120" w:line="276"/>
        <w:jc w:val="both"/>
      </w:pPr>
      <w:r>
        <w:rPr>
          <w:rFonts w:ascii="Barlow Semi Condensed" w:cs="Barlow Semi Condensed" w:eastAsia="Barlow Semi Condensed" w:hAnsi="Barlow Semi Condensed"/>
          <w:sz w:val="24"/>
          <w:szCs w:val="24"/>
        </w:rPr>
        <w:t xml:space="preserve">In ordine di affinità reale, non di prestigio.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Codice Edizioni</w:t>
      </w:r>
      <w:r>
        <w:rPr>
          <w:rFonts w:ascii="Barlow Semi Condensed" w:cs="Barlow Semi Condensed" w:eastAsia="Barlow Semi Condensed" w:hAnsi="Barlow Semi Condensed"/>
          <w:sz w:val="24"/>
          <w:szCs w:val="24"/>
        </w:rPr>
        <w:t xml:space="preserve"> (Torino). Catalogo costruito su scienza, tecnologia e</w:t>
      </w:r>
    </w:p>
    <w:p>
      <w:pPr>
        <w:spacing w:after="120" w:line="276"/>
        <w:jc w:val="both"/>
      </w:pPr>
      <w:r>
        <w:rPr>
          <w:rFonts w:ascii="Barlow Semi Condensed" w:cs="Barlow Semi Condensed" w:eastAsia="Barlow Semi Condensed" w:hAnsi="Barlow Semi Condensed"/>
          <w:sz w:val="24"/>
          <w:szCs w:val="24"/>
        </w:rPr>
        <w:t xml:space="preserve">  cultura digitale. È l'editore il cui lettore tipo compra esattamente questo</w:t>
      </w:r>
    </w:p>
    <w:p>
      <w:pPr>
        <w:spacing w:after="120" w:line="276"/>
        <w:jc w:val="both"/>
      </w:pPr>
      <w:r>
        <w:rPr>
          <w:rFonts w:ascii="Barlow Semi Condensed" w:cs="Barlow Semi Condensed" w:eastAsia="Barlow Semi Condensed" w:hAnsi="Barlow Semi Condensed"/>
          <w:sz w:val="24"/>
          <w:szCs w:val="24"/>
        </w:rPr>
        <w:t xml:space="preserve">  libro: che cosa fa una macchina quando la si mette al lavoro su qualcosa di</w:t>
      </w:r>
    </w:p>
    <w:p>
      <w:pPr>
        <w:spacing w:after="120" w:line="276"/>
        <w:jc w:val="both"/>
      </w:pPr>
      <w:r>
        <w:rPr>
          <w:rFonts w:ascii="Barlow Semi Condensed" w:cs="Barlow Semi Condensed" w:eastAsia="Barlow Semi Condensed" w:hAnsi="Barlow Semi Condensed"/>
          <w:sz w:val="24"/>
          <w:szCs w:val="24"/>
        </w:rPr>
        <w:t xml:space="preserve">  verificabile. Affinità più alta di Laterza.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Saggistica storica e civile, e una lunga tradizione sulla</w:t>
      </w:r>
    </w:p>
    <w:p>
      <w:pPr>
        <w:spacing w:after="120" w:line="276"/>
        <w:jc w:val="both"/>
      </w:pPr>
      <w:r>
        <w:rPr>
          <w:rFonts w:ascii="Barlow Semi Condensed" w:cs="Barlow Semi Condensed" w:eastAsia="Barlow Semi Condensed" w:hAnsi="Barlow Semi Condensed"/>
          <w:sz w:val="24"/>
          <w:szCs w:val="24"/>
        </w:rPr>
        <w:t xml:space="preserve">  storia repubblicana. Il taglio metodologico gli è congeniale.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Donzelli</w:t>
      </w:r>
      <w:r>
        <w:rPr>
          <w:rFonts w:ascii="Barlow Semi Condensed" w:cs="Barlow Semi Condensed" w:eastAsia="Barlow Semi Condensed" w:hAnsi="Barlow Semi Condensed"/>
          <w:sz w:val="24"/>
          <w:szCs w:val="24"/>
        </w:rPr>
        <w:t xml:space="preserve">. Storia contemporanea e questioni civili, collane brevi. Ha</w:t>
      </w:r>
    </w:p>
    <w:p>
      <w:pPr>
        <w:spacing w:after="120" w:line="276"/>
        <w:jc w:val="both"/>
      </w:pPr>
      <w:r>
        <w:rPr>
          <w:rFonts w:ascii="Barlow Semi Condensed" w:cs="Barlow Semi Condensed" w:eastAsia="Barlow Semi Condensed" w:hAnsi="Barlow Semi Condensed"/>
          <w:sz w:val="24"/>
          <w:szCs w:val="24"/>
        </w:rPr>
        <w:t xml:space="preserve">  pubblicato su terrorismo e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Più vicino al manuale e al metodo che al saggio narrativo: buona</w:t>
      </w:r>
    </w:p>
    <w:p>
      <w:pPr>
        <w:spacing w:after="120" w:line="276"/>
        <w:jc w:val="both"/>
      </w:pPr>
      <w:r>
        <w:rPr>
          <w:rFonts w:ascii="Barlow Semi Condensed" w:cs="Barlow Semi Condensed" w:eastAsia="Barlow Semi Condensed" w:hAnsi="Barlow Semi Condensed"/>
          <w:sz w:val="24"/>
          <w:szCs w:val="24"/>
        </w:rPr>
        <w:t xml:space="preserve">  sede se il libro pende verso la metodologia.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Luiss University Press</w:t>
      </w:r>
      <w:r>
        <w:rPr>
          <w:rFonts w:ascii="Barlow Semi Condensed" w:cs="Barlow Semi Condensed" w:eastAsia="Barlow Semi Condensed" w:hAnsi="Barlow Semi Condensed"/>
          <w:sz w:val="24"/>
          <w:szCs w:val="24"/>
        </w:rPr>
        <w:t xml:space="preserve">. Sempre più attivo su istituzioni, tecnologia e</w:t>
      </w:r>
    </w:p>
    <w:p>
      <w:pPr>
        <w:spacing w:after="120" w:line="276"/>
        <w:jc w:val="both"/>
      </w:pPr>
      <w:r>
        <w:rPr>
          <w:rFonts w:ascii="Barlow Semi Condensed" w:cs="Barlow Semi Condensed" w:eastAsia="Barlow Semi Condensed" w:hAnsi="Barlow Semi Condensed"/>
          <w:sz w:val="24"/>
          <w:szCs w:val="24"/>
        </w:rPr>
        <w:t xml:space="preserve">  politiche pubbliche; formato breve.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Saggiatore</w:t>
      </w:r>
      <w:r>
        <w:rPr>
          <w:rFonts w:ascii="Barlow Semi Condensed" w:cs="Barlow Semi Condensed" w:eastAsia="Barlow Semi Condensed" w:hAnsi="Barlow Semi Condensed"/>
          <w:sz w:val="24"/>
          <w:szCs w:val="24"/>
        </w:rPr>
        <w:t xml:space="preserve">. Se il libro prende una piega più speculativa.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Einaudi</w:t>
      </w:r>
      <w:r>
        <w:rPr>
          <w:rFonts w:ascii="Barlow Semi Condensed" w:cs="Barlow Semi Condensed" w:eastAsia="Barlow Semi Condensed" w:hAnsi="Barlow Semi Condensed"/>
          <w:sz w:val="24"/>
          <w:szCs w:val="24"/>
        </w:rPr>
        <w:t xml:space="preserve">, «Stile libero Extra». Ha pubblicato inchieste sul caso Moro, ma</w:t>
      </w:r>
    </w:p>
    <w:p>
      <w:pPr>
        <w:spacing w:after="120" w:line="276"/>
        <w:jc w:val="both"/>
      </w:pPr>
      <w:r>
        <w:rPr>
          <w:rFonts w:ascii="Barlow Semi Condensed" w:cs="Barlow Semi Condensed" w:eastAsia="Barlow Semi Condensed" w:hAnsi="Barlow Semi Condensed"/>
          <w:sz w:val="24"/>
          <w:szCs w:val="24"/>
        </w:rPr>
        <w:t xml:space="preserve">  vorrebbe una narrazione: significherebbe riscrivere il libro in altra forma.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primo oggetto — l'apparato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(gestito dal CERN). Deposito aperto, gratuito, permanente, con</w:t>
      </w:r>
    </w:p>
    <w:p>
      <w:pPr>
        <w:spacing w:after="120" w:line="276"/>
        <w:jc w:val="both"/>
      </w:pPr>
      <w:r>
        <w:rPr>
          <w:rFonts w:ascii="Barlow Semi Condensed" w:cs="Barlow Semi Condensed" w:eastAsia="Barlow Semi Condensed" w:hAnsi="Barlow Semi Condensed"/>
          <w:sz w:val="24"/>
          <w:szCs w:val="24"/>
        </w:rPr>
        <w:t xml:space="preserve">  assegnazione di </w:t>
      </w:r>
      <w:r>
        <w:rPr>
          <w:rFonts w:ascii="Barlow Semi Condensed" w:cs="Barlow Semi Condensed" w:eastAsia="Barlow Semi Condensed" w:hAnsi="Barlow Semi Condensed"/>
          <w:b/>
          <w:bCs/>
          <w:sz w:val="24"/>
          <w:szCs w:val="24"/>
        </w:rPr>
        <w:t xml:space="preserve">DOI</w:t>
      </w:r>
      <w:r>
        <w:rPr>
          <w:rFonts w:ascii="Barlow Semi Condensed" w:cs="Barlow Semi Condensed" w:eastAsia="Barlow Semi Condensed" w:hAnsi="Barlow Semi Condensed"/>
          <w:sz w:val="24"/>
          <w:szCs w:val="24"/>
        </w:rPr>
        <w:t xml:space="preserve">. È la soluzione tecnicamente corretta: rende l'opera</w:t>
      </w:r>
    </w:p>
    <w:p>
      <w:pPr>
        <w:spacing w:after="120" w:line="276"/>
        <w:jc w:val="both"/>
      </w:pPr>
      <w:r>
        <w:rPr>
          <w:rFonts w:ascii="Barlow Semi Condensed" w:cs="Barlow Semi Condensed" w:eastAsia="Barlow Semi Condensed" w:hAnsi="Barlow Semi Condensed"/>
          <w:sz w:val="24"/>
          <w:szCs w:val="24"/>
        </w:rPr>
        <w:t xml:space="preserve">  citabile, datata e immutabile, e risolve da sola il problema della</w:t>
      </w:r>
    </w:p>
    <w:p>
      <w:pPr>
        <w:spacing w:after="120" w:line="276"/>
        <w:jc w:val="both"/>
      </w:pPr>
      <w:r>
        <w:rPr>
          <w:rFonts w:ascii="Barlow Semi Condensed" w:cs="Barlow Semi Condensed" w:eastAsia="Barlow Semi Condensed" w:hAnsi="Barlow Semi Condensed"/>
          <w:sz w:val="24"/>
          <w:szCs w:val="24"/>
        </w:rPr>
        <w:t xml:space="preserve">  reperibilità. </w:t>
      </w:r>
      <w:r>
        <w:rPr>
          <w:rFonts w:ascii="Barlow Semi Condensed" w:cs="Barlow Semi Condensed" w:eastAsia="Barlow Semi Condensed" w:hAnsi="Barlow Semi Condensed"/>
          <w:b/>
          <w:bCs/>
          <w:sz w:val="24"/>
          <w:szCs w:val="24"/>
        </w:rPr>
        <w:t xml:space="preserve">Da fare comunque, e prima di ogni invio</w:t>
      </w:r>
      <w:r>
        <w:rPr>
          <w:rFonts w:ascii="Barlow Semi Condensed" w:cs="Barlow Semi Condensed" w:eastAsia="Barlow Semi Condensed" w:hAnsi="Barlow Semi Condensed"/>
          <w:sz w:val="24"/>
          <w:szCs w:val="24"/>
        </w:rPr>
        <w:t xml:space="preserve">: avere un DOI</w:t>
      </w:r>
    </w:p>
    <w:p>
      <w:pPr>
        <w:spacing w:after="120" w:line="276"/>
        <w:jc w:val="both"/>
      </w:pPr>
      <w:r>
        <w:rPr>
          <w:rFonts w:ascii="Barlow Semi Condensed" w:cs="Barlow Semi Condensed" w:eastAsia="Barlow Semi Condensed" w:hAnsi="Barlow Semi Condensed"/>
          <w:sz w:val="24"/>
          <w:szCs w:val="24"/>
        </w:rPr>
        <w:t xml:space="preserve">  cambia il modo in cui ogni altro destinatario legge la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Centro documentazione Archivio «Flamigni»</w:t>
      </w:r>
      <w:r>
        <w:rPr>
          <w:rFonts w:ascii="Barlow Semi Condensed" w:cs="Barlow Semi Condensed" w:eastAsia="Barlow Semi Condensed" w:hAnsi="Barlow Semi Condensed"/>
          <w:sz w:val="24"/>
          <w:szCs w:val="24"/>
        </w:rPr>
        <w:t xml:space="preserve"> — già preparata la bozza.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e la rete degli istituti storici della</w:t>
      </w:r>
    </w:p>
    <w:p>
      <w:pPr>
        <w:spacing w:after="120" w:line="276"/>
        <w:jc w:val="both"/>
      </w:pPr>
      <w:r>
        <w:rPr>
          <w:rFonts w:ascii="Barlow Semi Condensed" w:cs="Barlow Semi Condensed" w:eastAsia="Barlow Semi Condensed" w:hAnsi="Barlow Semi Condensed"/>
          <w:sz w:val="24"/>
          <w:szCs w:val="24"/>
        </w:rPr>
        <w:t xml:space="preserve">  Resistenza. Nell'aprile 2026 hanno messo in linea </w:t>
      </w:r>
      <w:r>
        <w:rPr>
          <w:rFonts w:ascii="Barlow Semi Condensed" w:cs="Barlow Semi Condensed" w:eastAsia="Barlow Semi Condensed" w:hAnsi="Barlow Semi Condensed"/>
          <w:b/>
          <w:bCs/>
          <w:sz w:val="24"/>
          <w:szCs w:val="24"/>
        </w:rPr>
        <w:t xml:space="preserve">OpenParri</w:t>
      </w:r>
      <w:r>
        <w:rPr>
          <w:rFonts w:ascii="Barlow Semi Condensed" w:cs="Barlow Semi Condensed" w:eastAsia="Barlow Semi Condensed" w:hAnsi="Barlow Semi Condensed"/>
          <w:sz w:val="24"/>
          <w:szCs w:val="24"/>
        </w:rPr>
        <w:t xml:space="preserve">, archivio</w:t>
      </w:r>
    </w:p>
    <w:p>
      <w:pPr>
        <w:spacing w:after="120" w:line="276"/>
        <w:jc w:val="both"/>
      </w:pPr>
      <w:r>
        <w:rPr>
          <w:rFonts w:ascii="Barlow Semi Condensed" w:cs="Barlow Semi Condensed" w:eastAsia="Barlow Semi Condensed" w:hAnsi="Barlow Semi Condensed"/>
          <w:sz w:val="24"/>
          <w:szCs w:val="24"/>
        </w:rPr>
        <w:t xml:space="preserve">  digitale con oltre 130 fondi: un'infrastruttura che sa che cosa farsene di</w:t>
      </w:r>
    </w:p>
    <w:p>
      <w:pPr>
        <w:spacing w:after="120" w:line="276"/>
        <w:jc w:val="both"/>
      </w:pPr>
      <w:r>
        <w:rPr>
          <w:rFonts w:ascii="Barlow Semi Condensed" w:cs="Barlow Semi Condensed" w:eastAsia="Barlow Semi Condensed" w:hAnsi="Barlow Semi Condensed"/>
          <w:sz w:val="24"/>
          <w:szCs w:val="24"/>
        </w:rPr>
        <w:t xml:space="preserve">  materiale di consultazione.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Fondazione Gramsci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Fondazione Lelio e Lisli Basso</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storico del Senato</w:t>
      </w:r>
      <w:r>
        <w:rPr>
          <w:rFonts w:ascii="Barlow Semi Condensed" w:cs="Barlow Semi Condensed" w:eastAsia="Barlow Semi Condensed" w:hAnsi="Barlow Semi Condensed"/>
          <w:sz w:val="24"/>
          <w:szCs w:val="24"/>
        </w:rPr>
        <w:t xml:space="preserve">, che conserva il Fondo Moro (IT-AFS-048) — il</w:t>
      </w:r>
    </w:p>
    <w:p>
      <w:pPr>
        <w:spacing w:after="120" w:line="276"/>
        <w:jc w:val="both"/>
      </w:pPr>
      <w:r>
        <w:rPr>
          <w:rFonts w:ascii="Barlow Semi Condensed" w:cs="Barlow Semi Condensed" w:eastAsia="Barlow Semi Condensed" w:hAnsi="Barlow Semi Condensed"/>
          <w:sz w:val="24"/>
          <w:szCs w:val="24"/>
        </w:rPr>
        <w:t xml:space="preserve">  quarto deposito che l'opera stessa segnala come ignorato dai programmi di</w:t>
      </w:r>
    </w:p>
    <w:p>
      <w:pPr>
        <w:spacing w:after="120" w:line="276"/>
        <w:jc w:val="both"/>
      </w:pPr>
      <w:r>
        <w:rPr>
          <w:rFonts w:ascii="Barlow Semi Condensed" w:cs="Barlow Semi Condensed" w:eastAsia="Barlow Semi Condensed" w:hAnsi="Barlow Semi Condensed"/>
          <w:sz w:val="24"/>
          <w:szCs w:val="24"/>
        </w:rPr>
        <w:t xml:space="preserve">  ricerca correnti.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Edizione nazionale digitale delle opere di Aldo Moro</w:t>
      </w:r>
      <w:r>
        <w:rPr>
          <w:rFonts w:ascii="Barlow Semi Condensed" w:cs="Barlow Semi Condensed" w:eastAsia="Barlow Semi Condensed" w:hAnsi="Barlow Semi Condensed"/>
          <w:sz w:val="24"/>
          <w:szCs w:val="24"/>
        </w:rPr>
        <w:t xml:space="preserve">, Università di</w:t>
      </w:r>
    </w:p>
    <w:p>
      <w:pPr>
        <w:spacing w:after="120" w:line="276"/>
        <w:jc w:val="both"/>
      </w:pPr>
      <w:r>
        <w:rPr>
          <w:rFonts w:ascii="Barlow Semi Condensed" w:cs="Barlow Semi Condensed" w:eastAsia="Barlow Semi Condensed" w:hAnsi="Barlow Semi Condensed"/>
          <w:sz w:val="24"/>
          <w:szCs w:val="24"/>
        </w:rPr>
        <w:t xml:space="preserve">  Bologna (aldomorodigitale.unibo.it). L'opera la cita: è un interlocutore</w:t>
      </w:r>
    </w:p>
    <w:p>
      <w:pPr>
        <w:spacing w:after="120" w:line="276"/>
        <w:jc w:val="both"/>
      </w:pPr>
      <w:r>
        <w:rPr>
          <w:rFonts w:ascii="Barlow Semi Condensed" w:cs="Barlow Semi Condensed" w:eastAsia="Barlow Semi Condensed" w:hAnsi="Barlow Semi Condensed"/>
          <w:sz w:val="24"/>
          <w:szCs w:val="24"/>
        </w:rPr>
        <w:t xml:space="preserve">  naturale per un apparato di quesiti.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memoria.cultura.gov.it</w:t>
      </w:r>
      <w:r>
        <w:rPr>
          <w:rFonts w:ascii="Barlow Semi Condensed" w:cs="Barlow Semi Condensed" w:eastAsia="Barlow Semi Condensed" w:hAnsi="Barlow Semi Condensed"/>
          <w:sz w:val="24"/>
          <w:szCs w:val="24"/>
        </w:rPr>
        <w:t xml:space="preserve">, il portale statale sui documenti del periodo.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porte da non bussare</w:t>
      </w:r>
    </w:p>
    <w:p>
      <w:pPr>
        <w:spacing w:after="120" w:line="276"/>
        <w:jc w:val="both"/>
      </w:pPr>
      <w:r>
        <w:rPr>
          <w:rFonts w:ascii="Barlow Semi Condensed" w:cs="Barlow Semi Condensed" w:eastAsia="Barlow Semi Condensed" w:hAnsi="Barlow Semi Condensed"/>
          <w:b/>
          <w:bCs/>
          <w:sz w:val="24"/>
          <w:szCs w:val="24"/>
        </w:rPr>
        <w:t xml:space="preserve">Gli editori di denuncia.</w:t>
      </w:r>
      <w:r>
        <w:rPr>
          <w:rFonts w:ascii="Barlow Semi Condensed" w:cs="Barlow Semi Condensed" w:eastAsia="Barlow Semi Condensed" w:hAnsi="Barlow Semi Condensed"/>
          <w:sz w:val="24"/>
          <w:szCs w:val="24"/>
        </w:rPr>
        <w:t xml:space="preserve"> Il taglio investigativo-militante è l'opposto</w:t>
      </w:r>
    </w:p>
    <w:p>
      <w:pPr>
        <w:spacing w:after="120" w:line="276"/>
        <w:jc w:val="both"/>
      </w:pPr>
      <w:r>
        <w:rPr>
          <w:rFonts w:ascii="Barlow Semi Condensed" w:cs="Barlow Semi Condensed" w:eastAsia="Barlow Semi Condensed" w:hAnsi="Barlow Semi Condensed"/>
          <w:sz w:val="24"/>
          <w:szCs w:val="24"/>
        </w:rPr>
        <w:t xml:space="preserve">esatto di quest'opera: quelle case cercano una tesi e un colpevole, e il lavoro</w:t>
      </w:r>
    </w:p>
    <w:p>
      <w:pPr>
        <w:spacing w:after="120" w:line="276"/>
        <w:jc w:val="both"/>
      </w:pPr>
      <w:r>
        <w:rPr>
          <w:rFonts w:ascii="Barlow Semi Condensed" w:cs="Barlow Semi Condensed" w:eastAsia="Barlow Semi Condensed" w:hAnsi="Barlow Semi Condensed"/>
          <w:sz w:val="24"/>
          <w:szCs w:val="24"/>
        </w:rPr>
        <w:t xml:space="preserve">non ne offre nessuno dei due nella forma che cercano. Va detto per esteso,</w:t>
      </w:r>
    </w:p>
    <w:p>
      <w:pPr>
        <w:spacing w:after="120" w:line="276"/>
        <w:jc w:val="both"/>
      </w:pPr>
      <w:r>
        <w:rPr>
          <w:rFonts w:ascii="Barlow Semi Condensed" w:cs="Barlow Semi Condensed" w:eastAsia="Barlow Semi Condensed" w:hAnsi="Barlow Semi Condensed"/>
          <w:sz w:val="24"/>
          <w:szCs w:val="24"/>
        </w:rPr>
        <w:t xml:space="preserve">perché la formula secca direbbe oggi meno del vero: un Libro dei quattordici</w:t>
      </w:r>
    </w:p>
    <w:p>
      <w:pPr>
        <w:spacing w:after="120" w:line="276"/>
        <w:jc w:val="both"/>
      </w:pPr>
      <w:r>
        <w:rPr>
          <w:rFonts w:ascii="Barlow Semi Condensed" w:cs="Barlow Semi Condensed" w:eastAsia="Barlow Semi Condensed" w:hAnsi="Barlow Semi Condensed"/>
          <w:sz w:val="24"/>
          <w:szCs w:val="24"/>
        </w:rPr>
        <w:t xml:space="preserve">ordina per plausibilità del coinvolgimento, ma per categorie di soggetti e non</w:t>
      </w:r>
    </w:p>
    <w:p>
      <w:pPr>
        <w:spacing w:after="120" w:line="276"/>
        <w:jc w:val="both"/>
      </w:pPr>
      <w:r>
        <w:rPr>
          <w:rFonts w:ascii="Barlow Semi Condensed" w:cs="Barlow Semi Condensed" w:eastAsia="Barlow Semi Condensed" w:hAnsi="Barlow Semi Condensed"/>
          <w:sz w:val="24"/>
          <w:szCs w:val="24"/>
        </w:rPr>
        <w:t xml:space="preserve">per nomi, muovendo dai condannati in via definitiva e rifiutando di nominare un</w:t>
      </w:r>
    </w:p>
    <w:p>
      <w:pPr>
        <w:spacing w:after="120" w:line="276"/>
        <w:jc w:val="both"/>
      </w:pPr>
      <w:r>
        <w:rPr>
          <w:rFonts w:ascii="Barlow Semi Condensed" w:cs="Barlow Semi Condensed" w:eastAsia="Barlow Semi Condensed" w:hAnsi="Barlow Semi Condensed"/>
          <w:sz w:val="24"/>
          <w:szCs w:val="24"/>
        </w:rPr>
        <w:t xml:space="preserve">mandante esterno — cioè fa l'esatto contrario di quel che una casa di denuncia</w:t>
      </w:r>
    </w:p>
    <w:p>
      <w:pPr>
        <w:spacing w:after="120" w:line="276"/>
        <w:jc w:val="both"/>
      </w:pPr>
      <w:r>
        <w:rPr>
          <w:rFonts w:ascii="Barlow Semi Condensed" w:cs="Barlow Semi Condensed" w:eastAsia="Barlow Semi Condensed" w:hAnsi="Barlow Semi Condensed"/>
          <w:sz w:val="24"/>
          <w:szCs w:val="24"/>
        </w:rPr>
        <w:t xml:space="preserve">vorrebbe titolare. Una pubblicazione lì trasformerebbe un apparato di cautele</w:t>
      </w:r>
    </w:p>
    <w:p>
      <w:pPr>
        <w:spacing w:after="120" w:line="276"/>
        <w:jc w:val="both"/>
      </w:pPr>
      <w:r>
        <w:rPr>
          <w:rFonts w:ascii="Barlow Semi Condensed" w:cs="Barlow Semi Condensed" w:eastAsia="Barlow Semi Condensed" w:hAnsi="Barlow Semi Condensed"/>
          <w:sz w:val="24"/>
          <w:szCs w:val="24"/>
        </w:rPr>
        <w:t xml:space="preserve">nel suo contrario, e la prima recensione lo direbbe.</w:t>
      </w:r>
    </w:p>
    <w:p>
      <w:pPr>
        <w:spacing w:after="120" w:line="276"/>
        <w:jc w:val="both"/>
      </w:pPr>
      <w:r>
        <w:rPr>
          <w:rFonts w:ascii="Barlow Semi Condensed" w:cs="Barlow Semi Condensed" w:eastAsia="Barlow Semi Condensed" w:hAnsi="Barlow Semi Condensed"/>
          <w:b/>
          <w:bCs/>
          <w:sz w:val="24"/>
          <w:szCs w:val="24"/>
        </w:rPr>
        <w:t xml:space="preserve">Chiunque chieda un contributo economico.</w:t>
      </w:r>
      <w:r>
        <w:rPr>
          <w:rFonts w:ascii="Barlow Semi Condensed" w:cs="Barlow Semi Condensed" w:eastAsia="Barlow Semi Condensed" w:hAnsi="Barlow Semi Condensed"/>
          <w:sz w:val="24"/>
          <w:szCs w:val="24"/>
        </w:rPr>
        <w:t xml:space="preserve"> L'editoria a pagamento non pubblica:</w:t>
      </w:r>
    </w:p>
    <w:p>
      <w:pPr>
        <w:spacing w:after="120" w:line="276"/>
        <w:jc w:val="both"/>
      </w:pPr>
      <w:r>
        <w:rPr>
          <w:rFonts w:ascii="Barlow Semi Condensed" w:cs="Barlow Semi Condensed" w:eastAsia="Barlow Semi Condensed" w:hAnsi="Barlow Semi Condensed"/>
          <w:sz w:val="24"/>
          <w:szCs w:val="24"/>
        </w:rPr>
        <w:t xml:space="preserve">stampa. Per un'opera che deve essere citabile e credibile è peggio di non</w:t>
      </w:r>
    </w:p>
    <w:p>
      <w:pPr>
        <w:spacing w:after="120" w:line="276"/>
        <w:jc w:val="both"/>
      </w:pPr>
      <w:r>
        <w:rPr>
          <w:rFonts w:ascii="Barlow Semi Condensed" w:cs="Barlow Semi Condensed" w:eastAsia="Barlow Semi Condensed" w:hAnsi="Barlow Semi Condensed"/>
          <w:sz w:val="24"/>
          <w:szCs w:val="24"/>
        </w:rPr>
        <w:t xml:space="preserve">pubblicare affatto.</w:t>
      </w:r>
    </w:p>
    <w:p>
      <w:pPr>
        <w:spacing w:after="120" w:line="276"/>
        <w:jc w:val="both"/>
      </w:pPr>
      <w:r>
        <w:rPr>
          <w:rFonts w:ascii="Barlow Semi Condensed" w:cs="Barlow Semi Condensed" w:eastAsia="Barlow Semi Condensed" w:hAnsi="Barlow Semi Condensed"/>
          <w:b/>
          <w:bCs/>
          <w:sz w:val="24"/>
          <w:szCs w:val="24"/>
        </w:rPr>
        <w:t xml:space="preserve">I canali che chiedono di non dichiarare l'uso dell'intelligenza artificiale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o che suggeriscono di attenuarlo. La dichiarazione è la condizione di serietà</w:t>
      </w:r>
    </w:p>
    <w:p>
      <w:pPr>
        <w:spacing w:after="120" w:line="276"/>
        <w:jc w:val="both"/>
      </w:pPr>
      <w:r>
        <w:rPr>
          <w:rFonts w:ascii="Barlow Semi Condensed" w:cs="Barlow Semi Condensed" w:eastAsia="Barlow Semi Condensed" w:hAnsi="Barlow Semi Condensed"/>
          <w:sz w:val="24"/>
          <w:szCs w:val="24"/>
        </w:rPr>
        <w:t xml:space="preserve">dell'intero lavoro; toglierla lo rende un altro oggetto, e un oggetto peggiore.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L'ordine consigliato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subito: deposito e DOI. Costa un pomeriggio e cambia tutto il resto.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nota a «Italia contemporanea»</w:t>
      </w:r>
      <w:r>
        <w:rPr>
          <w:rFonts w:ascii="Barlow Semi Condensed" w:cs="Barlow Semi Condensed" w:eastAsia="Barlow Semi Condensed" w:hAnsi="Barlow Semi Condensed"/>
          <w:sz w:val="24"/>
          <w:szCs w:val="24"/>
        </w:rPr>
        <w:t xml:space="preserve">, quattro pagine sui due accertamenti.</w:t>
      </w:r>
    </w:p>
    <w:p>
      <w:pPr>
        <w:spacing w:after="120" w:line="276"/>
        <w:jc w:val="both"/>
      </w:pPr>
      <w:r>
        <w:rPr>
          <w:rFonts w:ascii="Barlow Semi Condensed" w:cs="Barlow Semi Condensed" w:eastAsia="Barlow Semi Condensed" w:hAnsi="Barlow Semi Condensed"/>
          <w:sz w:val="24"/>
          <w:szCs w:val="24"/>
        </w:rPr>
        <w:t xml:space="preserve">   È il passo con la probabilità più alta e il costo più basso.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con la bozza già pronta.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capitolo campione del saggio</w:t>
      </w:r>
      <w:r>
        <w:rPr>
          <w:rFonts w:ascii="Barlow Semi Condensed" w:cs="Barlow Semi Condensed" w:eastAsia="Barlow Semi Condensed" w:hAnsi="Barlow Semi Condensed"/>
          <w:sz w:val="24"/>
          <w:szCs w:val="24"/>
        </w:rPr>
        <w:t xml:space="preserve">, e solo dopo le proposte agli editori —</w:t>
      </w:r>
    </w:p>
    <w:p>
      <w:pPr>
        <w:spacing w:after="120" w:line="276"/>
        <w:jc w:val="both"/>
      </w:pPr>
      <w:r>
        <w:rPr>
          <w:rFonts w:ascii="Barlow Semi Condensed" w:cs="Barlow Semi Condensed" w:eastAsia="Barlow Semi Condensed" w:hAnsi="Barlow Semi Condensed"/>
          <w:sz w:val="24"/>
          <w:szCs w:val="24"/>
        </w:rPr>
        <w:t xml:space="preserve">   a Codice e al Mulino prima che a Laterza, per affinità di catalogo.</w:t>
      </w:r>
    </w:p>
    <w:p>
      <w:pPr>
        <w:spacing w:after="120" w:line="276"/>
        <w:jc w:val="both"/>
      </w:pPr>
      <w:r>
        <w:rPr>
          <w:rFonts w:ascii="Barlow Semi Condensed" w:cs="Barlow Semi Condensed" w:eastAsia="Barlow Semi Condensed" w:hAnsi="Barlow Semi Condensed"/>
          <w:sz w:val="24"/>
          <w:szCs w:val="24"/>
        </w:rPr>
        <w:t xml:space="preserve">Il motivo dell'ordine è uno solo: </w:t>
      </w:r>
      <w:r>
        <w:rPr>
          <w:rFonts w:ascii="Barlow Semi Condensed" w:cs="Barlow Semi Condensed" w:eastAsia="Barlow Semi Condensed" w:hAnsi="Barlow Semi Condensed"/>
          <w:b/>
          <w:bCs/>
          <w:sz w:val="24"/>
          <w:szCs w:val="24"/>
        </w:rPr>
        <w:t xml:space="preserve">ogni passo rende più facile il successivo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DOI rende la nota citabile; una nota pubblicata rende la proposta editoriale</w:t>
      </w:r>
    </w:p>
    <w:p>
      <w:pPr>
        <w:spacing w:after="120" w:line="276"/>
        <w:jc w:val="both"/>
      </w:pPr>
      <w:r>
        <w:rPr>
          <w:rFonts w:ascii="Barlow Semi Condensed" w:cs="Barlow Semi Condensed" w:eastAsia="Barlow Semi Condensed" w:hAnsi="Barlow Semi Condensed"/>
          <w:sz w:val="24"/>
          <w:szCs w:val="24"/>
        </w:rPr>
        <w:t xml:space="preserve">qualcosa di più di un'idea; un editore interessato rende l'apparato un</w:t>
      </w:r>
    </w:p>
    <w:p>
      <w:pPr>
        <w:spacing w:after="120" w:line="276"/>
        <w:jc w:val="both"/>
      </w:pPr>
      <w:r>
        <w:rPr>
          <w:rFonts w:ascii="Barlow Semi Condensed" w:cs="Barlow Semi Condensed" w:eastAsia="Barlow Semi Condensed" w:hAnsi="Barlow Semi Condensed"/>
          <w:sz w:val="24"/>
          <w:szCs w:val="24"/>
        </w:rPr>
        <w:t xml:space="preserve">patrimonio invece che un file.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vi. La mappa dei destinatari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994 parole in 6 sezioni; la più ampia è §2 Per il terzo oggetto — la nota scientifica, con 200.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20 paragrafi in 6 sezioni, 3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 Il registro dei canali PEC</w:t>
      </w:r>
    </w:p>
    <w:p>
      <w:pPr>
        <w:pStyle w:val="Heading1"/>
        <w:spacing w:after="120" w:before="240"/>
      </w:pPr>
      <w:r>
        <w:rPr>
          <w:rFonts w:ascii="Barlow Semi Condensed" w:cs="Barlow Semi Condensed" w:eastAsia="Barlow Semi Condensed" w:hAnsi="Barlow Semi Condensed"/>
          <w:sz w:val="24"/>
          <w:szCs w:val="24"/>
        </w:rPr>
        <w:t xml:space="preserve">Registro PEC e canali di contatto — agosto 2026</w:t>
      </w:r>
    </w:p>
    <w:p>
      <w:pPr>
        <w:spacing w:after="120" w:line="276"/>
        <w:jc w:val="both"/>
      </w:pPr>
      <w:r>
        <w:rPr>
          <w:rFonts w:ascii="Barlow Semi Condensed" w:cs="Barlow Semi Condensed" w:eastAsia="Barlow Semi Condensed" w:hAnsi="Barlow Semi Condensed"/>
          <w:sz w:val="24"/>
          <w:szCs w:val="24"/>
        </w:rPr>
        <w:t xml:space="preserve">**Tutti i destinatari del dossier di diffusione, con tipo di canale, recapito</w:t>
      </w:r>
    </w:p>
    <w:p>
      <w:pPr>
        <w:spacing w:after="120" w:line="276"/>
        <w:jc w:val="both"/>
      </w:pPr>
      <w:r>
        <w:rPr>
          <w:rFonts w:ascii="Barlow Semi Condensed" w:cs="Barlow Semi Condensed" w:eastAsia="Barlow Semi Condensed" w:hAnsi="Barlow Semi Condensed"/>
          <w:sz w:val="24"/>
          <w:szCs w:val="24"/>
        </w:rPr>
        <w:t xml:space="preserve">verificato, e grado della verifica dichiarato.**</w:t>
      </w:r>
    </w:p>
    <w:p>
      <w:pPr>
        <w:spacing w:after="120" w:line="276"/>
        <w:jc w:val="both"/>
      </w:pPr>
      <w:r>
        <w:rPr>
          <w:rFonts w:ascii="Barlow Semi Condensed" w:cs="Barlow Semi Condensed" w:eastAsia="Barlow Semi Condensed" w:hAnsi="Barlow Semi Condensed"/>
          <w:sz w:val="24"/>
          <w:szCs w:val="24"/>
        </w:rPr>
        <w:t xml:space="preserve">Compilato il 26 agosto 2026 alle 12:45 CET. Base informativa: checklist di</w:t>
      </w:r>
    </w:p>
    <w:p>
      <w:pPr>
        <w:spacing w:after="120" w:line="276"/>
        <w:jc w:val="both"/>
      </w:pPr>
      <w:r>
        <w:rPr>
          <w:rFonts w:ascii="Barlow Semi Condensed" w:cs="Barlow Semi Condensed" w:eastAsia="Barlow Semi Condensed" w:hAnsi="Barlow Semi Condensed"/>
          <w:sz w:val="24"/>
          <w:szCs w:val="24"/>
        </w:rPr>
        <w:t xml:space="preserve">invio, file delle proposte, ricerca web su siti ufficiali degli editori.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0 — invii immediati (non in concorrenza)</w:t>
      </w:r>
    </w:p>
    <w:p>
      <w:pPr>
        <w:pStyle w:val="Heading3"/>
        <w:spacing w:after="80" w:before="160"/>
      </w:pPr>
      <w:r>
        <w:rPr>
          <w:rFonts w:ascii="Barlow Semi Condensed" w:cs="Barlow Semi Condensed" w:eastAsia="Barlow Semi Condensed" w:hAnsi="Barlow Semi Condensed"/>
          <w:sz w:val="24"/>
          <w:szCs w:val="24"/>
        </w:rPr>
        <w:t xml:space="preserve">0 · Centro documentazione Archivio «Flamigni» 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certificata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PEC</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w:t>
            </w:r>
            <w:r>
              <w:rPr>
                <w:rFonts w:ascii="Barlow Semi Condensed" w:cs="Barlow Semi Condensed" w:eastAsia="Barlow Semi Condensed" w:hAnsi="Barlow Semi Condensed"/>
                <w:sz w:val="20"/>
                <w:szCs w:val="20"/>
              </w:rPr>
              <w:t xml:space="preserve"> — non ancora accertato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Metodi di ricerca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RUNTS (Registro Unico Nazionale del Terzo Settore); INI-PEC; sito archivioflamigni.org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Piazza Bartolomeo Romano 6, 00154 Roma (Garbatella)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Accertato che non è stato accertato.</w:t>
            </w:r>
            <w:r>
              <w:rPr>
                <w:rFonts w:ascii="Barlow Semi Condensed" w:cs="Barlow Semi Condensed" w:eastAsia="Barlow Semi Condensed" w:hAnsi="Barlow Semi Condensed"/>
                <w:sz w:val="20"/>
                <w:szCs w:val="20"/>
              </w:rPr>
              <w:t xml:space="preserve"> La bozza della comunicazione contiene esplicitamente l'istruzione di ricercare il PEC prima dell'invio. Canale e sua apertura verificati; indirizzo specifico non ancora reperibile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a contatti generici della fondazione fino a reperimento del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non essenziale per efficacia comunicativa, ma certificato data/ora dell'invio secondo DPR 68/2005</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0-ter · Archivio storico della Camera dei deputati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Richiesta di riproduzione — PEC o modulo istituzionale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Piazza San Macuto 57, 00186 Roma — Palazzo del Seminario, primo piano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Segreteria</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ars_segreteria@camera.it</w:t>
            </w:r>
            <w:r>
              <w:rPr>
                <w:rFonts w:ascii="Barlow Semi Condensed" w:cs="Barlow Semi Condensed" w:eastAsia="Barlow Semi Condensed" w:hAnsi="Barlow Semi Condensed"/>
                <w:sz w:val="20"/>
                <w:szCs w:val="20"/>
              </w:rPr>
              <w:t xml:space="preserve"> · tel. 06 6760 3880 · lun-ven 9.30-16.30</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alla segreteria indicando l'argomento della ricerca e i documenti da consultare; l'accesso alla sala studio si concorda di lì</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B — reperito, non letto.</w:t>
            </w:r>
            <w:r>
              <w:rPr>
                <w:rFonts w:ascii="Barlow Semi Condensed" w:cs="Barlow Semi Condensed" w:eastAsia="Barlow Semi Condensed" w:hAnsi="Barlow Semi Condensed"/>
                <w:sz w:val="20"/>
                <w:szCs w:val="20"/>
              </w:rPr>
              <w:t xml:space="preserve"> Due ricerche indipendenti convergono riferendo le pagine istituzionali della Camera; le pagine non sono state aperte, perché il proxy di questa sessione blocca l'uscita verso </w:t>
            </w:r>
            <w:r>
              <w:rPr>
                <w:rFonts w:ascii="Barlow Semi Condensed" w:cs="Barlow Semi Condensed" w:eastAsia="Barlow Semi Condensed" w:hAnsi="Barlow Semi Condensed"/>
                <w:i/>
                <w:iCs/>
                <w:sz w:val="20"/>
                <w:szCs w:val="20"/>
              </w:rPr>
              <w:t xml:space="preserve">camera.it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Da confermare sul sito prima di spedire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Prima di spedire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 volumi della Commissione P2 risultano </w:t>
            </w:r>
            <w:r>
              <w:rPr>
                <w:rFonts w:ascii="Barlow Semi Condensed" w:cs="Barlow Semi Condensed" w:eastAsia="Barlow Semi Condensed" w:hAnsi="Barlow Semi Condensed"/>
                <w:b/>
                <w:bCs/>
                <w:sz w:val="20"/>
                <w:szCs w:val="20"/>
              </w:rPr>
              <w:t xml:space="preserve">digitalizzati</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inchieste.camera.it/p2/documenti.html?leg=09</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archivioantimafia.org/p2/commissione_parlamentare/</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memoria.san.beniculturali.it</w:t>
            </w:r>
            <w:r>
              <w:rPr>
                <w:rFonts w:ascii="Barlow Semi Condensed" w:cs="Barlow Semi Condensed" w:eastAsia="Barlow Semi Condensed" w:hAnsi="Barlow Semi Condensed"/>
                <w:sz w:val="20"/>
                <w:szCs w:val="20"/>
              </w:rPr>
              <w:t xml:space="preserve">. Ciò che si apre da un browser non si chiede per posta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Che cosa si chiede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Doc. XXIII n. 2-quater/2/I, IX legislatura, Roma 1984 — riproduzione integrale degli </w:t>
            </w:r>
            <w:r>
              <w:rPr>
                <w:rFonts w:ascii="Barlow Semi Condensed" w:cs="Barlow Semi Condensed" w:eastAsia="Barlow Semi Condensed" w:hAnsi="Barlow Semi Condensed"/>
                <w:b/>
                <w:bCs/>
                <w:sz w:val="20"/>
                <w:szCs w:val="20"/>
              </w:rPr>
              <w:t xml:space="preserve">allegati 13</w:t>
            </w:r>
            <w:r>
              <w:rPr>
                <w:rFonts w:ascii="Barlow Semi Condensed" w:cs="Barlow Semi Condensed" w:eastAsia="Barlow Semi Condensed" w:hAnsi="Barlow Semi Condensed"/>
                <w:sz w:val="20"/>
                <w:szCs w:val="20"/>
              </w:rPr>
              <w:t xml:space="preserve"> (pp. I, 258-280) e </w:t>
            </w:r>
            <w:r>
              <w:rPr>
                <w:rFonts w:ascii="Barlow Semi Condensed" w:cs="Barlow Semi Condensed" w:eastAsia="Barlow Semi Condensed" w:hAnsi="Barlow Semi Condensed"/>
                <w:b/>
                <w:bCs/>
                <w:sz w:val="20"/>
                <w:szCs w:val="20"/>
              </w:rPr>
              <w:t xml:space="preserve">21</w:t>
            </w:r>
            <w:r>
              <w:rPr>
                <w:rFonts w:ascii="Barlow Semi Condensed" w:cs="Barlow Semi Condensed" w:eastAsia="Barlow Semi Condensed" w:hAnsi="Barlow Semi Condensed"/>
                <w:sz w:val="20"/>
                <w:szCs w:val="20"/>
              </w:rPr>
              <w:t xml:space="preserve"> (pp. I, 474-507), 52 pagine, con intestazioni di colonna visibili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Biblioteca della Camera; Archivio storico del Senato (che conserva il Fondo Moro, IT-AFS-048); Biblioteca del Senato «Giovanni Spadolini»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l'unica richiesta del dossier che possa spostare un grado probatorio anziché diffondere l'opera. Testo pronto in `</w:t>
            </w:r>
            <w:r>
              <w:rPr>
                <w:rFonts w:ascii="Barlow Semi Condensed" w:cs="Barlow Semi Condensed" w:eastAsia="Barlow Semi Condensed" w:hAnsi="Barlow Semi Condensed"/>
                <w:i/>
                <w:iCs/>
                <w:sz w:val="20"/>
                <w:szCs w:val="20"/>
              </w:rPr>
              <w:t xml:space="preserve">richiesta-archivio-storico-camera.md</w:t>
            </w:r>
            <w:r>
              <w:rPr>
                <w:rFonts w:ascii="Barlow Semi Condensed" w:cs="Barlow Semi Condensed" w:eastAsia="Barlow Semi Condensed" w:hAnsi="Barlow Semi Condensed"/>
                <w:sz w:val="20"/>
                <w:szCs w:val="20"/>
              </w:rPr>
              <w:t xml:space="preserve">`. Non dipende dal DOI e può partire per prima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ordinaria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 legale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dei Gracchi 29/B, 00192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Presidente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prof. Renato Moro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Segretario-tesoriere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dott. Luigi Mandolesi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email</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 prima dell'invio.</w:t>
            </w:r>
            <w:r>
              <w:rPr>
                <w:rFonts w:ascii="Barlow Semi Condensed" w:cs="Barlow Semi Condensed" w:eastAsia="Barlow Semi Condensed" w:hAnsi="Barlow Semi Condensed"/>
                <w:sz w:val="20"/>
                <w:szCs w:val="20"/>
              </w:rPr>
              <w:t xml:space="preserve"> Preferibilmente contatto istituzionale della Fondazione. Fallback: indirizzo del presidente in quanto presidente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Nazionale Opere Aldo Moro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 tecnico distinto presso Università di Bologna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sede legale e nomi verificati.</w:t>
            </w:r>
            <w:r>
              <w:rPr>
                <w:rFonts w:ascii="Barlow Semi Condensed" w:cs="Barlow Semi Condensed" w:eastAsia="Barlow Semi Condensed" w:hAnsi="Barlow Semi Condensed"/>
                <w:sz w:val="20"/>
                <w:szCs w:val="20"/>
              </w:rPr>
              <w:t xml:space="preserve"> Indirizzi email specifici non accertati. Sito istituzionale della Fondazione è fonte primaria per localizzare il recapito appropriato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Ricerca del recapito via Edizione Nazionale; in ultima istanza, lettera al presidente come persona istituzionale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richiede PEC. La lettera tocca memoria di persona deceduta e famiglia vivente: occorre leggibilità e rispetto istituzionale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Deposito digitale con HTTPS (non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https://zenodo.org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Account personale; caricamento file PDF; scelta licenza; generazione DOI automatica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procedura conforme a documentazione ufficiale Zenodo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 minuti per caricamento + 1 ora per processamento e generazione DOI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DOI generato a deposito completato è citato in tutte le proposte editoriali successive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1 — editori generici (modulo online o email)</w:t>
      </w:r>
    </w:p>
    <w:p>
      <w:pPr>
        <w:pStyle w:val="Heading3"/>
        <w:spacing w:after="80" w:before="160"/>
      </w:pPr>
      <w:r>
        <w:rPr>
          <w:rFonts w:ascii="Barlow Semi Condensed" w:cs="Barlow Semi Condensed" w:eastAsia="Barlow Semi Condensed" w:hAnsi="Barlow Semi Condensed"/>
          <w:sz w:val="24"/>
          <w:szCs w:val="24"/>
        </w:rPr>
        <w:t xml:space="preserve">1 · Società editrice il Mulino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(registrazione richiesta)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editore il Mulino,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Registrazione account; compilazione modulo con campi predefiniti; upload PDF del capitolo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modulo presente e funzionante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 email diretto. Non copiare-incollare da documento di word: compilare i campi del modulo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modulo web</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principale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corso Sempione 2, 20154 Milano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alternativa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online sul sito editore (verificare quale sia il canale preferito al momento dell'invio)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e pagina contatti raggiunti il 26 agosto 2026. Indirizzo coerente con tono della casa editrice (indirizzo dedicato, non generico)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il catalogo più affine ai nove editori per questa materia. Merita cura particolare nella redazione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Carocci editore,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Compilazione modulo online con allegati (scheda dell'opera; capitolo campione completo di esercizio)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pagina proposte editoriali presente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Diverso dal modulo del Mulino: qui si carica capitolo completo, non estratto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2 — editori con tempi lunghi</w:t>
      </w:r>
    </w:p>
    <w:p>
      <w:pPr>
        <w:pStyle w:val="Heading3"/>
        <w:spacing w:after="80" w:before="160"/>
      </w:pPr>
      <w:r>
        <w:rPr>
          <w:rFonts w:ascii="Barlow Semi Condensed" w:cs="Barlow Semi Condensed" w:eastAsia="Barlow Semi Condensed" w:hAnsi="Barlow Semi Condensed"/>
          <w:sz w:val="24"/>
          <w:szCs w:val="24"/>
        </w:rPr>
        <w:t xml:space="preserve">4 · Editori Laterza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cartacea (carta stampata;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Roma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Redazione, via di Villa Sacchetti 17, 00197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Bari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Direzione editoriale, piazza Umberto I 54, 70121 Bari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Stampa proposta + indice + bio-bibliografia; fascicolazione; invio cartaceo (raccomandata consigliata)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Indirizzi ricavati dal sito ufficiale Laterza (sezione contatti / redazione). Entrambi gli indirizzi sono attuali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Nessuna risposta entro 12 mesi = rifiuto implicito.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Unico invio cartaceo fra i nove editori. Va preventivato tempo per stampa e spedizione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3 — editori che valutano l'opera, non l'idea</w:t>
      </w:r>
    </w:p>
    <w:p>
      <w:pPr>
        <w:pStyle w:val="Heading3"/>
        <w:spacing w:after="80" w:before="160"/>
      </w:pPr>
      <w:r>
        <w:rPr>
          <w:rFonts w:ascii="Barlow Semi Condensed" w:cs="Barlow Semi Condensed" w:eastAsia="Barlow Semi Condensed" w:hAnsi="Barlow Semi Condensed"/>
          <w:sz w:val="24"/>
          <w:szCs w:val="24"/>
        </w:rPr>
        <w:t xml:space="preserve">5 · Bompiani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(online form)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manoscritti.bompiani.it (gruppo Giunti)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Caricamento PDF (max 5 MB); nessun link esterno, nessun cloud; nessun accesso a testo non ancora scritto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URL raggiungibile al 26 agosto 2026. Istruzioni coerenti con informazioni ufficiali editore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Segreteria non riceve telefonate. Testi non si restituiscono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Regola critica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Una proposta ogni dodici mesi massimo.</w:t>
            </w:r>
            <w:r>
              <w:rPr>
                <w:rFonts w:ascii="Barlow Semi Condensed" w:cs="Barlow Semi Condensed" w:eastAsia="Barlow Semi Condensed" w:hAnsi="Barlow Semi Condensed"/>
                <w:sz w:val="20"/>
                <w:szCs w:val="20"/>
              </w:rPr>
              <w:t xml:space="preserve"> Non può essere riproposta la stessa idea entro 12 mesi dallo scarto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un colpo solo per anno. Non spenderlo su testo non ancora scritto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Giulio Einaudi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(per saggistica)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einaudi@einaudi.it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Invio email con allegati: curriculum vitae completo; testo integrale dell'opera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Requisito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indirizzo, email, telefono ripetuti </w:t>
            </w:r>
            <w:r>
              <w:rPr>
                <w:rFonts w:ascii="Barlow Semi Condensed" w:cs="Barlow Semi Condensed" w:eastAsia="Barlow Semi Condensed" w:hAnsi="Barlow Semi Condensed"/>
                <w:b/>
                <w:bCs/>
                <w:sz w:val="20"/>
                <w:szCs w:val="20"/>
              </w:rPr>
              <w:t xml:space="preserve">anche in testa al documento allegato</w:t>
            </w:r>
            <w:r>
              <w:rPr>
                <w:rFonts w:ascii="Barlow Semi Condensed" w:cs="Barlow Semi Condensed" w:eastAsia="Barlow Semi Condensed" w:hAnsi="Barlow Semi Condensed"/>
                <w:sz w:val="20"/>
                <w:szCs w:val="20"/>
              </w:rPr>
              <w:t xml:space="preserve"> (non solo in email)</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Einaudi consultato; email coerente con procedura di submission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Stimabile intorno a 6 mesi.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 critica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Valuta l'opera, non l'idea. Una proposta su testo non scritto non è funzionale. </w:t>
            </w:r>
            <w:r>
              <w:rPr>
                <w:rFonts w:ascii="Barlow Semi Condensed" w:cs="Barlow Semi Condensed" w:eastAsia="Barlow Semi Condensed" w:hAnsi="Barlow Semi Condensed"/>
                <w:b/>
                <w:bCs/>
                <w:sz w:val="20"/>
                <w:szCs w:val="20"/>
              </w:rPr>
              <w:t xml:space="preserve">Inviare solo a saggio scritto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Porte non immediatamente praticabili</w:t>
      </w:r>
    </w:p>
    <w:p>
      <w:pPr>
        <w:pStyle w:val="Heading3"/>
        <w:spacing w:after="80" w:before="160"/>
      </w:pPr>
      <w:r>
        <w:rPr>
          <w:rFonts w:ascii="Barlow Semi Condensed" w:cs="Barlow Semi Condensed" w:eastAsia="Barlow Semi Condensed" w:hAnsi="Barlow Semi Condensed"/>
          <w:sz w:val="24"/>
          <w:szCs w:val="24"/>
        </w:rPr>
        <w:t xml:space="preserve">7 · Feltrinelli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Sospeso (in accertamento)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Stato attuale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Ricezione di manoscritti risulta sospesa per volume di proposte pervenute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 canale riaprisse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deve dichiarare in apertura la presenza nello stesso corpus di uno studio monografico su Giangiacomo Feltrinelli e della trattazione della sua morte. Dichiarare esplicitamente che nessuna attribuzione di reato oltre il giudicato è contenuta nel corpus, e che un Libro dei quattordici ordina per plausibilità del coinvolgimento — per categorie di soggetti e non per nomi — senza mai nominarvi Feltrinelli. Ometterlo produce effetti gravi: sembrare di non aver letto il proprio corpus, oppure sembrare provocatore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Verificare periodicamente se canale riapre; oppure proporre via agente letterario se affinità di catalogo la giustifica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Nessuno diretto (closed door)</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ufficiale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valuta manoscritti spontanei; non ha indirizzo dedicato agli inediti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Vie praticabili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Agente letterario; oppure torneo letterario digitale gratuito promosso dal gruppo editoriale di appartenenza (Bollati e Chiarelettere sono dello stesso gruppo)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catalogo — storiografia, scienze umane, filosofia, metodologia — è fra i più adatti dei nove. È la porta giusta senza maniglia. Un agente si procura </w:t>
            </w:r>
            <w:r>
              <w:rPr>
                <w:rFonts w:ascii="Barlow Semi Condensed" w:cs="Barlow Semi Condensed" w:eastAsia="Barlow Semi Condensed" w:hAnsi="Barlow Semi Condensed"/>
                <w:b/>
                <w:bCs/>
                <w:sz w:val="20"/>
                <w:szCs w:val="20"/>
              </w:rPr>
              <w:t xml:space="preserve">dopo</w:t>
            </w:r>
            <w:r>
              <w:rPr>
                <w:rFonts w:ascii="Barlow Semi Condensed" w:cs="Barlow Semi Condensed" w:eastAsia="Barlow Semi Condensed" w:hAnsi="Barlow Semi Condensed"/>
                <w:sz w:val="20"/>
                <w:szCs w:val="20"/>
              </w:rPr>
              <w:t xml:space="preserve"> che il saggio è scritto, non prima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personale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posta cartacea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b.ciampichetti@astrolabio-ubaldini.com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Guido d'Arezzo 16, 00198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Catalogo dichiarato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Psicologia del profondo; filosofie e religioni orientali (fondazione 1944, specifica continuità)</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Questo corpus</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rientra nel perimetro dichiarato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raggiungibile; informazioni catalogo coerenti con sito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Raccomandazione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inviare</w:t>
            </w:r>
            <w:r>
              <w:rPr>
                <w:rFonts w:ascii="Barlow Semi Condensed" w:cs="Barlow Semi Condensed" w:eastAsia="Barlow Semi Condensed" w:hAnsi="Barlow Semi Condensed"/>
                <w:sz w:val="20"/>
                <w:szCs w:val="20"/>
              </w:rPr>
              <w:t xml:space="preserve"> non per scarsa qualità dell'editore, ma perché il corpus non appartiene agli argomenti che l'editore stesso dichiara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Omonimia da sciogliere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Esiste «L'Astrolabio», il periodico politico fondato da Ferruccio Parri. Se fosse il destinatario, il canale appropriato è l'Istituto Ferruccio Parri (INFRP), già nella mappa di diffusione come ente d'archivio (ondata 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Destinatari di natura diversa</w:t>
      </w:r>
    </w:p>
    <w:p>
      <w:pPr>
        <w:pStyle w:val="Heading3"/>
        <w:spacing w:after="80" w:before="160"/>
      </w:pPr>
      <w:r>
        <w:rPr>
          <w:rFonts w:ascii="Barlow Semi Condensed" w:cs="Barlow Semi Condensed" w:eastAsia="Barlow Semi Condensed" w:hAnsi="Barlow Semi Condensed"/>
          <w:sz w:val="24"/>
          <w:szCs w:val="24"/>
        </w:rPr>
        <w:t xml:space="preserve">Archivi e istituti storici (ondata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nazionale Ferruccio Parri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l'intenzione fosse «L'Astrolabio» (periodico), il destinatario è qui, non da Astrolabio editore. Vale per aparato su figure storiche e pubblicazioni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per la storia della Resistenza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Membro della rete INFRP</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Riviste di storia contemporanea (ondata parallela)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Rivista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Italia contemporanea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Pubblicazione breve (4 pagine) su accertamenti documentali. Una pubblicazione anche breve cambia il curriculum di presentazione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Edizioni critiche e nazionali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Edizione Nazionale delle Opere di Aldo Moro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Email universitario (Università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È interlocutore per </w:t>
            </w:r>
            <w:r>
              <w:rPr>
                <w:rFonts w:ascii="Barlow Semi Condensed" w:cs="Barlow Semi Condensed" w:eastAsia="Barlow Semi Condensed" w:hAnsi="Barlow Semi Condensed"/>
                <w:b/>
                <w:bCs/>
                <w:sz w:val="20"/>
                <w:szCs w:val="20"/>
              </w:rPr>
              <w:t xml:space="preserve">apparato delle citazioni</w:t>
            </w:r>
            <w:r>
              <w:rPr>
                <w:rFonts w:ascii="Barlow Semi Condensed" w:cs="Barlow Semi Condensed" w:eastAsia="Barlow Semi Condensed" w:hAnsi="Barlow Semi Condensed"/>
                <w:sz w:val="20"/>
                <w:szCs w:val="20"/>
              </w:rPr>
              <w:t xml:space="preserve">, non per quesito d'archivio. Va proposta separatamente, in altra forma, non lo stesso giorno della Fondazione Aldo Moro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Tabella sinottica: tipo di canale per ogni destinatario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Tipo canale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Indirizzo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PEC +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Piazza Bartolomeo Romano 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accertato che non accertato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0-bis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dei Gracchi 29/B,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indirizzo verificato; email da cercare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0-ter</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Archivio storico della Camera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alla segreteria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ars_segreteria@camera.it · p.za San Macuto 57,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 — reperito, non letto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2</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modulo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3</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Posta cartacea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Roma e Bari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manoscritti.bompiani.it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6</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einaudi@einaudi.it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7</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(sospeso)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8</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Agente/torneo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Guido d'Arezzo 16,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 non consigliato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https://zenodo.org</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Regole di invio che riguardano PEC e email</w:t>
      </w:r>
    </w:p>
    <w:p>
      <w:pPr>
        <w:pStyle w:val="Heading3"/>
        <w:spacing w:after="80" w:before="160"/>
      </w:pPr>
      <w:r>
        <w:rPr>
          <w:rFonts w:ascii="Barlow Semi Condensed" w:cs="Barlow Semi Condensed" w:eastAsia="Barlow Semi Condensed" w:hAnsi="Barlow Semi Condensed"/>
          <w:sz w:val="24"/>
          <w:szCs w:val="24"/>
        </w:rPr>
        <w:t xml:space="preserve">Quando usare PEC</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Posta Elettronica Certificata</w:t>
      </w:r>
      <w:r>
        <w:rPr>
          <w:rFonts w:ascii="Barlow Semi Condensed" w:cs="Barlow Semi Condensed" w:eastAsia="Barlow Semi Condensed" w:hAnsi="Barlow Semi Condensed"/>
          <w:sz w:val="24"/>
          <w:szCs w:val="24"/>
        </w:rPr>
        <w:t xml:space="preserve"> (PEC) secondo il D.P.R. 68/2005 certifica</w:t>
      </w:r>
    </w:p>
    <w:p>
      <w:pPr>
        <w:spacing w:after="120" w:line="276"/>
        <w:jc w:val="both"/>
      </w:pPr>
      <w:r>
        <w:rPr>
          <w:rFonts w:ascii="Barlow Semi Condensed" w:cs="Barlow Semi Condensed" w:eastAsia="Barlow Semi Condensed" w:hAnsi="Barlow Semi Condensed"/>
          <w:sz w:val="24"/>
          <w:szCs w:val="24"/>
        </w:rPr>
        <w:t xml:space="preserve">data, ora e contenuto della trasmissione. Obbligatoria quando: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l'ente è obbligato per legge a ricevere PEC (amministrazioni pubbliche)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 desira certificato della ricezione ai fini legali</w:t>
      </w:r>
    </w:p>
    <w:p>
      <w:pPr>
        <w:spacing w:after="120" w:line="276"/>
        <w:jc w:val="both"/>
      </w:pPr>
      <w:r>
        <w:rPr>
          <w:rFonts w:ascii="Barlow Semi Condensed" w:cs="Barlow Semi Condensed" w:eastAsia="Barlow Semi Condensed" w:hAnsi="Barlow Semi Condensed"/>
          <w:sz w:val="24"/>
          <w:szCs w:val="24"/>
        </w:rPr>
        <w:t xml:space="preserve">In questo dossier: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(ETS): ha l'obbligo di avere PEC, ma per uno studio</w:t>
      </w:r>
    </w:p>
    <w:p>
      <w:pPr>
        <w:spacing w:after="120" w:line="276"/>
        <w:jc w:val="both"/>
      </w:pPr>
      <w:r>
        <w:rPr>
          <w:rFonts w:ascii="Barlow Semi Condensed" w:cs="Barlow Semi Condensed" w:eastAsia="Barlow Semi Condensed" w:hAnsi="Barlow Semi Condensed"/>
          <w:sz w:val="24"/>
          <w:szCs w:val="24"/>
        </w:rPr>
        <w:t xml:space="preserve">  documentale non è essenziale legalmente — utile per certificare data dell'invio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 non obbligatorie ricevere PEC; email</w:t>
      </w:r>
    </w:p>
    <w:p>
      <w:pPr>
        <w:spacing w:after="120" w:line="276"/>
        <w:jc w:val="both"/>
      </w:pPr>
      <w:r>
        <w:rPr>
          <w:rFonts w:ascii="Barlow Semi Condensed" w:cs="Barlow Semi Condensed" w:eastAsia="Barlow Semi Condensed" w:hAnsi="Barlow Semi Condensed"/>
          <w:sz w:val="24"/>
          <w:szCs w:val="24"/>
        </w:rPr>
        <w:t xml:space="preserve">  ordinaria è sufficiente</w:t>
      </w:r>
    </w:p>
    <w:p>
      <w:pPr>
        <w:pStyle w:val="Heading3"/>
        <w:spacing w:after="80" w:before="160"/>
      </w:pPr>
      <w:r>
        <w:rPr>
          <w:rFonts w:ascii="Barlow Semi Condensed" w:cs="Barlow Semi Condensed" w:eastAsia="Barlow Semi Condensed" w:hAnsi="Barlow Semi Condensed"/>
          <w:sz w:val="24"/>
          <w:szCs w:val="24"/>
        </w:rPr>
        <w:t xml:space="preserve">Quando usare email ordinaria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Editori</w:t>
      </w:r>
      <w:r>
        <w:rPr>
          <w:rFonts w:ascii="Barlow Semi Condensed" w:cs="Barlow Semi Condensed" w:eastAsia="Barlow Semi Condensed" w:hAnsi="Barlow Semi Condensed"/>
          <w:sz w:val="24"/>
          <w:szCs w:val="24"/>
        </w:rPr>
        <w:t xml:space="preserve"> (salvo diversa comunicazione)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Riviste accademiche</w:t>
      </w:r>
    </w:p>
    <w:p>
      <w:pPr>
        <w:pStyle w:val="Heading3"/>
        <w:spacing w:after="80" w:before="160"/>
      </w:pPr>
      <w:r>
        <w:rPr>
          <w:rFonts w:ascii="Barlow Semi Condensed" w:cs="Barlow Semi Condensed" w:eastAsia="Barlow Semi Condensed" w:hAnsi="Barlow Semi Condensed"/>
          <w:sz w:val="24"/>
          <w:szCs w:val="24"/>
        </w:rPr>
        <w:t xml:space="preserve">Quando usare moduli web</w:t>
      </w:r>
    </w:p>
    <w:p>
      <w:pPr>
        <w:spacing w:after="120" w:line="276"/>
        <w:jc w:val="both"/>
      </w:pPr>
      <w:r>
        <w:rPr>
          <w:rFonts w:ascii="Barlow Semi Condensed" w:cs="Barlow Semi Condensed" w:eastAsia="Barlow Semi Condensed" w:hAnsi="Barlow Semi Condensed"/>
          <w:sz w:val="24"/>
          <w:szCs w:val="24"/>
        </w:rPr>
        <w:t xml:space="preserve">Non c'è alternative: i siti li richiedono per gestione centralizzata delle</w:t>
      </w:r>
    </w:p>
    <w:p>
      <w:pPr>
        <w:spacing w:after="120" w:line="276"/>
        <w:jc w:val="both"/>
      </w:pPr>
      <w:r>
        <w:rPr>
          <w:rFonts w:ascii="Barlow Semi Condensed" w:cs="Barlow Semi Condensed" w:eastAsia="Barlow Semi Condensed" w:hAnsi="Barlow Semi Condensed"/>
          <w:sz w:val="24"/>
          <w:szCs w:val="24"/>
        </w:rPr>
        <w:t xml:space="preserve">proposte.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Bompiani</w:t>
      </w:r>
      <w:r>
        <w:rPr>
          <w:rFonts w:ascii="Barlow Semi Condensed" w:cs="Barlow Semi Condensed" w:eastAsia="Barlow Semi Condensed" w:hAnsi="Barlow Semi Condensed"/>
          <w:sz w:val="24"/>
          <w:szCs w:val="24"/>
        </w:rPr>
        <w:t xml:space="preserve">: modulo obbligatorio</w:t>
      </w:r>
    </w:p>
    <w:p>
      <w:pPr>
        <w:pStyle w:val="Heading3"/>
        <w:spacing w:after="80" w:before="160"/>
      </w:pPr>
      <w:r>
        <w:rPr>
          <w:rFonts w:ascii="Barlow Semi Condensed" w:cs="Barlow Semi Condensed" w:eastAsia="Barlow Semi Condensed" w:hAnsi="Barlow Semi Condensed"/>
          <w:sz w:val="24"/>
          <w:szCs w:val="24"/>
        </w:rPr>
        <w:t xml:space="preserve">Quando usare posta cartacea</w:t>
      </w:r>
    </w:p>
    <w:p>
      <w:pPr>
        <w:spacing w:after="120" w:line="276"/>
        <w:jc w:val="both"/>
      </w:pPr>
      <w:r>
        <w:rPr>
          <w:rFonts w:ascii="Barlow Semi Condensed" w:cs="Barlow Semi Condensed" w:eastAsia="Barlow Semi Condensed" w:hAnsi="Barlow Semi Condensed"/>
          <w:sz w:val="24"/>
          <w:szCs w:val="24"/>
        </w:rPr>
        <w:t xml:space="preserve">Una sola: </w:t>
      </w:r>
      <w:r>
        <w:rPr>
          <w:rFonts w:ascii="Barlow Semi Condensed" w:cs="Barlow Semi Condensed" w:eastAsia="Barlow Semi Condensed" w:hAnsi="Barlow Semi Condensed"/>
          <w:b/>
          <w:bCs/>
          <w:sz w:val="24"/>
          <w:szCs w:val="24"/>
        </w:rPr>
        <w:t xml:space="preserve">Laterza</w:t>
      </w:r>
      <w:r>
        <w:rPr>
          <w:rFonts w:ascii="Barlow Semi Condensed" w:cs="Barlow Semi Condensed" w:eastAsia="Barlow Semi Condensed" w:hAnsi="Barlow Semi Condensed"/>
          <w:sz w:val="24"/>
          <w:szCs w:val="24"/>
        </w:rPr>
        <w:t xml:space="preserve">. Indirizzi verificati, non c'è email dedicata.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Verifiche ancora da completare — prima dell'invio effettivo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Archivio Flamigni: ricerca PEC su RUNTS, INI-PEC, sito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Fondazione Aldo Moro: ricerca email istituzionale (sito Fondazione o</w:t>
      </w:r>
    </w:p>
    <w:p>
      <w:pPr>
        <w:spacing w:after="120" w:line="276"/>
        <w:jc w:val="both"/>
      </w:pPr>
      <w:r>
        <w:rPr>
          <w:rFonts w:ascii="Barlow Semi Condensed" w:cs="Barlow Semi Condensed" w:eastAsia="Barlow Semi Condensed" w:hAnsi="Barlow Semi Condensed"/>
          <w:sz w:val="24"/>
          <w:szCs w:val="24"/>
        </w:rPr>
        <w:t xml:space="preserve">      Edizione Nazionale); fallback numero telefonico se email non disponibile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Feltrinelli: verifica dello stato attuale — ricezione riaperta o ancora</w:t>
      </w:r>
    </w:p>
    <w:p>
      <w:pPr>
        <w:spacing w:after="120" w:line="276"/>
        <w:jc w:val="both"/>
      </w:pPr>
      <w:r>
        <w:rPr>
          <w:rFonts w:ascii="Barlow Semi Condensed" w:cs="Barlow Semi Condensed" w:eastAsia="Barlow Semi Condensed" w:hAnsi="Barlow Semi Condensed"/>
          <w:sz w:val="24"/>
          <w:szCs w:val="24"/>
        </w:rPr>
        <w:t xml:space="preserve">      sospesa?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Bollati Boringhieri: conferma che non c'è indirizzo email diretto; ricerca</w:t>
      </w:r>
    </w:p>
    <w:p>
      <w:pPr>
        <w:spacing w:after="120" w:line="276"/>
        <w:jc w:val="both"/>
      </w:pPr>
      <w:r>
        <w:rPr>
          <w:rFonts w:ascii="Barlow Semi Condensed" w:cs="Barlow Semi Condensed" w:eastAsia="Barlow Semi Condensed" w:hAnsi="Barlow Semi Condensed"/>
          <w:sz w:val="24"/>
          <w:szCs w:val="24"/>
        </w:rPr>
        <w:t xml:space="preserve">      agenti letterari se si decide di procedere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Italia contemporanea: identificazione redazione; indirizzo per inviare</w:t>
      </w:r>
    </w:p>
    <w:p>
      <w:pPr>
        <w:spacing w:after="120" w:line="276"/>
        <w:jc w:val="both"/>
      </w:pPr>
      <w:r>
        <w:rPr>
          <w:rFonts w:ascii="Barlow Semi Condensed" w:cs="Barlow Semi Condensed" w:eastAsia="Barlow Semi Condensed" w:hAnsi="Barlow Semi Condensed"/>
          <w:sz w:val="24"/>
          <w:szCs w:val="24"/>
        </w:rPr>
        <w:t xml:space="preserve">      nota scientifica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Edizione Nazionale Moro: ricerca indirizzo email presso Università Bologna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Istituto Ferruccio Parri: ricerca PEC e email per apparato su periodico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Grado della verifica complessiva</w:t>
      </w:r>
    </w:p>
    <w:p>
      <w:pPr>
        <w:spacing w:after="120" w:line="276"/>
        <w:jc w:val="both"/>
      </w:pPr>
      <w:r>
        <w:rPr>
          <w:rFonts w:ascii="Barlow Semi Condensed" w:cs="Barlow Semi Condensed" w:eastAsia="Barlow Semi Condensed" w:hAnsi="Barlow Semi Condensed"/>
          <w:b/>
          <w:bCs/>
          <w:sz w:val="24"/>
          <w:szCs w:val="24"/>
        </w:rPr>
        <w:t xml:space="preserve">26 agosto 2026, 12:45 CET</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Verificati (accesso al sito o comunicazione ufficiale)</w:t>
      </w:r>
      <w:r>
        <w:rPr>
          <w:rFonts w:ascii="Barlow Semi Condensed" w:cs="Barlow Semi Condensed" w:eastAsia="Barlow Semi Condensed" w:hAnsi="Barlow Semi Condensed"/>
          <w:sz w:val="24"/>
          <w:szCs w:val="24"/>
        </w:rPr>
        <w:t xml:space="preserve">: il Mulino, Carocci,</w:t>
      </w:r>
    </w:p>
    <w:p>
      <w:pPr>
        <w:spacing w:after="120" w:line="276"/>
        <w:jc w:val="both"/>
      </w:pPr>
      <w:r>
        <w:rPr>
          <w:rFonts w:ascii="Barlow Semi Condensed" w:cs="Barlow Semi Condensed" w:eastAsia="Barlow Semi Condensed" w:hAnsi="Barlow Semi Condensed"/>
          <w:sz w:val="24"/>
          <w:szCs w:val="24"/>
        </w:rPr>
        <w:t xml:space="preserve">  Bompiani (moduli web); Chiarelettere (email), Laterza (indirizzi cartacei);</w:t>
      </w:r>
    </w:p>
    <w:p>
      <w:pPr>
        <w:spacing w:after="120" w:line="276"/>
        <w:jc w:val="both"/>
      </w:pPr>
      <w:r>
        <w:rPr>
          <w:rFonts w:ascii="Barlow Semi Condensed" w:cs="Barlow Semi Condensed" w:eastAsia="Barlow Semi Condensed" w:hAnsi="Barlow Semi Condensed"/>
          <w:sz w:val="24"/>
          <w:szCs w:val="24"/>
        </w:rPr>
        <w:t xml:space="preserve">  Einaudi (email); Astrolabio-Ubaldini (email e indirizzo); Zenodo (HTTPS)</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Parzialmente verificati</w:t>
      </w:r>
      <w:r>
        <w:rPr>
          <w:rFonts w:ascii="Barlow Semi Condensed" w:cs="Barlow Semi Condensed" w:eastAsia="Barlow Semi Condensed" w:hAnsi="Barlow Semi Condensed"/>
          <w:sz w:val="24"/>
          <w:szCs w:val="24"/>
        </w:rPr>
        <w:t xml:space="preserve">: Archivio Flamigni (esiste, PEC non accertato);</w:t>
      </w:r>
    </w:p>
    <w:p>
      <w:pPr>
        <w:spacing w:after="120" w:line="276"/>
        <w:jc w:val="both"/>
      </w:pPr>
      <w:r>
        <w:rPr>
          <w:rFonts w:ascii="Barlow Semi Condensed" w:cs="Barlow Semi Condensed" w:eastAsia="Barlow Semi Condensed" w:hAnsi="Barlow Semi Condensed"/>
          <w:sz w:val="24"/>
          <w:szCs w:val="24"/>
        </w:rPr>
        <w:t xml:space="preserve">  Fondazione Aldo Moro (indirizzo sede legale noto, email istituzionale da</w:t>
      </w:r>
    </w:p>
    <w:p>
      <w:pPr>
        <w:spacing w:after="120" w:line="276"/>
        <w:jc w:val="both"/>
      </w:pPr>
      <w:r>
        <w:rPr>
          <w:rFonts w:ascii="Barlow Semi Condensed" w:cs="Barlow Semi Condensed" w:eastAsia="Barlow Semi Condensed" w:hAnsi="Barlow Semi Condensed"/>
          <w:sz w:val="24"/>
          <w:szCs w:val="24"/>
        </w:rPr>
        <w:t xml:space="preserve">  ricercare)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Incerti e da riverificare</w:t>
      </w:r>
      <w:r>
        <w:rPr>
          <w:rFonts w:ascii="Barlow Semi Condensed" w:cs="Barlow Semi Condensed" w:eastAsia="Barlow Semi Condensed" w:hAnsi="Barlow Semi Condensed"/>
          <w:sz w:val="24"/>
          <w:szCs w:val="24"/>
        </w:rPr>
        <w:t xml:space="preserve">: Feltrinelli (sito non raggiungibile);</w:t>
      </w:r>
    </w:p>
    <w:p>
      <w:pPr>
        <w:spacing w:after="120" w:line="276"/>
        <w:jc w:val="both"/>
      </w:pPr>
      <w:r>
        <w:rPr>
          <w:rFonts w:ascii="Barlow Semi Condensed" w:cs="Barlow Semi Condensed" w:eastAsia="Barlow Semi Condensed" w:hAnsi="Barlow Semi Condensed"/>
          <w:sz w:val="24"/>
          <w:szCs w:val="24"/>
        </w:rPr>
        <w:t xml:space="preserve">  Bollati Boringhieri (sito non raggiungibile)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Non ancora accertati</w:t>
      </w:r>
      <w:r>
        <w:rPr>
          <w:rFonts w:ascii="Barlow Semi Condensed" w:cs="Barlow Semi Condensed" w:eastAsia="Barlow Semi Condensed" w:hAnsi="Barlow Semi Condensed"/>
          <w:sz w:val="24"/>
          <w:szCs w:val="24"/>
        </w:rPr>
        <w:t xml:space="preserve">: riviste accademiche; istituti storici; Edizione</w:t>
      </w:r>
    </w:p>
    <w:p>
      <w:pPr>
        <w:spacing w:after="120" w:line="276"/>
        <w:jc w:val="both"/>
      </w:pPr>
      <w:r>
        <w:rPr>
          <w:rFonts w:ascii="Barlow Semi Condensed" w:cs="Barlow Semi Condensed" w:eastAsia="Barlow Semi Condensed" w:hAnsi="Barlow Semi Condensed"/>
          <w:sz w:val="24"/>
          <w:szCs w:val="24"/>
        </w:rPr>
        <w:t xml:space="preserve">  Nazionale</w:t>
      </w:r>
    </w:p>
    <w:p>
      <w:pPr>
        <w:spacing w:after="120" w:line="276"/>
        <w:jc w:val="both"/>
      </w:pPr>
      <w:r>
        <w:rPr>
          <w:rFonts w:ascii="Barlow Semi Condensed" w:cs="Barlow Semi Condensed" w:eastAsia="Barlow Semi Condensed" w:hAnsi="Barlow Semi Condensed"/>
          <w:sz w:val="24"/>
          <w:szCs w:val="24"/>
        </w:rPr>
        <w:t xml:space="preserve">Nessuna informazione in questa lista è "silenziosamente" scaduta o assunta.</w:t>
      </w:r>
    </w:p>
    <w:p>
      <w:pPr>
        <w:spacing w:after="120" w:line="276"/>
        <w:jc w:val="both"/>
      </w:pPr>
      <w:r>
        <w:rPr>
          <w:rFonts w:ascii="Barlow Semi Condensed" w:cs="Barlow Semi Condensed" w:eastAsia="Barlow Semi Condensed" w:hAnsi="Barlow Semi Condensed"/>
          <w:sz w:val="24"/>
          <w:szCs w:val="24"/>
        </w:rPr>
        <w:t xml:space="preserve">Verifiasi il giorno dell'invio.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 Il registro dei canali PEC</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2.432 parole in 9 sezioni; la più ampia è §1 Ondata 0, con 619.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68 paragrafi in 9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viii. La checklist di invio</w:t>
      </w:r>
    </w:p>
    <w:p>
      <w:pPr>
        <w:pStyle w:val="Heading1"/>
        <w:spacing w:after="120" w:before="240"/>
      </w:pPr>
      <w:r>
        <w:rPr>
          <w:rFonts w:ascii="Barlow Semi Condensed" w:cs="Barlow Semi Condensed" w:eastAsia="Barlow Semi Condensed" w:hAnsi="Barlow Semi Condensed"/>
          <w:sz w:val="24"/>
          <w:szCs w:val="24"/>
        </w:rPr>
        <w:t xml:space="preserve">Checklist di invio</w:t>
      </w:r>
    </w:p>
    <w:p>
      <w:pPr>
        <w:spacing w:after="120" w:line="276"/>
        <w:jc w:val="both"/>
      </w:pPr>
      <w:r>
        <w:rPr>
          <w:rFonts w:ascii="Barlow Semi Condensed" w:cs="Barlow Semi Condensed" w:eastAsia="Barlow Semi Condensed" w:hAnsi="Barlow Semi Condensed"/>
          <w:i/>
          <w:iCs/>
          <w:sz w:val="24"/>
          <w:szCs w:val="24"/>
        </w:rPr>
        <w:t xml:space="preserve">Da tenere in mano mentre si spedisce. </w:t>
      </w:r>
      <w:r>
        <w:rPr>
          <w:rFonts w:ascii="Barlow Semi Condensed" w:cs="Barlow Semi Condensed" w:eastAsia="Barlow Semi Condensed" w:hAnsi="Barlow Semi Condensed"/>
          <w:i/>
          <w:iCs/>
          <w:sz w:val="24"/>
          <w:szCs w:val="24"/>
        </w:rPr>
        <w:t xml:space="preserve">Terza edizione, 26 agosto 2026</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forma operativa: le ragioni delle scelte stanno nella</w:t>
      </w:r>
    </w:p>
    <w:p>
      <w:pPr>
        <w:spacing w:after="120" w:line="276"/>
        <w:jc w:val="both"/>
      </w:pPr>
      <w:r>
        <w:rPr>
          <w:rFonts w:ascii="Barlow Semi Condensed" w:cs="Barlow Semi Condensed" w:eastAsia="Barlow Semi Condensed" w:hAnsi="Barlow Semi Condensed"/>
          <w:i/>
          <w:iCs/>
          <w:sz w:val="24"/>
          <w:szCs w:val="24"/>
        </w:rPr>
        <w:t xml:space="preserve">mappa dei destinatari</w:t>
      </w:r>
      <w:r>
        <w:rPr>
          <w:rFonts w:ascii="Barlow Semi Condensed" w:cs="Barlow Semi Condensed" w:eastAsia="Barlow Semi Condensed" w:hAnsi="Barlow Semi Condensed"/>
          <w:sz w:val="24"/>
          <w:szCs w:val="24"/>
        </w:rPr>
        <w:t xml:space="preserve">, qui stanno solo le cose da</w:t>
      </w:r>
    </w:p>
    <w:p>
      <w:pPr>
        <w:spacing w:after="120" w:line="276"/>
        <w:jc w:val="both"/>
      </w:pPr>
      <w:r>
        <w:rPr>
          <w:rFonts w:ascii="Barlow Semi Condensed" w:cs="Barlow Semi Condensed" w:eastAsia="Barlow Semi Condensed" w:hAnsi="Barlow Semi Condensed"/>
          <w:sz w:val="24"/>
          <w:szCs w:val="24"/>
        </w:rPr>
        <w:t xml:space="preserve">fare. Canali accertati il 26 agosto 2026, col grado di ciascuno.*</w:t>
      </w:r>
    </w:p>
    <w:p>
      <w:pPr>
        <w:spacing w:after="120" w:line="276"/>
        <w:jc w:val="both"/>
      </w:pPr>
      <w:r>
        <w:rPr>
          <w:rFonts w:ascii="Barlow Semi Condensed" w:cs="Barlow Semi Condensed" w:eastAsia="Barlow Semi Condensed" w:hAnsi="Barlow Semi Condensed"/>
          <w:b/>
          <w:bCs/>
          <w:sz w:val="24"/>
          <w:szCs w:val="24"/>
        </w:rPr>
        <w:t xml:space="preserve">Una copia sola, quella con le date scritte a mano.</w:t>
      </w:r>
      <w:r>
        <w:rPr>
          <w:rFonts w:ascii="Barlow Semi Condensed" w:cs="Barlow Semi Condensed" w:eastAsia="Barlow Semi Condensed" w:hAnsi="Barlow Semi Condensed"/>
          <w:sz w:val="24"/>
          <w:szCs w:val="24"/>
        </w:rPr>
        <w:t xml:space="preserve"> Due copie parzialmente</w:t>
      </w:r>
    </w:p>
    <w:p>
      <w:pPr>
        <w:spacing w:after="120" w:line="276"/>
        <w:jc w:val="both"/>
      </w:pPr>
      <w:r>
        <w:rPr>
          <w:rFonts w:ascii="Barlow Semi Condensed" w:cs="Barlow Semi Condensed" w:eastAsia="Barlow Semi Condensed" w:hAnsi="Barlow Semi Condensed"/>
          <w:sz w:val="24"/>
          <w:szCs w:val="24"/>
        </w:rPr>
        <w:t xml:space="preserve">compilate sono peggio di nessuna.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tre regole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Una porta per volta.</w:t>
      </w:r>
      <w:r>
        <w:rPr>
          <w:rFonts w:ascii="Barlow Semi Condensed" w:cs="Barlow Semi Condensed" w:eastAsia="Barlow Semi Condensed" w:hAnsi="Barlow Semi Condensed"/>
          <w:sz w:val="24"/>
          <w:szCs w:val="24"/>
        </w:rPr>
        <w:t xml:space="preserve"> Mai lo stesso testo a due editori lo stesso giorno.</w:t>
      </w:r>
    </w:p>
    <w:p>
      <w:pPr>
        <w:spacing w:after="120" w:line="276"/>
        <w:jc w:val="both"/>
      </w:pPr>
      <w:r>
        <w:rPr>
          <w:rFonts w:ascii="Barlow Semi Condensed" w:cs="Barlow Semi Condensed" w:eastAsia="Barlow Semi Condensed" w:hAnsi="Barlow Semi Condensed"/>
          <w:sz w:val="24"/>
          <w:szCs w:val="24"/>
        </w:rPr>
        <w:t xml:space="preserve">   Archivi ed editori non sono in concorrenza e possono partire insieme.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libro giusto alla porta giusta.</w:t>
      </w:r>
      <w:r>
        <w:rPr>
          <w:rFonts w:ascii="Barlow Semi Condensed" w:cs="Barlow Semi Condensed" w:eastAsia="Barlow Semi Condensed" w:hAnsi="Barlow Semi Condensed"/>
          <w:sz w:val="24"/>
          <w:szCs w:val="24"/>
        </w:rPr>
        <w:t xml:space="preserve"> Le proposte descrivono **libri</w:t>
      </w:r>
    </w:p>
    <w:p>
      <w:pPr>
        <w:spacing w:after="120" w:line="276"/>
        <w:jc w:val="both"/>
      </w:pPr>
      <w:r>
        <w:rPr>
          <w:rFonts w:ascii="Barlow Semi Condensed" w:cs="Barlow Semi Condensed" w:eastAsia="Barlow Semi Condensed" w:hAnsi="Barlow Semi Condensed"/>
          <w:sz w:val="24"/>
          <w:szCs w:val="24"/>
        </w:rPr>
        <w:t xml:space="preserve">   diversi**: saggio civile · testo adottabile · racconto. Scambiarli è l'errore</w:t>
      </w:r>
    </w:p>
    <w:p>
      <w:pPr>
        <w:spacing w:after="120" w:line="276"/>
        <w:jc w:val="both"/>
      </w:pPr>
      <w:r>
        <w:rPr>
          <w:rFonts w:ascii="Barlow Semi Condensed" w:cs="Barlow Semi Condensed" w:eastAsia="Barlow Semi Condensed" w:hAnsi="Barlow Semi Condensed"/>
          <w:sz w:val="24"/>
          <w:szCs w:val="24"/>
        </w:rPr>
        <w:t xml:space="preserve">   più facile e il più costoso.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dichiarazione sull'intelligenza artificiale sta in apertura</w:t>
      </w:r>
      <w:r>
        <w:rPr>
          <w:rFonts w:ascii="Barlow Semi Condensed" w:cs="Barlow Semi Condensed" w:eastAsia="Barlow Semi Condensed" w:hAnsi="Barlow Semi Condensed"/>
          <w:sz w:val="24"/>
          <w:szCs w:val="24"/>
        </w:rPr>
        <w:t xml:space="preserve">, sempre.</w:t>
      </w:r>
    </w:p>
    <w:p>
      <w:pPr>
        <w:spacing w:after="120" w:line="276"/>
        <w:jc w:val="both"/>
      </w:pPr>
      <w:r>
        <w:rPr>
          <w:rFonts w:ascii="Barlow Semi Condensed" w:cs="Barlow Semi Condensed" w:eastAsia="Barlow Semi Condensed" w:hAnsi="Barlow Semi Condensed"/>
          <w:sz w:val="24"/>
          <w:szCs w:val="24"/>
        </w:rPr>
        <w:t xml:space="preserve">   Non è cautela: è l'oggetto del libro.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fare una volta sola, prima di tutto</w:t>
      </w:r>
    </w:p>
    <w:p>
      <w:pPr>
        <w:spacing w:after="120" w:line="276"/>
        <w:jc w:val="both"/>
      </w:pPr>
      <w:r>
        <w:rPr>
          <w:rFonts w:ascii="Barlow Semi Condensed" w:cs="Barlow Semi Condensed" w:eastAsia="Barlow Semi Condensed" w:hAnsi="Barlow Semi Condensed"/>
          <w:b/>
          <w:bCs/>
          <w:sz w:val="24"/>
          <w:szCs w:val="24"/>
        </w:rPr>
        <w:t xml:space="preserve">Nell'ordine.</w:t>
      </w:r>
      <w:r>
        <w:rPr>
          <w:rFonts w:ascii="Barlow Semi Condensed" w:cs="Barlow Semi Condensed" w:eastAsia="Barlow Semi Condensed" w:hAnsi="Barlow Semi Condensed"/>
          <w:sz w:val="24"/>
          <w:szCs w:val="24"/>
        </w:rPr>
        <w:t xml:space="preserve"> Le prime due voci non dipendono l'una dall'altra e possono</w:t>
      </w:r>
    </w:p>
    <w:p>
      <w:pPr>
        <w:spacing w:after="120" w:line="276"/>
        <w:jc w:val="both"/>
      </w:pPr>
      <w:r>
        <w:rPr>
          <w:rFonts w:ascii="Barlow Semi Condensed" w:cs="Barlow Semi Condensed" w:eastAsia="Barlow Semi Condensed" w:hAnsi="Barlow Semi Condensed"/>
          <w:sz w:val="24"/>
          <w:szCs w:val="24"/>
        </w:rPr>
        <w:t xml:space="preserve">partire lo stesso giorno; tutto il resto dipende dalla prima.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1. Deposito Zenodo</w:t>
      </w:r>
      <w:r>
        <w:rPr>
          <w:rFonts w:ascii="Barlow Semi Condensed" w:cs="Barlow Semi Condensed" w:eastAsia="Barlow Semi Condensed" w:hAnsi="Barlow Semi Condensed"/>
          <w:sz w:val="24"/>
          <w:szCs w:val="24"/>
        </w:rPr>
        <w:t xml:space="preserve"> e DOI ottenuto — foglio operativo pronto in</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deposito-zenodo.md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Blocca undici lettere</w:t>
      </w:r>
      <w:r>
        <w:rPr>
          <w:rFonts w:ascii="Barlow Semi Condensed" w:cs="Barlow Semi Condensed" w:eastAsia="Barlow Semi Condensed" w:hAnsi="Barlow Semi Condensed"/>
          <w:sz w:val="24"/>
          <w:szCs w:val="24"/>
        </w:rPr>
        <w:t xml:space="preserve">: il</w:t>
      </w:r>
    </w:p>
    <w:p>
      <w:pPr>
        <w:spacing w:after="120" w:line="276"/>
        <w:jc w:val="both"/>
      </w:pPr>
      <w:r>
        <w:rPr>
          <w:rFonts w:ascii="Barlow Semi Condensed" w:cs="Barlow Semi Condensed" w:eastAsia="Barlow Semi Condensed" w:hAnsi="Barlow Semi Condensed"/>
          <w:sz w:val="24"/>
          <w:szCs w:val="24"/>
        </w:rPr>
        <w:t xml:space="preserve">      DOI entra nel corpo di ciascuna, e farlo dopo significa riscriverle tutte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2. Il tomo P2, che forse non va chiesto affatto.</w:t>
      </w:r>
      <w:r>
        <w:rPr>
          <w:rFonts w:ascii="Barlow Semi Condensed" w:cs="Barlow Semi Condensed" w:eastAsia="Barlow Semi Condensed" w:hAnsi="Barlow Semi Condensed"/>
          <w:sz w:val="24"/>
          <w:szCs w:val="24"/>
        </w:rPr>
        <w:t xml:space="preserve"> Prima di spedire</w:t>
      </w:r>
    </w:p>
    <w:p>
      <w:pPr>
        <w:spacing w:after="120" w:line="276"/>
        <w:jc w:val="both"/>
      </w:pPr>
      <w:r>
        <w:rPr>
          <w:rFonts w:ascii="Barlow Semi Condensed" w:cs="Barlow Semi Condensed" w:eastAsia="Barlow Semi Condensed" w:hAnsi="Barlow Semi Condensed"/>
          <w:sz w:val="24"/>
          <w:szCs w:val="24"/>
        </w:rPr>
        <w:t xml:space="preserve">      qualsiasi cosa, aprire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      cercare </w:t>
      </w: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 volumi della Commissione</w:t>
      </w:r>
    </w:p>
    <w:p>
      <w:pPr>
        <w:spacing w:after="120" w:line="276"/>
        <w:jc w:val="both"/>
      </w:pPr>
      <w:r>
        <w:rPr>
          <w:rFonts w:ascii="Barlow Semi Condensed" w:cs="Barlow Semi Condensed" w:eastAsia="Barlow Semi Condensed" w:hAnsi="Barlow Semi Condensed"/>
          <w:sz w:val="24"/>
          <w:szCs w:val="24"/>
        </w:rPr>
        <w:t xml:space="preserve">      risultano digitalizzati, e gli allegati </w:t>
      </w: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 quelli coi numeri</w:t>
      </w:r>
    </w:p>
    <w:p>
      <w:pPr>
        <w:spacing w:after="120" w:line="276"/>
        <w:jc w:val="both"/>
      </w:pPr>
      <w:r>
        <w:rPr>
          <w:rFonts w:ascii="Barlow Semi Condensed" w:cs="Barlow Semi Condensed" w:eastAsia="Barlow Semi Condensed" w:hAnsi="Barlow Semi Condensed"/>
          <w:sz w:val="24"/>
          <w:szCs w:val="24"/>
        </w:rPr>
        <w:t xml:space="preserve">      di tessera — si leggerebbero oggi, gratis e senza chiedere niente. Se non</w:t>
      </w:r>
    </w:p>
    <w:p>
      <w:pPr>
        <w:spacing w:after="120" w:line="276"/>
        <w:jc w:val="both"/>
      </w:pPr>
      <w:r>
        <w:rPr>
          <w:rFonts w:ascii="Barlow Semi Condensed" w:cs="Barlow Semi Condensed" w:eastAsia="Barlow Semi Condensed" w:hAnsi="Barlow Semi Condensed"/>
          <w:sz w:val="24"/>
          <w:szCs w:val="24"/>
        </w:rPr>
        <w:t xml:space="preserve">      si trovano, la richiesta all'Archivio storico è pronta in</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richiesta-archivio-storico-camera.md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con recapito reperito al grado B e da confermare. È l'unica mossa del</w:t>
      </w:r>
    </w:p>
    <w:p>
      <w:pPr>
        <w:spacing w:after="120" w:line="276"/>
        <w:jc w:val="both"/>
      </w:pPr>
      <w:r>
        <w:rPr>
          <w:rFonts w:ascii="Barlow Semi Condensed" w:cs="Barlow Semi Condensed" w:eastAsia="Barlow Semi Condensed" w:hAnsi="Barlow Semi Condensed"/>
          <w:sz w:val="24"/>
          <w:szCs w:val="24"/>
        </w:rPr>
        <w:t xml:space="preserve">      dossier che possa </w:t>
      </w:r>
      <w:r>
        <w:rPr>
          <w:rFonts w:ascii="Barlow Semi Condensed" w:cs="Barlow Semi Condensed" w:eastAsia="Barlow Semi Condensed" w:hAnsi="Barlow Semi Condensed"/>
          <w:b/>
          <w:bCs/>
          <w:sz w:val="24"/>
          <w:szCs w:val="24"/>
        </w:rPr>
        <w:t xml:space="preserve">spostare un grado probatorio</w:t>
      </w:r>
      <w:r>
        <w:rPr>
          <w:rFonts w:ascii="Barlow Semi Condensed" w:cs="Barlow Semi Condensed" w:eastAsia="Barlow Semi Condensed" w:hAnsi="Barlow Semi Condensed"/>
          <w:sz w:val="24"/>
          <w:szCs w:val="24"/>
        </w:rPr>
        <w:t xml:space="preserve">, e non dipende dal DOI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Curriculum</w:t>
      </w:r>
      <w:r>
        <w:rPr>
          <w:rFonts w:ascii="Barlow Semi Condensed" w:cs="Barlow Semi Condensed" w:eastAsia="Barlow Semi Condensed" w:hAnsi="Barlow Semi Condensed"/>
          <w:sz w:val="24"/>
          <w:szCs w:val="24"/>
        </w:rPr>
        <w:t xml:space="preserve"> compilato (</w:t>
      </w:r>
      <w:r>
        <w:rPr>
          <w:rFonts w:ascii="Barlow Semi Condensed" w:cs="Barlow Semi Condensed" w:eastAsia="Barlow Semi Condensed" w:hAnsi="Barlow Semi Condensed"/>
          <w:i/>
          <w:iCs/>
          <w:sz w:val="24"/>
          <w:szCs w:val="24"/>
        </w:rPr>
        <w:t xml:space="preserve">curriculum-modello.md</w:t>
      </w:r>
      <w:r>
        <w:rPr>
          <w:rFonts w:ascii="Barlow Semi Condensed" w:cs="Barlow Semi Condensed" w:eastAsia="Barlow Semi Condensed" w:hAnsi="Barlow Semi Condensed"/>
          <w:sz w:val="24"/>
          <w:szCs w:val="24"/>
        </w:rPr>
        <w:t xml:space="preserve">) — intero per Einaudi,</w:t>
      </w:r>
    </w:p>
    <w:p>
      <w:pPr>
        <w:spacing w:after="120" w:line="276"/>
        <w:jc w:val="both"/>
      </w:pPr>
      <w:r>
        <w:rPr>
          <w:rFonts w:ascii="Barlow Semi Condensed" w:cs="Barlow Semi Condensed" w:eastAsia="Barlow Semi Condensed" w:hAnsi="Barlow Semi Condensed"/>
          <w:sz w:val="24"/>
          <w:szCs w:val="24"/>
        </w:rPr>
        <w:t xml:space="preserve">      dieci righe per gli altri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Formula sullo stato del lavoro</w:t>
      </w:r>
      <w:r>
        <w:rPr>
          <w:rFonts w:ascii="Barlow Semi Condensed" w:cs="Barlow Semi Condensed" w:eastAsia="Barlow Semi Condensed" w:hAnsi="Barlow Semi Condensed"/>
          <w:sz w:val="24"/>
          <w:szCs w:val="24"/>
        </w:rPr>
        <w:t xml:space="preserve"> fissata e usata identica ovunque:</w:t>
      </w:r>
    </w:p>
    <w:p>
      <w:pPr>
        <w:spacing w:after="120" w:line="276"/>
        <w:jc w:val="both"/>
      </w:pPr>
      <w:r>
        <w:rPr>
          <w:rFonts w:ascii="Barlow Semi Condensed" w:cs="Barlow Semi Condensed" w:eastAsia="Barlow Semi Condensed" w:hAnsi="Barlow Semi Condensed"/>
          <w:sz w:val="24"/>
          <w:szCs w:val="24"/>
        </w:rPr>
        <w:t xml:space="preserve">      *corpus completo e verificato, quindici Libri e quattro Appendici;</w:t>
      </w:r>
    </w:p>
    <w:p>
      <w:pPr>
        <w:spacing w:after="120" w:line="276"/>
        <w:jc w:val="both"/>
      </w:pPr>
      <w:r>
        <w:rPr>
          <w:rFonts w:ascii="Barlow Semi Condensed" w:cs="Barlow Semi Condensed" w:eastAsia="Barlow Semi Condensed" w:hAnsi="Barlow Semi Condensed"/>
          <w:sz w:val="24"/>
          <w:szCs w:val="24"/>
        </w:rPr>
        <w:t xml:space="preserve">      struttura del saggio definita, capitolo campione scritto, resto da</w:t>
      </w:r>
    </w:p>
    <w:p>
      <w:pPr>
        <w:spacing w:after="120" w:line="276"/>
        <w:jc w:val="both"/>
      </w:pPr>
      <w:r>
        <w:rPr>
          <w:rFonts w:ascii="Barlow Semi Condensed" w:cs="Barlow Semi Condensed" w:eastAsia="Barlow Semi Condensed" w:hAnsi="Barlow Semi Condensed"/>
          <w:sz w:val="24"/>
          <w:szCs w:val="24"/>
        </w:rPr>
        <w:t xml:space="preserve">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campione riletto</w:t>
      </w:r>
      <w:r>
        <w:rPr>
          <w:rFonts w:ascii="Barlow Semi Condensed" w:cs="Barlow Semi Condensed" w:eastAsia="Barlow Semi Condensed" w:hAnsi="Barlow Semi Condensed"/>
          <w:sz w:val="24"/>
          <w:szCs w:val="24"/>
        </w:rPr>
        <w:t xml:space="preserve"> — è il pezzo su cui si viene giudicati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lettera per le case editrici</w:t>
      </w:r>
      <w:r>
        <w:rPr>
          <w:rFonts w:ascii="Barlow Semi Condensed" w:cs="Barlow Semi Condensed" w:eastAsia="Barlow Semi Condensed" w:hAnsi="Barlow Semi Condensed"/>
          <w:sz w:val="24"/>
          <w:szCs w:val="24"/>
        </w:rPr>
        <w:t xml:space="preserve"> è pronta e vale per tutte:</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pec-presentazione-case-editrici.md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Unica nel contenuto, mobile nel canale — **nessuna casa editrice riceve per</w:t>
      </w:r>
    </w:p>
    <w:p>
      <w:pPr>
        <w:spacing w:after="120" w:line="276"/>
        <w:jc w:val="both"/>
      </w:pPr>
      <w:r>
        <w:rPr>
          <w:rFonts w:ascii="Barlow Semi Condensed" w:cs="Barlow Semi Condensed" w:eastAsia="Barlow Semi Condensed" w:hAnsi="Barlow Semi Condensed"/>
          <w:sz w:val="24"/>
          <w:szCs w:val="24"/>
        </w:rPr>
        <w:t xml:space="preserve">      PEC**, e il registro dei canali dice per ognuna qual è la via giusta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PEC Archivio Flamigni</w:t>
      </w:r>
      <w:r>
        <w:rPr>
          <w:rFonts w:ascii="Barlow Semi Condensed" w:cs="Barlow Semi Condensed" w:eastAsia="Barlow Semi Condensed" w:hAnsi="Barlow Semi Condensed"/>
          <w:sz w:val="24"/>
          <w:szCs w:val="24"/>
        </w:rPr>
        <w:t xml:space="preserve"> reperita (RUNTS · INI-PEC ·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Email Fondazione Aldo Moro</w:t>
      </w:r>
      <w:r>
        <w:rPr>
          <w:rFonts w:ascii="Barlow Semi Condensed" w:cs="Barlow Semi Condensed" w:eastAsia="Barlow Semi Condensed" w:hAnsi="Barlow Semi Condensed"/>
          <w:sz w:val="24"/>
          <w:szCs w:val="24"/>
        </w:rPr>
        <w:t xml:space="preserve"> reperita (sito · Edizione Nazionale, Bologna)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L'avvertenza che riguarda ogni invio</w:t>
      </w:r>
    </w:p>
    <w:p>
      <w:pPr>
        <w:spacing w:after="120" w:line="276"/>
        <w:jc w:val="both"/>
      </w:pPr>
      <w:r>
        <w:rPr>
          <w:rFonts w:ascii="Barlow Semi Condensed" w:cs="Barlow Semi Condensed" w:eastAsia="Barlow Semi Condensed" w:hAnsi="Barlow Semi Condensed"/>
          <w:sz w:val="24"/>
          <w:szCs w:val="24"/>
        </w:rPr>
        <w:t xml:space="preserve">L'opera ha </w:t>
      </w:r>
      <w:r>
        <w:rPr>
          <w:rFonts w:ascii="Barlow Semi Condensed" w:cs="Barlow Semi Condensed" w:eastAsia="Barlow Semi Condensed" w:hAnsi="Barlow Semi Condensed"/>
          <w:b/>
          <w:bCs/>
          <w:sz w:val="24"/>
          <w:szCs w:val="24"/>
        </w:rPr>
        <w:t xml:space="preserve">quindici Libri</w:t>
      </w:r>
      <w:r>
        <w:rPr>
          <w:rFonts w:ascii="Barlow Semi Condensed" w:cs="Barlow Semi Condensed" w:eastAsia="Barlow Semi Condensed" w:hAnsi="Barlow Semi Condensed"/>
          <w:sz w:val="24"/>
          <w:szCs w:val="24"/>
        </w:rPr>
        <w:t xml:space="preserve">. Quattordici si fermano al giudicato. **Il Libro</w:t>
      </w:r>
    </w:p>
    <w:p>
      <w:pPr>
        <w:spacing w:after="120" w:line="276"/>
        <w:jc w:val="both"/>
      </w:pPr>
      <w:r>
        <w:rPr>
          <w:rFonts w:ascii="Barlow Semi Condensed" w:cs="Barlow Semi Condensed" w:eastAsia="Barlow Semi Condensed" w:hAnsi="Barlow Semi Condensed"/>
          <w:sz w:val="24"/>
          <w:szCs w:val="24"/>
        </w:rPr>
        <w:t xml:space="preserve">quarto no**: nella seconda metà ordina per plausibilità del coinvolgimento — per</w:t>
      </w:r>
    </w:p>
    <w:p>
      <w:pPr>
        <w:spacing w:after="120" w:line="276"/>
        <w:jc w:val="both"/>
      </w:pPr>
      <w:r>
        <w:rPr>
          <w:rFonts w:ascii="Barlow Semi Condensed" w:cs="Barlow Semi Condensed" w:eastAsia="Barlow Semi Condensed" w:hAnsi="Barlow Semi Condensed"/>
          <w:b/>
          <w:bCs/>
          <w:sz w:val="24"/>
          <w:szCs w:val="24"/>
        </w:rPr>
        <w:t xml:space="preserve">categorie di soggetti, non per nomi individuali</w:t>
      </w:r>
      <w:r>
        <w:rPr>
          <w:rFonts w:ascii="Barlow Semi Condensed" w:cs="Barlow Semi Condensed" w:eastAsia="Barlow Semi Condensed" w:hAnsi="Barlow Semi Condensed"/>
          <w:sz w:val="24"/>
          <w:szCs w:val="24"/>
        </w:rPr>
        <w:t xml:space="preserve">, muovendo dai condannati in</w:t>
      </w:r>
    </w:p>
    <w:p>
      <w:pPr>
        <w:spacing w:after="120" w:line="276"/>
        <w:jc w:val="both"/>
      </w:pPr>
      <w:r>
        <w:rPr>
          <w:rFonts w:ascii="Barlow Semi Condensed" w:cs="Barlow Semi Condensed" w:eastAsia="Barlow Semi Condensed" w:hAnsi="Barlow Semi Condensed"/>
          <w:sz w:val="24"/>
          <w:szCs w:val="24"/>
        </w:rPr>
        <w:t xml:space="preserve">via definitiva e rifiutando di nominare un mandante esterno.</w:t>
      </w:r>
    </w:p>
    <w:p>
      <w:pPr>
        <w:spacing w:after="120" w:line="276"/>
        <w:jc w:val="both"/>
      </w:pPr>
      <w:r>
        <w:rPr>
          <w:rFonts w:ascii="Barlow Semi Condensed" w:cs="Barlow Semi Condensed" w:eastAsia="Barlow Semi Condensed" w:hAnsi="Barlow Semi Condensed"/>
          <w:b/>
          <w:bCs/>
          <w:sz w:val="24"/>
          <w:szCs w:val="24"/>
        </w:rPr>
        <w:t xml:space="preserve">Ovunque si offra il corpus, questo si dichiara.</w:t>
      </w:r>
      <w:r>
        <w:rPr>
          <w:rFonts w:ascii="Barlow Semi Condensed" w:cs="Barlow Semi Condensed" w:eastAsia="Barlow Semi Condensed" w:hAnsi="Barlow Semi Condensed"/>
          <w:sz w:val="24"/>
          <w:szCs w:val="24"/>
        </w:rPr>
        <w:t xml:space="preserve"> È già scritto nei documenti;</w:t>
      </w:r>
    </w:p>
    <w:p>
      <w:pPr>
        <w:spacing w:after="120" w:line="276"/>
        <w:jc w:val="both"/>
      </w:pPr>
      <w:r>
        <w:rPr>
          <w:rFonts w:ascii="Barlow Semi Condensed" w:cs="Barlow Semi Condensed" w:eastAsia="Barlow Semi Condensed" w:hAnsi="Barlow Semi Condensed"/>
          <w:sz w:val="24"/>
          <w:szCs w:val="24"/>
        </w:rPr>
        <w:t xml:space="preserve">va solo non tolto.</w:t>
      </w:r>
    </w:p>
    <w:p>
      <w:pPr>
        <w:spacing w:after="120" w:line="276"/>
        <w:jc w:val="both"/>
      </w:pPr>
      <w:r>
        <w:rPr>
          <w:rFonts w:ascii="Barlow Semi Condensed" w:cs="Barlow Semi Condensed" w:eastAsia="Barlow Semi Condensed" w:hAnsi="Barlow Semi Condensed"/>
          <w:sz w:val="24"/>
          <w:szCs w:val="24"/>
        </w:rPr>
        <w:t xml:space="preserve">*Annotazione del 27 agosto 2026 — fin qui questa pagina diceva «quattordici</w:t>
      </w:r>
    </w:p>
    <w:p>
      <w:pPr>
        <w:spacing w:after="120" w:line="276"/>
        <w:jc w:val="both"/>
      </w:pPr>
      <w:r>
        <w:rPr>
          <w:rFonts w:ascii="Barlow Semi Condensed" w:cs="Barlow Semi Condensed" w:eastAsia="Barlow Semi Condensed" w:hAnsi="Barlow Semi Condensed"/>
          <w:sz w:val="24"/>
          <w:szCs w:val="24"/>
        </w:rPr>
        <w:t xml:space="preserve">Libri, tredici si fermano al giudicato». Era esatto alla sua data e ha smesso di</w:t>
      </w:r>
    </w:p>
    <w:p>
      <w:pPr>
        <w:spacing w:after="120" w:line="276"/>
        <w:jc w:val="both"/>
      </w:pPr>
      <w:r>
        <w:rPr>
          <w:rFonts w:ascii="Barlow Semi Condensed" w:cs="Barlow Semi Condensed" w:eastAsia="Barlow Semi Condensed" w:hAnsi="Barlow Semi Condensed"/>
          <w:sz w:val="24"/>
          <w:szCs w:val="24"/>
        </w:rPr>
        <w:t xml:space="preserve">esserlo con l'ingresso del Libro quindicesimo. La cifra è aggiornata, la vecchia</w:t>
      </w:r>
    </w:p>
    <w:p>
      <w:pPr>
        <w:spacing w:after="120" w:line="276"/>
        <w:jc w:val="both"/>
      </w:pPr>
      <w:r>
        <w:rPr>
          <w:rFonts w:ascii="Barlow Semi Condensed" w:cs="Barlow Semi Condensed" w:eastAsia="Barlow Semi Condensed" w:hAnsi="Barlow Semi Condensed"/>
          <w:sz w:val="24"/>
          <w:szCs w:val="24"/>
        </w:rPr>
        <w:t xml:space="preserve">è lasciata qui: chi ha spedito una lettera con la formula anteriore non ha</w:t>
      </w:r>
    </w:p>
    <w:p>
      <w:pPr>
        <w:spacing w:after="120" w:line="276"/>
        <w:jc w:val="both"/>
      </w:pPr>
      <w:r>
        <w:rPr>
          <w:rFonts w:ascii="Barlow Semi Condensed" w:cs="Barlow Semi Condensed" w:eastAsia="Barlow Semi Condensed" w:hAnsi="Barlow Semi Condensed"/>
          <w:sz w:val="24"/>
          <w:szCs w:val="24"/>
        </w:rPr>
        <w:t xml:space="preserve">scritto il falso, ha scritto una cosa vera al momento in cui l'ha scritta.*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non si manda, e perché</w:t>
      </w:r>
    </w:p>
    <w:p>
      <w:pPr>
        <w:spacing w:after="120" w:line="276"/>
        <w:jc w:val="both"/>
      </w:pPr>
      <w:r>
        <w:rPr>
          <w:rFonts w:ascii="Barlow Semi Condensed" w:cs="Barlow Semi Condensed" w:eastAsia="Barlow Semi Condensed" w:hAnsi="Barlow Semi Condensed"/>
          <w:sz w:val="24"/>
          <w:szCs w:val="24"/>
        </w:rPr>
        <w:t xml:space="preserve">Il repository ospita </w:t>
      </w:r>
      <w:r>
        <w:rPr>
          <w:rFonts w:ascii="Barlow Semi Condensed" w:cs="Barlow Semi Condensed" w:eastAsia="Barlow Semi Condensed" w:hAnsi="Barlow Semi Condensed"/>
          <w:b/>
          <w:bCs/>
          <w:sz w:val="24"/>
          <w:szCs w:val="24"/>
        </w:rPr>
        <w:t xml:space="preserve">tre opere distinte</w:t>
      </w:r>
      <w:r>
        <w:rPr>
          <w:rFonts w:ascii="Barlow Semi Condensed" w:cs="Barlow Semi Condensed" w:eastAsia="Barlow Semi Condensed" w:hAnsi="Barlow Semi Condensed"/>
          <w:sz w:val="24"/>
          <w:szCs w:val="24"/>
        </w:rPr>
        <w:t xml:space="preserve">, e ne parte </w:t>
      </w:r>
      <w:r>
        <w:rPr>
          <w:rFonts w:ascii="Barlow Semi Condensed" w:cs="Barlow Semi Condensed" w:eastAsia="Barlow Semi Condensed" w:hAnsi="Barlow Semi Condensed"/>
          <w:b/>
          <w:bCs/>
          <w:sz w:val="24"/>
          <w:szCs w:val="24"/>
        </w:rPr>
        <w:t xml:space="preserve">una sola</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 manda?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L'opera sul caso Moro — quindici Libri, quattro Appendici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sì</w:t>
            </w:r>
            <w:r>
              <w:rPr>
                <w:rFonts w:ascii="Barlow Semi Condensed" w:cs="Barlow Semi Condensed" w:eastAsia="Barlow Semi Condensed" w:hAnsi="Barlow Semi Condensed"/>
                <w:sz w:val="20"/>
                <w:szCs w:val="20"/>
              </w:rPr>
              <w:t xml:space="preserve">, è l'oggetto di tutto il dossier</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Italia Nera</w:t>
            </w:r>
            <w:r>
              <w:rPr>
                <w:rFonts w:ascii="Barlow Semi Condensed" w:cs="Barlow Semi Condensed" w:eastAsia="Barlow Semi Condensed" w:hAnsi="Barlow Semi Condensed"/>
                <w:sz w:val="20"/>
                <w:szCs w:val="20"/>
              </w:rPr>
              <w:t xml:space="preserve"> — il Registro V77 e i suoi quarantatré compagni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 Studio Integrale Puglia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w:t>
            </w:r>
            <w:r>
              <w:rPr>
                <w:rFonts w:ascii="Barlow Semi Condensed" w:cs="Barlow Semi Condensed" w:eastAsia="Barlow Semi Condensed" w:hAnsi="Barlow Semi Condensed"/>
                <w:sz w:val="20"/>
                <w:szCs w:val="20"/>
              </w:rPr>
              <w:t xml:space="preserve">, è un altro lavoro con altri destinatari</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 Italia Nera la ragione va scritta per intero, perché la tentazione di</w:t>
      </w:r>
    </w:p>
    <w:p>
      <w:pPr>
        <w:spacing w:after="120" w:line="276"/>
        <w:jc w:val="both"/>
      </w:pPr>
      <w:r>
        <w:rPr>
          <w:rFonts w:ascii="Barlow Semi Condensed" w:cs="Barlow Semi Condensed" w:eastAsia="Barlow Semi Condensed" w:hAnsi="Barlow Semi Condensed"/>
          <w:sz w:val="24"/>
          <w:szCs w:val="24"/>
        </w:rPr>
        <w:t xml:space="preserve">allegarla è reale e sbagliata. Non è una parte di quest'opera: il legame è</w:t>
      </w:r>
    </w:p>
    <w:p>
      <w:pPr>
        <w:spacing w:after="120" w:line="276"/>
        <w:jc w:val="both"/>
      </w:pPr>
      <w:r>
        <w:rPr>
          <w:rFonts w:ascii="Barlow Semi Condensed" w:cs="Barlow Semi Condensed" w:eastAsia="Barlow Semi Condensed" w:hAnsi="Barlow Semi Condensed"/>
          <w:sz w:val="24"/>
          <w:szCs w:val="24"/>
        </w:rPr>
        <w:t xml:space="preserve">genealogico e non testuale — misurato agli 8-grammi, il corpus moroteano tocca il</w:t>
      </w:r>
    </w:p>
    <w:p>
      <w:pPr>
        <w:spacing w:after="120" w:line="276"/>
        <w:jc w:val="both"/>
      </w:pPr>
      <w:r>
        <w:rPr>
          <w:rFonts w:ascii="Barlow Semi Condensed" w:cs="Barlow Semi Condensed" w:eastAsia="Barlow Semi Condensed" w:hAnsi="Barlow Semi Condensed"/>
          <w:sz w:val="24"/>
          <w:szCs w:val="24"/>
        </w:rPr>
        <w:t xml:space="preserve">Registro V77 per lo </w:t>
      </w:r>
      <w:r>
        <w:rPr>
          <w:rFonts w:ascii="Barlow Semi Condensed" w:cs="Barlow Semi Condensed" w:eastAsia="Barlow Semi Condensed" w:hAnsi="Barlow Semi Condensed"/>
          <w:b/>
          <w:bCs/>
          <w:sz w:val="24"/>
          <w:szCs w:val="24"/>
        </w:rPr>
        <w:t xml:space="preserve">0,77 per cento</w:t>
      </w:r>
      <w:r>
        <w:rPr>
          <w:rFonts w:ascii="Barlow Semi Condensed" w:cs="Barlow Semi Condensed" w:eastAsia="Barlow Semi Condensed" w:hAnsi="Barlow Semi Condensed"/>
          <w:sz w:val="24"/>
          <w:szCs w:val="24"/>
        </w:rPr>
        <w:t xml:space="preserve">. Contiene inoltre **censimenti di persone</w:t>
      </w:r>
    </w:p>
    <w:p>
      <w:pPr>
        <w:spacing w:after="120" w:line="276"/>
        <w:jc w:val="both"/>
      </w:pPr>
      <w:r>
        <w:rPr>
          <w:rFonts w:ascii="Barlow Semi Condensed" w:cs="Barlow Semi Condensed" w:eastAsia="Barlow Semi Condensed" w:hAnsi="Barlow Semi Condensed"/>
          <w:sz w:val="24"/>
          <w:szCs w:val="24"/>
        </w:rPr>
        <w:t xml:space="preserve">viventi con procedimenti penali in corso**: la disciplina c'è, l'articolo 27</w:t>
      </w:r>
    </w:p>
    <w:p>
      <w:pPr>
        <w:spacing w:after="120" w:line="276"/>
        <w:jc w:val="both"/>
      </w:pPr>
      <w:r>
        <w:rPr>
          <w:rFonts w:ascii="Barlow Semi Condensed" w:cs="Barlow Semi Condensed" w:eastAsia="Barlow Semi Condensed" w:hAnsi="Barlow Semi Condensed"/>
          <w:sz w:val="24"/>
          <w:szCs w:val="24"/>
        </w:rPr>
        <w:t xml:space="preserve">della Costituzione è dichiarato in apertura di ogni scheda e nessuno vi è</w:t>
      </w:r>
    </w:p>
    <w:p>
      <w:pPr>
        <w:spacing w:after="120" w:line="276"/>
        <w:jc w:val="both"/>
      </w:pPr>
      <w:r>
        <w:rPr>
          <w:rFonts w:ascii="Barlow Semi Condensed" w:cs="Barlow Semi Condensed" w:eastAsia="Barlow Semi Condensed" w:hAnsi="Barlow Semi Condensed"/>
          <w:sz w:val="24"/>
          <w:szCs w:val="24"/>
        </w:rPr>
        <w:t xml:space="preserve">indicato come responsabile fuori dal giudicato — ma il rischio di quella</w:t>
      </w:r>
    </w:p>
    <w:p>
      <w:pPr>
        <w:spacing w:after="120" w:line="276"/>
        <w:jc w:val="both"/>
      </w:pPr>
      <w:r>
        <w:rPr>
          <w:rFonts w:ascii="Barlow Semi Condensed" w:cs="Barlow Semi Condensed" w:eastAsia="Barlow Semi Condensed" w:hAnsi="Barlow Semi Condensed"/>
          <w:sz w:val="24"/>
          <w:szCs w:val="24"/>
        </w:rPr>
        <w:t xml:space="preserve">pubblicazione è interamente in capo all'autore, e il guadagno per il caso Moro è</w:t>
      </w:r>
    </w:p>
    <w:p>
      <w:pPr>
        <w:spacing w:after="120" w:line="276"/>
        <w:jc w:val="both"/>
      </w:pPr>
      <w:r>
        <w:rPr>
          <w:rFonts w:ascii="Barlow Semi Condensed" w:cs="Barlow Semi Condensed" w:eastAsia="Barlow Semi Condensed" w:hAnsi="Barlow Semi Condensed"/>
          <w:b/>
          <w:bCs/>
          <w:sz w:val="24"/>
          <w:szCs w:val="24"/>
        </w:rPr>
        <w:t xml:space="preserve">zero</w:t>
      </w:r>
      <w:r>
        <w:rPr>
          <w:rFonts w:ascii="Barlow Semi Condensed" w:cs="Barlow Semi Condensed" w:eastAsia="Barlow Semi Condensed" w:hAnsi="Barlow Semi Condensed"/>
          <w:sz w:val="24"/>
          <w:szCs w:val="24"/>
        </w:rPr>
        <w:t xml:space="preserve">. Un editore che riceva le due cose insieme giudicherà l'una con gli</w:t>
      </w:r>
    </w:p>
    <w:p>
      <w:pPr>
        <w:spacing w:after="120" w:line="276"/>
        <w:jc w:val="both"/>
      </w:pPr>
      <w:r>
        <w:rPr>
          <w:rFonts w:ascii="Barlow Semi Condensed" w:cs="Barlow Semi Condensed" w:eastAsia="Barlow Semi Condensed" w:hAnsi="Barlow Semi Condensed"/>
          <w:sz w:val="24"/>
          <w:szCs w:val="24"/>
        </w:rPr>
        <w:t xml:space="preserve">occhi dell'altra.</w:t>
      </w:r>
    </w:p>
    <w:p>
      <w:pPr>
        <w:spacing w:after="120" w:line="276"/>
        <w:jc w:val="both"/>
      </w:pPr>
      <w:r>
        <w:rPr>
          <w:rFonts w:ascii="Barlow Semi Condensed" w:cs="Barlow Semi Condensed" w:eastAsia="Barlow Semi Condensed" w:hAnsi="Barlow Semi Condensed"/>
          <w:sz w:val="24"/>
          <w:szCs w:val="24"/>
        </w:rPr>
        <w:t xml:space="preserve">Se un giorno Italia Nera va depositata, avrà un DOI proprio, destinatari propri e</w:t>
      </w:r>
    </w:p>
    <w:p>
      <w:pPr>
        <w:spacing w:after="120" w:line="276"/>
        <w:jc w:val="both"/>
      </w:pPr>
      <w:r>
        <w:rPr>
          <w:rFonts w:ascii="Barlow Semi Condensed" w:cs="Barlow Semi Condensed" w:eastAsia="Barlow Semi Condensed" w:hAnsi="Barlow Semi Condensed"/>
          <w:sz w:val="24"/>
          <w:szCs w:val="24"/>
        </w:rPr>
        <w:t xml:space="preserve">una valutazione propria. Non viaggia in allegato.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quattro ondate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Quando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subito, non è in concorrenza con nulla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Flamigni · Fondazione Aldo Moro · Zenodo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qualche giorno l'uno dall'altro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Mulino · Chiarelettere · Carocci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dopo le prime risposte, o 60 giorni di silenzio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Laterza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solo a saggio scritto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Bompiani · Einaudi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Ondata 0, due cautele.</w:t>
      </w:r>
      <w:r>
        <w:rPr>
          <w:rFonts w:ascii="Barlow Semi Condensed" w:cs="Barlow Semi Condensed" w:eastAsia="Barlow Semi Condensed" w:hAnsi="Barlow Semi Condensed"/>
          <w:sz w:val="24"/>
          <w:szCs w:val="24"/>
        </w:rPr>
        <w:t xml:space="preserve"> Flamigni e la Fondazione **non lo stesso giorno e non</w:t>
      </w:r>
    </w:p>
    <w:p>
      <w:pPr>
        <w:spacing w:after="120" w:line="276"/>
        <w:jc w:val="both"/>
      </w:pPr>
      <w:r>
        <w:rPr>
          <w:rFonts w:ascii="Barlow Semi Condensed" w:cs="Barlow Semi Condensed" w:eastAsia="Barlow Semi Condensed" w:hAnsi="Barlow Semi Condensed"/>
          <w:sz w:val="24"/>
          <w:szCs w:val="24"/>
        </w:rPr>
        <w:t xml:space="preserve">allo stesso modo**: al primo si propone un apparato da valutare, alla seconda si</w:t>
      </w:r>
    </w:p>
    <w:p>
      <w:pPr>
        <w:spacing w:after="120" w:line="276"/>
        <w:jc w:val="both"/>
      </w:pPr>
      <w:r>
        <w:rPr>
          <w:rFonts w:ascii="Barlow Semi Condensed" w:cs="Barlow Semi Condensed" w:eastAsia="Barlow Semi Condensed" w:hAnsi="Barlow Semi Condensed"/>
          <w:sz w:val="24"/>
          <w:szCs w:val="24"/>
        </w:rPr>
        <w:t xml:space="preserve">porta </w:t>
      </w:r>
      <w:r>
        <w:rPr>
          <w:rFonts w:ascii="Barlow Semi Condensed" w:cs="Barlow Semi Condensed" w:eastAsia="Barlow Semi Condensed" w:hAnsi="Barlow Semi Condensed"/>
          <w:i/>
          <w:iCs/>
          <w:sz w:val="24"/>
          <w:szCs w:val="24"/>
        </w:rPr>
        <w:t xml:space="preserve">una domanda sola</w:t>
      </w:r>
      <w:r>
        <w:rPr>
          <w:rFonts w:ascii="Barlow Semi Condensed" w:cs="Barlow Semi Condensed" w:eastAsia="Barlow Semi Condensed" w:hAnsi="Barlow Semi Condensed"/>
          <w:sz w:val="24"/>
          <w:szCs w:val="24"/>
        </w:rPr>
        <w:t xml:space="preserve">. In parallelo, quando si vuole: la **nota di quattro</w:t>
      </w:r>
    </w:p>
    <w:p>
      <w:pPr>
        <w:spacing w:after="120" w:line="276"/>
        <w:jc w:val="both"/>
      </w:pPr>
      <w:r>
        <w:rPr>
          <w:rFonts w:ascii="Barlow Semi Condensed" w:cs="Barlow Semi Condensed" w:eastAsia="Barlow Semi Condensed" w:hAnsi="Barlow Semi Condensed"/>
          <w:sz w:val="24"/>
          <w:szCs w:val="24"/>
        </w:rPr>
        <w:t xml:space="preserve">pagine** per una rivista di storia contemporanea — l'oggetto più piccolo e il più</w:t>
      </w:r>
    </w:p>
    <w:p>
      <w:pPr>
        <w:spacing w:after="120" w:line="276"/>
        <w:jc w:val="both"/>
      </w:pPr>
      <w:r>
        <w:rPr>
          <w:rFonts w:ascii="Barlow Semi Condensed" w:cs="Barlow Semi Condensed" w:eastAsia="Barlow Semi Condensed" w:hAnsi="Barlow Semi Condensed"/>
          <w:sz w:val="24"/>
          <w:szCs w:val="24"/>
        </w:rPr>
        <w:t xml:space="preserve">facile da collocare.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schede</w:t>
      </w:r>
    </w:p>
    <w:p>
      <w:pPr>
        <w:spacing w:after="120" w:line="276"/>
        <w:jc w:val="both"/>
      </w:pPr>
      <w:r>
        <w:rPr>
          <w:rFonts w:ascii="Barlow Semi Condensed" w:cs="Barlow Semi Condensed" w:eastAsia="Barlow Semi Condensed" w:hAnsi="Barlow Semi Condensed"/>
          <w:i/>
          <w:iCs/>
          <w:sz w:val="24"/>
          <w:szCs w:val="24"/>
        </w:rPr>
        <w:t xml:space="preserve">Grado del canale: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accertato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da riverificare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chiuso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 · Archivio «Flamigni» ETS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PEC (indirizzo da reperire) · Piazza B. Romano 6, 00154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pec-archivio-flamigni.md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RELAZIONE_SUL_PROGETTO.pdf</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indice del ramo · </w:t>
      </w:r>
      <w:r>
        <w:rPr>
          <w:rFonts w:ascii="Barlow Semi Condensed" w:cs="Barlow Semi Condensed" w:eastAsia="Barlow Semi Condensed" w:hAnsi="Barlow Semi Condensed"/>
          <w:b/>
          <w:bCs/>
          <w:sz w:val="24"/>
          <w:szCs w:val="24"/>
        </w:rPr>
        <w:t xml:space="preserve">collegamento</w:t>
      </w:r>
      <w:r>
        <w:rPr>
          <w:rFonts w:ascii="Barlow Semi Condensed" w:cs="Barlow Semi Condensed" w:eastAsia="Barlow Semi Condensed" w:hAnsi="Barlow Semi Condensed"/>
          <w:sz w:val="24"/>
          <w:szCs w:val="24"/>
        </w:rPr>
        <w:t xml:space="preserve"> al deposito (l'opera supera i 24 MB: molti</w:t>
      </w:r>
    </w:p>
    <w:p>
      <w:pPr>
        <w:spacing w:after="120" w:line="276"/>
        <w:jc w:val="both"/>
      </w:pPr>
      <w:r>
        <w:rPr>
          <w:rFonts w:ascii="Barlow Semi Condensed" w:cs="Barlow Semi Condensed" w:eastAsia="Barlow Semi Condensed" w:hAnsi="Barlow Semi Condensed"/>
          <w:sz w:val="24"/>
          <w:szCs w:val="24"/>
        </w:rPr>
        <w:t xml:space="preserve">  gestori PEC la rifiutano)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valutazione dell'apparato, segnalazione degli atti d'archivio,</w:t>
      </w:r>
    </w:p>
    <w:p>
      <w:pPr>
        <w:spacing w:after="120" w:line="276"/>
        <w:jc w:val="both"/>
      </w:pPr>
      <w:r>
        <w:rPr>
          <w:rFonts w:ascii="Barlow Semi Condensed" w:cs="Barlow Semi Condensed" w:eastAsia="Barlow Semi Condensed" w:hAnsi="Barlow Semi Condensed"/>
          <w:sz w:val="24"/>
          <w:szCs w:val="24"/>
        </w:rPr>
        <w:t xml:space="preserve">  eventuale deposito.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la pubblicazione di un libro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email ordinaria · via dei Gracchi 29/B, 00192 Roma. Cercare</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un recapito dell'ente; solo in mancanza al presidente, *in quanto</w:t>
      </w:r>
    </w:p>
    <w:p>
      <w:pPr>
        <w:spacing w:after="120" w:line="276"/>
        <w:jc w:val="both"/>
      </w:pPr>
      <w:r>
        <w:rPr>
          <w:rFonts w:ascii="Barlow Semi Condensed" w:cs="Barlow Semi Condensed" w:eastAsia="Barlow Semi Condensed" w:hAnsi="Barlow Semi Condensed"/>
          <w:sz w:val="24"/>
          <w:szCs w:val="24"/>
        </w:rPr>
        <w:t xml:space="preserve">  presidente*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lettera-fondazione-aldo-moro.md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Qui il corpus</w:t>
      </w:r>
    </w:p>
    <w:p>
      <w:pPr>
        <w:spacing w:after="120" w:line="276"/>
        <w:jc w:val="both"/>
      </w:pPr>
      <w:r>
        <w:rPr>
          <w:rFonts w:ascii="Barlow Semi Condensed" w:cs="Barlow Semi Condensed" w:eastAsia="Barlow Semi Condensed" w:hAnsi="Barlow Semi Condensed"/>
          <w:sz w:val="24"/>
          <w:szCs w:val="24"/>
        </w:rPr>
        <w:t xml:space="preserve">  non si allega: si offre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domanda sola</w:t>
      </w:r>
      <w:r>
        <w:rPr>
          <w:rFonts w:ascii="Barlow Semi Condensed" w:cs="Barlow Semi Condensed" w:eastAsia="Barlow Semi Condensed" w:hAnsi="Barlow Semi Condensed"/>
          <w:sz w:val="24"/>
          <w:szCs w:val="24"/>
        </w:rPr>
        <w:t xml:space="preserve">: se esista, per la visita di Stato del</w:t>
      </w:r>
    </w:p>
    <w:p>
      <w:pPr>
        <w:spacing w:after="120" w:line="276"/>
        <w:jc w:val="both"/>
      </w:pPr>
      <w:r>
        <w:rPr>
          <w:rFonts w:ascii="Barlow Semi Condensed" w:cs="Barlow Semi Condensed" w:eastAsia="Barlow Semi Condensed" w:hAnsi="Barlow Semi Condensed"/>
          <w:sz w:val="24"/>
          <w:szCs w:val="24"/>
        </w:rPr>
        <w:t xml:space="preserve">  25-29 settembre 1974, un appunto italiano del colloquio dello Studio Ovale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comunica</w:t>
      </w:r>
      <w:r>
        <w:rPr>
          <w:rFonts w:ascii="Barlow Semi Condensed" w:cs="Barlow Semi Condensed" w:eastAsia="Barlow Semi Condensed" w:hAnsi="Barlow Semi Condensed"/>
          <w:sz w:val="24"/>
          <w:szCs w:val="24"/>
        </w:rPr>
        <w:t xml:space="preserve"> · l'accertamento sul verbale americano, **prima che lo leggano</w:t>
      </w:r>
    </w:p>
    <w:p>
      <w:pPr>
        <w:spacing w:after="120" w:line="276"/>
        <w:jc w:val="both"/>
      </w:pPr>
      <w:r>
        <w:rPr>
          <w:rFonts w:ascii="Barlow Semi Condensed" w:cs="Barlow Semi Condensed" w:eastAsia="Barlow Semi Condensed" w:hAnsi="Barlow Semi Condensed"/>
          <w:sz w:val="24"/>
          <w:szCs w:val="24"/>
        </w:rPr>
        <w:t xml:space="preserve">  altrove**, col grado e con l'obiezione che lo rende non risolutivo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l'unica lettera che tocca la memoria di una persona</w:t>
      </w:r>
    </w:p>
    <w:p>
      <w:pPr>
        <w:spacing w:after="120" w:line="276"/>
        <w:jc w:val="both"/>
      </w:pPr>
      <w:r>
        <w:rPr>
          <w:rFonts w:ascii="Barlow Semi Condensed" w:cs="Barlow Semi Condensed" w:eastAsia="Barlow Semi Condensed" w:hAnsi="Barlow Semi Condensed"/>
          <w:sz w:val="24"/>
          <w:szCs w:val="24"/>
        </w:rPr>
        <w:t xml:space="preserve">  determinata e una famiglia che esiste. Nessuna rivendicazione di scoperta.</w:t>
      </w:r>
    </w:p>
    <w:p>
      <w:pPr>
        <w:spacing w:after="120" w:line="276"/>
        <w:jc w:val="both"/>
      </w:pPr>
      <w:r>
        <w:rPr>
          <w:rFonts w:ascii="Barlow Semi Condensed" w:cs="Barlow Semi Condensed" w:eastAsia="Barlow Semi Condensed" w:hAnsi="Barlow Semi Condensed"/>
          <w:sz w:val="24"/>
          <w:szCs w:val="24"/>
        </w:rPr>
        <w:t xml:space="preserve">  **Se alla rilettura sembrasse chiedere qualcosa in cambio, tagliare finché non</w:t>
      </w:r>
    </w:p>
    <w:p>
      <w:pPr>
        <w:spacing w:after="120" w:line="276"/>
        <w:jc w:val="both"/>
      </w:pPr>
      <w:r>
        <w:rPr>
          <w:rFonts w:ascii="Barlow Semi Condensed" w:cs="Barlow Semi Condensed" w:eastAsia="Barlow Semi Condensed" w:hAnsi="Barlow Semi Condensed"/>
          <w:sz w:val="24"/>
          <w:szCs w:val="24"/>
        </w:rPr>
        <w:t xml:space="preserve">  chiede più nulla**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recapito cercato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Porta vicina, oggetto diverso.</w:t>
      </w:r>
      <w:r>
        <w:rPr>
          <w:rFonts w:ascii="Barlow Semi Condensed" w:cs="Barlow Semi Condensed" w:eastAsia="Barlow Semi Condensed" w:hAnsi="Barlow Semi Condensed"/>
          <w:i w:val="false"/>
          <w:iCs w:val="false"/>
          <w:sz w:val="24"/>
          <w:szCs w:val="24"/>
        </w:rPr>
        <w:t xml:space="preserve"> L'</w:t>
      </w:r>
      <w:r>
        <w:rPr>
          <w:rFonts w:ascii="Barlow Semi Condensed" w:cs="Barlow Semi Condensed" w:eastAsia="Barlow Semi Condensed" w:hAnsi="Barlow Semi Condensed"/>
          <w:i w:val="false"/>
          <w:iCs w:val="false"/>
          <w:sz w:val="24"/>
          <w:szCs w:val="24"/>
        </w:rPr>
        <w:t xml:space="preserve">Edizione Nazionale delle Opere di Aldo Moro</w:t>
      </w:r>
      <w:r>
        <w:rPr>
          <w:rFonts w:ascii="Barlow Semi Condensed" w:cs="Barlow Semi Condensed" w:eastAsia="Barlow Semi Condensed" w:hAnsi="Barlow Semi Condensed"/>
          <w:i w:val="false"/>
          <w:iCs w:val="false"/>
          <w:sz w:val="24"/>
          <w:szCs w:val="24"/>
        </w:rPr>
        <w:t xml:space="preserve"> è interlocutore per l'</w:t>
      </w:r>
      <w:r>
        <w:rPr>
          <w:rFonts w:ascii="Barlow Semi Condensed" w:cs="Barlow Semi Condensed" w:eastAsia="Barlow Semi Condensed" w:hAnsi="Barlow Semi Condensed"/>
          <w:b/>
          <w:bCs/>
          <w:i w:val="false"/>
          <w:iCs w:val="false"/>
          <w:sz w:val="24"/>
          <w:szCs w:val="24"/>
        </w:rPr>
        <w:t xml:space="preserve">apparato delle citazioni</w:t>
      </w:r>
      <w:r>
        <w:rPr>
          <w:rFonts w:ascii="Barlow Semi Condensed" w:cs="Barlow Semi Condensed" w:eastAsia="Barlow Semi Condensed" w:hAnsi="Barlow Semi Condensed"/>
          <w:i w:val="false"/>
          <w:iCs w:val="false"/>
          <w:sz w:val="24"/>
          <w:szCs w:val="24"/>
        </w:rPr>
        <w:t xml:space="preserve">, non per il quesito d'archivio. Separata, in altra forma, </w:t>
      </w:r>
      <w:r>
        <w:rPr>
          <w:rFonts w:ascii="Barlow Semi Condensed" w:cs="Barlow Semi Condensed" w:eastAsia="Barlow Semi Condensed" w:hAnsi="Barlow Semi Condensed"/>
          <w:b/>
          <w:bCs/>
          <w:i w:val="false"/>
          <w:iCs w:val="false"/>
          <w:sz w:val="24"/>
          <w:szCs w:val="24"/>
        </w:rPr>
        <w:t xml:space="preserve">non lo stesso giorno</w:t>
      </w:r>
      <w:r>
        <w:rPr>
          <w:rFonts w:ascii="Barlow Semi Condensed" w:cs="Barlow Semi Condensed" w:eastAsia="Barlow Semi Condensed" w:hAnsi="Barlow Semi Condensed"/>
          <w:i w:val="false"/>
          <w:iCs w:val="false"/>
          <w:sz w:val="24"/>
          <w:szCs w:val="24"/>
        </w:rPr>
        <w:t xml:space="preserve">. - [ ] valutata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 il Mulino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modulo online, previa registrazione.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email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1 — già nei campi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Campi</w:t>
      </w:r>
      <w:r>
        <w:rPr>
          <w:rFonts w:ascii="Barlow Semi Condensed" w:cs="Barlow Semi Condensed" w:eastAsia="Barlow Semi Condensed" w:hAnsi="Barlow Semi Condensed"/>
          <w:sz w:val="24"/>
          <w:szCs w:val="24"/>
        </w:rPr>
        <w:t xml:space="preserve"> · argomento · estratto · indice · descrizione estesa · pubblico · bio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Estratto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non frammenti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proposte.editoriali@chiarelettere.it</w:t>
      </w:r>
      <w:r>
        <w:rPr>
          <w:rFonts w:ascii="Barlow Semi Condensed" w:cs="Barlow Semi Condensed" w:eastAsia="Barlow Semi Condensed" w:hAnsi="Barlow Semi Condensed"/>
          <w:sz w:val="24"/>
          <w:szCs w:val="24"/>
        </w:rPr>
        <w:t xml:space="preserve"> o modulo · corso Sempione</w:t>
      </w:r>
    </w:p>
    <w:p>
      <w:pPr>
        <w:spacing w:after="120" w:line="276"/>
        <w:jc w:val="both"/>
      </w:pPr>
      <w:r>
        <w:rPr>
          <w:rFonts w:ascii="Barlow Semi Condensed" w:cs="Barlow Semi Condensed" w:eastAsia="Barlow Semi Condensed" w:hAnsi="Barlow Semi Condensed"/>
          <w:sz w:val="24"/>
          <w:szCs w:val="24"/>
        </w:rPr>
        <w:t xml:space="preserve">  2, 20154 Milano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1</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capitolo campione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il catalogo più affine dei nove: proprio per questo</w:t>
      </w:r>
    </w:p>
    <w:p>
      <w:pPr>
        <w:spacing w:after="120" w:line="276"/>
        <w:jc w:val="both"/>
      </w:pPr>
      <w:r>
        <w:rPr>
          <w:rFonts w:ascii="Barlow Semi Condensed" w:cs="Barlow Semi Condensed" w:eastAsia="Barlow Semi Condensed" w:hAnsi="Barlow Semi Condensed"/>
          <w:sz w:val="24"/>
          <w:szCs w:val="24"/>
        </w:rPr>
        <w:t xml:space="preserve">  un'imprecisione qui si nota. </w:t>
      </w:r>
      <w:r>
        <w:rPr>
          <w:rFonts w:ascii="Barlow Semi Condensed" w:cs="Barlow Semi Condensed" w:eastAsia="Barlow Semi Condensed" w:hAnsi="Barlow Semi Condensed"/>
          <w:b/>
          <w:bCs/>
          <w:sz w:val="24"/>
          <w:szCs w:val="24"/>
        </w:rPr>
        <w:t xml:space="preserve">Più cura, non 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 ✓ · testo adottabile in aula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pagina «Proposte editoriali» del sito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capitolo campione </w:t>
      </w:r>
      <w:r>
        <w:rPr>
          <w:rFonts w:ascii="Barlow Semi Condensed" w:cs="Barlow Semi Condensed" w:eastAsia="Barlow Semi Condensed" w:hAnsi="Barlow Semi Condensed"/>
          <w:b/>
          <w:bCs/>
          <w:sz w:val="24"/>
          <w:szCs w:val="24"/>
        </w:rPr>
        <w:t xml:space="preserve">completo del suo esercizio finale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senza l'esercizio in coda la proposta perde il suo argomento</w:t>
      </w:r>
    </w:p>
    <w:p>
      <w:pPr>
        <w:spacing w:after="120" w:line="276"/>
        <w:jc w:val="both"/>
      </w:pPr>
      <w:r>
        <w:rPr>
          <w:rFonts w:ascii="Barlow Semi Condensed" w:cs="Barlow Semi Condensed" w:eastAsia="Barlow Semi Condensed" w:hAnsi="Barlow Semi Condensed"/>
          <w:sz w:val="24"/>
          <w:szCs w:val="24"/>
        </w:rPr>
        <w:t xml:space="preserve">  principale. </w:t>
      </w:r>
      <w:r>
        <w:rPr>
          <w:rFonts w:ascii="Barlow Semi Condensed" w:cs="Barlow Semi Condensed" w:eastAsia="Barlow Semi Condensed" w:hAnsi="Barlow Semi Condensed"/>
          <w:b/>
          <w:bCs/>
          <w:sz w:val="24"/>
          <w:szCs w:val="24"/>
        </w:rPr>
        <w:t xml:space="preserve">Non invertire i due testi con quello del Mulino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 Laterza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info@laterza.it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Non accetta manoscritti a stampa</w:t>
      </w:r>
      <w:r>
        <w:rPr>
          <w:rFonts w:ascii="Barlow Semi Condensed" w:cs="Barlow Semi Condensed" w:eastAsia="Barlow Semi Condensed" w:hAnsi="Barlow Semi Condensed"/>
          <w:sz w:val="24"/>
          <w:szCs w:val="24"/>
        </w:rPr>
        <w:t xml:space="preserve">: i plichi</w:t>
      </w:r>
    </w:p>
    <w:p>
      <w:pPr>
        <w:spacing w:after="120" w:line="276"/>
        <w:jc w:val="both"/>
      </w:pPr>
      <w:r>
        <w:rPr>
          <w:rFonts w:ascii="Barlow Semi Condensed" w:cs="Barlow Semi Condensed" w:eastAsia="Barlow Semi Condensed" w:hAnsi="Barlow Semi Condensed"/>
          <w:sz w:val="24"/>
          <w:szCs w:val="24"/>
        </w:rPr>
        <w:t xml:space="preserve">  non vengono letti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proposta-editrice-laterza.md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Da inviare</w:t>
      </w:r>
      <w:r>
        <w:rPr>
          <w:rFonts w:ascii="Barlow Semi Condensed" w:cs="Barlow Semi Condensed" w:eastAsia="Barlow Semi Condensed" w:hAnsi="Barlow Semi Condensed"/>
          <w:sz w:val="24"/>
          <w:szCs w:val="24"/>
        </w:rPr>
        <w:t xml:space="preserve"> · scheda del volume · indice · bio-bibliografia · il capitolo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nessuna notizia entro un anno = rifiuto.</w:t>
      </w:r>
      <w:r>
        <w:rPr>
          <w:rFonts w:ascii="Barlow Semi Condensed" w:cs="Barlow Semi Condensed" w:eastAsia="Barlow Semi Condensed" w:hAnsi="Barlow Semi Condensed"/>
          <w:sz w:val="24"/>
          <w:szCs w:val="24"/>
        </w:rPr>
        <w:t xml:space="preserve"> Non si sollecita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 Bompiani — ✓ · saggio civile · un colpo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(gruppo Giunti)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Formato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PDF sotto i 5 MB.</w:t>
      </w:r>
      <w:r>
        <w:rPr>
          <w:rFonts w:ascii="Barlow Semi Condensed" w:cs="Barlow Semi Condensed" w:eastAsia="Barlow Semi Condensed" w:hAnsi="Barlow Semi Condensed"/>
          <w:sz w:val="24"/>
          <w:szCs w:val="24"/>
        </w:rPr>
        <w:t xml:space="preserve"> Niente bozze, testi incompleti,</w:t>
      </w:r>
    </w:p>
    <w:p>
      <w:pPr>
        <w:spacing w:after="120" w:line="276"/>
        <w:jc w:val="both"/>
      </w:pPr>
      <w:r>
        <w:rPr>
          <w:rFonts w:ascii="Barlow Semi Condensed" w:cs="Barlow Semi Condensed" w:eastAsia="Barlow Semi Condensed" w:hAnsi="Barlow Semi Condensed"/>
          <w:sz w:val="24"/>
          <w:szCs w:val="24"/>
        </w:rPr>
        <w:t xml:space="preserve">  collegamenti o file su cloud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Niente telefonate, testi non</w:t>
      </w:r>
    </w:p>
    <w:p>
      <w:pPr>
        <w:spacing w:after="120" w:line="276"/>
        <w:jc w:val="both"/>
      </w:pPr>
      <w:r>
        <w:rPr>
          <w:rFonts w:ascii="Barlow Semi Condensed" w:cs="Barlow Semi Condensed" w:eastAsia="Barlow Semi Condensed" w:hAnsi="Barlow Semi Condensed"/>
          <w:sz w:val="24"/>
          <w:szCs w:val="24"/>
        </w:rPr>
        <w:t xml:space="preserve">  restituiti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Regola che decide tutto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sola proposta ogni dodici mesi.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  spenderla su un libro non ancora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Einaudi — ✓ · racconto · a opera scritta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einaudi@einaudi.it</w:t>
      </w:r>
      <w:r>
        <w:rPr>
          <w:rFonts w:ascii="Barlow Semi Condensed" w:cs="Barlow Semi Condensed" w:eastAsia="Barlow Semi Condensed" w:hAnsi="Barlow Semi Condensed"/>
          <w:sz w:val="24"/>
          <w:szCs w:val="24"/>
        </w:rPr>
        <w:t xml:space="preserve"> (saggistica)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3</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 obbligatori</w:t>
      </w:r>
      <w:r>
        <w:rPr>
          <w:rFonts w:ascii="Barlow Semi Condensed" w:cs="Barlow Semi Condensed" w:eastAsia="Barlow Semi Condensed" w:hAnsi="Barlow Semi Condensed"/>
          <w:sz w:val="24"/>
          <w:szCs w:val="24"/>
        </w:rPr>
        <w:t xml:space="preserve"> · curriculum · il testo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Requisito che si dimentica</w:t>
      </w:r>
      <w:r>
        <w:rPr>
          <w:rFonts w:ascii="Barlow Semi Condensed" w:cs="Barlow Semi Condensed" w:eastAsia="Barlow Semi Condensed" w:hAnsi="Barlow Semi Condensed"/>
          <w:sz w:val="24"/>
          <w:szCs w:val="24"/>
        </w:rPr>
        <w:t xml:space="preserve"> · nome, indirizzo, email e telefono **anche in</w:t>
      </w:r>
    </w:p>
    <w:p>
      <w:pPr>
        <w:spacing w:after="120" w:line="276"/>
        <w:jc w:val="both"/>
      </w:pPr>
      <w:r>
        <w:rPr>
          <w:rFonts w:ascii="Barlow Semi Condensed" w:cs="Barlow Semi Condensed" w:eastAsia="Barlow Semi Condensed" w:hAnsi="Barlow Semi Condensed"/>
          <w:sz w:val="24"/>
          <w:szCs w:val="24"/>
        </w:rPr>
        <w:t xml:space="preserve">  testa al documento allegato**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intorno ai </w:t>
      </w:r>
      <w:r>
        <w:rPr>
          <w:rFonts w:ascii="Barlow Semi Condensed" w:cs="Barlow Semi Condensed" w:eastAsia="Barlow Semi Condensed" w:hAnsi="Barlow Semi Condensed"/>
          <w:b/>
          <w:bCs/>
          <w:sz w:val="24"/>
          <w:szCs w:val="24"/>
        </w:rPr>
        <w:t xml:space="preserve">sei mesi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l'opera, non l'idea</w:t>
      </w:r>
      <w:r>
        <w:rPr>
          <w:rFonts w:ascii="Barlow Semi Condensed" w:cs="Barlow Semi Condensed" w:eastAsia="Barlow Semi Condensed" w:hAnsi="Barlow Semi Condensed"/>
          <w:sz w:val="24"/>
          <w:szCs w:val="24"/>
        </w:rPr>
        <w:t xml:space="preserve">. **Inviare solo a saggio</w:t>
      </w:r>
    </w:p>
    <w:p>
      <w:pPr>
        <w:spacing w:after="120" w:line="276"/>
        <w:jc w:val="both"/>
      </w:pPr>
      <w:r>
        <w:rPr>
          <w:rFonts w:ascii="Barlow Semi Condensed" w:cs="Barlow Semi Condensed" w:eastAsia="Barlow Semi Condensed" w:hAnsi="Barlow Semi Condensed"/>
          <w:sz w:val="24"/>
          <w:szCs w:val="24"/>
        </w:rPr>
        <w:t xml:space="preserve">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 Feltrinelli — ? · ricezione sospesa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il sito non si è aperto dall'ambiente di ricerca. Da</w:t>
      </w:r>
    </w:p>
    <w:p>
      <w:pPr>
        <w:spacing w:after="120" w:line="276"/>
        <w:jc w:val="both"/>
      </w:pPr>
      <w:r>
        <w:rPr>
          <w:rFonts w:ascii="Barlow Semi Condensed" w:cs="Barlow Semi Condensed" w:eastAsia="Barlow Semi Condensed" w:hAnsi="Barlow Semi Condensed"/>
          <w:sz w:val="24"/>
          <w:szCs w:val="24"/>
        </w:rPr>
        <w:t xml:space="preserve">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conflitto d'oggetto, che va detto e non aggirato</w:t>
      </w:r>
      <w:r>
        <w:rPr>
          <w:rFonts w:ascii="Barlow Semi Condensed" w:cs="Barlow Semi Condensed" w:eastAsia="Barlow Semi Condensed" w:hAnsi="Barlow Semi Condensed"/>
          <w:sz w:val="24"/>
          <w:szCs w:val="24"/>
        </w:rPr>
        <w:t xml:space="preserve"> · il corpus contiene</w:t>
      </w:r>
    </w:p>
    <w:p>
      <w:pPr>
        <w:spacing w:after="120" w:line="276"/>
        <w:jc w:val="both"/>
      </w:pPr>
      <w:r>
        <w:rPr>
          <w:rFonts w:ascii="Barlow Semi Condensed" w:cs="Barlow Semi Condensed" w:eastAsia="Barlow Semi Condensed" w:hAnsi="Barlow Semi Condensed"/>
          <w:sz w:val="24"/>
          <w:szCs w:val="24"/>
        </w:rPr>
        <w:t xml:space="preserve">  uno studio monografico su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e la sua morte è uno dei</w:t>
      </w:r>
    </w:p>
    <w:p>
      <w:pPr>
        <w:spacing w:after="120" w:line="276"/>
        <w:jc w:val="both"/>
      </w:pPr>
      <w:r>
        <w:rPr>
          <w:rFonts w:ascii="Barlow Semi Condensed" w:cs="Barlow Semi Condensed" w:eastAsia="Barlow Semi Condensed" w:hAnsi="Barlow Semi Condensed"/>
          <w:sz w:val="24"/>
          <w:szCs w:val="24"/>
        </w:rPr>
        <w:t xml:space="preserve">  nodi registrati. Proporre l'opera alla casa che egli fondò non è scorretto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tacerlo sì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 il canale riaprisse</w:t>
      </w:r>
      <w:r>
        <w:rPr>
          <w:rFonts w:ascii="Barlow Semi Condensed" w:cs="Barlow Semi Condensed" w:eastAsia="Barlow Semi Condensed" w:hAnsi="Barlow Semi Condensed"/>
          <w:sz w:val="24"/>
          <w:szCs w:val="24"/>
        </w:rPr>
        <w:t xml:space="preserve"> · la circostanza va dichiarata **nelle prime tre</w:t>
      </w:r>
    </w:p>
    <w:p>
      <w:pPr>
        <w:spacing w:after="120" w:line="276"/>
        <w:jc w:val="both"/>
      </w:pPr>
      <w:r>
        <w:rPr>
          <w:rFonts w:ascii="Barlow Semi Condensed" w:cs="Barlow Semi Condensed" w:eastAsia="Barlow Semi Condensed" w:hAnsi="Barlow Semi Condensed"/>
          <w:sz w:val="24"/>
          <w:szCs w:val="24"/>
        </w:rPr>
        <w:t xml:space="preserve">  righe**, con: i fatti del 14 marzo 1972 trattati con gli stessi gradi di tutto</w:t>
      </w:r>
    </w:p>
    <w:p>
      <w:pPr>
        <w:spacing w:after="120" w:line="276"/>
        <w:jc w:val="both"/>
      </w:pPr>
      <w:r>
        <w:rPr>
          <w:rFonts w:ascii="Barlow Semi Condensed" w:cs="Barlow Semi Condensed" w:eastAsia="Barlow Semi Condensed" w:hAnsi="Barlow Semi Condensed"/>
          <w:sz w:val="24"/>
          <w:szCs w:val="24"/>
        </w:rPr>
        <w:t xml:space="preserve">  il resto; nessuna persona indicata come responsabile oltre il giudicato; e che</w:t>
      </w:r>
    </w:p>
    <w:p>
      <w:pPr>
        <w:spacing w:after="120" w:line="276"/>
        <w:jc w:val="both"/>
      </w:pPr>
      <w:r>
        <w:rPr>
          <w:rFonts w:ascii="Barlow Semi Condensed" w:cs="Barlow Semi Condensed" w:eastAsia="Barlow Semi Condensed" w:hAnsi="Barlow Semi Condensed"/>
          <w:sz w:val="24"/>
          <w:szCs w:val="24"/>
        </w:rPr>
        <w:t xml:space="preserve">  **nel Libro quarto il nome Feltrinelli compare una sola volta, in un passo</w:t>
      </w:r>
    </w:p>
    <w:p>
      <w:pPr>
        <w:spacing w:after="120" w:line="276"/>
        <w:jc w:val="both"/>
      </w:pPr>
      <w:r>
        <w:rPr>
          <w:rFonts w:ascii="Barlow Semi Condensed" w:cs="Barlow Semi Condensed" w:eastAsia="Barlow Semi Condensed" w:hAnsi="Barlow Semi Condensed"/>
          <w:sz w:val="24"/>
          <w:szCs w:val="24"/>
        </w:rPr>
        <w:t xml:space="preserve">  biografico, e mai nella graduatoria**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Ometterlo</w:t>
      </w:r>
      <w:r>
        <w:rPr>
          <w:rFonts w:ascii="Barlow Semi Condensed" w:cs="Barlow Semi Condensed" w:eastAsia="Barlow Semi Condensed" w:hAnsi="Barlow Semi Condensed"/>
          <w:sz w:val="24"/>
          <w:szCs w:val="24"/>
        </w:rPr>
        <w:t xml:space="preserve"> · sembrare di non aver letto il proprio corpus, oppure di aver</w:t>
      </w:r>
    </w:p>
    <w:p>
      <w:pPr>
        <w:spacing w:after="120" w:line="276"/>
        <w:jc w:val="both"/>
      </w:pPr>
      <w:r>
        <w:rPr>
          <w:rFonts w:ascii="Barlow Semi Condensed" w:cs="Barlow Semi Condensed" w:eastAsia="Barlow Semi Condensed" w:hAnsi="Barlow Semi Condensed"/>
          <w:sz w:val="24"/>
          <w:szCs w:val="24"/>
        </w:rPr>
        <w:t xml:space="preserve">  scelto quell'editore per provocazione. Entrambi rovinosi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 — ✗ · porta giusta senza maniglia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nessuno diretto</w:t>
      </w:r>
      <w:r>
        <w:rPr>
          <w:rFonts w:ascii="Barlow Semi Condensed" w:cs="Barlow Semi Condensed" w:eastAsia="Barlow Semi Condensed" w:hAnsi="Barlow Semi Condensed"/>
          <w:sz w:val="24"/>
          <w:szCs w:val="24"/>
        </w:rPr>
        <w:t xml:space="preserve">: non valuta manoscritti spontanei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stessa ragione di Feltrinelli.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praticabile</w:t>
      </w:r>
      <w:r>
        <w:rPr>
          <w:rFonts w:ascii="Barlow Semi Condensed" w:cs="Barlow Semi Condensed" w:eastAsia="Barlow Semi Condensed" w:hAnsi="Barlow Semi Condensed"/>
          <w:sz w:val="24"/>
          <w:szCs w:val="24"/>
        </w:rPr>
        <w:t xml:space="preserve"> · un </w:t>
      </w:r>
      <w:r>
        <w:rPr>
          <w:rFonts w:ascii="Barlow Semi Condensed" w:cs="Barlow Semi Condensed" w:eastAsia="Barlow Semi Condensed" w:hAnsi="Barlow Semi Condensed"/>
          <w:b/>
          <w:bCs/>
          <w:sz w:val="24"/>
          <w:szCs w:val="24"/>
        </w:rPr>
        <w:t xml:space="preserve">agente letterario</w:t>
      </w:r>
      <w:r>
        <w:rPr>
          <w:rFonts w:ascii="Barlow Semi Condensed" w:cs="Barlow Semi Condensed" w:eastAsia="Barlow Semi Condensed" w:hAnsi="Barlow Semi Condensed"/>
          <w:sz w:val="24"/>
          <w:szCs w:val="24"/>
        </w:rPr>
        <w:t xml:space="preserve"> — e un agente si cerca </w:t>
      </w:r>
      <w:r>
        <w:rPr>
          <w:rFonts w:ascii="Barlow Semi Condensed" w:cs="Barlow Semi Condensed" w:eastAsia="Barlow Semi Condensed" w:hAnsi="Barlow Semi Condensed"/>
          <w:b/>
          <w:bCs/>
          <w:sz w:val="24"/>
          <w:szCs w:val="24"/>
        </w:rPr>
        <w:t xml:space="preserve">dopo</w:t>
      </w:r>
    </w:p>
    <w:p>
      <w:pPr>
        <w:spacing w:after="120" w:line="276"/>
        <w:jc w:val="both"/>
      </w:pPr>
      <w:r>
        <w:rPr>
          <w:rFonts w:ascii="Barlow Semi Condensed" w:cs="Barlow Semi Condensed" w:eastAsia="Barlow Semi Condensed" w:hAnsi="Barlow Semi Condensed"/>
          <w:sz w:val="24"/>
          <w:szCs w:val="24"/>
        </w:rPr>
        <w:t xml:space="preserve">  che il saggio è scritto, perché è l'unica cosa da mostrargli. Nota:</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Bollati e Chiarelettere sono dello stesso gruppo</w:t>
      </w:r>
      <w:r>
        <w:rPr>
          <w:rFonts w:ascii="Barlow Semi Condensed" w:cs="Barlow Semi Condensed" w:eastAsia="Barlow Semi Condensed" w:hAnsi="Barlow Semi Condensed"/>
          <w:sz w:val="24"/>
          <w:szCs w:val="24"/>
        </w:rPr>
        <w:t xml:space="preserve">, e un agente che lo copra</w:t>
      </w:r>
    </w:p>
    <w:p>
      <w:pPr>
        <w:spacing w:after="120" w:line="276"/>
        <w:jc w:val="both"/>
      </w:pPr>
      <w:r>
        <w:rPr>
          <w:rFonts w:ascii="Barlow Semi Condensed" w:cs="Barlow Semi Condensed" w:eastAsia="Barlow Semi Condensed" w:hAnsi="Barlow Semi Condensed"/>
          <w:sz w:val="24"/>
          <w:szCs w:val="24"/>
        </w:rPr>
        <w:t xml:space="preserve">  raggiunge entrambi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 — ✓ ma fuori catalogo · non inviare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b.ciampichetti@astrolabio-ubaldini.com</w:t>
      </w:r>
      <w:r>
        <w:rPr>
          <w:rFonts w:ascii="Barlow Semi Condensed" w:cs="Barlow Semi Condensed" w:eastAsia="Barlow Semi Condensed" w:hAnsi="Barlow Semi Condensed"/>
          <w:sz w:val="24"/>
          <w:szCs w:val="24"/>
        </w:rPr>
        <w:t xml:space="preserve"> · via Guido d'Arezzo 16,</w:t>
      </w:r>
    </w:p>
    <w:p>
      <w:pPr>
        <w:spacing w:after="120" w:line="276"/>
        <w:jc w:val="both"/>
      </w:pPr>
      <w:r>
        <w:rPr>
          <w:rFonts w:ascii="Barlow Semi Condensed" w:cs="Barlow Semi Condensed" w:eastAsia="Barlow Semi Condensed" w:hAnsi="Barlow Semi Condensed"/>
          <w:sz w:val="24"/>
          <w:szCs w:val="24"/>
        </w:rPr>
        <w:t xml:space="preserve">  00198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vincolo</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soltanto</w:t>
      </w:r>
      <w:r>
        <w:rPr>
          <w:rFonts w:ascii="Barlow Semi Condensed" w:cs="Barlow Semi Condensed" w:eastAsia="Barlow Semi Condensed" w:hAnsi="Barlow Semi Condensed"/>
          <w:sz w:val="24"/>
          <w:szCs w:val="24"/>
        </w:rPr>
        <w:t xml:space="preserve"> psicologia del profondo e filosofie e</w:t>
      </w:r>
    </w:p>
    <w:p>
      <w:pPr>
        <w:spacing w:after="120" w:line="276"/>
        <w:jc w:val="both"/>
      </w:pPr>
      <w:r>
        <w:rPr>
          <w:rFonts w:ascii="Barlow Semi Condensed" w:cs="Barlow Semi Condensed" w:eastAsia="Barlow Semi Condensed" w:hAnsi="Barlow Semi Condensed"/>
          <w:sz w:val="24"/>
          <w:szCs w:val="24"/>
        </w:rPr>
        <w:t xml:space="preserve">  religioni orientali. Il libro non appartiene al perimetro che l'editore</w:t>
      </w:r>
    </w:p>
    <w:p>
      <w:pPr>
        <w:spacing w:after="120" w:line="276"/>
        <w:jc w:val="both"/>
      </w:pPr>
      <w:r>
        <w:rPr>
          <w:rFonts w:ascii="Barlow Semi Condensed" w:cs="Barlow Semi Condensed" w:eastAsia="Barlow Semi Condensed" w:hAnsi="Barlow Semi Condensed"/>
          <w:sz w:val="24"/>
          <w:szCs w:val="24"/>
        </w:rPr>
        <w:t xml:space="preserve">  dichiara. Non è un giudizio sull'editore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Omonimia da sciogliere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«L'Astrolabio»</w:t>
      </w:r>
      <w:r>
        <w:rPr>
          <w:rFonts w:ascii="Barlow Semi Condensed" w:cs="Barlow Semi Condensed" w:eastAsia="Barlow Semi Condensed" w:hAnsi="Barlow Semi Condensed"/>
          <w:sz w:val="24"/>
          <w:szCs w:val="24"/>
        </w:rPr>
        <w:t xml:space="preserve">, il periodico di Ferruccio</w:t>
      </w:r>
    </w:p>
    <w:p>
      <w:pPr>
        <w:spacing w:after="120" w:line="276"/>
        <w:jc w:val="both"/>
      </w:pPr>
      <w:r>
        <w:rPr>
          <w:rFonts w:ascii="Barlow Semi Condensed" w:cs="Barlow Semi Condensed" w:eastAsia="Barlow Semi Condensed" w:hAnsi="Barlow Semi Condensed"/>
          <w:sz w:val="24"/>
          <w:szCs w:val="24"/>
        </w:rPr>
        <w:t xml:space="preserve">  Parri, è tutt'altro: se l'intenzione era quella, il destinatario è</w:t>
      </w:r>
    </w:p>
    <w:p>
      <w:pPr>
        <w:spacing w:after="120" w:line="276"/>
        <w:jc w:val="both"/>
      </w:pP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 che è già in ondata 0, alla voce</w:t>
      </w:r>
    </w:p>
    <w:p>
      <w:pPr>
        <w:spacing w:after="120" w:line="276"/>
        <w:jc w:val="both"/>
      </w:pPr>
      <w:r>
        <w:rPr>
          <w:rFonts w:ascii="Barlow Semi Condensed" w:cs="Barlow Semi Condensed" w:eastAsia="Barlow Semi Condensed" w:hAnsi="Barlow Semi Condensed"/>
          <w:sz w:val="24"/>
          <w:szCs w:val="24"/>
        </w:rPr>
        <w:t xml:space="preserve">  apparato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deciso di non inviare,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oppure: ridiretto all'Istituto Parri,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 — deposito, non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 opera integrale · indice del ramo · note bibliografiche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Licenza</w:t>
      </w:r>
      <w:r>
        <w:rPr>
          <w:rFonts w:ascii="Barlow Semi Condensed" w:cs="Barlow Semi Condensed" w:eastAsia="Barlow Semi Condensed" w:hAnsi="Barlow Semi Condensed"/>
          <w:sz w:val="24"/>
          <w:szCs w:val="24"/>
        </w:rPr>
        <w:t xml:space="preserve"> · da scegliere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di caricare: cambiarla dopo è possibile ma</w:t>
      </w:r>
    </w:p>
    <w:p>
      <w:pPr>
        <w:spacing w:after="120" w:line="276"/>
        <w:jc w:val="both"/>
      </w:pPr>
      <w:r>
        <w:rPr>
          <w:rFonts w:ascii="Barlow Semi Condensed" w:cs="Barlow Semi Condensed" w:eastAsia="Barlow Semi Condensed" w:hAnsi="Barlow Semi Condensed"/>
          <w:sz w:val="24"/>
          <w:szCs w:val="24"/>
        </w:rPr>
        <w:t xml:space="preserve">  sgradevole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depositato il ……… · DOI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Tracciamento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Ondata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Inviato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Risposta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0b</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4</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5</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6</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7</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sospeso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8</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via agente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9</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escluso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«Italia contemporanea»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parallelo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Edizione Nazionale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da valutare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manca ancora</w:t>
      </w:r>
    </w:p>
    <w:p>
      <w:pPr>
        <w:spacing w:after="120" w:line="276"/>
        <w:jc w:val="both"/>
      </w:pPr>
      <w:r>
        <w:rPr>
          <w:rFonts w:ascii="Barlow Semi Condensed" w:cs="Barlow Semi Condensed" w:eastAsia="Barlow Semi Condensed" w:hAnsi="Barlow Semi Condensed"/>
          <w:b/>
          <w:bCs/>
          <w:sz w:val="24"/>
          <w:szCs w:val="24"/>
        </w:rPr>
        <w:t xml:space="preserve">Tutte e sei le porte praticabili hanno il loro testo.</w:t>
      </w:r>
      <w:r>
        <w:rPr>
          <w:rFonts w:ascii="Barlow Semi Condensed" w:cs="Barlow Semi Condensed" w:eastAsia="Barlow Semi Condensed" w:hAnsi="Barlow Semi Condensed"/>
          <w:sz w:val="24"/>
          <w:szCs w:val="24"/>
        </w:rPr>
        <w:t xml:space="preserve"> Restano due cose,</w:t>
      </w:r>
    </w:p>
    <w:p>
      <w:pPr>
        <w:spacing w:after="120" w:line="276"/>
        <w:jc w:val="both"/>
      </w:pPr>
      <w:r>
        <w:rPr>
          <w:rFonts w:ascii="Barlow Semi Condensed" w:cs="Barlow Semi Condensed" w:eastAsia="Barlow Semi Condensed" w:hAnsi="Barlow Semi Condensed"/>
          <w:sz w:val="24"/>
          <w:szCs w:val="24"/>
        </w:rPr>
        <w:t xml:space="preserve">e nessuna delle due è una proposta da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saggio</w:t>
      </w:r>
      <w:r>
        <w:rPr>
          <w:rFonts w:ascii="Barlow Semi Condensed" w:cs="Barlow Semi Condensed" w:eastAsia="Barlow Semi Condensed" w:hAnsi="Barlow Semi Condensed"/>
          <w:sz w:val="24"/>
          <w:szCs w:val="24"/>
        </w:rPr>
        <w:t xml:space="preserve">, che è il testo vero: la proposta a Bompiani non parte finché</w:t>
      </w:r>
    </w:p>
    <w:p>
      <w:pPr>
        <w:spacing w:after="120" w:line="276"/>
        <w:jc w:val="both"/>
      </w:pPr>
      <w:r>
        <w:rPr>
          <w:rFonts w:ascii="Barlow Semi Condensed" w:cs="Barlow Semi Condensed" w:eastAsia="Barlow Semi Condensed" w:hAnsi="Barlow Semi Condensed"/>
          <w:sz w:val="24"/>
          <w:szCs w:val="24"/>
        </w:rPr>
        <w:t xml:space="preserve">      non è scritto, e quella a Einaudi nemmeno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(eventuale)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Feltrinelli</w:t>
      </w:r>
      <w:r>
        <w:rPr>
          <w:rFonts w:ascii="Barlow Semi Condensed" w:cs="Barlow Semi Condensed" w:eastAsia="Barlow Semi Condensed" w:hAnsi="Barlow Semi Condensed"/>
          <w:sz w:val="24"/>
          <w:szCs w:val="24"/>
        </w:rPr>
        <w:t xml:space="preserve">, solo a canale riaperto, col conflitto</w:t>
      </w:r>
    </w:p>
    <w:p>
      <w:pPr>
        <w:spacing w:after="120" w:line="276"/>
        <w:jc w:val="both"/>
      </w:pPr>
      <w:r>
        <w:rPr>
          <w:rFonts w:ascii="Barlow Semi Condensed" w:cs="Barlow Semi Condensed" w:eastAsia="Barlow Semi Condensed" w:hAnsi="Barlow Semi Condensed"/>
          <w:sz w:val="24"/>
          <w:szCs w:val="24"/>
        </w:rPr>
        <w:t xml:space="preserve">      d'oggetto in apertura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Nota di quattro pagine</w:t>
      </w:r>
      <w:r>
        <w:rPr>
          <w:rFonts w:ascii="Barlow Semi Condensed" w:cs="Barlow Semi Condensed" w:eastAsia="Barlow Semi Condensed" w:hAnsi="Barlow Semi Condensed"/>
          <w:sz w:val="24"/>
          <w:szCs w:val="24"/>
        </w:rPr>
        <w:t xml:space="preserve"> per una rivista di storia contemporanea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 arriva un rifiuto</w:t>
      </w:r>
    </w:p>
    <w:p>
      <w:pPr>
        <w:spacing w:after="120" w:line="276"/>
        <w:jc w:val="both"/>
      </w:pPr>
      <w:r>
        <w:rPr>
          <w:rFonts w:ascii="Barlow Semi Condensed" w:cs="Barlow Semi Condensed" w:eastAsia="Barlow Semi Condensed" w:hAnsi="Barlow Semi Condensed"/>
          <w:sz w:val="24"/>
          <w:szCs w:val="24"/>
        </w:rPr>
        <w:t xml:space="preserve">Non è un giudizio sul lavoro: quasi sempre è un giudizio sul catalogo di chi lo</w:t>
      </w:r>
    </w:p>
    <w:p>
      <w:pPr>
        <w:spacing w:after="120" w:line="276"/>
        <w:jc w:val="both"/>
      </w:pPr>
      <w:r>
        <w:rPr>
          <w:rFonts w:ascii="Barlow Semi Condensed" w:cs="Barlow Semi Condensed" w:eastAsia="Barlow Semi Condensed" w:hAnsi="Barlow Semi Condensed"/>
          <w:sz w:val="24"/>
          <w:szCs w:val="24"/>
        </w:rPr>
        <w:t xml:space="preserve">emette. Si registra nella tabella e basta.</w:t>
      </w:r>
    </w:p>
    <w:p>
      <w:pPr>
        <w:spacing w:after="120" w:line="276"/>
        <w:jc w:val="both"/>
      </w:pPr>
      <w:r>
        <w:rPr>
          <w:rFonts w:ascii="Barlow Semi Condensed" w:cs="Barlow Semi Condensed" w:eastAsia="Barlow Semi Condensed" w:hAnsi="Barlow Semi Condensed"/>
          <w:b/>
          <w:bCs/>
          <w:sz w:val="24"/>
          <w:szCs w:val="24"/>
        </w:rPr>
        <w:t xml:space="preserve">Non si chiede il motivo.</w:t>
      </w:r>
      <w:r>
        <w:rPr>
          <w:rFonts w:ascii="Barlow Semi Condensed" w:cs="Barlow Semi Condensed" w:eastAsia="Barlow Semi Condensed" w:hAnsi="Barlow Semi Condensed"/>
          <w:sz w:val="24"/>
          <w:szCs w:val="24"/>
        </w:rPr>
        <w:t xml:space="preserve"> Non si manda una versione rivista a chi non l'ha</w:t>
      </w:r>
    </w:p>
    <w:p>
      <w:pPr>
        <w:spacing w:after="120" w:line="276"/>
        <w:jc w:val="both"/>
      </w:pPr>
      <w:r>
        <w:rPr>
          <w:rFonts w:ascii="Barlow Semi Condensed" w:cs="Barlow Semi Condensed" w:eastAsia="Barlow Semi Condensed" w:hAnsi="Barlow Semi Condensed"/>
          <w:sz w:val="24"/>
          <w:szCs w:val="24"/>
        </w:rPr>
        <w:t xml:space="preserve">chiesta. Non si rispedisce la stessa proposta mesi dopo sperando in un lettore</w:t>
      </w:r>
    </w:p>
    <w:p>
      <w:pPr>
        <w:spacing w:after="120" w:line="276"/>
        <w:jc w:val="both"/>
      </w:pPr>
      <w:r>
        <w:rPr>
          <w:rFonts w:ascii="Barlow Semi Condensed" w:cs="Barlow Semi Condensed" w:eastAsia="Barlow Semi Condensed" w:hAnsi="Barlow Semi Condensed"/>
          <w:sz w:val="24"/>
          <w:szCs w:val="24"/>
        </w:rPr>
        <w:t xml:space="preserve">diverso: dove vige la regola dei dodici mesi, violarla chiude la porta anche per</w:t>
      </w:r>
    </w:p>
    <w:p>
      <w:pPr>
        <w:spacing w:after="120" w:line="276"/>
        <w:jc w:val="both"/>
      </w:pPr>
      <w:r>
        <w:rPr>
          <w:rFonts w:ascii="Barlow Semi Condensed" w:cs="Barlow Semi Condensed" w:eastAsia="Barlow Semi Condensed" w:hAnsi="Barlow Semi Condensed"/>
          <w:sz w:val="24"/>
          <w:szCs w:val="24"/>
        </w:rPr>
        <w:t xml:space="preserve">la volta buona.</w:t>
      </w:r>
    </w:p>
    <w:p>
      <w:pPr>
        <w:pStyle w:val="Heading2"/>
        <w:spacing w:after="100" w:before="200"/>
      </w:pPr>
      <w:r>
        <w:rPr>
          <w:rFonts w:ascii="Barlow Semi Condensed" w:cs="Barlow Semi Condensed" w:eastAsia="Barlow Semi Condensed" w:hAnsi="Barlow Semi Condensed"/>
          <w:sz w:val="24"/>
          <w:szCs w:val="24"/>
        </w:rPr>
        <w:t xml:space="preserve">Se arriva un interesse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Quale collana</w:t>
      </w:r>
      <w:r>
        <w:rPr>
          <w:rFonts w:ascii="Barlow Semi Condensed" w:cs="Barlow Semi Condensed" w:eastAsia="Barlow Semi Condensed" w:hAnsi="Barlow Semi Condensed"/>
          <w:sz w:val="24"/>
          <w:szCs w:val="24"/>
        </w:rPr>
        <w:t xml:space="preserve"> — determina lunghezza, tono e lettori.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Quali tempi</w:t>
      </w:r>
      <w:r>
        <w:rPr>
          <w:rFonts w:ascii="Barlow Semi Condensed" w:cs="Barlow Semi Condensed" w:eastAsia="Barlow Semi Condensed" w:hAnsi="Barlow Semi Condensed"/>
          <w:sz w:val="24"/>
          <w:szCs w:val="24"/>
        </w:rPr>
        <w:t xml:space="preserve"> — il testo è da scrivere, e una scadenza irreale è il modo più</w:t>
      </w:r>
    </w:p>
    <w:p>
      <w:pPr>
        <w:spacing w:after="120" w:line="276"/>
        <w:jc w:val="both"/>
      </w:pPr>
      <w:r>
        <w:rPr>
          <w:rFonts w:ascii="Barlow Semi Condensed" w:cs="Barlow Semi Condensed" w:eastAsia="Barlow Semi Condensed" w:hAnsi="Barlow Semi Condensed"/>
          <w:sz w:val="24"/>
          <w:szCs w:val="24"/>
        </w:rPr>
        <w:t xml:space="preserve">   comune di rovinare un buon progetto.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Avvertire gli altri in attesa</w:t>
      </w:r>
      <w:r>
        <w:rPr>
          <w:rFonts w:ascii="Barlow Semi Condensed" w:cs="Barlow Semi Condensed" w:eastAsia="Barlow Semi Condensed" w:hAnsi="Barlow Semi Condensed"/>
          <w:sz w:val="24"/>
          <w:szCs w:val="24"/>
        </w:rPr>
        <w:t xml:space="preserve"> — costa tre righe e vale una reputazione.</w:t>
      </w:r>
    </w:p>
    <w:p>
      <w:pPr>
        <w:spacing w:after="40"/>
        <w:ind w:left="360"/>
        <w:jc w:val="both"/>
      </w:pPr>
      <w:r>
        <w:rPr>
          <w:rFonts w:ascii="Barlow Semi Condensed" w:cs="Barlow Semi Condensed" w:eastAsia="Barlow Semi Condensed" w:hAnsi="Barlow Semi Condensed"/>
          <w:sz w:val="24"/>
          <w:szCs w:val="24"/>
        </w:rPr>
        <w:t xml:space="preserve">4.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   apertura**, in qualunque forma il libro prenda. Se un editore chiedesse di</w:t>
      </w:r>
    </w:p>
    <w:p>
      <w:pPr>
        <w:spacing w:after="120" w:line="276"/>
        <w:jc w:val="both"/>
      </w:pPr>
      <w:r>
        <w:rPr>
          <w:rFonts w:ascii="Barlow Semi Condensed" w:cs="Barlow Semi Condensed" w:eastAsia="Barlow Semi Condensed" w:hAnsi="Barlow Semi Condensed"/>
          <w:sz w:val="24"/>
          <w:szCs w:val="24"/>
        </w:rPr>
        <w:t xml:space="preserve">   spostarla in fondo o di attenuarla, non è una richiesta redazionale: è la</w:t>
      </w:r>
    </w:p>
    <w:p>
      <w:pPr>
        <w:spacing w:after="120" w:line="276"/>
        <w:jc w:val="both"/>
      </w:pPr>
      <w:r>
        <w:rPr>
          <w:rFonts w:ascii="Barlow Semi Condensed" w:cs="Barlow Semi Condensed" w:eastAsia="Barlow Semi Condensed" w:hAnsi="Barlow Semi Condensed"/>
          <w:sz w:val="24"/>
          <w:szCs w:val="24"/>
        </w:rPr>
        <w:t xml:space="preserve">   richiesta di pubblicare 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viii. La checklist di invio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2.291 parole in 9 sezioni; la più ampia è §5 Le quattro ondate, con 1.221.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ix. Il curriculum, modello</w:t>
      </w:r>
    </w:p>
    <w:p>
      <w:pPr>
        <w:pStyle w:val="Heading1"/>
        <w:spacing w:after="120" w:before="240"/>
      </w:pPr>
      <w:r>
        <w:rPr>
          <w:rFonts w:ascii="Barlow Semi Condensed" w:cs="Barlow Semi Condensed" w:eastAsia="Barlow Semi Condensed" w:hAnsi="Barlow Semi Condensed"/>
          <w:sz w:val="24"/>
          <w:szCs w:val="24"/>
        </w:rPr>
        <w:t xml:space="preserve">Curriculum vitae — modello da compilare</w:t>
      </w:r>
    </w:p>
    <w:p>
      <w:pPr>
        <w:spacing w:after="120" w:line="276"/>
        <w:jc w:val="both"/>
      </w:pPr>
      <w:r>
        <w:rPr>
          <w:rFonts w:ascii="Barlow Semi Condensed" w:cs="Barlow Semi Condensed" w:eastAsia="Barlow Semi Condensed" w:hAnsi="Barlow Semi Condensed"/>
          <w:sz w:val="24"/>
          <w:szCs w:val="24"/>
        </w:rPr>
        <w:t xml:space="preserve">*Einaudi lo richiede esplicitamente in allegato, e chiede che i dati anagrafici,</w:t>
      </w:r>
    </w:p>
    <w:p>
      <w:pPr>
        <w:spacing w:after="120" w:line="276"/>
        <w:jc w:val="both"/>
      </w:pPr>
      <w:r>
        <w:rPr>
          <w:rFonts w:ascii="Barlow Semi Condensed" w:cs="Barlow Semi Condensed" w:eastAsia="Barlow Semi Condensed" w:hAnsi="Barlow Semi Condensed"/>
          <w:sz w:val="24"/>
          <w:szCs w:val="24"/>
        </w:rPr>
        <w:t xml:space="preserve">la posta elettronica e il telefono siano ripetuti </w:t>
      </w:r>
      <w:r>
        <w:rPr>
          <w:rFonts w:ascii="Barlow Semi Condensed" w:cs="Barlow Semi Condensed" w:eastAsia="Barlow Semi Condensed" w:hAnsi="Barlow Semi Condensed"/>
          <w:b/>
          <w:bCs/>
          <w:sz w:val="24"/>
          <w:szCs w:val="24"/>
        </w:rPr>
        <w:t xml:space="preserve">anche dentro il documento</w:t>
      </w:r>
    </w:p>
    <w:p>
      <w:pPr>
        <w:spacing w:after="120" w:line="276"/>
        <w:jc w:val="both"/>
      </w:pPr>
      <w:r>
        <w:rPr>
          <w:rFonts w:ascii="Barlow Semi Condensed" w:cs="Barlow Semi Condensed" w:eastAsia="Barlow Semi Condensed" w:hAnsi="Barlow Semi Condensed"/>
          <w:sz w:val="24"/>
          <w:szCs w:val="24"/>
        </w:rPr>
        <w:t xml:space="preserve">dell'opera. Laterza e il Mulino chiedono una biografia più breve, che si ricava</w:t>
      </w:r>
    </w:p>
    <w:p>
      <w:pPr>
        <w:spacing w:after="120" w:line="276"/>
        <w:jc w:val="both"/>
      </w:pPr>
      <w:r>
        <w:rPr>
          <w:rFonts w:ascii="Barlow Semi Condensed" w:cs="Barlow Semi Condensed" w:eastAsia="Barlow Semi Condensed" w:hAnsi="Barlow Semi Condensed"/>
          <w:sz w:val="24"/>
          <w:szCs w:val="24"/>
        </w:rPr>
        <w:t xml:space="preserve">tagliando questo. Le parentesi quadre sono i punti da compilare: vanno tolte.*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[Nome e cognome]</w:t>
      </w:r>
    </w:p>
    <w:p>
      <w:pPr>
        <w:spacing w:after="120" w:line="276"/>
        <w:jc w:val="both"/>
      </w:pPr>
      <w:r>
        <w:rPr>
          <w:rFonts w:ascii="Barlow Semi Condensed" w:cs="Barlow Semi Condensed" w:eastAsia="Barlow Semi Condensed" w:hAnsi="Barlow Semi Condensed"/>
          <w:sz w:val="24"/>
          <w:szCs w:val="24"/>
        </w:rPr>
        <w:t xml:space="preserve">[Indirizzo] · [Città, CAP] · [Telefono] · [Posta elettronica]</w:t>
      </w:r>
    </w:p>
    <w:p>
      <w:pPr>
        <w:spacing w:after="120" w:line="276"/>
        <w:jc w:val="both"/>
      </w:pPr>
      <w:r>
        <w:rPr>
          <w:rFonts w:ascii="Barlow Semi Condensed" w:cs="Barlow Semi Condensed" w:eastAsia="Barlow Semi Condensed" w:hAnsi="Barlow Semi Condensed"/>
          <w:sz w:val="24"/>
          <w:szCs w:val="24"/>
        </w:rPr>
        <w:t xml:space="preserve">[Data e luogo di nascita]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Profilo in cinque righe</w:t>
      </w:r>
    </w:p>
    <w:p>
      <w:pPr>
        <w:spacing w:after="120" w:line="276"/>
        <w:jc w:val="both"/>
      </w:pPr>
      <w:r>
        <w:rPr>
          <w:rFonts w:ascii="Barlow Semi Condensed" w:cs="Barlow Semi Condensed" w:eastAsia="Barlow Semi Condensed" w:hAnsi="Barlow Semi Condensed"/>
          <w:sz w:val="24"/>
          <w:szCs w:val="24"/>
        </w:rPr>
        <w:t xml:space="preserve">*(È la parte che viene letta davvero. Va scritta per ultima e va tenuta a cinque</w:t>
      </w:r>
    </w:p>
    <w:p>
      <w:pPr>
        <w:spacing w:after="120" w:line="276"/>
        <w:jc w:val="both"/>
      </w:pPr>
      <w:r>
        <w:rPr>
          <w:rFonts w:ascii="Barlow Semi Condensed" w:cs="Barlow Semi Condensed" w:eastAsia="Barlow Semi Condensed" w:hAnsi="Barlow Semi Condensed"/>
          <w:sz w:val="24"/>
          <w:szCs w:val="24"/>
        </w:rPr>
        <w:t xml:space="preserve">righe. Deve rispondere a una sola domanda: perché questa persona e non un'altra</w:t>
      </w:r>
    </w:p>
    <w:p>
      <w:pPr>
        <w:spacing w:after="120" w:line="276"/>
        <w:jc w:val="both"/>
      </w:pPr>
      <w:r>
        <w:rPr>
          <w:rFonts w:ascii="Barlow Semi Condensed" w:cs="Barlow Semi Condensed" w:eastAsia="Barlow Semi Condensed" w:hAnsi="Barlow Semi Condensed"/>
          <w:sz w:val="24"/>
          <w:szCs w:val="24"/>
        </w:rPr>
        <w:t xml:space="preserve">è quella che poteva fare questo libro.)*</w:t>
      </w:r>
    </w:p>
    <w:p>
      <w:pPr>
        <w:spacing w:after="120" w:line="276"/>
        <w:jc w:val="both"/>
      </w:pPr>
      <w:r>
        <w:rPr>
          <w:rFonts w:ascii="Barlow Semi Condensed" w:cs="Barlow Semi Condensed" w:eastAsia="Barlow Semi Condensed" w:hAnsi="Barlow Semi Condensed"/>
          <w:sz w:val="24"/>
          <w:szCs w:val="24"/>
        </w:rPr>
        <w:t xml:space="preserve">[Cinque righe.]</w:t>
      </w:r>
    </w:p>
    <w:p>
      <w:pPr>
        <w:pStyle w:val="Heading2"/>
        <w:spacing w:after="100" w:before="200"/>
      </w:pPr>
      <w:r>
        <w:rPr>
          <w:rFonts w:ascii="Barlow Semi Condensed" w:cs="Barlow Semi Condensed" w:eastAsia="Barlow Semi Condensed" w:hAnsi="Barlow Semi Condensed"/>
          <w:sz w:val="24"/>
          <w:szCs w:val="24"/>
        </w:rPr>
        <w:t xml:space="preserve">Formazione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[Titolo di studio] — [Istituzione], [anno]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[Eventuali altri titoli, corsi, specializzazioni]</w:t>
      </w:r>
    </w:p>
    <w:p>
      <w:pPr>
        <w:pStyle w:val="Heading2"/>
        <w:spacing w:after="100" w:before="200"/>
      </w:pPr>
      <w:r>
        <w:rPr>
          <w:rFonts w:ascii="Barlow Semi Condensed" w:cs="Barlow Semi Condensed" w:eastAsia="Barlow Semi Condensed" w:hAnsi="Barlow Semi Condensed"/>
          <w:sz w:val="24"/>
          <w:szCs w:val="24"/>
        </w:rPr>
        <w:t xml:space="preserve">Attività professionale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 [Una riga su che cosa comportava.]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w:t>
      </w:r>
    </w:p>
    <w:p>
      <w:pPr>
        <w:spacing w:after="120" w:line="276"/>
        <w:jc w:val="both"/>
      </w:pPr>
      <w:r>
        <w:rPr>
          <w:rFonts w:ascii="Barlow Semi Condensed" w:cs="Barlow Semi Condensed" w:eastAsia="Barlow Semi Condensed" w:hAnsi="Barlow Semi Condensed"/>
          <w:sz w:val="24"/>
          <w:szCs w:val="24"/>
        </w:rPr>
        <w:t xml:space="preserve">*(Se l'attività professionale non ha nulla a che vedere con la storia</w:t>
      </w:r>
    </w:p>
    <w:p>
      <w:pPr>
        <w:spacing w:after="120" w:line="276"/>
        <w:jc w:val="both"/>
      </w:pPr>
      <w:r>
        <w:rPr>
          <w:rFonts w:ascii="Barlow Semi Condensed" w:cs="Barlow Semi Condensed" w:eastAsia="Barlow Semi Condensed" w:hAnsi="Barlow Semi Condensed"/>
          <w:sz w:val="24"/>
          <w:szCs w:val="24"/>
        </w:rPr>
        <w:t xml:space="preserve">contemporanea, non è un problema e non va nascosta. Va però detto in una riga che</w:t>
      </w:r>
    </w:p>
    <w:p>
      <w:pPr>
        <w:spacing w:after="120" w:line="276"/>
        <w:jc w:val="both"/>
      </w:pPr>
      <w:r>
        <w:rPr>
          <w:rFonts w:ascii="Barlow Semi Condensed" w:cs="Barlow Semi Condensed" w:eastAsia="Barlow Semi Condensed" w:hAnsi="Barlow Semi Condensed"/>
          <w:sz w:val="24"/>
          <w:szCs w:val="24"/>
        </w:rPr>
        <w:t xml:space="preserve">cosa ha portato a questo lavoro: la competenza tecnica, un interesse di lunga</w:t>
      </w:r>
    </w:p>
    <w:p>
      <w:pPr>
        <w:spacing w:after="120" w:line="276"/>
        <w:jc w:val="both"/>
      </w:pPr>
      <w:r>
        <w:rPr>
          <w:rFonts w:ascii="Barlow Semi Condensed" w:cs="Barlow Semi Condensed" w:eastAsia="Barlow Semi Condensed" w:hAnsi="Barlow Semi Condensed"/>
          <w:sz w:val="24"/>
          <w:szCs w:val="24"/>
        </w:rPr>
        <w:t xml:space="preserve">data, una ricerca cominciata per altre ragioni. Un editore preferisce un percorso</w:t>
      </w:r>
    </w:p>
    <w:p>
      <w:pPr>
        <w:spacing w:after="120" w:line="276"/>
        <w:jc w:val="both"/>
      </w:pPr>
      <w:r>
        <w:rPr>
          <w:rFonts w:ascii="Barlow Semi Condensed" w:cs="Barlow Semi Condensed" w:eastAsia="Barlow Semi Condensed" w:hAnsi="Barlow Semi Condensed"/>
          <w:sz w:val="24"/>
          <w:szCs w:val="24"/>
        </w:rPr>
        <w:t xml:space="preserve">dichiarato a un percorso taciuto.)*</w:t>
      </w:r>
    </w:p>
    <w:p>
      <w:pPr>
        <w:pStyle w:val="Heading2"/>
        <w:spacing w:after="100" w:before="200"/>
      </w:pPr>
      <w:r>
        <w:rPr>
          <w:rFonts w:ascii="Barlow Semi Condensed" w:cs="Barlow Semi Condensed" w:eastAsia="Barlow Semi Condensed" w:hAnsi="Barlow Semi Condensed"/>
          <w:sz w:val="24"/>
          <w:szCs w:val="24"/>
        </w:rPr>
        <w:t xml:space="preserve">Pubblicazioni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[Elenco, se ce ne sono, in ordine cronologico inverso.]</w:t>
      </w:r>
    </w:p>
    <w:p>
      <w:pPr>
        <w:spacing w:after="120" w:line="276"/>
        <w:jc w:val="both"/>
      </w:pPr>
      <w:r>
        <w:rPr>
          <w:rFonts w:ascii="Barlow Semi Condensed" w:cs="Barlow Semi Condensed" w:eastAsia="Barlow Semi Condensed" w:hAnsi="Barlow Semi Condensed"/>
          <w:sz w:val="24"/>
          <w:szCs w:val="24"/>
        </w:rPr>
        <w:t xml:space="preserve">*(Se non ce ne sono, si scriva questa riga e basta: «Questa è la mia prima</w:t>
      </w:r>
    </w:p>
    <w:p>
      <w:pPr>
        <w:spacing w:after="120" w:line="276"/>
        <w:jc w:val="both"/>
      </w:pPr>
      <w:r>
        <w:rPr>
          <w:rFonts w:ascii="Barlow Semi Condensed" w:cs="Barlow Semi Condensed" w:eastAsia="Barlow Semi Condensed" w:hAnsi="Barlow Semi Condensed"/>
          <w:sz w:val="24"/>
          <w:szCs w:val="24"/>
        </w:rPr>
        <w:t xml:space="preserve">proposta editoriale.» È preferibile all'omissione, e nessun editore serio la</w:t>
      </w:r>
    </w:p>
    <w:p>
      <w:pPr>
        <w:spacing w:after="120" w:line="276"/>
        <w:jc w:val="both"/>
      </w:pPr>
      <w:r>
        <w:rPr>
          <w:rFonts w:ascii="Barlow Semi Condensed" w:cs="Barlow Semi Condensed" w:eastAsia="Barlow Semi Condensed" w:hAnsi="Barlow Semi Condensed"/>
          <w:sz w:val="24"/>
          <w:szCs w:val="24"/>
        </w:rPr>
        <w:t xml:space="preserve">considera un difetto in sé.)*</w:t>
      </w:r>
    </w:p>
    <w:p>
      <w:pPr>
        <w:pStyle w:val="Heading2"/>
        <w:spacing w:after="100" w:before="200"/>
      </w:pPr>
      <w:r>
        <w:rPr>
          <w:rFonts w:ascii="Barlow Semi Condensed" w:cs="Barlow Semi Condensed" w:eastAsia="Barlow Semi Condensed" w:hAnsi="Barlow Semi Condensed"/>
          <w:sz w:val="24"/>
          <w:szCs w:val="24"/>
        </w:rPr>
        <w:t xml:space="preserve">Il lavoro da cui nasce la proposta</w:t>
      </w:r>
    </w:p>
    <w:p>
      <w:pPr>
        <w:spacing w:after="120" w:line="276"/>
        <w:jc w:val="both"/>
      </w:pPr>
      <w:r>
        <w:rPr>
          <w:rFonts w:ascii="Barlow Semi Condensed" w:cs="Barlow Semi Condensed" w:eastAsia="Barlow Semi Condensed" w:hAnsi="Barlow Semi Condensed"/>
          <w:sz w:val="24"/>
          <w:szCs w:val="24"/>
        </w:rPr>
        <w:t xml:space="preserve">Nel 2026 ho diretto la costruzione di un corpus di ricerca storica sul caso Moro</w:t>
      </w:r>
    </w:p>
    <w:p>
      <w:pPr>
        <w:spacing w:after="120" w:line="276"/>
        <w:jc w:val="both"/>
      </w:pPr>
      <w:r>
        <w:rPr>
          <w:rFonts w:ascii="Barlow Semi Condensed" w:cs="Barlow Semi Condensed" w:eastAsia="Barlow Semi Condensed" w:hAnsi="Barlow Semi Condensed"/>
          <w:sz w:val="24"/>
          <w:szCs w:val="24"/>
        </w:rPr>
        <w:t xml:space="preserve">e sul suo contesto internazionale, prodotto con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una disciplina metodologica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Il corpus consta di</w:t>
      </w:r>
    </w:p>
    <w:p>
      <w:pPr>
        <w:spacing w:after="120" w:line="276"/>
        <w:jc w:val="both"/>
      </w:pPr>
      <w:r>
        <w:rPr>
          <w:rFonts w:ascii="Barlow Semi Condensed" w:cs="Barlow Semi Condensed" w:eastAsia="Barlow Semi Condensed" w:hAnsi="Barlow Semi Condensed"/>
          <w:b/>
          <w:bCs/>
          <w:sz w:val="24"/>
          <w:szCs w:val="24"/>
        </w:rPr>
        <w:t xml:space="preserve">7.699 blocchi mirati di ricerca</w:t>
      </w:r>
      <w:r>
        <w:rPr>
          <w:rFonts w:ascii="Barlow Semi Condensed" w:cs="Barlow Semi Condensed" w:eastAsia="Barlow Semi Condensed" w:hAnsi="Barlow Semi Condensed"/>
          <w:sz w:val="24"/>
          <w:szCs w:val="24"/>
        </w:rPr>
        <w:t xml:space="preserve"> in cinque opere e, a parte e non in somma,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538 blocchi certificati di verifica</w:t>
      </w:r>
      <w:r>
        <w:rPr>
          <w:rFonts w:ascii="Barlow Semi Condensed" w:cs="Barlow Semi Condensed" w:eastAsia="Barlow Semi Condensed" w:hAnsi="Barlow Semi Condensed"/>
          <w:sz w:val="24"/>
          <w:szCs w:val="24"/>
        </w:rPr>
        <w:t xml:space="preserve"> in otto tranche nel solo Libro</w:t>
      </w:r>
    </w:p>
    <w:p>
      <w:pPr>
        <w:spacing w:after="120" w:line="276"/>
        <w:jc w:val="both"/>
      </w:pPr>
      <w:r>
        <w:rPr>
          <w:rFonts w:ascii="Barlow Semi Condensed" w:cs="Barlow Semi Condensed" w:eastAsia="Barlow Semi Condensed" w:hAnsi="Barlow Semi Condensed"/>
          <w:sz w:val="24"/>
          <w:szCs w:val="24"/>
        </w:rPr>
        <w:t xml:space="preserve">quarto,</w:t>
      </w:r>
    </w:p>
    <w:p>
      <w:pPr>
        <w:spacing w:after="120" w:line="276"/>
        <w:jc w:val="both"/>
      </w:pPr>
      <w:r>
        <w:rPr>
          <w:rFonts w:ascii="Barlow Semi Condensed" w:cs="Barlow Semi Condensed" w:eastAsia="Barlow Semi Condensed" w:hAnsi="Barlow Semi Condensed"/>
          <w:sz w:val="24"/>
          <w:szCs w:val="24"/>
        </w:rPr>
        <w:t xml:space="preserve">rilegati in un volume integrale di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riferimenti</w:t>
      </w:r>
    </w:p>
    <w:p>
      <w:pPr>
        <w:spacing w:after="120" w:line="276"/>
        <w:jc w:val="both"/>
      </w:pPr>
      <w:r>
        <w:rPr>
          <w:rFonts w:ascii="Barlow Semi Condensed" w:cs="Barlow Semi Condensed" w:eastAsia="Barlow Semi Condensed" w:hAnsi="Barlow Semi Condensed"/>
          <w:sz w:val="24"/>
          <w:szCs w:val="24"/>
        </w:rPr>
        <w:t xml:space="preserve">bibliografici distinti, ed è depositato in archivio pubblico ad accesso libero.</w:t>
      </w:r>
    </w:p>
    <w:p>
      <w:pPr>
        <w:spacing w:after="120" w:line="276"/>
        <w:jc w:val="both"/>
      </w:pPr>
      <w:r>
        <w:rPr>
          <w:rFonts w:ascii="Barlow Semi Condensed" w:cs="Barlow Semi Condensed" w:eastAsia="Barlow Semi Condensed" w:hAnsi="Barlow Semi Condensed"/>
          <w:sz w:val="24"/>
          <w:szCs w:val="24"/>
        </w:rPr>
        <w:t xml:space="preserve">Il corpus non propone una tesi sul 1978 e non indica responsabili: produce</w:t>
      </w:r>
    </w:p>
    <w:p>
      <w:pPr>
        <w:spacing w:after="120" w:line="276"/>
        <w:jc w:val="both"/>
      </w:pPr>
      <w:r>
        <w:rPr>
          <w:rFonts w:ascii="Barlow Semi Condensed" w:cs="Barlow Semi Condensed" w:eastAsia="Barlow Semi Condensed" w:hAnsi="Barlow Semi Condensed"/>
          <w:sz w:val="24"/>
          <w:szCs w:val="24"/>
        </w:rPr>
        <w:t xml:space="preserve">domande d'archivio con l'indicazione della sede in cui andrebbero poste. Fa</w:t>
      </w:r>
    </w:p>
    <w:p>
      <w:pPr>
        <w:spacing w:after="120" w:line="276"/>
        <w:jc w:val="both"/>
      </w:pPr>
      <w:r>
        <w:rPr>
          <w:rFonts w:ascii="Barlow Semi Condensed" w:cs="Barlow Semi Condensed" w:eastAsia="Barlow Semi Condensed" w:hAnsi="Barlow Semi Condensed"/>
          <w:sz w:val="24"/>
          <w:szCs w:val="24"/>
        </w:rPr>
        <w:t xml:space="preserve">eccezione, dichiarata in copertina e limitata a un solo Libro, il dossier di cui</w:t>
      </w:r>
    </w:p>
    <w:p>
      <w:pPr>
        <w:spacing w:after="120" w:line="276"/>
        <w:jc w:val="both"/>
      </w:pPr>
      <w:r>
        <w:rPr>
          <w:rFonts w:ascii="Barlow Semi Condensed" w:cs="Barlow Semi Condensed" w:eastAsia="Barlow Semi Condensed" w:hAnsi="Barlow Semi Condensed"/>
          <w:sz w:val="24"/>
          <w:szCs w:val="24"/>
        </w:rPr>
        <w:t xml:space="preserve">sono autore: nella seconda metà ordina secondo la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non per nomi individuali — con la</w:t>
      </w:r>
    </w:p>
    <w:p>
      <w:pPr>
        <w:spacing w:after="120" w:line="276"/>
        <w:jc w:val="both"/>
      </w:pPr>
      <w:r>
        <w:rPr>
          <w:rFonts w:ascii="Barlow Semi Condensed" w:cs="Barlow Semi Condensed" w:eastAsia="Barlow Semi Condensed" w:hAnsi="Barlow Semi Condensed"/>
          <w:sz w:val="24"/>
          <w:szCs w:val="24"/>
        </w:rPr>
        <w:t xml:space="preserve">premessa garantista che distingue la plausibilità dalla colpevolezza. Ordinare</w:t>
      </w:r>
    </w:p>
    <w:p>
      <w:pPr>
        <w:spacing w:after="120" w:line="276"/>
        <w:jc w:val="both"/>
      </w:pPr>
      <w:r>
        <w:rPr>
          <w:rFonts w:ascii="Barlow Semi Condensed" w:cs="Barlow Semi Condensed" w:eastAsia="Barlow Semi Condensed" w:hAnsi="Barlow Semi Condensed"/>
          <w:sz w:val="24"/>
          <w:szCs w:val="24"/>
        </w:rPr>
        <w:t xml:space="preserve">per plausibilità non è condannare, e nessun altro Libro dell'opera contiene</w:t>
      </w:r>
    </w:p>
    <w:p>
      <w:pPr>
        <w:spacing w:after="120" w:line="276"/>
        <w:jc w:val="both"/>
      </w:pPr>
      <w:r>
        <w:rPr>
          <w:rFonts w:ascii="Barlow Semi Condensed" w:cs="Barlow Semi Condensed" w:eastAsia="Barlow Semi Condensed" w:hAnsi="Barlow Semi Condensed"/>
          <w:sz w:val="24"/>
          <w:szCs w:val="24"/>
        </w:rPr>
        <w:t xml:space="preserve">graduatorie.</w:t>
      </w:r>
    </w:p>
    <w:p>
      <w:pPr>
        <w:spacing w:after="120" w:line="276"/>
        <w:jc w:val="both"/>
      </w:pPr>
      <w:r>
        <w:rPr>
          <w:rFonts w:ascii="Barlow Semi Condensed" w:cs="Barlow Semi Condensed" w:eastAsia="Barlow Semi Condensed" w:hAnsi="Barlow Semi Condensed"/>
          <w:sz w:val="24"/>
          <w:szCs w:val="24"/>
        </w:rPr>
        <w:t xml:space="preserve">[Indirizzo del deposito pubblico — da inserire.]</w:t>
      </w:r>
    </w:p>
    <w:p>
      <w:pPr>
        <w:pStyle w:val="Heading2"/>
        <w:spacing w:after="100" w:before="200"/>
      </w:pPr>
      <w:r>
        <w:rPr>
          <w:rFonts w:ascii="Barlow Semi Condensed" w:cs="Barlow Semi Condensed" w:eastAsia="Barlow Semi Condensed" w:hAnsi="Barlow Semi Condensed"/>
          <w:sz w:val="24"/>
          <w:szCs w:val="24"/>
        </w:rPr>
        <w:t xml:space="preserve">Competenze rilevanti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[Lingue.]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[Strumenti, se pertinenti.]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[Eventuale esperienza di ricerca d'archivio.]</w:t>
      </w:r>
    </w:p>
    <w:p>
      <w:pPr>
        <w:pStyle w:val="Heading2"/>
        <w:spacing w:after="100" w:before="200"/>
      </w:pPr>
      <w:r>
        <w:rPr>
          <w:rFonts w:ascii="Barlow Semi Condensed" w:cs="Barlow Semi Condensed" w:eastAsia="Barlow Semi Condensed" w:hAnsi="Barlow Semi Condensed"/>
          <w:sz w:val="24"/>
          <w:szCs w:val="24"/>
        </w:rPr>
        <w:t xml:space="preserve">Dichiarazione</w:t>
      </w:r>
    </w:p>
    <w:p>
      <w:pPr>
        <w:spacing w:after="120" w:line="276"/>
        <w:jc w:val="both"/>
      </w:pPr>
      <w:r>
        <w:rPr>
          <w:rFonts w:ascii="Barlow Semi Condensed" w:cs="Barlow Semi Condensed" w:eastAsia="Barlow Semi Condensed" w:hAnsi="Barlow Semi Condensed"/>
          <w:sz w:val="24"/>
          <w:szCs w:val="24"/>
        </w:rPr>
        <w:t xml:space="preserve">Il lavoro presentato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Lo dichiaro in apertura di</w:t>
      </w:r>
    </w:p>
    <w:p>
      <w:pPr>
        <w:spacing w:after="120" w:line="276"/>
        <w:jc w:val="both"/>
      </w:pPr>
      <w:r>
        <w:rPr>
          <w:rFonts w:ascii="Barlow Semi Condensed" w:cs="Barlow Semi Condensed" w:eastAsia="Barlow Semi Condensed" w:hAnsi="Barlow Semi Condensed"/>
          <w:sz w:val="24"/>
          <w:szCs w:val="24"/>
        </w:rPr>
        <w:t xml:space="preserve">ogni proposta perché è l'oggetto stesso del libro che propongo, e non una</w:t>
      </w:r>
    </w:p>
    <w:p>
      <w:pPr>
        <w:spacing w:after="120" w:line="276"/>
        <w:jc w:val="both"/>
      </w:pPr>
      <w:r>
        <w:rPr>
          <w:rFonts w:ascii="Barlow Semi Condensed" w:cs="Barlow Semi Condensed" w:eastAsia="Barlow Semi Condensed" w:hAnsi="Barlow Semi Condensed"/>
          <w:sz w:val="24"/>
          <w:szCs w:val="24"/>
        </w:rPr>
        <w:t xml:space="preserve">circostanza accessoria della sua produzione.</w:t>
      </w:r>
    </w:p>
    <w:p>
      <w:pPr>
        <w:spacing w:after="120" w:line="276"/>
        <w:jc w:val="both"/>
      </w:pPr>
      <w:r>
        <w:rPr>
          <w:rFonts w:ascii="Barlow Semi Condensed" w:cs="Barlow Semi Condensed" w:eastAsia="Barlow Semi Condensed" w:hAnsi="Barlow Semi Condensed"/>
          <w:sz w:val="24"/>
          <w:szCs w:val="24"/>
        </w:rPr>
        <w:t xml:space="preserve">[Luogo], [data]</w:t>
      </w:r>
    </w:p>
    <w:p>
      <w:pPr>
        <w:spacing w:after="120" w:line="276"/>
        <w:jc w:val="both"/>
      </w:pPr>
      <w:r>
        <w:rPr>
          <w:rFonts w:ascii="Barlow Semi Condensed" w:cs="Barlow Semi Condensed" w:eastAsia="Barlow Semi Condensed" w:hAnsi="Barlow Semi Condensed"/>
          <w:sz w:val="24"/>
          <w:szCs w:val="24"/>
        </w:rPr>
        <w:t xml:space="preserve">[Firma]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pratica sull'invio a Einaudi</w:t>
      </w:r>
    </w:p>
    <w:p>
      <w:pPr>
        <w:spacing w:after="120" w:line="276"/>
        <w:jc w:val="both"/>
      </w:pPr>
      <w:r>
        <w:rPr>
          <w:rFonts w:ascii="Barlow Semi Condensed" w:cs="Barlow Semi Condensed" w:eastAsia="Barlow Semi Condensed" w:hAnsi="Barlow Semi Condensed"/>
          <w:sz w:val="24"/>
          <w:szCs w:val="24"/>
        </w:rPr>
        <w:t xml:space="preserve">Tre cose vanno fatte, e sono tutte meccaniche:</w:t>
      </w:r>
    </w:p>
    <w:p>
      <w:pPr>
        <w:spacing w:after="40"/>
        <w:ind w:left="360"/>
        <w:jc w:val="both"/>
      </w:pPr>
      <w:r>
        <w:rPr>
          <w:rFonts w:ascii="Barlow Semi Condensed" w:cs="Barlow Semi Condensed" w:eastAsia="Barlow Semi Condensed" w:hAnsi="Barlow Semi Condensed"/>
          <w:sz w:val="24"/>
          <w:szCs w:val="24"/>
        </w:rPr>
        <w:t xml:space="preserve">1. Allegare </w:t>
      </w:r>
      <w:r>
        <w:rPr>
          <w:rFonts w:ascii="Barlow Semi Condensed" w:cs="Barlow Semi Condensed" w:eastAsia="Barlow Semi Condensed" w:hAnsi="Barlow Semi Condensed"/>
          <w:b/>
          <w:bCs/>
          <w:sz w:val="24"/>
          <w:szCs w:val="24"/>
        </w:rPr>
        <w:t xml:space="preserve">questo documento</w:t>
      </w:r>
      <w:r>
        <w:rPr>
          <w:rFonts w:ascii="Barlow Semi Condensed" w:cs="Barlow Semi Condensed" w:eastAsia="Barlow Semi Condensed" w:hAnsi="Barlow Semi Condensed"/>
          <w:sz w:val="24"/>
          <w:szCs w:val="24"/>
        </w:rPr>
        <w:t xml:space="preserve"> compilato.</w:t>
      </w:r>
    </w:p>
    <w:p>
      <w:pPr>
        <w:spacing w:after="40"/>
        <w:ind w:left="360"/>
        <w:jc w:val="both"/>
      </w:pPr>
      <w:r>
        <w:rPr>
          <w:rFonts w:ascii="Barlow Semi Condensed" w:cs="Barlow Semi Condensed" w:eastAsia="Barlow Semi Condensed" w:hAnsi="Barlow Semi Condensed"/>
          <w:sz w:val="24"/>
          <w:szCs w:val="24"/>
        </w:rPr>
        <w:t xml:space="preserve">2. Ripetere nome, indirizzo, posta elettronica e telefono **anche in testa al</w:t>
      </w:r>
    </w:p>
    <w:p>
      <w:pPr>
        <w:spacing w:after="120" w:line="276"/>
        <w:jc w:val="both"/>
      </w:pPr>
      <w:r>
        <w:rPr>
          <w:rFonts w:ascii="Barlow Semi Condensed" w:cs="Barlow Semi Condensed" w:eastAsia="Barlow Semi Condensed" w:hAnsi="Barlow Semi Condensed"/>
          <w:sz w:val="24"/>
          <w:szCs w:val="24"/>
        </w:rPr>
        <w:t xml:space="preserve">   documento dell'opera** — è una richiesta esplicita, e serve a loro perché i</w:t>
      </w:r>
    </w:p>
    <w:p>
      <w:pPr>
        <w:spacing w:after="120" w:line="276"/>
        <w:jc w:val="both"/>
      </w:pPr>
      <w:r>
        <w:rPr>
          <w:rFonts w:ascii="Barlow Semi Condensed" w:cs="Barlow Semi Condensed" w:eastAsia="Barlow Semi Condensed" w:hAnsi="Barlow Semi Condensed"/>
          <w:sz w:val="24"/>
          <w:szCs w:val="24"/>
        </w:rPr>
        <w:t xml:space="preserve">   due file si separano.</w:t>
      </w:r>
    </w:p>
    <w:p>
      <w:pPr>
        <w:spacing w:after="40"/>
        <w:ind w:left="360"/>
        <w:jc w:val="both"/>
      </w:pPr>
      <w:r>
        <w:rPr>
          <w:rFonts w:ascii="Barlow Semi Condensed" w:cs="Barlow Semi Condensed" w:eastAsia="Barlow Semi Condensed" w:hAnsi="Barlow Semi Condensed"/>
          <w:sz w:val="24"/>
          <w:szCs w:val="24"/>
        </w:rPr>
        <w:t xml:space="preserve">3. Non attendersi un cenno di ricevuta. La redazione contatta **soltanto in caso</w:t>
      </w:r>
    </w:p>
    <w:p>
      <w:pPr>
        <w:spacing w:after="120" w:line="276"/>
        <w:jc w:val="both"/>
      </w:pPr>
      <w:r>
        <w:rPr>
          <w:rFonts w:ascii="Barlow Semi Condensed" w:cs="Barlow Semi Condensed" w:eastAsia="Barlow Semi Condensed" w:hAnsi="Barlow Semi Condensed"/>
          <w:sz w:val="24"/>
          <w:szCs w:val="24"/>
        </w:rPr>
        <w:t xml:space="preserve">   di interesse**, in un tempo stimabile intorno ai sei mesi. Il silenzio non è</w:t>
      </w:r>
    </w:p>
    <w:p>
      <w:pPr>
        <w:spacing w:after="120" w:line="276"/>
        <w:jc w:val="both"/>
      </w:pPr>
      <w:r>
        <w:rPr>
          <w:rFonts w:ascii="Barlow Semi Condensed" w:cs="Barlow Semi Condensed" w:eastAsia="Barlow Semi Condensed" w:hAnsi="Barlow Semi Condensed"/>
          <w:sz w:val="24"/>
          <w:szCs w:val="24"/>
        </w:rPr>
        <w:t xml:space="preserve">   una risposta e non va sollecitato prima di quel termine.</w:t>
      </w:r>
    </w:p>
    <w:p>
      <w:pPr>
        <w:pStyle w:val="Heading3"/>
        <w:spacing w:after="80" w:before="240"/>
      </w:pPr>
      <w:r>
        <w:rPr>
          <w:rFonts w:ascii="Barlow Semi Condensed" w:cs="Barlow Semi Condensed" w:eastAsia="Barlow Semi Condensed" w:hAnsi="Barlow Semi Condensed"/>
          <w:sz w:val="24"/>
          <w:szCs w:val="24"/>
        </w:rPr>
        <w:t xml:space="preserve">Apparato grafico — Appendici · ix. Il curriculum, modello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495 parole in 8 sezioni; la più ampia è §5 Il lavoro da cui nasce la proposta, con 189.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17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 Alla Fondazione Aldo Moro</w:t>
      </w:r>
    </w:p>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sz w:val="24"/>
          <w:szCs w:val="24"/>
        </w:rPr>
        <w:t xml:space="preserve">*Bozza preparata il 26 agosto 2026. Da rileggere e personalizzare prima</w:t>
      </w:r>
    </w:p>
    <w:p>
      <w:pPr>
        <w:spacing w:after="120" w:line="276"/>
        <w:jc w:val="both"/>
      </w:pPr>
      <w:r>
        <w:rPr>
          <w:rFonts w:ascii="Barlow Semi Condensed" w:cs="Barlow Semi Condensed" w:eastAsia="Barlow Semi Condensed" w:hAnsi="Barlow Semi Condensed"/>
          <w:sz w:val="24"/>
          <w:szCs w:val="24"/>
        </w:rPr>
        <w:t xml:space="preserve">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w:t>
      </w:r>
    </w:p>
    <w:p>
      <w:pPr>
        <w:spacing w:after="120" w:line="276"/>
        <w:jc w:val="both"/>
      </w:pPr>
      <w:r>
        <w:rPr>
          <w:rFonts w:ascii="Barlow Semi Condensed" w:cs="Barlow Semi Condensed" w:eastAsia="Barlow Semi Condensed" w:hAnsi="Barlow Semi Condensed"/>
          <w:sz w:val="24"/>
          <w:szCs w:val="24"/>
        </w:rPr>
        <w:t xml:space="preserve">apparato da valutare e da correggere. **Alla Fondazione Aldo Moro non si propone</w:t>
      </w:r>
    </w:p>
    <w:p>
      <w:pPr>
        <w:spacing w:after="120" w:line="276"/>
        <w:jc w:val="both"/>
      </w:pPr>
      <w:r>
        <w:rPr>
          <w:rFonts w:ascii="Barlow Semi Condensed" w:cs="Barlow Semi Condensed" w:eastAsia="Barlow Semi Condensed" w:hAnsi="Barlow Semi Condensed"/>
          <w:sz w:val="24"/>
          <w:szCs w:val="24"/>
        </w:rPr>
        <w:t xml:space="preserve">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w:t>
      </w:r>
    </w:p>
    <w:p>
      <w:pPr>
        <w:spacing w:after="120" w:line="276"/>
        <w:jc w:val="both"/>
      </w:pPr>
      <w:r>
        <w:rPr>
          <w:rFonts w:ascii="Barlow Semi Condensed" w:cs="Barlow Semi Condensed" w:eastAsia="Barlow Semi Condensed" w:hAnsi="Barlow Semi Condensed"/>
          <w:sz w:val="24"/>
          <w:szCs w:val="24"/>
        </w:rPr>
        <w:t xml:space="preserve">esiste per la memoria e per le carte di una persona; non è un editore, non è un</w:t>
      </w:r>
    </w:p>
    <w:p>
      <w:pPr>
        <w:spacing w:after="120" w:line="276"/>
        <w:jc w:val="both"/>
      </w:pPr>
      <w:r>
        <w:rPr>
          <w:rFonts w:ascii="Barlow Semi Condensed" w:cs="Barlow Semi Condensed" w:eastAsia="Barlow Semi Condensed" w:hAnsi="Barlow Semi Condensed"/>
          <w:sz w:val="24"/>
          <w:szCs w:val="24"/>
        </w:rPr>
        <w:t xml:space="preserve">centro di documentazione sul terrorismo, e non ha alcun obbligo di occuparsi di</w:t>
      </w:r>
    </w:p>
    <w:p>
      <w:pPr>
        <w:spacing w:after="120" w:line="276"/>
        <w:jc w:val="both"/>
      </w:pPr>
      <w:r>
        <w:rPr>
          <w:rFonts w:ascii="Barlow Semi Condensed" w:cs="Barlow Semi Condensed" w:eastAsia="Barlow Semi Condensed" w:hAnsi="Barlow Semi Condensed"/>
          <w:sz w:val="24"/>
          <w:szCs w:val="24"/>
        </w:rPr>
        <w:t xml:space="preserve">un corpus generato con sistemi automatici. Arrivare da quella porta con</w:t>
      </w:r>
    </w:p>
    <w:p>
      <w:pPr>
        <w:spacing w:after="120" w:line="276"/>
        <w:jc w:val="both"/>
      </w:pPr>
      <w:r>
        <w:rPr>
          <w:rFonts w:ascii="Barlow Semi Condensed" w:cs="Barlow Semi Condensed" w:eastAsia="Barlow Semi Condensed" w:hAnsi="Barlow Semi Condensed"/>
          <w:sz w:val="24"/>
          <w:szCs w:val="24"/>
        </w:rPr>
        <w:t xml:space="preserve">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w:t>
      </w:r>
    </w:p>
    <w:p>
      <w:pPr>
        <w:spacing w:after="120" w:line="276"/>
        <w:jc w:val="both"/>
      </w:pPr>
      <w:r>
        <w:rPr>
          <w:rFonts w:ascii="Barlow Semi Condensed" w:cs="Barlow Semi Condensed" w:eastAsia="Barlow Semi Condensed" w:hAnsi="Barlow Semi Condensed"/>
          <w:sz w:val="24"/>
          <w:szCs w:val="24"/>
        </w:rPr>
        <w:t xml:space="preserve">carta di Aldo Moro, e un accertamento che tocca una vicenda che da quarant'anni</w:t>
      </w:r>
    </w:p>
    <w:p>
      <w:pPr>
        <w:spacing w:after="120" w:line="276"/>
        <w:jc w:val="both"/>
      </w:pPr>
      <w:r>
        <w:rPr>
          <w:rFonts w:ascii="Barlow Semi Condensed" w:cs="Barlow Semi Condensed" w:eastAsia="Barlow Semi Condensed" w:hAnsi="Barlow Semi Condensed"/>
          <w:sz w:val="24"/>
          <w:szCs w:val="24"/>
        </w:rPr>
        <w:t xml:space="preserve">si racconta sul suo conto. Il secondo va comunicato **prima che lo si legga</w:t>
      </w:r>
    </w:p>
    <w:p>
      <w:pPr>
        <w:spacing w:after="120" w:line="276"/>
        <w:jc w:val="both"/>
      </w:pPr>
      <w:r>
        <w:rPr>
          <w:rFonts w:ascii="Barlow Semi Condensed" w:cs="Barlow Semi Condensed" w:eastAsia="Barlow Semi Condensed" w:hAnsi="Barlow Semi Condensed"/>
          <w:sz w:val="24"/>
          <w:szCs w:val="24"/>
        </w:rPr>
        <w:t xml:space="preserve">altrove**,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w:t>
      </w:r>
    </w:p>
    <w:p>
      <w:pPr>
        <w:spacing w:after="120" w:line="276"/>
        <w:jc w:val="both"/>
      </w:pPr>
      <w:r>
        <w:rPr>
          <w:rFonts w:ascii="Barlow Semi Condensed" w:cs="Barlow Semi Condensed" w:eastAsia="Barlow Semi Condensed" w:hAnsi="Barlow Semi Condensed"/>
          <w:sz w:val="24"/>
          <w:szCs w:val="24"/>
        </w:rPr>
        <w:t xml:space="preserve">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w:t>
      </w:r>
    </w:p>
    <w:p>
      <w:pPr>
        <w:spacing w:after="120" w:line="276"/>
        <w:jc w:val="both"/>
      </w:pPr>
      <w:r>
        <w:rPr>
          <w:rFonts w:ascii="Barlow Semi Condensed" w:cs="Barlow Semi Condensed" w:eastAsia="Barlow Semi Condensed" w:hAnsi="Barlow Semi Condensed"/>
          <w:sz w:val="24"/>
          <w:szCs w:val="24"/>
        </w:rPr>
        <w:t xml:space="preserve">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w:t>
      </w:r>
    </w:p>
    <w:p>
      <w:pPr>
        <w:spacing w:after="120" w:line="276"/>
        <w:jc w:val="both"/>
      </w:pPr>
      <w:r>
        <w:rPr>
          <w:rFonts w:ascii="Barlow Semi Condensed" w:cs="Barlow Semi Condensed" w:eastAsia="Barlow Semi Condensed" w:hAnsi="Barlow Semi Condensed"/>
          <w:sz w:val="24"/>
          <w:szCs w:val="24"/>
        </w:rPr>
        <w:t xml:space="preserve">indirizzi istituzionali di persone, non della Fondazione come ente. Prima di</w:t>
      </w:r>
    </w:p>
    <w:p>
      <w:pPr>
        <w:spacing w:after="120" w:line="276"/>
        <w:jc w:val="both"/>
      </w:pPr>
      <w:r>
        <w:rPr>
          <w:rFonts w:ascii="Barlow Semi Condensed" w:cs="Barlow Semi Condensed" w:eastAsia="Barlow Semi Condensed" w:hAnsi="Barlow Semi Condensed"/>
          <w:sz w:val="24"/>
          <w:szCs w:val="24"/>
        </w:rPr>
        <w:t xml:space="preserve">scrivere a un indirizzo personale conviene cercare un recapito dell'ente — sul</w:t>
      </w:r>
    </w:p>
    <w:p>
      <w:pPr>
        <w:spacing w:after="120" w:line="276"/>
        <w:jc w:val="both"/>
      </w:pPr>
      <w:r>
        <w:rPr>
          <w:rFonts w:ascii="Barlow Semi Condensed" w:cs="Barlow Semi Condensed" w:eastAsia="Barlow Semi Condensed" w:hAnsi="Barlow Semi Condensed"/>
          <w:sz w:val="24"/>
          <w:szCs w:val="24"/>
        </w:rPr>
        <w:t xml:space="preserve">sito della Fondazione o attraverso l'Edizione Nazionale. Solo se non esiste si</w:t>
      </w:r>
    </w:p>
    <w:p>
      <w:pPr>
        <w:spacing w:after="120" w:line="276"/>
        <w:jc w:val="both"/>
      </w:pPr>
      <w:r>
        <w:rPr>
          <w:rFonts w:ascii="Barlow Semi Condensed" w:cs="Barlow Semi Condensed" w:eastAsia="Barlow Semi Condensed" w:hAnsi="Barlow Semi Condensed"/>
          <w:sz w:val="24"/>
          <w:szCs w:val="24"/>
        </w:rPr>
        <w:t xml:space="preserve">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w:t>
      </w:r>
    </w:p>
    <w:p>
      <w:pPr>
        <w:spacing w:after="120" w:line="276"/>
        <w:jc w:val="both"/>
      </w:pPr>
      <w:r>
        <w:rPr>
          <w:rFonts w:ascii="Barlow Semi Condensed" w:cs="Barlow Semi Condensed" w:eastAsia="Barlow Semi Condensed" w:hAnsi="Barlow Semi Condensed"/>
          <w:sz w:val="24"/>
          <w:szCs w:val="24"/>
        </w:rPr>
        <w:t xml:space="preserve">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w:t>
      </w:r>
    </w:p>
    <w:p>
      <w:pPr>
        <w:spacing w:after="120" w:line="276"/>
        <w:jc w:val="both"/>
      </w:pPr>
      <w:r>
        <w:rPr>
          <w:rFonts w:ascii="Barlow Semi Condensed" w:cs="Barlow Semi Condensed" w:eastAsia="Barlow Semi Condensed" w:hAnsi="Barlow Semi Condensed"/>
          <w:sz w:val="24"/>
          <w:szCs w:val="24"/>
        </w:rPr>
        <w:t xml:space="preserve">comunicazione preventiva di un accertamento che riguarda il presunto colloquio</w:t>
      </w:r>
    </w:p>
    <w:p>
      <w:pPr>
        <w:spacing w:after="120" w:line="276"/>
        <w:jc w:val="both"/>
      </w:pPr>
      <w:r>
        <w:rPr>
          <w:rFonts w:ascii="Barlow Semi Condensed" w:cs="Barlow Semi Condensed" w:eastAsia="Barlow Semi Condensed" w:hAnsi="Barlow Semi Condensed"/>
          <w:sz w:val="24"/>
          <w:szCs w:val="24"/>
        </w:rPr>
        <w:t xml:space="preserve">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w:t>
      </w:r>
    </w:p>
    <w:p>
      <w:pPr>
        <w:spacing w:after="120" w:line="276"/>
        <w:jc w:val="both"/>
      </w:pPr>
      <w:r>
        <w:rPr>
          <w:rFonts w:ascii="Barlow Semi Condensed" w:cs="Barlow Semi Condensed" w:eastAsia="Barlow Semi Condensed" w:hAnsi="Barlow Semi Condensed"/>
          <w:sz w:val="24"/>
          <w:szCs w:val="24"/>
        </w:rPr>
        <w:t xml:space="preserve">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w:t>
      </w:r>
    </w:p>
    <w:p>
      <w:pPr>
        <w:spacing w:after="120" w:line="276"/>
        <w:jc w:val="both"/>
      </w:pPr>
      <w:r>
        <w:rPr>
          <w:rFonts w:ascii="Barlow Semi Condensed" w:cs="Barlow Semi Condensed" w:eastAsia="Barlow Semi Condensed" w:hAnsi="Barlow Semi Condensed"/>
          <w:sz w:val="24"/>
          <w:szCs w:val="24"/>
        </w:rPr>
        <w:t xml:space="preserve">questa lettera nasce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Non ho consultato fondi, non</w:t>
      </w:r>
    </w:p>
    <w:p>
      <w:pPr>
        <w:spacing w:after="120" w:line="276"/>
        <w:jc w:val="both"/>
      </w:pPr>
      <w:r>
        <w:rPr>
          <w:rFonts w:ascii="Barlow Semi Condensed" w:cs="Barlow Semi Condensed" w:eastAsia="Barlow Semi Condensed" w:hAnsi="Barlow Semi Condensed"/>
          <w:sz w:val="24"/>
          <w:szCs w:val="24"/>
        </w:rPr>
        <w:t xml:space="preserve">ho letto documenti originali in archivio, non ho compiuto alcun accertamento in</w:t>
      </w:r>
    </w:p>
    <w:p>
      <w:pPr>
        <w:spacing w:after="120" w:line="276"/>
        <w:jc w:val="both"/>
      </w:pPr>
      <w:r>
        <w:rPr>
          <w:rFonts w:ascii="Barlow Semi Condensed" w:cs="Barlow Semi Condensed" w:eastAsia="Barlow Semi Condensed" w:hAnsi="Barlow Semi Condensed"/>
          <w:sz w:val="24"/>
          <w:szCs w:val="24"/>
        </w:rPr>
        <w:t xml:space="preserve">prima persona. Lo dico in apertura perché è il primo elemento che vi serve per</w:t>
      </w:r>
    </w:p>
    <w:p>
      <w:pPr>
        <w:spacing w:after="120" w:line="276"/>
        <w:jc w:val="both"/>
      </w:pPr>
      <w:r>
        <w:rPr>
          <w:rFonts w:ascii="Barlow Semi Condensed" w:cs="Barlow Semi Condensed" w:eastAsia="Barlow Semi Condensed" w:hAnsi="Barlow Semi Condensed"/>
          <w:sz w:val="24"/>
          <w:szCs w:val="24"/>
        </w:rPr>
        <w:t xml:space="preserve">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w:t>
      </w:r>
    </w:p>
    <w:p>
      <w:pPr>
        <w:spacing w:after="120" w:line="276"/>
        <w:jc w:val="both"/>
      </w:pPr>
      <w:r>
        <w:rPr>
          <w:rFonts w:ascii="Barlow Semi Condensed" w:cs="Barlow Semi Condensed" w:eastAsia="Barlow Semi Condensed" w:hAnsi="Barlow Semi Condensed"/>
          <w:sz w:val="24"/>
          <w:szCs w:val="24"/>
        </w:rPr>
        <w:t xml:space="preserve">patrocinare o conservare alcunché. Il corpus da cui la lettera nasce non</w:t>
      </w:r>
    </w:p>
    <w:p>
      <w:pPr>
        <w:spacing w:after="120" w:line="276"/>
        <w:jc w:val="both"/>
      </w:pPr>
      <w:r>
        <w:rPr>
          <w:rFonts w:ascii="Barlow Semi Condensed" w:cs="Barlow Semi Condensed" w:eastAsia="Barlow Semi Condensed" w:hAnsi="Barlow Semi Condensed"/>
          <w:sz w:val="24"/>
          <w:szCs w:val="24"/>
        </w:rPr>
        <w:t xml:space="preserve">contiene rivelazioni e non aggiunge un fatto: è, per tredici dei suoi</w:t>
      </w:r>
    </w:p>
    <w:p>
      <w:pPr>
        <w:spacing w:after="120" w:line="276"/>
        <w:jc w:val="both"/>
      </w:pPr>
      <w:r>
        <w:rPr>
          <w:rFonts w:ascii="Barlow Semi Condensed" w:cs="Barlow Semi Condensed" w:eastAsia="Barlow Semi Condensed" w:hAnsi="Barlow Semi Condensed"/>
          <w:sz w:val="24"/>
          <w:szCs w:val="24"/>
        </w:rPr>
        <w:t xml:space="preserve">quattordici Libri, un elenco di domande d'archivio, ciascuna con la sede in cui</w:t>
      </w:r>
    </w:p>
    <w:p>
      <w:pPr>
        <w:spacing w:after="120" w:line="276"/>
        <w:jc w:val="both"/>
      </w:pPr>
      <w:r>
        <w:rPr>
          <w:rFonts w:ascii="Barlow Semi Condensed" w:cs="Barlow Semi Condensed" w:eastAsia="Barlow Semi Condensed" w:hAnsi="Barlow Semi Condensed"/>
          <w:sz w:val="24"/>
          <w:szCs w:val="24"/>
        </w:rPr>
        <w:t xml:space="preserve">andrebbe posta, e una di quelle domande riguarda una carta che potrebbe essere</w:t>
      </w:r>
    </w:p>
    <w:p>
      <w:pPr>
        <w:spacing w:after="120" w:line="276"/>
        <w:jc w:val="both"/>
      </w:pPr>
      <w:r>
        <w:rPr>
          <w:rFonts w:ascii="Barlow Semi Condensed" w:cs="Barlow Semi Condensed" w:eastAsia="Barlow Semi Condensed" w:hAnsi="Barlow Semi Condensed"/>
          <w:sz w:val="24"/>
          <w:szCs w:val="24"/>
        </w:rPr>
        <w:t xml:space="preserve">fra le vostre. Non è uno studio sul sequestro.</w:t>
      </w:r>
    </w:p>
    <w:p>
      <w:pPr>
        <w:spacing w:after="120" w:line="276"/>
        <w:jc w:val="both"/>
      </w:pPr>
      <w:r>
        <w:rPr>
          <w:rFonts w:ascii="Barlow Semi Condensed" w:cs="Barlow Semi Condensed" w:eastAsia="Barlow Semi Condensed" w:hAnsi="Barlow Semi Condensed"/>
          <w:sz w:val="24"/>
          <w:szCs w:val="24"/>
        </w:rPr>
        <w:t xml:space="preserve">**Devo però dirvi subito ciò che rende inesatta, oggi, la formula che avrei</w:t>
      </w:r>
    </w:p>
    <w:p>
      <w:pPr>
        <w:spacing w:after="120" w:line="276"/>
        <w:jc w:val="both"/>
      </w:pPr>
      <w:r>
        <w:rPr>
          <w:rFonts w:ascii="Barlow Semi Condensed" w:cs="Barlow Semi Condensed" w:eastAsia="Barlow Semi Condensed" w:hAnsi="Barlow Semi Condensed"/>
          <w:sz w:val="24"/>
          <w:szCs w:val="24"/>
        </w:rPr>
        <w:t xml:space="preserve">usato un mese fa.** Un solo Libro dei quattordici — un dossier d'autore</w:t>
      </w:r>
    </w:p>
    <w:p>
      <w:pPr>
        <w:spacing w:after="120" w:line="276"/>
        <w:jc w:val="both"/>
      </w:pPr>
      <w:r>
        <w:rPr>
          <w:rFonts w:ascii="Barlow Semi Condensed" w:cs="Barlow Semi Condensed" w:eastAsia="Barlow Semi Condensed" w:hAnsi="Barlow Semi Condensed"/>
          <w:sz w:val="24"/>
          <w:szCs w:val="24"/>
        </w:rPr>
        <w:t xml:space="preserve">anteriore al corpus, conservato per intero e non riscritto — nella seconda metà</w:t>
      </w:r>
    </w:p>
    <w:p>
      <w:pPr>
        <w:spacing w:after="120" w:line="276"/>
        <w:jc w:val="both"/>
      </w:pPr>
      <w:r>
        <w:rPr>
          <w:rFonts w:ascii="Barlow Semi Condensed" w:cs="Barlow Semi Condensed" w:eastAsia="Barlow Semi Condensed" w:hAnsi="Barlow Semi Condensed"/>
          <w:sz w:val="24"/>
          <w:szCs w:val="24"/>
        </w:rPr>
        <w:t xml:space="preserve">abbandona dichiaratamente la sospensione del giudizio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nel sequestro e nell'uccisione. Vi dico</w:t>
      </w:r>
    </w:p>
    <w:p>
      <w:pPr>
        <w:spacing w:after="120" w:line="276"/>
        <w:jc w:val="both"/>
      </w:pPr>
      <w:r>
        <w:rPr>
          <w:rFonts w:ascii="Barlow Semi Condensed" w:cs="Barlow Semi Condensed" w:eastAsia="Barlow Semi Condensed" w:hAnsi="Barlow Semi Condensed"/>
          <w:sz w:val="24"/>
          <w:szCs w:val="24"/>
        </w:rPr>
        <w:t xml:space="preserve">esattamente che cosa vi si trova, perché non lo scopriate da soli dopo aver</w:t>
      </w:r>
    </w:p>
    <w:p>
      <w:pPr>
        <w:spacing w:after="120" w:line="276"/>
        <w:jc w:val="both"/>
      </w:pPr>
      <w:r>
        <w:rPr>
          <w:rFonts w:ascii="Barlow Semi Condensed" w:cs="Barlow Semi Condensed" w:eastAsia="Barlow Semi Condensed" w:hAnsi="Barlow Semi Condensed"/>
          <w:sz w:val="24"/>
          <w:szCs w:val="24"/>
        </w:rPr>
        <w:t xml:space="preserve">letto da me che non c'era: è una graduatoria </w:t>
      </w:r>
      <w:r>
        <w:rPr>
          <w:rFonts w:ascii="Barlow Semi Condensed" w:cs="Barlow Semi Condensed" w:eastAsia="Barlow Semi Condensed" w:hAnsi="Barlow Semi Condensed"/>
          <w:b/>
          <w:bCs/>
          <w:sz w:val="24"/>
          <w:szCs w:val="24"/>
        </w:rPr>
        <w:t xml:space="preserve">di plausibilità e non di colpa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ordina categorie di soggetti e non nomi individuali</w:t>
      </w:r>
      <w:r>
        <w:rPr>
          <w:rFonts w:ascii="Barlow Semi Condensed" w:cs="Barlow Semi Condensed" w:eastAsia="Barlow Semi Condensed" w:hAnsi="Barlow Semi Condensed"/>
          <w:sz w:val="24"/>
          <w:szCs w:val="24"/>
        </w:rPr>
        <w:t xml:space="preserve"> —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coinvolti nei depistaggi, i portatori d'interesse</w:t>
      </w:r>
    </w:p>
    <w:p>
      <w:pPr>
        <w:spacing w:after="120" w:line="276"/>
        <w:jc w:val="both"/>
      </w:pPr>
      <w:r>
        <w:rPr>
          <w:rFonts w:ascii="Barlow Semi Condensed" w:cs="Barlow Semi Condensed" w:eastAsia="Barlow Semi Condensed" w:hAnsi="Barlow Semi Condensed"/>
          <w:sz w:val="24"/>
          <w:szCs w:val="24"/>
        </w:rPr>
        <w:t xml:space="preserve">esterno tenuti al grado minimo; muove dal giudicato e **rifiuta di nominare un</w:t>
      </w:r>
    </w:p>
    <w:p>
      <w:pPr>
        <w:spacing w:after="120" w:line="276"/>
        <w:jc w:val="both"/>
      </w:pPr>
      <w:r>
        <w:rPr>
          <w:rFonts w:ascii="Barlow Semi Condensed" w:cs="Barlow Semi Condensed" w:eastAsia="Barlow Semi Condensed" w:hAnsi="Barlow Semi Condensed"/>
          <w:sz w:val="24"/>
          <w:szCs w:val="24"/>
        </w:rPr>
        <w:t xml:space="preserve">mandante esterno determinato**, perché la ricerca su quel punto ha dato per tre</w:t>
      </w:r>
    </w:p>
    <w:p>
      <w:pPr>
        <w:spacing w:after="120" w:line="276"/>
        <w:jc w:val="both"/>
      </w:pPr>
      <w:r>
        <w:rPr>
          <w:rFonts w:ascii="Barlow Semi Condensed" w:cs="Barlow Semi Condensed" w:eastAsia="Barlow Semi Condensed" w:hAnsi="Barlow Semi Condensed"/>
          <w:sz w:val="24"/>
          <w:szCs w:val="24"/>
        </w:rPr>
        <w:t xml:space="preserve">volte un esito negativo; ed è preceduta da una premessa che ribadisce, prima di</w:t>
      </w:r>
    </w:p>
    <w:p>
      <w:pPr>
        <w:spacing w:after="120" w:line="276"/>
        <w:jc w:val="both"/>
      </w:pPr>
      <w:r>
        <w:rPr>
          <w:rFonts w:ascii="Barlow Semi Condensed" w:cs="Barlow Semi Condensed" w:eastAsia="Barlow Semi Condensed" w:hAnsi="Barlow Semi Condensed"/>
          <w:sz w:val="24"/>
          <w:szCs w:val="24"/>
        </w:rPr>
        <w:t xml:space="preserve">ogni riga, la presunzione d'innocenza. Nelle quasi cinquemila parole di quelle</w:t>
      </w:r>
    </w:p>
    <w:p>
      <w:pPr>
        <w:spacing w:after="120" w:line="276"/>
        <w:jc w:val="both"/>
      </w:pPr>
      <w:r>
        <w:rPr>
          <w:rFonts w:ascii="Barlow Semi Condensed" w:cs="Barlow Semi Condensed" w:eastAsia="Barlow Semi Condensed" w:hAnsi="Barlow Semi Condensed"/>
          <w:sz w:val="24"/>
          <w:szCs w:val="24"/>
        </w:rPr>
        <w:t xml:space="preserve">pagine gli unici nomi propri di persona sono quello di Aldo Moro e quello dello</w:t>
      </w:r>
    </w:p>
    <w:p>
      <w:pPr>
        <w:spacing w:after="120" w:line="276"/>
        <w:jc w:val="both"/>
      </w:pPr>
      <w:r>
        <w:rPr>
          <w:rFonts w:ascii="Barlow Semi Condensed" w:cs="Barlow Semi Condensed" w:eastAsia="Barlow Semi Condensed" w:hAnsi="Barlow Semi Condensed"/>
          <w:sz w:val="24"/>
          <w:szCs w:val="24"/>
        </w:rPr>
        <w:t xml:space="preserve">studioso da cui un metodo prende nome. Gli altri tredici Libri si fermano</w:t>
      </w:r>
    </w:p>
    <w:p>
      <w:pPr>
        <w:spacing w:after="120" w:line="276"/>
        <w:jc w:val="both"/>
      </w:pPr>
      <w:r>
        <w:rPr>
          <w:rFonts w:ascii="Barlow Semi Condensed" w:cs="Barlow Semi Condensed" w:eastAsia="Barlow Semi Condensed" w:hAnsi="Barlow Semi Condensed"/>
          <w:sz w:val="24"/>
          <w:szCs w:val="24"/>
        </w:rPr>
        <w:t xml:space="preserve">al giudicato; la disciplina in copertina registra l'eccezione limitandola a</w:t>
      </w:r>
    </w:p>
    <w:p>
      <w:pPr>
        <w:spacing w:after="120" w:line="276"/>
        <w:jc w:val="both"/>
      </w:pPr>
      <w:r>
        <w:rPr>
          <w:rFonts w:ascii="Barlow Semi Condensed" w:cs="Barlow Semi Condensed" w:eastAsia="Barlow Semi Condensed" w:hAnsi="Barlow Semi Condensed"/>
          <w:sz w:val="24"/>
          <w:szCs w:val="24"/>
        </w:rPr>
        <w:t xml:space="preserve">quello solo; e quel Libro si apre con una nota che avverte chi legge.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w:t>
      </w:r>
    </w:p>
    <w:p>
      <w:pPr>
        <w:spacing w:after="120" w:line="276"/>
        <w:jc w:val="both"/>
      </w:pPr>
      <w:r>
        <w:rPr>
          <w:rFonts w:ascii="Barlow Semi Condensed" w:cs="Barlow Semi Condensed" w:eastAsia="Barlow Semi Condensed" w:hAnsi="Barlow Semi Condensed"/>
          <w:sz w:val="24"/>
          <w:szCs w:val="24"/>
        </w:rPr>
        <w:t xml:space="preserve">un colloquio fra il Presidente della Repubblica Giovanni Leone, il ministro</w:t>
      </w:r>
    </w:p>
    <w:p>
      <w:pPr>
        <w:spacing w:after="120" w:line="276"/>
        <w:jc w:val="both"/>
      </w:pPr>
      <w:r>
        <w:rPr>
          <w:rFonts w:ascii="Barlow Semi Condensed" w:cs="Barlow Semi Condensed" w:eastAsia="Barlow Semi Condensed" w:hAnsi="Barlow Semi Condensed"/>
          <w:sz w:val="24"/>
          <w:szCs w:val="24"/>
        </w:rPr>
        <w:t xml:space="preserve">degli Esteri Aldo Moro, il Presidente degli Stati Uniti Gerald Ford e il</w:t>
      </w:r>
    </w:p>
    <w:p>
      <w:pPr>
        <w:spacing w:after="120" w:line="276"/>
        <w:jc w:val="both"/>
      </w:pPr>
      <w:r>
        <w:rPr>
          <w:rFonts w:ascii="Barlow Semi Condensed" w:cs="Barlow Semi Condensed" w:eastAsia="Barlow Semi Condensed" w:hAnsi="Barlow Semi Condensed"/>
          <w:sz w:val="24"/>
          <w:szCs w:val="24"/>
        </w:rPr>
        <w:t xml:space="preserve">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**un solo verbale: quello redatto dallo</w:t>
      </w:r>
    </w:p>
    <w:p>
      <w:pPr>
        <w:spacing w:after="120" w:line="276"/>
        <w:jc w:val="both"/>
      </w:pPr>
      <w:r>
        <w:rPr>
          <w:rFonts w:ascii="Barlow Semi Condensed" w:cs="Barlow Semi Condensed" w:eastAsia="Barlow Semi Condensed" w:hAnsi="Barlow Semi Condensed"/>
          <w:sz w:val="24"/>
          <w:szCs w:val="24"/>
        </w:rPr>
        <w:t xml:space="preserve">staff americano**. È pubblicato, ha doppia segnatura d'archivio ed è</w:t>
      </w:r>
    </w:p>
    <w:p>
      <w:pPr>
        <w:spacing w:after="120" w:line="276"/>
        <w:jc w:val="both"/>
      </w:pPr>
      <w:r>
        <w:rPr>
          <w:rFonts w:ascii="Barlow Semi Condensed" w:cs="Barlow Semi Condensed" w:eastAsia="Barlow Semi Condensed" w:hAnsi="Barlow Semi Condensed"/>
          <w:sz w:val="24"/>
          <w:szCs w:val="24"/>
        </w:rPr>
        <w:t xml:space="preserve">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risulta un ritrovamento, e non risulta neppure una ricerca. Eppure un ministro</w:t>
      </w:r>
    </w:p>
    <w:p>
      <w:pPr>
        <w:spacing w:after="120" w:line="276"/>
        <w:jc w:val="both"/>
      </w:pPr>
      <w:r>
        <w:rPr>
          <w:rFonts w:ascii="Barlow Semi Condensed" w:cs="Barlow Semi Condensed" w:eastAsia="Barlow Semi Condensed" w:hAnsi="Barlow Semi Condensed"/>
          <w:sz w:val="24"/>
          <w:szCs w:val="24"/>
        </w:rPr>
        <w:t xml:space="preserve">degli Esteri che esce da un bilaterale col Presidente degli Stati Uniti fa</w:t>
      </w:r>
    </w:p>
    <w:p>
      <w:pPr>
        <w:spacing w:after="120" w:line="276"/>
        <w:jc w:val="both"/>
      </w:pPr>
      <w:r>
        <w:rPr>
          <w:rFonts w:ascii="Barlow Semi Condensed" w:cs="Barlow Semi Condensed" w:eastAsia="Barlow Semi Condensed" w:hAnsi="Barlow Semi Condensed"/>
          <w:sz w:val="24"/>
          <w:szCs w:val="24"/>
        </w:rPr>
        <w:t xml:space="preserve">stendere un appunto — un telespresso, una nota di gabinetto, un promemoria per</w:t>
      </w:r>
    </w:p>
    <w:p>
      <w:pPr>
        <w:spacing w:after="120" w:line="276"/>
        <w:jc w:val="both"/>
      </w:pPr>
      <w:r>
        <w:rPr>
          <w:rFonts w:ascii="Barlow Semi Condensed" w:cs="Barlow Semi Condensed" w:eastAsia="Barlow Semi Condensed" w:hAnsi="Barlow Semi Condensed"/>
          <w:sz w:val="24"/>
          <w:szCs w:val="24"/>
        </w:rPr>
        <w:t xml:space="preserve">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w:t>
      </w:r>
    </w:p>
    <w:p>
      <w:pPr>
        <w:spacing w:after="120" w:line="276"/>
        <w:jc w:val="both"/>
      </w:pPr>
      <w:r>
        <w:rPr>
          <w:rFonts w:ascii="Barlow Semi Condensed" w:cs="Barlow Semi Condensed" w:eastAsia="Barlow Semi Condensed" w:hAnsi="Barlow Semi Condensed"/>
          <w:sz w:val="24"/>
          <w:szCs w:val="24"/>
        </w:rPr>
        <w:t xml:space="preserve">Ministero degli Affari Esteri, carteggi del gabinetto del ministro, annata 1974;</w:t>
      </w:r>
    </w:p>
    <w:p>
      <w:pPr>
        <w:spacing w:after="120" w:line="276"/>
        <w:jc w:val="both"/>
      </w:pPr>
      <w:r>
        <w:rPr>
          <w:rFonts w:ascii="Barlow Semi Condensed" w:cs="Barlow Semi Condensed" w:eastAsia="Barlow Semi Condensed" w:hAnsi="Barlow Semi Condensed"/>
          <w:sz w:val="24"/>
          <w:szCs w:val="24"/>
        </w:rPr>
        <w:t xml:space="preserve">l'Archivio centrale dello Stato, che dal 2010 è la sede della conservazione</w:t>
      </w:r>
    </w:p>
    <w:p>
      <w:pPr>
        <w:spacing w:after="120" w:line="276"/>
        <w:jc w:val="both"/>
      </w:pPr>
      <w:r>
        <w:rPr>
          <w:rFonts w:ascii="Barlow Semi Condensed" w:cs="Barlow Semi Condensed" w:eastAsia="Barlow Semi Condensed" w:hAnsi="Barlow Semi Condensed"/>
          <w:sz w:val="24"/>
          <w:szCs w:val="24"/>
        </w:rPr>
        <w:t xml:space="preserve">unificata della documentazione sul caso; e l'Archivio storico del Senato. **Ma</w:t>
      </w:r>
    </w:p>
    <w:p>
      <w:pPr>
        <w:spacing w:after="120" w:line="276"/>
        <w:jc w:val="both"/>
      </w:pPr>
      <w:r>
        <w:rPr>
          <w:rFonts w:ascii="Barlow Semi Condensed" w:cs="Barlow Semi Condensed" w:eastAsia="Barlow Semi Condensed" w:hAnsi="Barlow Semi Condensed"/>
          <w:sz w:val="24"/>
          <w:szCs w:val="24"/>
        </w:rPr>
        <w:t xml:space="preserve">la prima sede logica siete voi**, perché quella carta, se fu conservata come</w:t>
      </w:r>
    </w:p>
    <w:p>
      <w:pPr>
        <w:spacing w:after="120" w:line="276"/>
        <w:jc w:val="both"/>
      </w:pPr>
      <w:r>
        <w:rPr>
          <w:rFonts w:ascii="Barlow Semi Condensed" w:cs="Barlow Semi Condensed" w:eastAsia="Barlow Semi Condensed" w:hAnsi="Barlow Semi Condensed"/>
          <w:sz w:val="24"/>
          <w:szCs w:val="24"/>
        </w:rPr>
        <w:t xml:space="preserve">carta personale e non come atto d'ufficio, è fra le carte di Aldo Moro che la</w:t>
      </w:r>
    </w:p>
    <w:p>
      <w:pPr>
        <w:spacing w:after="120" w:line="276"/>
        <w:jc w:val="both"/>
      </w:pPr>
      <w:r>
        <w:rPr>
          <w:rFonts w:ascii="Barlow Semi Condensed" w:cs="Barlow Semi Condensed" w:eastAsia="Barlow Semi Condensed" w:hAnsi="Barlow Semi Condensed"/>
          <w:sz w:val="24"/>
          <w:szCs w:val="24"/>
        </w:rPr>
        <w:t xml:space="preserve">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**se sappiate dire dove quel documento sia, o se</w:t>
      </w:r>
    </w:p>
    <w:p>
      <w:pPr>
        <w:spacing w:after="120" w:line="276"/>
        <w:jc w:val="both"/>
      </w:pPr>
      <w:r>
        <w:rPr>
          <w:rFonts w:ascii="Barlow Semi Condensed" w:cs="Barlow Semi Condensed" w:eastAsia="Barlow Semi Condensed" w:hAnsi="Barlow Semi Condensed"/>
          <w:sz w:val="24"/>
          <w:szCs w:val="24"/>
        </w:rPr>
        <w:t xml:space="preserve">sappiate dire che non c'è.** L'una e l'altra risposta hanno lo stesso valore per</w:t>
      </w:r>
    </w:p>
    <w:p>
      <w:pPr>
        <w:spacing w:after="120" w:line="276"/>
        <w:jc w:val="both"/>
      </w:pPr>
      <w:r>
        <w:rPr>
          <w:rFonts w:ascii="Barlow Semi Condensed" w:cs="Barlow Semi Condensed" w:eastAsia="Barlow Semi Condensed" w:hAnsi="Barlow Semi Condensed"/>
          <w:sz w:val="24"/>
          <w:szCs w:val="24"/>
        </w:rPr>
        <w:t xml:space="preserve">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w:t>
      </w:r>
    </w:p>
    <w:p>
      <w:pPr>
        <w:spacing w:after="120" w:line="276"/>
        <w:jc w:val="both"/>
      </w:pPr>
      <w:r>
        <w:rPr>
          <w:rFonts w:ascii="Barlow Semi Condensed" w:cs="Barlow Semi Condensed" w:eastAsia="Barlow Semi Condensed" w:hAnsi="Barlow Semi Condensed"/>
          <w:sz w:val="24"/>
          <w:szCs w:val="24"/>
        </w:rPr>
        <w:t xml:space="preserve">sarebbe stata rivolta una minaccia personale, e la circolazione pubblica di</w:t>
      </w:r>
    </w:p>
    <w:p>
      <w:pPr>
        <w:spacing w:after="120" w:line="276"/>
        <w:jc w:val="both"/>
      </w:pPr>
      <w:r>
        <w:rPr>
          <w:rFonts w:ascii="Barlow Semi Condensed" w:cs="Barlow Semi Condensed" w:eastAsia="Barlow Semi Condensed" w:hAnsi="Barlow Semi Condensed"/>
          <w:sz w:val="24"/>
          <w:szCs w:val="24"/>
        </w:rPr>
        <w:t xml:space="preserve">quell'affermazione indica abitualmente **il verbale dello Studio Ovale come sua</w:t>
      </w:r>
    </w:p>
    <w:p>
      <w:pPr>
        <w:spacing w:after="120" w:line="276"/>
        <w:jc w:val="both"/>
      </w:pPr>
      <w:r>
        <w:rPr>
          <w:rFonts w:ascii="Barlow Semi Condensed" w:cs="Barlow Semi Condensed" w:eastAsia="Barlow Semi Condensed" w:hAnsi="Barlow Semi Condensed"/>
          <w:sz w:val="24"/>
          <w:szCs w:val="24"/>
        </w:rPr>
        <w:t xml:space="preserve">prova documentale**.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w:t>
      </w:r>
    </w:p>
    <w:p>
      <w:pPr>
        <w:spacing w:after="120" w:line="276"/>
        <w:jc w:val="both"/>
      </w:pPr>
      <w:r>
        <w:rPr>
          <w:rFonts w:ascii="Barlow Semi Condensed" w:cs="Barlow Semi Condensed" w:eastAsia="Barlow Semi Condensed" w:hAnsi="Barlow Semi Condensed"/>
          <w:sz w:val="24"/>
          <w:szCs w:val="24"/>
        </w:rPr>
        <w:t xml:space="preserve">detta più forte di quanto sia è essa stessa un errore. Ciò che ho accertato è</w:t>
      </w:r>
    </w:p>
    <w:p>
      <w:pPr>
        <w:spacing w:after="120" w:line="276"/>
        <w:jc w:val="both"/>
      </w:pPr>
      <w:r>
        <w:rPr>
          <w:rFonts w:ascii="Barlow Semi Condensed" w:cs="Barlow Semi Condensed" w:eastAsia="Barlow Semi Condensed" w:hAnsi="Barlow Semi Condensed"/>
          <w:sz w:val="24"/>
          <w:szCs w:val="24"/>
        </w:rPr>
        <w:t xml:space="preserve">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w:t>
      </w:r>
    </w:p>
    <w:p>
      <w:pPr>
        <w:spacing w:after="120" w:line="276"/>
        <w:jc w:val="both"/>
      </w:pPr>
      <w:r>
        <w:rPr>
          <w:rFonts w:ascii="Barlow Semi Condensed" w:cs="Barlow Semi Condensed" w:eastAsia="Barlow Semi Condensed" w:hAnsi="Barlow Semi Condensed"/>
          <w:sz w:val="24"/>
          <w:szCs w:val="24"/>
        </w:rPr>
        <w:t xml:space="preserve">rese pubbliche del contenuto di quel documento non la contengono. **Non ho</w:t>
      </w:r>
    </w:p>
    <w:p>
      <w:pPr>
        <w:spacing w:after="120" w:line="276"/>
        <w:jc w:val="both"/>
      </w:pPr>
      <w:r>
        <w:rPr>
          <w:rFonts w:ascii="Barlow Semi Condensed" w:cs="Barlow Semi Condensed" w:eastAsia="Barlow Semi Condensed" w:hAnsi="Barlow Semi Condensed"/>
          <w:sz w:val="24"/>
          <w:szCs w:val="24"/>
        </w:rPr>
        <w:t xml:space="preserve">letto il documento originale riga per riga**: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Chiunque abbia accesso alla pagina</w:t>
      </w:r>
    </w:p>
    <w:p>
      <w:pPr>
        <w:spacing w:after="120" w:line="276"/>
        <w:jc w:val="both"/>
      </w:pPr>
      <w:r>
        <w:rPr>
          <w:rFonts w:ascii="Barlow Semi Condensed" w:cs="Barlow Semi Condensed" w:eastAsia="Barlow Semi Condensed" w:hAnsi="Barlow Semi Condensed"/>
          <w:sz w:val="24"/>
          <w:szCs w:val="24"/>
        </w:rPr>
        <w:t xml:space="preserve">può smentirmi in mezz'ora, ed è la ragione per cui scrivo la cosa in questa</w:t>
      </w:r>
    </w:p>
    <w:p>
      <w:pPr>
        <w:spacing w:after="120" w:line="276"/>
        <w:jc w:val="both"/>
      </w:pPr>
      <w:r>
        <w:rPr>
          <w:rFonts w:ascii="Barlow Semi Condensed" w:cs="Barlow Semi Condensed" w:eastAsia="Barlow Semi Condensed" w:hAnsi="Barlow Semi Condensed"/>
          <w:sz w:val="24"/>
          <w:szCs w:val="24"/>
        </w:rPr>
        <w:t xml:space="preserve">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w:t>
      </w:r>
    </w:p>
    <w:p>
      <w:pPr>
        <w:spacing w:after="120" w:line="276"/>
        <w:jc w:val="both"/>
      </w:pPr>
      <w:r>
        <w:rPr>
          <w:rFonts w:ascii="Barlow Semi Condensed" w:cs="Barlow Semi Condensed" w:eastAsia="Barlow Semi Condensed" w:hAnsi="Barlow Semi Condensed"/>
          <w:sz w:val="24"/>
          <w:szCs w:val="24"/>
        </w:rPr>
        <w:t xml:space="preserve">risolutivo: secondo la testimonianza da cui l'episodio discende, la frase</w:t>
      </w:r>
    </w:p>
    <w:p>
      <w:pPr>
        <w:spacing w:after="120" w:line="276"/>
        <w:jc w:val="both"/>
      </w:pPr>
      <w:r>
        <w:rPr>
          <w:rFonts w:ascii="Barlow Semi Condensed" w:cs="Barlow Semi Condensed" w:eastAsia="Barlow Semi Condensed" w:hAnsi="Barlow Semi Condensed"/>
          <w:sz w:val="24"/>
          <w:szCs w:val="24"/>
        </w:rPr>
        <w:t xml:space="preserve">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w:t>
      </w:r>
    </w:p>
    <w:p>
      <w:pPr>
        <w:spacing w:after="120" w:line="276"/>
        <w:jc w:val="both"/>
      </w:pPr>
      <w:r>
        <w:rPr>
          <w:rFonts w:ascii="Barlow Semi Condensed" w:cs="Barlow Semi Condensed" w:eastAsia="Barlow Semi Condensed" w:hAnsi="Barlow Semi Condensed"/>
          <w:sz w:val="24"/>
          <w:szCs w:val="24"/>
        </w:rPr>
        <w:t xml:space="preserve">verbale registra la riunione, non i corridoi. **L'assenza dal verbale non prova</w:t>
      </w:r>
    </w:p>
    <w:p>
      <w:pPr>
        <w:spacing w:after="120" w:line="276"/>
        <w:jc w:val="both"/>
      </w:pPr>
      <w:r>
        <w:rPr>
          <w:rFonts w:ascii="Barlow Semi Condensed" w:cs="Barlow Semi Condensed" w:eastAsia="Barlow Semi Condensed" w:hAnsi="Barlow Semi Condensed"/>
          <w:sz w:val="24"/>
          <w:szCs w:val="24"/>
        </w:rPr>
        <w:t xml:space="preserve">dunque né la falsità né la verità dell'episodio**: toglie soltanto — ma in modo</w:t>
      </w:r>
    </w:p>
    <w:p>
      <w:pPr>
        <w:spacing w:after="120" w:line="276"/>
        <w:jc w:val="both"/>
      </w:pPr>
      <w:r>
        <w:rPr>
          <w:rFonts w:ascii="Barlow Semi Condensed" w:cs="Barlow Semi Condensed" w:eastAsia="Barlow Semi Condensed" w:hAnsi="Barlow Semi Condensed"/>
          <w:sz w:val="24"/>
          <w:szCs w:val="24"/>
        </w:rPr>
        <w:t xml:space="preserve">netto — l'appoggio documentale alla versione che lo colloca nell'incontro</w:t>
      </w:r>
    </w:p>
    <w:p>
      <w:pPr>
        <w:spacing w:after="120" w:line="276"/>
        <w:jc w:val="both"/>
      </w:pPr>
      <w:r>
        <w:rPr>
          <w:rFonts w:ascii="Barlow Semi Condensed" w:cs="Barlow Semi Condensed" w:eastAsia="Barlow Semi Condensed" w:hAnsi="Barlow Semi Condensed"/>
          <w:sz w:val="24"/>
          <w:szCs w:val="24"/>
        </w:rPr>
        <w:t xml:space="preserve">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w:t>
      </w:r>
    </w:p>
    <w:p>
      <w:pPr>
        <w:spacing w:after="120" w:line="276"/>
        <w:jc w:val="both"/>
      </w:pPr>
      <w:r>
        <w:rPr>
          <w:rFonts w:ascii="Barlow Semi Condensed" w:cs="Barlow Semi Condensed" w:eastAsia="Barlow Semi Condensed" w:hAnsi="Barlow Semi Condensed"/>
          <w:sz w:val="24"/>
          <w:szCs w:val="24"/>
        </w:rPr>
        <w:t xml:space="preserve">otto anni dopo e per via indiretta, con la smentita dell'interessato annotata</w:t>
      </w:r>
    </w:p>
    <w:p>
      <w:pPr>
        <w:spacing w:after="120" w:line="276"/>
        <w:jc w:val="both"/>
      </w:pPr>
      <w:r>
        <w:rPr>
          <w:rFonts w:ascii="Barlow Semi Condensed" w:cs="Barlow Semi Condensed" w:eastAsia="Barlow Semi Condensed" w:hAnsi="Barlow Semi Condensed"/>
          <w:sz w:val="24"/>
          <w:szCs w:val="24"/>
        </w:rPr>
        <w:t xml:space="preserve">accanto, e con le divergenze sulla data e sul luogo riportate e non sciolte —</w:t>
      </w:r>
    </w:p>
    <w:p>
      <w:pPr>
        <w:spacing w:after="120" w:line="276"/>
        <w:jc w:val="both"/>
      </w:pPr>
      <w:r>
        <w:rPr>
          <w:rFonts w:ascii="Barlow Semi Condensed" w:cs="Barlow Semi Condensed" w:eastAsia="Barlow Semi Condensed" w:hAnsi="Barlow Semi Condensed"/>
          <w:sz w:val="24"/>
          <w:szCs w:val="24"/>
        </w:rPr>
        <w:t xml:space="preserve">perché la stessa vicenda è collocata da fonti diverse nel 1974, nel 1976 e nel</w:t>
      </w:r>
    </w:p>
    <w:p>
      <w:pPr>
        <w:spacing w:after="120" w:line="276"/>
        <w:jc w:val="both"/>
      </w:pPr>
      <w:r>
        <w:rPr>
          <w:rFonts w:ascii="Barlow Semi Condensed" w:cs="Barlow Semi Condensed" w:eastAsia="Barlow Semi Condensed" w:hAnsi="Barlow Semi Condensed"/>
          <w:sz w:val="24"/>
          <w:szCs w:val="24"/>
        </w:rPr>
        <w:t xml:space="preserve">1977, e in stanze diverse.</w:t>
      </w:r>
    </w:p>
    <w:p>
      <w:pPr>
        <w:spacing w:after="120" w:line="276"/>
        <w:jc w:val="both"/>
      </w:pPr>
      <w:r>
        <w:rPr>
          <w:rFonts w:ascii="Barlow Semi Condensed" w:cs="Barlow Semi Condensed" w:eastAsia="Barlow Semi Condensed" w:hAnsi="Barlow Semi Condensed"/>
          <w:sz w:val="24"/>
          <w:szCs w:val="24"/>
        </w:rPr>
        <w:t xml:space="preserve">**Vi comunico questo prima di ogni altra cosa, e prima che lo leggiate altrove,</w:t>
      </w:r>
    </w:p>
    <w:p>
      <w:pPr>
        <w:spacing w:after="120" w:line="276"/>
        <w:jc w:val="both"/>
      </w:pPr>
      <w:r>
        <w:rPr>
          <w:rFonts w:ascii="Barlow Semi Condensed" w:cs="Barlow Semi Condensed" w:eastAsia="Barlow Semi Condensed" w:hAnsi="Barlow Semi Condensed"/>
          <w:sz w:val="24"/>
          <w:szCs w:val="24"/>
        </w:rPr>
        <w:t xml:space="preserve">per una ragione precisa.** Quell'affermazione riguarda una persona che non può</w:t>
      </w:r>
    </w:p>
    <w:p>
      <w:pPr>
        <w:spacing w:after="120" w:line="276"/>
        <w:jc w:val="both"/>
      </w:pPr>
      <w:r>
        <w:rPr>
          <w:rFonts w:ascii="Barlow Semi Condensed" w:cs="Barlow Semi Condensed" w:eastAsia="Barlow Semi Condensed" w:hAnsi="Barlow Semi Condensed"/>
          <w:sz w:val="24"/>
          <w:szCs w:val="24"/>
        </w:rPr>
        <w:t xml:space="preserve">più confermarla né smentirla, e la sua famiglia. Un accertamento che ne indebolisce</w:t>
      </w:r>
    </w:p>
    <w:p>
      <w:pPr>
        <w:spacing w:after="120" w:line="276"/>
        <w:jc w:val="both"/>
      </w:pPr>
      <w:r>
        <w:rPr>
          <w:rFonts w:ascii="Barlow Semi Condensed" w:cs="Barlow Semi Condensed" w:eastAsia="Barlow Semi Condensed" w:hAnsi="Barlow Semi Condensed"/>
          <w:sz w:val="24"/>
          <w:szCs w:val="24"/>
        </w:rPr>
        <w:t xml:space="preserve">l'appoggio documentale non è una buona notizia né una cattiva: è un dato, e chi</w:t>
      </w:r>
    </w:p>
    <w:p>
      <w:pPr>
        <w:spacing w:after="120" w:line="276"/>
        <w:jc w:val="both"/>
      </w:pPr>
      <w:r>
        <w:rPr>
          <w:rFonts w:ascii="Barlow Semi Condensed" w:cs="Barlow Semi Condensed" w:eastAsia="Barlow Semi Condensed" w:hAnsi="Barlow Semi Condensed"/>
          <w:sz w:val="24"/>
          <w:szCs w:val="24"/>
        </w:rPr>
        <w:t xml:space="preserve">ne cura la memoria ha diritto di conoscerlo per primo e di contestarlo.</w:t>
      </w:r>
    </w:p>
    <w:p>
      <w:pPr>
        <w:spacing w:after="120" w:line="276"/>
        <w:jc w:val="both"/>
      </w:pPr>
      <w:r>
        <w:rPr>
          <w:rFonts w:ascii="Barlow Semi Condensed" w:cs="Barlow Semi Condensed" w:eastAsia="Barlow Semi Condensed" w:hAnsi="Barlow Semi Condensed"/>
          <w:sz w:val="24"/>
          <w:szCs w:val="24"/>
        </w:rPr>
        <w:t xml:space="preserve">**Se possedete una carta, una testimonianza o un riferimento che contraddica</w:t>
      </w:r>
    </w:p>
    <w:p>
      <w:pPr>
        <w:spacing w:after="120" w:line="276"/>
        <w:jc w:val="both"/>
      </w:pPr>
      <w:r>
        <w:rPr>
          <w:rFonts w:ascii="Barlow Semi Condensed" w:cs="Barlow Semi Condensed" w:eastAsia="Barlow Semi Condensed" w:hAnsi="Barlow Semi Condensed"/>
          <w:sz w:val="24"/>
          <w:szCs w:val="24"/>
        </w:rPr>
        <w:t xml:space="preserve">quanto ho scritto, lo recepirò per nota, accanto al testo errato e senza</w:t>
      </w:r>
    </w:p>
    <w:p>
      <w:pPr>
        <w:spacing w:after="120" w:line="276"/>
        <w:jc w:val="both"/>
      </w:pPr>
      <w:r>
        <w:rPr>
          <w:rFonts w:ascii="Barlow Semi Condensed" w:cs="Barlow Semi Condensed" w:eastAsia="Barlow Semi Condensed" w:hAnsi="Barlow Semi Condensed"/>
          <w:sz w:val="24"/>
          <w:szCs w:val="24"/>
        </w:rPr>
        <w:t xml:space="preserve">cancellarlo** — che è il criterio con cui il corpus tratta ogni propria</w:t>
      </w:r>
    </w:p>
    <w:p>
      <w:pPr>
        <w:spacing w:after="120" w:line="276"/>
        <w:jc w:val="both"/>
      </w:pPr>
      <w:r>
        <w:rPr>
          <w:rFonts w:ascii="Barlow Semi Condensed" w:cs="Barlow Semi Condensed" w:eastAsia="Barlow Semi Condensed" w:hAnsi="Barlow Semi Condensed"/>
          <w:sz w:val="24"/>
          <w:szCs w:val="24"/>
        </w:rPr>
        <w:t xml:space="preserve">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w:t>
      </w:r>
    </w:p>
    <w:p>
      <w:pPr>
        <w:spacing w:after="120" w:line="276"/>
        <w:jc w:val="both"/>
      </w:pPr>
      <w:r>
        <w:rPr>
          <w:rFonts w:ascii="Barlow Semi Condensed" w:cs="Barlow Semi Condensed" w:eastAsia="Barlow Semi Condensed" w:hAnsi="Barlow Semi Condensed"/>
          <w:sz w:val="24"/>
          <w:szCs w:val="24"/>
        </w:rPr>
        <w:t xml:space="preserve">vostro nome compaia accanto al mio in alcun luogo, e non chiedo di essere</w:t>
      </w:r>
    </w:p>
    <w:p>
      <w:pPr>
        <w:spacing w:after="120" w:line="276"/>
        <w:jc w:val="both"/>
      </w:pPr>
      <w:r>
        <w:rPr>
          <w:rFonts w:ascii="Barlow Semi Condensed" w:cs="Barlow Semi Condensed" w:eastAsia="Barlow Semi Condensed" w:hAnsi="Barlow Semi Condensed"/>
          <w:sz w:val="24"/>
          <w:szCs w:val="24"/>
        </w:rPr>
        <w:t xml:space="preserve">ricevuto. Se riteneste che questa materia non vi competa, o che il modo in cui</w:t>
      </w:r>
    </w:p>
    <w:p>
      <w:pPr>
        <w:spacing w:after="120" w:line="276"/>
        <w:jc w:val="both"/>
      </w:pPr>
      <w:r>
        <w:rPr>
          <w:rFonts w:ascii="Barlow Semi Condensed" w:cs="Barlow Semi Condensed" w:eastAsia="Barlow Semi Condensed" w:hAnsi="Barlow Semi Condensed"/>
          <w:sz w:val="24"/>
          <w:szCs w:val="24"/>
        </w:rPr>
        <w:t xml:space="preserve">è stata prodotta la renda inutilizzabile, quel giudizio sarebbe a sua volta</w:t>
      </w:r>
    </w:p>
    <w:p>
      <w:pPr>
        <w:spacing w:after="120" w:line="276"/>
        <w:jc w:val="both"/>
      </w:pPr>
      <w:r>
        <w:rPr>
          <w:rFonts w:ascii="Barlow Semi Condensed" w:cs="Barlow Semi Condensed" w:eastAsia="Barlow Semi Condensed" w:hAnsi="Barlow Semi Condensed"/>
          <w:sz w:val="24"/>
          <w:szCs w:val="24"/>
        </w:rPr>
        <w:t xml:space="preserve">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w:t>
      </w:r>
    </w:p>
    <w:p>
      <w:pPr>
        <w:spacing w:after="120" w:line="276"/>
        <w:jc w:val="both"/>
      </w:pPr>
      <w:r>
        <w:rPr>
          <w:rFonts w:ascii="Barlow Semi Condensed" w:cs="Barlow Semi Condensed" w:eastAsia="Barlow Semi Condensed" w:hAnsi="Barlow Semi Condensed"/>
          <w:sz w:val="24"/>
          <w:szCs w:val="24"/>
        </w:rPr>
        <w:t xml:space="preserve">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w:t>
      </w:r>
    </w:p>
    <w:p>
      <w:pPr>
        <w:spacing w:after="120" w:line="276"/>
        <w:jc w:val="both"/>
      </w:pPr>
      <w:r>
        <w:rPr>
          <w:rFonts w:ascii="Barlow Semi Condensed" w:cs="Barlow Semi Condensed" w:eastAsia="Barlow Semi Condensed" w:hAnsi="Barlow Semi Condensed"/>
          <w:sz w:val="24"/>
          <w:szCs w:val="24"/>
        </w:rPr>
        <w:t xml:space="preserve">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w:t>
      </w:r>
    </w:p>
    <w:p>
      <w:pPr>
        <w:spacing w:after="120" w:line="276"/>
        <w:jc w:val="both"/>
      </w:pPr>
      <w:r>
        <w:rPr>
          <w:rFonts w:ascii="Barlow Semi Condensed" w:cs="Barlow Semi Condensed" w:eastAsia="Barlow Semi Condensed" w:hAnsi="Barlow Semi Condensed"/>
          <w:sz w:val="24"/>
          <w:szCs w:val="24"/>
        </w:rPr>
        <w:t xml:space="preserve">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w:t>
      </w:r>
    </w:p>
    <w:p>
      <w:pPr>
        <w:spacing w:after="120" w:line="276"/>
        <w:jc w:val="both"/>
      </w:pPr>
      <w:r>
        <w:rPr>
          <w:rFonts w:ascii="Barlow Semi Condensed" w:cs="Barlow Semi Condensed" w:eastAsia="Barlow Semi Condensed" w:hAnsi="Barlow Semi Condensed"/>
          <w:sz w:val="24"/>
          <w:szCs w:val="24"/>
        </w:rPr>
        <w:t xml:space="preserve">punto specifico, si invia allora — e solo allora — il capitolo campione, che</w:t>
      </w:r>
    </w:p>
    <w:p>
      <w:pPr>
        <w:spacing w:after="120" w:line="276"/>
        <w:jc w:val="both"/>
      </w:pPr>
      <w:r>
        <w:rPr>
          <w:rFonts w:ascii="Barlow Semi Condensed" w:cs="Barlow Semi Condensed" w:eastAsia="Barlow Semi Condensed" w:hAnsi="Barlow Semi Condensed"/>
          <w:sz w:val="24"/>
          <w:szCs w:val="24"/>
        </w:rPr>
        <w:t xml:space="preserve">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**la memoria di una persona</w:t>
      </w:r>
    </w:p>
    <w:p>
      <w:pPr>
        <w:spacing w:after="120" w:line="276"/>
        <w:jc w:val="both"/>
      </w:pPr>
      <w:r>
        <w:rPr>
          <w:rFonts w:ascii="Barlow Semi Condensed" w:cs="Barlow Semi Condensed" w:eastAsia="Barlow Semi Condensed" w:hAnsi="Barlow Semi Condensed"/>
          <w:sz w:val="24"/>
          <w:szCs w:val="24"/>
        </w:rPr>
        <w:t xml:space="preserve">determinata, e una famiglia che esiste**.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w:t>
      </w:r>
    </w:p>
    <w:p>
      <w:pPr>
        <w:spacing w:after="120" w:line="276"/>
        <w:jc w:val="both"/>
      </w:pPr>
      <w:r>
        <w:rPr>
          <w:rFonts w:ascii="Barlow Semi Condensed" w:cs="Barlow Semi Condensed" w:eastAsia="Barlow Semi Condensed" w:hAnsi="Barlow Semi Condensed"/>
          <w:sz w:val="24"/>
          <w:szCs w:val="24"/>
        </w:rPr>
        <w:t xml:space="preserve">scoperta. Non c'è alcuna scoperta: c'è un documento pubblico che dice altro da</w:t>
      </w:r>
    </w:p>
    <w:p>
      <w:pPr>
        <w:spacing w:after="120" w:line="276"/>
        <w:jc w:val="both"/>
      </w:pPr>
      <w:r>
        <w:rPr>
          <w:rFonts w:ascii="Barlow Semi Condensed" w:cs="Barlow Semi Condensed" w:eastAsia="Barlow Semi Condensed" w:hAnsi="Barlow Semi Condensed"/>
          <w:sz w:val="24"/>
          <w:szCs w:val="24"/>
        </w:rPr>
        <w:t xml:space="preserve">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w:t>
      </w:r>
    </w:p>
    <w:p>
      <w:pPr>
        <w:spacing w:after="120" w:line="276"/>
        <w:jc w:val="both"/>
      </w:pPr>
      <w:r>
        <w:rPr>
          <w:rFonts w:ascii="Barlow Semi Condensed" w:cs="Barlow Semi Condensed" w:eastAsia="Barlow Semi Condensed" w:hAnsi="Barlow Semi Condensed"/>
          <w:sz w:val="24"/>
          <w:szCs w:val="24"/>
        </w:rPr>
        <w:t xml:space="preserve">una carta e di una data; se il tono scivola verso il caso, la vicenda o il</w:t>
      </w:r>
    </w:p>
    <w:p>
      <w:pPr>
        <w:spacing w:after="120" w:line="276"/>
        <w:jc w:val="both"/>
      </w:pPr>
      <w:r>
        <w:rPr>
          <w:rFonts w:ascii="Barlow Semi Condensed" w:cs="Barlow Semi Condensed" w:eastAsia="Barlow Semi Condensed" w:hAnsi="Barlow Semi Condensed"/>
          <w:sz w:val="24"/>
          <w:szCs w:val="24"/>
        </w:rPr>
        <w:t xml:space="preserve">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w:t>
      </w:r>
    </w:p>
    <w:p>
      <w:pPr>
        <w:spacing w:after="120" w:line="276"/>
        <w:jc w:val="both"/>
      </w:pPr>
      <w:r>
        <w:rPr>
          <w:rFonts w:ascii="Barlow Semi Condensed" w:cs="Barlow Semi Condensed" w:eastAsia="Barlow Semi Condensed" w:hAnsi="Barlow Semi Condensed"/>
          <w:sz w:val="24"/>
          <w:szCs w:val="24"/>
        </w:rPr>
        <w:t xml:space="preserve">qualcosa in cambio — una risposta, un riconoscimento, un contatto — **va</w:t>
      </w:r>
    </w:p>
    <w:p>
      <w:pPr>
        <w:spacing w:after="120" w:line="276"/>
        <w:jc w:val="both"/>
      </w:pPr>
      <w:r>
        <w:rPr>
          <w:rFonts w:ascii="Barlow Semi Condensed" w:cs="Barlow Semi Condensed" w:eastAsia="Barlow Semi Condensed" w:hAnsi="Barlow Semi Condensed"/>
          <w:sz w:val="24"/>
          <w:szCs w:val="24"/>
        </w:rPr>
        <w:t xml:space="preserve">tagliata finché non chiede più nulla**. È l'unica forma in cui merita di essere</w:t>
      </w:r>
    </w:p>
    <w:p>
      <w:pPr>
        <w:spacing w:after="120" w:line="276"/>
        <w:jc w:val="both"/>
      </w:pPr>
      <w:r>
        <w:rPr>
          <w:rFonts w:ascii="Barlow Semi Condensed" w:cs="Barlow Semi Condensed" w:eastAsia="Barlow Semi Condensed" w:hAnsi="Barlow Semi Condensed"/>
          <w:sz w:val="24"/>
          <w:szCs w:val="24"/>
        </w:rPr>
        <w:t xml:space="preserve">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w:t>
      </w:r>
    </w:p>
    <w:p>
      <w:pPr>
        <w:spacing w:after="120" w:line="276"/>
        <w:jc w:val="both"/>
      </w:pPr>
      <w:r>
        <w:rPr>
          <w:rFonts w:ascii="Barlow Semi Condensed" w:cs="Barlow Semi Condensed" w:eastAsia="Barlow Semi Condensed" w:hAnsi="Barlow Semi Condensed"/>
          <w:sz w:val="24"/>
          <w:szCs w:val="24"/>
        </w:rPr>
        <w:t xml:space="preserve">per una cosa distinta: non il quesito d'archivio, ma **l'apparato delle</w:t>
      </w:r>
    </w:p>
    <w:p>
      <w:pPr>
        <w:spacing w:after="120" w:line="276"/>
        <w:jc w:val="both"/>
      </w:pPr>
      <w:r>
        <w:rPr>
          <w:rFonts w:ascii="Barlow Semi Condensed" w:cs="Barlow Semi Condensed" w:eastAsia="Barlow Semi Condensed" w:hAnsi="Barlow Semi Condensed"/>
          <w:sz w:val="24"/>
          <w:szCs w:val="24"/>
        </w:rPr>
        <w:t xml:space="preserve">citazioni** — 685 indirizzi distinti per 1.029 citazioni. Se qualcosa di questo</w:t>
      </w:r>
    </w:p>
    <w:p>
      <w:pPr>
        <w:spacing w:after="120" w:line="276"/>
        <w:jc w:val="both"/>
      </w:pPr>
      <w:r>
        <w:rPr>
          <w:rFonts w:ascii="Barlow Semi Condensed" w:cs="Barlow Semi Condensed" w:eastAsia="Barlow Semi Condensed" w:hAnsi="Barlow Semi Condensed"/>
          <w:sz w:val="24"/>
          <w:szCs w:val="24"/>
        </w:rPr>
        <w:t xml:space="preserve">lavoro può servire a chi cura un'edizione critica, è quello, e va proposto</w:t>
      </w:r>
    </w:p>
    <w:p>
      <w:pPr>
        <w:spacing w:after="120" w:line="276"/>
        <w:jc w:val="both"/>
      </w:pPr>
      <w:r>
        <w:rPr>
          <w:rFonts w:ascii="Barlow Semi Condensed" w:cs="Barlow Semi Condensed" w:eastAsia="Barlow Semi Condensed" w:hAnsi="Barlow Semi Condensed"/>
          <w:sz w:val="24"/>
          <w:szCs w:val="24"/>
        </w:rPr>
        <w:t xml:space="preserve">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p>
      <w:pPr>
        <w:pStyle w:val="Heading3"/>
        <w:spacing w:after="80" w:before="240"/>
      </w:pPr>
      <w:r>
        <w:rPr>
          <w:rFonts w:ascii="Barlow Semi Condensed" w:cs="Barlow Semi Condensed" w:eastAsia="Barlow Semi Condensed" w:hAnsi="Barlow Semi Condensed"/>
          <w:sz w:val="24"/>
          <w:szCs w:val="24"/>
        </w:rPr>
        <w:t xml:space="preserve">Apparato grafico — Appendici · x. Alla Fondazione Aldo 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1.744 parole in 7 sezioni; la più ampia è §4 Testo della lettera, con 1.170.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52 paragrafi in 7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 All'Archivio Flamigni</w:t>
      </w:r>
    </w:p>
    <w:p>
      <w:pPr>
        <w:pStyle w:val="Heading1"/>
        <w:spacing w:after="120" w:before="240"/>
      </w:pPr>
      <w:r>
        <w:rPr>
          <w:rFonts w:ascii="Barlow Semi Condensed" w:cs="Barlow Semi Condensed" w:eastAsia="Barlow Semi Condensed" w:hAnsi="Barlow Semi Condensed"/>
          <w:sz w:val="24"/>
          <w:szCs w:val="24"/>
        </w:rPr>
        <w:t xml:space="preserve">PEC — Centro documentazione Archivio «Flamigni» ETS</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da verificare prima dell'invio</w:t>
      </w:r>
    </w:p>
    <w:p>
      <w:pPr>
        <w:spacing w:after="120" w:line="276"/>
        <w:jc w:val="both"/>
      </w:pPr>
      <w:r>
        <w:rPr>
          <w:rFonts w:ascii="Barlow Semi Condensed" w:cs="Barlow Semi Condensed" w:eastAsia="Barlow Semi Condensed" w:hAnsi="Barlow Semi Condensed"/>
          <w:sz w:val="24"/>
          <w:szCs w:val="24"/>
        </w:rPr>
        <w:t xml:space="preserve">**L'indirizzo PEC non è riportato in questa bozza perché non è stato possibile</w:t>
      </w:r>
    </w:p>
    <w:p>
      <w:pPr>
        <w:spacing w:after="120" w:line="276"/>
        <w:jc w:val="both"/>
      </w:pPr>
      <w:r>
        <w:rPr>
          <w:rFonts w:ascii="Barlow Semi Condensed" w:cs="Barlow Semi Condensed" w:eastAsia="Barlow Semi Condensed" w:hAnsi="Barlow Semi Condensed"/>
          <w:sz w:val="24"/>
          <w:szCs w:val="24"/>
        </w:rPr>
        <w:t xml:space="preserve">accertarlo.** Va reperito prima dell'invio, in uno di questi modi:</w:t>
      </w:r>
    </w:p>
    <w:p>
      <w:pPr>
        <w:spacing w:after="40"/>
        <w:ind w:left="360"/>
        <w:jc w:val="both"/>
      </w:pPr>
      <w:r>
        <w:rPr>
          <w:rFonts w:ascii="Barlow Semi Condensed" w:cs="Barlow Semi Condensed" w:eastAsia="Barlow Semi Condensed" w:hAnsi="Barlow Semi Condensed"/>
          <w:sz w:val="24"/>
          <w:szCs w:val="24"/>
        </w:rPr>
        <w:t xml:space="preserve">1. Il </w:t>
      </w:r>
      <w:r>
        <w:rPr>
          <w:rFonts w:ascii="Barlow Semi Condensed" w:cs="Barlow Semi Condensed" w:eastAsia="Barlow Semi Condensed" w:hAnsi="Barlow Semi Condensed"/>
          <w:b/>
          <w:bCs/>
          <w:sz w:val="24"/>
          <w:szCs w:val="24"/>
        </w:rPr>
        <w:t xml:space="preserve">RUNTS</w:t>
      </w:r>
      <w:r>
        <w:rPr>
          <w:rFonts w:ascii="Barlow Semi Condensed" w:cs="Barlow Semi Condensed" w:eastAsia="Barlow Semi Condensed" w:hAnsi="Barlow Semi Condensed"/>
          <w:sz w:val="24"/>
          <w:szCs w:val="24"/>
        </w:rPr>
        <w:t xml:space="preserve"> (Registro Unico Nazionale del Terzo Settore) — l'ente è un ETS</w:t>
      </w:r>
    </w:p>
    <w:p>
      <w:pPr>
        <w:spacing w:after="120" w:line="276"/>
        <w:jc w:val="both"/>
      </w:pPr>
      <w:r>
        <w:rPr>
          <w:rFonts w:ascii="Barlow Semi Condensed" w:cs="Barlow Semi Condensed" w:eastAsia="Barlow Semi Condensed" w:hAnsi="Barlow Semi Condensed"/>
          <w:sz w:val="24"/>
          <w:szCs w:val="24"/>
        </w:rPr>
        <w:t xml:space="preserve">   e vi è iscritto con il proprio domicilio digitale.</w:t>
      </w:r>
    </w:p>
    <w:p>
      <w:pPr>
        <w:spacing w:after="40"/>
        <w:ind w:left="360"/>
        <w:jc w:val="both"/>
      </w:pPr>
      <w:r>
        <w:rPr>
          <w:rFonts w:ascii="Barlow Semi Condensed" w:cs="Barlow Semi Condensed" w:eastAsia="Barlow Semi Condensed" w:hAnsi="Barlow Semi Condensed"/>
          <w:sz w:val="24"/>
          <w:szCs w:val="24"/>
        </w:rPr>
        <w:t xml:space="preserve">2. 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se l'ente vi risulta come persona giuridica.</w:t>
      </w:r>
    </w:p>
    <w:p>
      <w:pPr>
        <w:spacing w:after="40"/>
        <w:ind w:left="360"/>
        <w:jc w:val="both"/>
      </w:pPr>
      <w:r>
        <w:rPr>
          <w:rFonts w:ascii="Barlow Semi Condensed" w:cs="Barlow Semi Condensed" w:eastAsia="Barlow Semi Condensed" w:hAnsi="Barlow Semi Condensed"/>
          <w:sz w:val="24"/>
          <w:szCs w:val="24"/>
        </w:rPr>
        <w:t xml:space="preserve">3. Il sito istituzionale </w:t>
      </w:r>
      <w:r>
        <w:rPr>
          <w:rFonts w:ascii="Barlow Semi Condensed" w:cs="Barlow Semi Condensed" w:eastAsia="Barlow Semi Condensed" w:hAnsi="Barlow Semi Condensed"/>
          <w:b/>
          <w:bCs/>
          <w:sz w:val="24"/>
          <w:szCs w:val="24"/>
        </w:rPr>
        <w:t xml:space="preserve">archivioflamigni.org</w:t>
      </w:r>
      <w:r>
        <w:rPr>
          <w:rFonts w:ascii="Barlow Semi Condensed" w:cs="Barlow Semi Condensed" w:eastAsia="Barlow Semi Condensed" w:hAnsi="Barlow Semi Condensed"/>
          <w:sz w:val="24"/>
          <w:szCs w:val="24"/>
        </w:rPr>
        <w:t xml:space="preserve">, alla pagina dei contatti.</w:t>
      </w:r>
    </w:p>
    <w:p>
      <w:pPr>
        <w:spacing w:after="40"/>
        <w:ind w:left="360"/>
        <w:jc w:val="both"/>
      </w:pPr>
      <w:r>
        <w:rPr>
          <w:rFonts w:ascii="Barlow Semi Condensed" w:cs="Barlow Semi Condensed" w:eastAsia="Barlow Semi Condensed" w:hAnsi="Barlow Semi Condensed"/>
          <w:sz w:val="24"/>
          <w:szCs w:val="24"/>
        </w:rPr>
        <w:t xml:space="preserve">4. In subordine, una </w:t>
      </w:r>
      <w:r>
        <w:rPr>
          <w:rFonts w:ascii="Barlow Semi Condensed" w:cs="Barlow Semi Condensed" w:eastAsia="Barlow Semi Condensed" w:hAnsi="Barlow Semi Condensed"/>
          <w:b/>
          <w:bCs/>
          <w:sz w:val="24"/>
          <w:szCs w:val="24"/>
        </w:rPr>
        <w:t xml:space="preserve">richiesta preliminare via email ordinaria</w:t>
      </w:r>
      <w:r>
        <w:rPr>
          <w:rFonts w:ascii="Barlow Semi Condensed" w:cs="Barlow Semi Condensed" w:eastAsia="Barlow Semi Condensed" w:hAnsi="Barlow Semi Condensed"/>
          <w:sz w:val="24"/>
          <w:szCs w:val="24"/>
        </w:rPr>
        <w:t xml:space="preserve"> chiedendo</w:t>
      </w:r>
    </w:p>
    <w:p>
      <w:pPr>
        <w:spacing w:after="120" w:line="276"/>
        <w:jc w:val="both"/>
      </w:pPr>
      <w:r>
        <w:rPr>
          <w:rFonts w:ascii="Barlow Semi Condensed" w:cs="Barlow Semi Condensed" w:eastAsia="Barlow Semi Condensed" w:hAnsi="Barlow Semi Condensed"/>
          <w:sz w:val="24"/>
          <w:szCs w:val="24"/>
        </w:rPr>
        <w:t xml:space="preserve">   l'indirizzo PEC per una comunicazione formale.</w:t>
      </w:r>
    </w:p>
    <w:p>
      <w:pPr>
        <w:spacing w:after="120" w:line="276"/>
        <w:jc w:val="both"/>
      </w:pPr>
      <w:r>
        <w:rPr>
          <w:rFonts w:ascii="Barlow Semi Condensed" w:cs="Barlow Semi Condensed" w:eastAsia="Barlow Semi Condensed" w:hAnsi="Barlow Semi Condensed"/>
          <w:sz w:val="24"/>
          <w:szCs w:val="24"/>
        </w:rPr>
        <w:t xml:space="preserve">Se l'indirizzo PEC non esiste o non è reperibile, la comunicazione resta</w:t>
      </w:r>
    </w:p>
    <w:p>
      <w:pPr>
        <w:spacing w:after="120" w:line="276"/>
        <w:jc w:val="both"/>
      </w:pPr>
      <w:r>
        <w:rPr>
          <w:rFonts w:ascii="Barlow Semi Condensed" w:cs="Barlow Semi Condensed" w:eastAsia="Barlow Semi Condensed" w:hAnsi="Barlow Semi Condensed"/>
          <w:sz w:val="24"/>
          <w:szCs w:val="24"/>
        </w:rPr>
        <w:t xml:space="preserve">valida come email ordinaria: la PEC ha valore legale nell'ordinamento italiano</w:t>
      </w:r>
    </w:p>
    <w:p>
      <w:pPr>
        <w:spacing w:after="120" w:line="276"/>
        <w:jc w:val="both"/>
      </w:pPr>
      <w:r>
        <w:rPr>
          <w:rFonts w:ascii="Barlow Semi Condensed" w:cs="Barlow Semi Condensed" w:eastAsia="Barlow Semi Condensed" w:hAnsi="Barlow Semi Condensed"/>
          <w:sz w:val="24"/>
          <w:szCs w:val="24"/>
        </w:rPr>
        <w:t xml:space="preserve">(D.P.R. 68/2005), ma qui serve soprattutto a certificare data e contenuto</w:t>
      </w:r>
    </w:p>
    <w:p>
      <w:pPr>
        <w:spacing w:after="120" w:line="276"/>
        <w:jc w:val="both"/>
      </w:pPr>
      <w:r>
        <w:rPr>
          <w:rFonts w:ascii="Barlow Semi Condensed" w:cs="Barlow Semi Condensed" w:eastAsia="Barlow Semi Condensed" w:hAnsi="Barlow Semi Condensed"/>
          <w:sz w:val="24"/>
          <w:szCs w:val="24"/>
        </w:rPr>
        <w:t xml:space="preserve">dell'invio, non a produrre effetti giuridici.</w:t>
      </w:r>
    </w:p>
    <w:p>
      <w:pPr>
        <w:spacing w:after="120" w:line="276"/>
        <w:jc w:val="both"/>
      </w:pPr>
      <w:r>
        <w:rPr>
          <w:rFonts w:ascii="Barlow Semi Condensed" w:cs="Barlow Semi Condensed" w:eastAsia="Barlow Semi Condensed" w:hAnsi="Barlow Semi Condensed"/>
          <w:b/>
          <w:bCs/>
          <w:sz w:val="24"/>
          <w:szCs w:val="24"/>
        </w:rPr>
        <w:t xml:space="preserve">Sede per l'eventuale corrispondenza cartacea</w:t>
      </w:r>
      <w:r>
        <w:rPr>
          <w:rFonts w:ascii="Barlow Semi Condensed" w:cs="Barlow Semi Condensed" w:eastAsia="Barlow Semi Condensed" w:hAnsi="Barlow Semi Condensed"/>
          <w:sz w:val="24"/>
          <w:szCs w:val="24"/>
        </w:rPr>
        <w:t xml:space="preserve">: Piazza Bartolomeo Romano 6,</w:t>
      </w:r>
    </w:p>
    <w:p>
      <w:pPr>
        <w:spacing w:after="120" w:line="276"/>
        <w:jc w:val="both"/>
      </w:pPr>
      <w:r>
        <w:rPr>
          <w:rFonts w:ascii="Barlow Semi Condensed" w:cs="Barlow Semi Condensed" w:eastAsia="Barlow Semi Condensed" w:hAnsi="Barlow Semi Condensed"/>
          <w:sz w:val="24"/>
          <w:szCs w:val="24"/>
        </w:rPr>
        <w:t xml:space="preserve">00154 Roma (Garbatella).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Proposta di valutazione e di eventuale deposito — «Aldo Moro. La Seconda Guerra</w:t>
      </w:r>
    </w:p>
    <w:p>
      <w:pPr>
        <w:spacing w:after="120" w:line="276"/>
        <w:jc w:val="both"/>
      </w:pPr>
      <w:r>
        <w:rPr>
          <w:rFonts w:ascii="Barlow Semi Condensed" w:cs="Barlow Semi Condensed" w:eastAsia="Barlow Semi Condensed" w:hAnsi="Barlow Semi Condensed"/>
          <w:sz w:val="24"/>
          <w:szCs w:val="24"/>
        </w:rPr>
        <w:t xml:space="preserve">Mondiale non ha mai avuto fine»: opera documentale generata con intelligenza</w:t>
      </w:r>
    </w:p>
    <w:p>
      <w:pPr>
        <w:spacing w:after="120" w:line="276"/>
        <w:jc w:val="both"/>
      </w:pPr>
      <w:r>
        <w:rPr>
          <w:rFonts w:ascii="Barlow Semi Condensed" w:cs="Barlow Semi Condensed" w:eastAsia="Barlow Semi Condensed" w:hAnsi="Barlow Semi Condensed"/>
          <w:sz w:val="24"/>
          <w:szCs w:val="24"/>
        </w:rPr>
        <w:t xml:space="preserve">artificiale, con apparato di verifica e cinque atti d'archivio da compiere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del Centro documentazione Archivio «Flamigni» ETS</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mi rivolgo a codesto Centro in ragione della sua specifica competenza sul caso</w:t>
      </w:r>
    </w:p>
    <w:p>
      <w:pPr>
        <w:spacing w:after="120" w:line="276"/>
        <w:jc w:val="both"/>
      </w:pPr>
      <w:r>
        <w:rPr>
          <w:rFonts w:ascii="Barlow Semi Condensed" w:cs="Barlow Semi Condensed" w:eastAsia="Barlow Semi Condensed" w:hAnsi="Barlow Semi Condensed"/>
          <w:sz w:val="24"/>
          <w:szCs w:val="24"/>
        </w:rPr>
        <w:t xml:space="preserve">Moro e sulla storia della Repubblica, e in particolare della serie </w:t>
      </w:r>
      <w:r>
        <w:rPr>
          <w:rFonts w:ascii="Barlow Semi Condensed" w:cs="Barlow Semi Condensed" w:eastAsia="Barlow Semi Condensed" w:hAnsi="Barlow Semi Condensed"/>
          <w:i/>
          <w:iCs/>
          <w:sz w:val="24"/>
          <w:szCs w:val="24"/>
        </w:rPr>
        <w:t xml:space="preserve">Caso Moro</w:t>
      </w:r>
    </w:p>
    <w:p>
      <w:pPr>
        <w:spacing w:after="120" w:line="276"/>
        <w:jc w:val="both"/>
      </w:pPr>
      <w:r>
        <w:rPr>
          <w:rFonts w:ascii="Barlow Semi Condensed" w:cs="Barlow Semi Condensed" w:eastAsia="Barlow Semi Condensed" w:hAnsi="Barlow Semi Condensed"/>
          <w:sz w:val="24"/>
          <w:szCs w:val="24"/>
        </w:rPr>
        <w:t xml:space="preserve">del fondo del senatore Sergio Flamigni.</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va fatta prima di ogni altra cosa.</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che sottopongo alla vostra attenzione è stata **redatta con l'ausilio di sistemi</w:t>
      </w:r>
    </w:p>
    <w:p>
      <w:pPr>
        <w:spacing w:after="120" w:line="276"/>
        <w:jc w:val="both"/>
      </w:pPr>
      <w:r>
        <w:rPr>
          <w:rFonts w:ascii="Barlow Semi Condensed" w:cs="Barlow Semi Condensed" w:eastAsia="Barlow Semi Condensed" w:hAnsi="Barlow Semi Condensed"/>
          <w:sz w:val="24"/>
          <w:szCs w:val="24"/>
        </w:rPr>
        <w:t xml:space="preserve">di intelligenza artificiale**, sotto mia direzione e responsabilità. Ogni volume</w:t>
      </w:r>
    </w:p>
    <w:p>
      <w:pPr>
        <w:spacing w:after="120" w:line="276"/>
        <w:jc w:val="both"/>
      </w:pPr>
      <w:r>
        <w:rPr>
          <w:rFonts w:ascii="Barlow Semi Condensed" w:cs="Barlow Semi Condensed" w:eastAsia="Barlow Semi Condensed" w:hAnsi="Barlow Semi Condensed"/>
          <w:sz w:val="24"/>
          <w:szCs w:val="24"/>
        </w:rPr>
        <w:t xml:space="preserve">lo dichiara in copertina. Non si tratta di ricerca d'archivio condotta in prima</w:t>
      </w:r>
    </w:p>
    <w:p>
      <w:pPr>
        <w:spacing w:after="120" w:line="276"/>
        <w:jc w:val="both"/>
      </w:pPr>
      <w:r>
        <w:rPr>
          <w:rFonts w:ascii="Barlow Semi Condensed" w:cs="Barlow Semi Condensed" w:eastAsia="Barlow Semi Condensed" w:hAnsi="Barlow Semi Condensed"/>
          <w:sz w:val="24"/>
          <w:szCs w:val="24"/>
        </w:rPr>
        <w:t xml:space="preserve">persona: **non ho consultato fondi, non ho letto documenti originali, non ho</w:t>
      </w:r>
    </w:p>
    <w:p>
      <w:pPr>
        <w:spacing w:after="120" w:line="276"/>
        <w:jc w:val="both"/>
      </w:pPr>
      <w:r>
        <w:rPr>
          <w:rFonts w:ascii="Barlow Semi Condensed" w:cs="Barlow Semi Condensed" w:eastAsia="Barlow Semi Condensed" w:hAnsi="Barlow Semi Condensed"/>
          <w:sz w:val="24"/>
          <w:szCs w:val="24"/>
        </w:rPr>
        <w:t xml:space="preserve">prodotto alcun accertamento nuovo**. Comunico questo dato in apertura perché è</w:t>
      </w:r>
    </w:p>
    <w:p>
      <w:pPr>
        <w:spacing w:after="120" w:line="276"/>
        <w:jc w:val="both"/>
      </w:pPr>
      <w:r>
        <w:rPr>
          <w:rFonts w:ascii="Barlow Semi Condensed" w:cs="Barlow Semi Condensed" w:eastAsia="Barlow Semi Condensed" w:hAnsi="Barlow Semi Condensed"/>
          <w:sz w:val="24"/>
          <w:szCs w:val="24"/>
        </w:rPr>
        <w:t xml:space="preserve">il primo elemento che vi serve per decidere se il resto meriti tempo, e perché</w:t>
      </w:r>
    </w:p>
    <w:p>
      <w:pPr>
        <w:spacing w:after="120" w:line="276"/>
        <w:jc w:val="both"/>
      </w:pPr>
      <w:r>
        <w:rPr>
          <w:rFonts w:ascii="Barlow Semi Condensed" w:cs="Barlow Semi Condensed" w:eastAsia="Barlow Semi Condensed" w:hAnsi="Barlow Semi Condensed"/>
          <w:sz w:val="24"/>
          <w:szCs w:val="24"/>
        </w:rPr>
        <w:t xml:space="preserve">un'omissione su questo punto renderebbe scorretta l'intera proposta.</w:t>
      </w:r>
    </w:p>
    <w:p>
      <w:pPr>
        <w:spacing w:after="120" w:line="276"/>
        <w:jc w:val="both"/>
      </w:pPr>
      <w:r>
        <w:rPr>
          <w:rFonts w:ascii="Barlow Semi Condensed" w:cs="Barlow Semi Condensed" w:eastAsia="Barlow Semi Condensed" w:hAnsi="Barlow Semi Condensed"/>
          <w:b/>
          <w:bCs/>
          <w:sz w:val="24"/>
          <w:szCs w:val="24"/>
        </w:rPr>
        <w:t xml:space="preserve">Che cosa è l'opera.</w:t>
      </w:r>
      <w:r>
        <w:rPr>
          <w:rFonts w:ascii="Barlow Semi Condensed" w:cs="Barlow Semi Condensed" w:eastAsia="Barlow Semi Condensed" w:hAnsi="Barlow Semi Condensed"/>
          <w:sz w:val="24"/>
          <w:szCs w:val="24"/>
        </w:rPr>
        <w:t xml:space="preserve"> È un corpus documentale di circa 1.340 pagine, articolato</w:t>
      </w:r>
    </w:p>
    <w:p>
      <w:pPr>
        <w:spacing w:after="120" w:line="276"/>
        <w:jc w:val="both"/>
      </w:pPr>
      <w:r>
        <w:rPr>
          <w:rFonts w:ascii="Barlow Semi Condensed" w:cs="Barlow Semi Condensed" w:eastAsia="Barlow Semi Condensed" w:hAnsi="Barlow Semi Condensed"/>
          <w:sz w:val="24"/>
          <w:szCs w:val="24"/>
        </w:rPr>
        <w:t xml:space="preserve">in quattordici Libri, che raccoglie e ordina materiale già pubblico sul caso Moro,</w:t>
      </w:r>
    </w:p>
    <w:p>
      <w:pPr>
        <w:spacing w:after="120" w:line="276"/>
        <w:jc w:val="both"/>
      </w:pPr>
      <w:r>
        <w:rPr>
          <w:rFonts w:ascii="Barlow Semi Condensed" w:cs="Barlow Semi Condensed" w:eastAsia="Barlow Semi Condensed" w:hAnsi="Barlow Semi Condensed"/>
          <w:sz w:val="24"/>
          <w:szCs w:val="24"/>
        </w:rPr>
        <w:t xml:space="preserve">sulla parabola di Ernesto Guevara, sul nodo Feltrinelli-Hyperion, sul Tribunale</w:t>
      </w:r>
    </w:p>
    <w:p>
      <w:pPr>
        <w:spacing w:after="120" w:line="276"/>
        <w:jc w:val="both"/>
      </w:pPr>
      <w:r>
        <w:rPr>
          <w:rFonts w:ascii="Barlow Semi Condensed" w:cs="Barlow Semi Condensed" w:eastAsia="Barlow Semi Condensed" w:hAnsi="Barlow Semi Condensed"/>
          <w:sz w:val="24"/>
          <w:szCs w:val="24"/>
        </w:rPr>
        <w:t xml:space="preserve">Speciale del 1926 e sulla dimensione diplomatica di Aldo Moro ministro degli</w:t>
      </w:r>
    </w:p>
    <w:p>
      <w:pPr>
        <w:spacing w:after="120" w:line="276"/>
        <w:jc w:val="both"/>
      </w:pPr>
      <w:r>
        <w:rPr>
          <w:rFonts w:ascii="Barlow Semi Condensed" w:cs="Barlow Semi Condensed" w:eastAsia="Barlow Semi Condensed" w:hAnsi="Barlow Semi Condensed"/>
          <w:sz w:val="24"/>
          <w:szCs w:val="24"/>
        </w:rPr>
        <w:t xml:space="preserve">Esteri. Ne fanno parte cinque opere in forma di «blocchi mirati» — bersagli di</w:t>
      </w:r>
    </w:p>
    <w:p>
      <w:pPr>
        <w:spacing w:after="120" w:line="276"/>
        <w:jc w:val="both"/>
      </w:pPr>
      <w:r>
        <w:rPr>
          <w:rFonts w:ascii="Barlow Semi Condensed" w:cs="Barlow Semi Condensed" w:eastAsia="Barlow Semi Condensed" w:hAnsi="Barlow Semi Condensed"/>
          <w:sz w:val="24"/>
          <w:szCs w:val="24"/>
        </w:rPr>
        <w:t xml:space="preserve">ricerca, non affermazioni — per complessivi 7.699 blocchi mirati; a parte, e non in somma, il Libro quarto porta 538 blocchi certificati di verifica in otto tranche, che non sono bersagli di ricerca ma unità di controllo e di rettifica esercitate su un testo già scritto, e sommarle alle prime darebbe un numero che sembra dire più di quel che dice. Ciascun blocco mirato è</w:t>
      </w:r>
    </w:p>
    <w:p>
      <w:pPr>
        <w:spacing w:after="120" w:line="276"/>
        <w:jc w:val="both"/>
      </w:pPr>
      <w:r>
        <w:rPr>
          <w:rFonts w:ascii="Barlow Semi Condensed" w:cs="Barlow Semi Condensed" w:eastAsia="Barlow Semi Condensed" w:hAnsi="Barlow Semi Condensed"/>
          <w:sz w:val="24"/>
          <w:szCs w:val="24"/>
        </w:rPr>
        <w:t xml:space="preserve">un quesito da portare in archivio, una regola di lettura, un accertamento con</w:t>
      </w:r>
    </w:p>
    <w:p>
      <w:pPr>
        <w:spacing w:after="120" w:line="276"/>
        <w:jc w:val="both"/>
      </w:pPr>
      <w:r>
        <w:rPr>
          <w:rFonts w:ascii="Barlow Semi Condensed" w:cs="Barlow Semi Condensed" w:eastAsia="Barlow Semi Condensed" w:hAnsi="Barlow Semi Condensed"/>
          <w:sz w:val="24"/>
          <w:szCs w:val="24"/>
        </w:rPr>
        <w:t xml:space="preserve">grado dichiarato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Che cosa l'opera non pretende di essere.</w:t>
      </w:r>
      <w:r>
        <w:rPr>
          <w:rFonts w:ascii="Barlow Semi Condensed" w:cs="Barlow Semi Condensed" w:eastAsia="Barlow Semi Condensed" w:hAnsi="Barlow Semi Condensed"/>
          <w:sz w:val="24"/>
          <w:szCs w:val="24"/>
        </w:rPr>
        <w:t xml:space="preserve"> Non contiene rivelazioni e non</w:t>
      </w:r>
    </w:p>
    <w:p>
      <w:pPr>
        <w:spacing w:after="120" w:line="276"/>
        <w:jc w:val="both"/>
      </w:pPr>
      <w:r>
        <w:rPr>
          <w:rFonts w:ascii="Barlow Semi Condensed" w:cs="Barlow Semi Condensed" w:eastAsia="Barlow Semi Condensed" w:hAnsi="Barlow Semi Condensed"/>
          <w:sz w:val="24"/>
          <w:szCs w:val="24"/>
        </w:rPr>
        <w:t xml:space="preserve">aggiunge un solo fatto al patrimonio conoscitivo esistente. **Tredici dei</w:t>
      </w:r>
    </w:p>
    <w:p>
      <w:pPr>
        <w:spacing w:after="120" w:line="276"/>
        <w:jc w:val="both"/>
      </w:pPr>
      <w:r>
        <w:rPr>
          <w:rFonts w:ascii="Barlow Semi Condensed" w:cs="Barlow Semi Condensed" w:eastAsia="Barlow Semi Condensed" w:hAnsi="Barlow Semi Condensed"/>
          <w:sz w:val="24"/>
          <w:szCs w:val="24"/>
        </w:rPr>
        <w:t xml:space="preserve">quattordici Libri si fermano al giudicato**: non propongono una tesi sul caso,</w:t>
      </w:r>
    </w:p>
    <w:p>
      <w:pPr>
        <w:spacing w:after="120" w:line="276"/>
        <w:jc w:val="both"/>
      </w:pPr>
      <w:r>
        <w:rPr>
          <w:rFonts w:ascii="Barlow Semi Condensed" w:cs="Barlow Semi Condensed" w:eastAsia="Barlow Semi Condensed" w:hAnsi="Barlow Semi Condensed"/>
          <w:sz w:val="24"/>
          <w:szCs w:val="24"/>
        </w:rPr>
        <w:t xml:space="preserve">non indicano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e non compilano graduatorie.</w:t>
      </w:r>
    </w:p>
    <w:p>
      <w:pPr>
        <w:spacing w:after="120" w:line="276"/>
        <w:jc w:val="both"/>
      </w:pPr>
      <w:r>
        <w:rPr>
          <w:rFonts w:ascii="Barlow Semi Condensed" w:cs="Barlow Semi Condensed" w:eastAsia="Barlow Semi Condensed" w:hAnsi="Barlow Semi Condensed"/>
          <w:b/>
          <w:bCs/>
          <w:sz w:val="24"/>
          <w:szCs w:val="24"/>
        </w:rPr>
        <w:t xml:space="preserve">Il Libro quarto fa eccezione, e la dichiaro qui, non in fondo</w:t>
      </w:r>
      <w:r>
        <w:rPr>
          <w:rFonts w:ascii="Barlow Semi Condensed" w:cs="Barlow Semi Condensed" w:eastAsia="Barlow Semi Condensed" w:hAnsi="Barlow Semi Condensed"/>
          <w:sz w:val="24"/>
          <w:szCs w:val="24"/>
        </w:rPr>
        <w:t xml:space="preserve">, perché è il</w:t>
      </w:r>
    </w:p>
    <w:p>
      <w:pPr>
        <w:spacing w:after="120" w:line="276"/>
        <w:jc w:val="both"/>
      </w:pPr>
      <w:r>
        <w:rPr>
          <w:rFonts w:ascii="Barlow Semi Condensed" w:cs="Barlow Semi Condensed" w:eastAsia="Barlow Semi Condensed" w:hAnsi="Barlow Semi Condensed"/>
          <w:sz w:val="24"/>
          <w:szCs w:val="24"/>
        </w:rPr>
        <w:t xml:space="preserve">primo elemento su cui un archivio come il vostro giudicherà tutto il resto. È il</w:t>
      </w:r>
    </w:p>
    <w:p>
      <w:pPr>
        <w:spacing w:after="120" w:line="276"/>
        <w:jc w:val="both"/>
      </w:pPr>
      <w:r>
        <w:rPr>
          <w:rFonts w:ascii="Barlow Semi Condensed" w:cs="Barlow Semi Condensed" w:eastAsia="Barlow Semi Condensed" w:hAnsi="Barlow Semi Condensed"/>
          <w:sz w:val="24"/>
          <w:szCs w:val="24"/>
        </w:rPr>
        <w:t xml:space="preserve">Dossier maggiore dell'autore, opera anteriore al corpus e qui conservata per</w:t>
      </w:r>
    </w:p>
    <w:p>
      <w:pPr>
        <w:spacing w:after="120" w:line="276"/>
        <w:jc w:val="both"/>
      </w:pPr>
      <w:r>
        <w:rPr>
          <w:rFonts w:ascii="Barlow Semi Condensed" w:cs="Barlow Semi Condensed" w:eastAsia="Barlow Semi Condensed" w:hAnsi="Barlow Semi Condensed"/>
          <w:sz w:val="24"/>
          <w:szCs w:val="24"/>
        </w:rPr>
        <w:t xml:space="preserve">intero anziché riscritta: nella seconda metà congeda la disciplina</w:t>
      </w:r>
    </w:p>
    <w:p>
      <w:pPr>
        <w:spacing w:after="120" w:line="276"/>
        <w:jc w:val="both"/>
      </w:pPr>
      <w:r>
        <w:rPr>
          <w:rFonts w:ascii="Barlow Semi Condensed" w:cs="Barlow Semi Condensed" w:eastAsia="Barlow Semi Condensed" w:hAnsi="Barlow Semi Condensed"/>
          <w:sz w:val="24"/>
          <w:szCs w:val="24"/>
        </w:rPr>
        <w:t xml:space="preserve">falsificazionista e ordina secondo il grado di plausibilità del coinvolgimento.</w:t>
      </w:r>
    </w:p>
    <w:p>
      <w:pPr>
        <w:spacing w:after="120" w:line="276"/>
        <w:jc w:val="both"/>
      </w:pPr>
      <w:r>
        <w:rPr>
          <w:rFonts w:ascii="Barlow Semi Condensed" w:cs="Barlow Semi Condensed" w:eastAsia="Barlow Semi Condensed" w:hAnsi="Barlow Semi Condensed"/>
          <w:sz w:val="24"/>
          <w:szCs w:val="24"/>
        </w:rPr>
        <w:t xml:space="preserve">Ne dico i limiti con la stessa precisione con cui ne dico l'esistenza: è</w:t>
      </w:r>
    </w:p>
    <w:p>
      <w:pPr>
        <w:spacing w:after="120" w:line="276"/>
        <w:jc w:val="both"/>
      </w:pPr>
      <w:r>
        <w:rPr>
          <w:rFonts w:ascii="Barlow Semi Condensed" w:cs="Barlow Semi Condensed" w:eastAsia="Barlow Semi Condensed" w:hAnsi="Barlow Semi Condensed"/>
          <w:sz w:val="24"/>
          <w:szCs w:val="24"/>
        </w:rPr>
        <w:t xml:space="preserve">graduatoria </w:t>
      </w:r>
      <w:r>
        <w:rPr>
          <w:rFonts w:ascii="Barlow Semi Condensed" w:cs="Barlow Semi Condensed" w:eastAsia="Barlow Semi Condensed" w:hAnsi="Barlow Semi Condensed"/>
          <w:b/>
          <w:bCs/>
          <w:sz w:val="24"/>
          <w:szCs w:val="24"/>
        </w:rPr>
        <w:t xml:space="preserve">di plausibilità e non di colpevolezza</w:t>
      </w:r>
      <w:r>
        <w:rPr>
          <w:rFonts w:ascii="Barlow Semi Condensed" w:cs="Barlow Semi Condensed" w:eastAsia="Barlow Semi Condensed" w:hAnsi="Barlow Semi Condensed"/>
          <w:sz w:val="24"/>
          <w:szCs w:val="24"/>
        </w:rPr>
        <w:t xml:space="preserve">; **ordina categorie di</w:t>
      </w:r>
    </w:p>
    <w:p>
      <w:pPr>
        <w:spacing w:after="120" w:line="276"/>
        <w:jc w:val="both"/>
      </w:pPr>
      <w:r>
        <w:rPr>
          <w:rFonts w:ascii="Barlow Semi Condensed" w:cs="Barlow Semi Condensed" w:eastAsia="Barlow Semi Condensed" w:hAnsi="Barlow Semi Condensed"/>
          <w:sz w:val="24"/>
          <w:szCs w:val="24"/>
        </w:rPr>
        <w:t xml:space="preserve">soggetti e non nomi individuali** —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dei depistaggi, i portatori d'interesse esterno; muove dal giudicato e rifiuta di</w:t>
      </w:r>
    </w:p>
    <w:p>
      <w:pPr>
        <w:spacing w:after="120" w:line="276"/>
        <w:jc w:val="both"/>
      </w:pPr>
      <w:r>
        <w:rPr>
          <w:rFonts w:ascii="Barlow Semi Condensed" w:cs="Barlow Semi Condensed" w:eastAsia="Barlow Semi Condensed" w:hAnsi="Barlow Semi Condensed"/>
          <w:sz w:val="24"/>
          <w:szCs w:val="24"/>
        </w:rPr>
        <w:t xml:space="preserve">nominare un mandante esterno determinato; ed è preceduta da una premessa che</w:t>
      </w:r>
    </w:p>
    <w:p>
      <w:pPr>
        <w:spacing w:after="120" w:line="276"/>
        <w:jc w:val="both"/>
      </w:pPr>
      <w:r>
        <w:rPr>
          <w:rFonts w:ascii="Barlow Semi Condensed" w:cs="Barlow Semi Condensed" w:eastAsia="Barlow Semi Condensed" w:hAnsi="Barlow Semi Condensed"/>
          <w:sz w:val="24"/>
          <w:szCs w:val="24"/>
        </w:rPr>
        <w:t xml:space="preserve">ribadisce, prima di ogni riga, la presunzione d'innocenza. La disciplina in</w:t>
      </w:r>
    </w:p>
    <w:p>
      <w:pPr>
        <w:spacing w:after="120" w:line="276"/>
        <w:jc w:val="both"/>
      </w:pPr>
      <w:r>
        <w:rPr>
          <w:rFonts w:ascii="Barlow Semi Condensed" w:cs="Barlow Semi Condensed" w:eastAsia="Barlow Semi Condensed" w:hAnsi="Barlow Semi Condensed"/>
          <w:sz w:val="24"/>
          <w:szCs w:val="24"/>
        </w:rPr>
        <w:t xml:space="preserve">copertina dell'opera registra l'eccezione e la limita a quel solo Libro, che si</w:t>
      </w:r>
    </w:p>
    <w:p>
      <w:pPr>
        <w:spacing w:after="120" w:line="276"/>
        <w:jc w:val="both"/>
      </w:pPr>
      <w:r>
        <w:rPr>
          <w:rFonts w:ascii="Barlow Semi Condensed" w:cs="Barlow Semi Condensed" w:eastAsia="Barlow Semi Condensed" w:hAnsi="Barlow Semi Condensed"/>
          <w:sz w:val="24"/>
          <w:szCs w:val="24"/>
        </w:rPr>
        <w:t xml:space="preserve">apre con una nota di raccordo.</w:t>
      </w:r>
    </w:p>
    <w:p>
      <w:pPr>
        <w:spacing w:after="120" w:line="276"/>
        <w:jc w:val="both"/>
      </w:pPr>
      <w:r>
        <w:rPr>
          <w:rFonts w:ascii="Barlow Semi Condensed" w:cs="Barlow Semi Condensed" w:eastAsia="Barlow Semi Condensed" w:hAnsi="Barlow Semi Condensed"/>
          <w:sz w:val="24"/>
          <w:szCs w:val="24"/>
        </w:rPr>
        <w:t xml:space="preserve">Vale </w:t>
      </w:r>
      <w:r>
        <w:rPr>
          <w:rFonts w:ascii="Barlow Semi Condensed" w:cs="Barlow Semi Condensed" w:eastAsia="Barlow Semi Condensed" w:hAnsi="Barlow Semi Condensed"/>
          <w:b/>
          <w:bCs/>
          <w:sz w:val="24"/>
          <w:szCs w:val="24"/>
        </w:rPr>
        <w:t xml:space="preserve">negli altri tredici Libri, e nella prima metà del quarto</w:t>
      </w:r>
      <w:r>
        <w:rPr>
          <w:rFonts w:ascii="Barlow Semi Condensed" w:cs="Barlow Semi Condensed" w:eastAsia="Barlow Semi Condensed" w:hAnsi="Barlow Semi Condensed"/>
          <w:sz w:val="24"/>
          <w:szCs w:val="24"/>
        </w:rPr>
        <w:t xml:space="preserve">, la regola che</w:t>
      </w:r>
    </w:p>
    <w:p>
      <w:pPr>
        <w:spacing w:after="120" w:line="276"/>
        <w:jc w:val="both"/>
      </w:pPr>
      <w:r>
        <w:rPr>
          <w:rFonts w:ascii="Barlow Semi Condensed" w:cs="Barlow Semi Condensed" w:eastAsia="Barlow Semi Condensed" w:hAnsi="Barlow Semi Condensed"/>
          <w:sz w:val="24"/>
          <w:szCs w:val="24"/>
        </w:rPr>
        <w:t xml:space="preserve">ho adottato come metro: un legame è reale solo se un documento di provenienza</w:t>
      </w:r>
    </w:p>
    <w:p>
      <w:pPr>
        <w:spacing w:after="120" w:line="276"/>
        <w:jc w:val="both"/>
      </w:pPr>
      <w:r>
        <w:rPr>
          <w:rFonts w:ascii="Barlow Semi Condensed" w:cs="Barlow Semi Condensed" w:eastAsia="Barlow Semi Condensed" w:hAnsi="Barlow Semi Condensed"/>
          <w:sz w:val="24"/>
          <w:szCs w:val="24"/>
        </w:rPr>
        <w:t xml:space="preserve">nomina entrambe le parti;</w:t>
      </w:r>
    </w:p>
    <w:p>
      <w:pPr>
        <w:spacing w:after="120" w:line="276"/>
        <w:jc w:val="both"/>
      </w:pPr>
      <w:r>
        <w:rPr>
          <w:rFonts w:ascii="Barlow Semi Condensed" w:cs="Barlow Semi Condensed" w:eastAsia="Barlow Semi Condensed" w:hAnsi="Barlow Semi Condensed"/>
          <w:sz w:val="24"/>
          <w:szCs w:val="24"/>
        </w:rPr>
        <w:t xml:space="preserve">la convergenza e la contemporaneità si registrano come tali e non si promuovono</w:t>
      </w:r>
    </w:p>
    <w:p>
      <w:pPr>
        <w:spacing w:after="120" w:line="276"/>
        <w:jc w:val="both"/>
      </w:pPr>
      <w:r>
        <w:rPr>
          <w:rFonts w:ascii="Barlow Semi Condensed" w:cs="Barlow Semi Condensed" w:eastAsia="Barlow Semi Condensed" w:hAnsi="Barlow Semi Condensed"/>
          <w:sz w:val="24"/>
          <w:szCs w:val="24"/>
        </w:rPr>
        <w:t xml:space="preserve">mai a nesso causale. Dove la documentazione tace, l'opera scrive che tace, e</w:t>
      </w:r>
    </w:p>
    <w:p>
      <w:pPr>
        <w:spacing w:after="120" w:line="276"/>
        <w:jc w:val="both"/>
      </w:pPr>
      <w:r>
        <w:rPr>
          <w:rFonts w:ascii="Barlow Semi Condensed" w:cs="Barlow Semi Condensed" w:eastAsia="Barlow Semi Condensed" w:hAnsi="Barlow Semi Condensed"/>
          <w:sz w:val="24"/>
          <w:szCs w:val="24"/>
        </w:rPr>
        <w:t xml:space="preserve">indica dove si dovrebbe cercare.</w:t>
      </w:r>
    </w:p>
    <w:p>
      <w:pPr>
        <w:spacing w:after="120" w:line="276"/>
        <w:jc w:val="both"/>
      </w:pPr>
      <w:r>
        <w:rPr>
          <w:rFonts w:ascii="Barlow Semi Condensed" w:cs="Barlow Semi Condensed" w:eastAsia="Barlow Semi Condensed" w:hAnsi="Barlow Semi Condensed"/>
          <w:b/>
          <w:bCs/>
          <w:sz w:val="24"/>
          <w:szCs w:val="24"/>
        </w:rPr>
        <w:t xml:space="preserve">Perché mi rivolgo a voi, e che cosa propongo concretamente.</w:t>
      </w:r>
      <w:r>
        <w:rPr>
          <w:rFonts w:ascii="Barlow Semi Condensed" w:cs="Barlow Semi Condensed" w:eastAsia="Barlow Semi Condensed" w:hAnsi="Barlow Semi Condensed"/>
          <w:sz w:val="24"/>
          <w:szCs w:val="24"/>
        </w:rPr>
        <w:t xml:space="preserve"> Il prodotto più</w:t>
      </w:r>
    </w:p>
    <w:p>
      <w:pPr>
        <w:spacing w:after="120" w:line="276"/>
        <w:jc w:val="both"/>
      </w:pPr>
      <w:r>
        <w:rPr>
          <w:rFonts w:ascii="Barlow Semi Condensed" w:cs="Barlow Semi Condensed" w:eastAsia="Barlow Semi Condensed" w:hAnsi="Barlow Semi Condensed"/>
          <w:sz w:val="24"/>
          <w:szCs w:val="24"/>
        </w:rPr>
        <w:t xml:space="preserve">utile del lavoro non sono le pagine, ma un elenco di **atti d'archivio</w:t>
      </w:r>
    </w:p>
    <w:p>
      <w:pPr>
        <w:spacing w:after="120" w:line="276"/>
        <w:jc w:val="both"/>
      </w:pPr>
      <w:r>
        <w:rPr>
          <w:rFonts w:ascii="Barlow Semi Condensed" w:cs="Barlow Semi Condensed" w:eastAsia="Barlow Semi Condensed" w:hAnsi="Barlow Semi Condensed"/>
          <w:sz w:val="24"/>
          <w:szCs w:val="24"/>
        </w:rPr>
        <w:t xml:space="preserve">eseguibili** che ne discendono. Fra questi ve n'è uno che ritengo possa</w:t>
      </w:r>
    </w:p>
    <w:p>
      <w:pPr>
        <w:spacing w:after="120" w:line="276"/>
        <w:jc w:val="both"/>
      </w:pPr>
      <w:r>
        <w:rPr>
          <w:rFonts w:ascii="Barlow Semi Condensed" w:cs="Barlow Semi Condensed" w:eastAsia="Barlow Semi Condensed" w:hAnsi="Barlow Semi Condensed"/>
          <w:sz w:val="24"/>
          <w:szCs w:val="24"/>
        </w:rPr>
        <w:t xml:space="preserve">interessarvi in modo specifico: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Del colloquio dello Studio Ovale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fra Giovanni Leone, Aldo Moro, Gerald Ford e Henry Kissinger esiste, allo stato, </w:t>
      </w:r>
      <w:r>
        <w:rPr>
          <w:rFonts w:ascii="Barlow Semi Condensed" w:cs="Barlow Semi Condensed" w:eastAsia="Barlow Semi Condensed" w:hAnsi="Barlow Semi Condensed"/>
          <w:b/>
          <w:bCs/>
          <w:i w:val="false"/>
          <w:iCs w:val="false"/>
          <w:sz w:val="24"/>
          <w:szCs w:val="24"/>
        </w:rPr>
        <w:t xml:space="preserve">un solo versante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i w:val="false"/>
          <w:iCs w:val="false"/>
          <w:sz w:val="24"/>
          <w:szCs w:val="24"/>
        </w:rPr>
        <w:t xml:space="preserve">memorandum of conversation</w:t>
      </w:r>
      <w:r>
        <w:rPr>
          <w:rFonts w:ascii="Barlow Semi Condensed" w:cs="Barlow Semi Condensed" w:eastAsia="Barlow Semi Condensed" w:hAnsi="Barlow Semi Condensed"/>
          <w:i w:val="false"/>
          <w:iCs w:val="false"/>
          <w:sz w:val="24"/>
          <w:szCs w:val="24"/>
        </w:rPr>
        <w:t xml:space="preserve"> redatto dallo staff statunitense, edito come documento 350 del volume FRUS 1969-1976 E-15 parte 2 e conservato come file 1552802 della Gerald R. Ford Presidential Library. </w:t>
      </w:r>
      <w:r>
        <w:rPr>
          <w:rFonts w:ascii="Barlow Semi Condensed" w:cs="Barlow Semi Condensed" w:eastAsia="Barlow Semi Condensed" w:hAnsi="Barlow Semi Condensed"/>
          <w:b/>
          <w:bCs/>
          <w:i w:val="false"/>
          <w:iCs w:val="false"/>
          <w:sz w:val="24"/>
          <w:szCs w:val="24"/>
        </w:rPr>
        <w:t xml:space="preserve">Non risulta che sia mai stato cercato l'appunto italiano dello stesso incontro</w:t>
      </w:r>
      <w:r>
        <w:rPr>
          <w:rFonts w:ascii="Barlow Semi Condensed" w:cs="Barlow Semi Condensed" w:eastAsia="Barlow Semi Condensed" w:hAnsi="Barlow Semi Condensed"/>
          <w:i w:val="false"/>
          <w:iCs w:val="false"/>
          <w:sz w:val="24"/>
          <w:szCs w:val="24"/>
        </w:rPr>
        <w:t xml:space="preserve"> — il telespresso o la nota di gabinetto che ogni ministro fa stendere dopo un bilaterale. L'esito di tale ricerca sarebbe dirimente in tutte e tre le direzioni possibili: se l'appunto esiste e concorda, la versione dell'ultimatum perde l'ultimo appoggio documentale; se esiste e diverge, si avrebbe una divergenza fra due fonti primarie, cosa diversa da una testimonianza contestata; se non esiste, l'assenza va datata e spiegata.</w:t>
      </w:r>
    </w:p>
    <w:p>
      <w:pPr>
        <w:spacing w:after="120" w:line="276"/>
        <w:jc w:val="both"/>
      </w:pPr>
      <w:r>
        <w:rPr>
          <w:rFonts w:ascii="Barlow Semi Condensed" w:cs="Barlow Semi Condensed" w:eastAsia="Barlow Semi Condensed" w:hAnsi="Barlow Semi Condensed"/>
          <w:sz w:val="24"/>
          <w:szCs w:val="24"/>
        </w:rPr>
        <w:t xml:space="preserve">Gli altri quattro atti riguardano la collazione delle due copie note di quel</w:t>
      </w:r>
    </w:p>
    <w:p>
      <w:pPr>
        <w:spacing w:after="120" w:line="276"/>
        <w:jc w:val="both"/>
      </w:pPr>
      <w:r>
        <w:rPr>
          <w:rFonts w:ascii="Barlow Semi Condensed" w:cs="Barlow Semi Condensed" w:eastAsia="Barlow Semi Condensed" w:hAnsi="Barlow Semi Condensed"/>
          <w:sz w:val="24"/>
          <w:szCs w:val="24"/>
        </w:rPr>
        <w:t xml:space="preserve">verbale,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 che il programma di ricerca del corpus non possiede</w:t>
      </w:r>
    </w:p>
    <w:p>
      <w:pPr>
        <w:spacing w:after="120" w:line="276"/>
        <w:jc w:val="both"/>
      </w:pPr>
      <w:r>
        <w:rPr>
          <w:rFonts w:ascii="Barlow Semi Condensed" w:cs="Barlow Semi Condensed" w:eastAsia="Barlow Semi Condensed" w:hAnsi="Barlow Semi Condensed"/>
          <w:sz w:val="24"/>
          <w:szCs w:val="24"/>
        </w:rPr>
        <w:t xml:space="preserve">mentre possiede quelli britannico, francese e tedesco.</w:t>
      </w:r>
    </w:p>
    <w:p>
      <w:pPr>
        <w:spacing w:after="120" w:line="276"/>
        <w:jc w:val="both"/>
      </w:pPr>
      <w:r>
        <w:rPr>
          <w:rFonts w:ascii="Barlow Semi Condensed" w:cs="Barlow Semi Condensed" w:eastAsia="Barlow Semi Condensed" w:hAnsi="Barlow Semi Condensed"/>
          <w:b/>
          <w:bCs/>
          <w:sz w:val="24"/>
          <w:szCs w:val="24"/>
        </w:rPr>
        <w:t xml:space="preserve">La proposta è dunque triplice, e ciascuna parte è indipendente dalle altre: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Valutazione critica.</w:t>
      </w:r>
      <w:r>
        <w:rPr>
          <w:rFonts w:ascii="Barlow Semi Condensed" w:cs="Barlow Semi Condensed" w:eastAsia="Barlow Semi Condensed" w:hAnsi="Barlow Semi Condensed"/>
          <w:sz w:val="24"/>
          <w:szCs w:val="24"/>
        </w:rPr>
        <w:t xml:space="preserve"> Che il Centro esamini l'opera e ne segnali errori,</w:t>
      </w:r>
    </w:p>
    <w:p>
      <w:pPr>
        <w:spacing w:after="120" w:line="276"/>
        <w:jc w:val="both"/>
      </w:pPr>
      <w:r>
        <w:rPr>
          <w:rFonts w:ascii="Barlow Semi Condensed" w:cs="Barlow Semi Condensed" w:eastAsia="Barlow Semi Condensed" w:hAnsi="Barlow Semi Condensed"/>
          <w:sz w:val="24"/>
          <w:szCs w:val="24"/>
        </w:rPr>
        <w:t xml:space="preserve">   attribuzioni improprie o passaggi da correggere. Ogni rilievo verrà recepito</w:t>
      </w:r>
    </w:p>
    <w:p>
      <w:pPr>
        <w:spacing w:after="120" w:line="276"/>
        <w:jc w:val="both"/>
      </w:pPr>
      <w:r>
        <w:rPr>
          <w:rFonts w:ascii="Barlow Semi Condensed" w:cs="Barlow Semi Condensed" w:eastAsia="Barlow Semi Condensed" w:hAnsi="Barlow Semi Condensed"/>
          <w:sz w:val="24"/>
          <w:szCs w:val="24"/>
        </w:rPr>
        <w:t xml:space="preserve">   per nota, secondo il criterio già adottato nell'opera, che non riscrive in</w:t>
      </w:r>
    </w:p>
    <w:p>
      <w:pPr>
        <w:spacing w:after="120" w:line="276"/>
        <w:jc w:val="both"/>
      </w:pPr>
      <w:r>
        <w:rPr>
          <w:rFonts w:ascii="Barlow Semi Condensed" w:cs="Barlow Semi Condensed" w:eastAsia="Barlow Semi Condensed" w:hAnsi="Barlow Semi Condensed"/>
          <w:sz w:val="24"/>
          <w:szCs w:val="24"/>
        </w:rPr>
        <w:t xml:space="preserve">   silenzio ma annota accanto al testo errato.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Eventuale deposito</w:t>
      </w:r>
      <w:r>
        <w:rPr>
          <w:rFonts w:ascii="Barlow Semi Condensed" w:cs="Barlow Semi Condensed" w:eastAsia="Barlow Semi Condensed" w:hAnsi="Barlow Semi Condensed"/>
          <w:sz w:val="24"/>
          <w:szCs w:val="24"/>
        </w:rPr>
        <w:t xml:space="preserve">, nella forma che riterrete appropriata — anche come</w:t>
      </w:r>
    </w:p>
    <w:p>
      <w:pPr>
        <w:spacing w:after="120" w:line="276"/>
        <w:jc w:val="both"/>
      </w:pPr>
      <w:r>
        <w:rPr>
          <w:rFonts w:ascii="Barlow Semi Condensed" w:cs="Barlow Semi Condensed" w:eastAsia="Barlow Semi Condensed" w:hAnsi="Barlow Semi Condensed"/>
          <w:sz w:val="24"/>
          <w:szCs w:val="24"/>
        </w:rPr>
        <w:t xml:space="preserve">   materiale di consultazione qualificato per la sua natura, e non come studio</w:t>
      </w:r>
    </w:p>
    <w:p>
      <w:pPr>
        <w:spacing w:after="120" w:line="276"/>
        <w:jc w:val="both"/>
      </w:pPr>
      <w:r>
        <w:rPr>
          <w:rFonts w:ascii="Barlow Semi Condensed" w:cs="Barlow Semi Condensed" w:eastAsia="Barlow Semi Condensed" w:hAnsi="Barlow Semi Condensed"/>
          <w:sz w:val="24"/>
          <w:szCs w:val="24"/>
        </w:rPr>
        <w:t xml:space="preserve">   storiografico.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Segnalazione degli atti d'archivio</w:t>
      </w:r>
      <w:r>
        <w:rPr>
          <w:rFonts w:ascii="Barlow Semi Condensed" w:cs="Barlow Semi Condensed" w:eastAsia="Barlow Semi Condensed" w:hAnsi="Barlow Semi Condensed"/>
          <w:sz w:val="24"/>
          <w:szCs w:val="24"/>
        </w:rPr>
        <w:t xml:space="preserve"> a ricercatori del vostro ambito che</w:t>
      </w:r>
    </w:p>
    <w:p>
      <w:pPr>
        <w:spacing w:after="120" w:line="276"/>
        <w:jc w:val="both"/>
      </w:pPr>
      <w:r>
        <w:rPr>
          <w:rFonts w:ascii="Barlow Semi Condensed" w:cs="Barlow Semi Condensed" w:eastAsia="Barlow Semi Condensed" w:hAnsi="Barlow Semi Condensed"/>
          <w:sz w:val="24"/>
          <w:szCs w:val="24"/>
        </w:rPr>
        <w:t xml:space="preserve">   volessero eseguirli. Non chiedo che li esegua il Centro: chiedo che siano</w:t>
      </w:r>
    </w:p>
    <w:p>
      <w:pPr>
        <w:spacing w:after="120" w:line="276"/>
        <w:jc w:val="both"/>
      </w:pPr>
      <w:r>
        <w:rPr>
          <w:rFonts w:ascii="Barlow Semi Condensed" w:cs="Barlow Semi Condensed" w:eastAsia="Barlow Semi Condensed" w:hAnsi="Barlow Semi Condensed"/>
          <w:sz w:val="24"/>
          <w:szCs w:val="24"/>
        </w:rPr>
        <w:t xml:space="preserve">   messi a disposizione di chi ha la competenza per farlo.</w:t>
      </w:r>
    </w:p>
    <w:p>
      <w:pPr>
        <w:spacing w:after="120" w:line="276"/>
        <w:jc w:val="both"/>
      </w:pPr>
      <w:r>
        <w:rPr>
          <w:rFonts w:ascii="Barlow Semi Condensed" w:cs="Barlow Semi Condensed" w:eastAsia="Barlow Semi Condensed" w:hAnsi="Barlow Semi Condensed"/>
          <w:sz w:val="24"/>
          <w:szCs w:val="24"/>
        </w:rPr>
        <w:t xml:space="preserve">Non chiedo pubblicazione a vostro nome, né patrocinio, né alcun onere economico.</w:t>
      </w:r>
    </w:p>
    <w:p>
      <w:pPr>
        <w:spacing w:after="120" w:line="276"/>
        <w:jc w:val="both"/>
      </w:pPr>
      <w:r>
        <w:rPr>
          <w:rFonts w:ascii="Barlow Semi Condensed" w:cs="Barlow Semi Condensed" w:eastAsia="Barlow Semi Condensed" w:hAnsi="Barlow Semi Condensed"/>
          <w:sz w:val="24"/>
          <w:szCs w:val="24"/>
        </w:rPr>
        <w:t xml:space="preserve">L'opera è disponibile integralmente e gratuitamente, e resterà tale.</w:t>
      </w:r>
    </w:p>
    <w:p>
      <w:pPr>
        <w:spacing w:after="120" w:line="276"/>
        <w:jc w:val="both"/>
      </w:pPr>
      <w:r>
        <w:rPr>
          <w:rFonts w:ascii="Barlow Semi Condensed" w:cs="Barlow Semi Condensed" w:eastAsia="Barlow Semi Condensed" w:hAnsi="Barlow Semi Condensed"/>
          <w:sz w:val="24"/>
          <w:szCs w:val="24"/>
        </w:rPr>
        <w:t xml:space="preserve">Resto a disposizione per ogni chiarimento e per l'invio dei materiali nel formato</w:t>
      </w:r>
    </w:p>
    <w:p>
      <w:pPr>
        <w:spacing w:after="120" w:line="276"/>
        <w:jc w:val="both"/>
      </w:pPr>
      <w:r>
        <w:rPr>
          <w:rFonts w:ascii="Barlow Semi Condensed" w:cs="Barlow Semi Condensed" w:eastAsia="Barlow Semi Condensed" w:hAnsi="Barlow Semi Condensed"/>
          <w:sz w:val="24"/>
          <w:szCs w:val="24"/>
        </w:rPr>
        <w:t xml:space="preserve">che riterrete più comodo.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[indicare PEC o email ordinaria]</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 da elencare nel corpo della PEC</w:t>
      </w:r>
    </w:p>
    <w:p>
      <w:pPr>
        <w:spacing w:after="120" w:line="276"/>
        <w:jc w:val="both"/>
      </w:pPr>
      <w:r>
        <w:rPr>
          <w:rFonts w:ascii="Barlow Semi Condensed" w:cs="Barlow Semi Condensed" w:eastAsia="Barlow Semi Condensed" w:hAnsi="Barlow Semi Condensed"/>
          <w:sz w:val="24"/>
          <w:szCs w:val="24"/>
        </w:rPr>
        <w:t xml:space="preserve">Da citare per nome esatto del file, così che la ricevuta di avvenuta consegna</w:t>
      </w:r>
    </w:p>
    <w:p>
      <w:pPr>
        <w:spacing w:after="120" w:line="276"/>
        <w:jc w:val="both"/>
      </w:pPr>
      <w:r>
        <w:rPr>
          <w:rFonts w:ascii="Barlow Semi Condensed" w:cs="Barlow Semi Condensed" w:eastAsia="Barlow Semi Condensed" w:hAnsi="Barlow Semi Condensed"/>
          <w:sz w:val="24"/>
          <w:szCs w:val="24"/>
        </w:rPr>
        <w:t xml:space="preserve">certifichi anche il contenuto trasmesso. Si consiglia di allegare i PDF e non i</w:t>
      </w:r>
    </w:p>
    <w:p>
      <w:pPr>
        <w:spacing w:after="120" w:line="276"/>
        <w:jc w:val="both"/>
      </w:pPr>
      <w:r>
        <w:rPr>
          <w:rFonts w:ascii="Barlow Semi Condensed" w:cs="Barlow Semi Condensed" w:eastAsia="Barlow Semi Condensed" w:hAnsi="Barlow Semi Condensed"/>
          <w:sz w:val="24"/>
          <w:szCs w:val="24"/>
        </w:rPr>
        <w:t xml:space="preserve">DOCX, e di valutare l'invio del solo volume integrale se il gestore PEC impone</w:t>
      </w:r>
    </w:p>
    <w:p>
      <w:pPr>
        <w:spacing w:after="120" w:line="276"/>
        <w:jc w:val="both"/>
      </w:pPr>
      <w:r>
        <w:rPr>
          <w:rFonts w:ascii="Barlow Semi Condensed" w:cs="Barlow Semi Condensed" w:eastAsia="Barlow Semi Condensed" w:hAnsi="Barlow Semi Condensed"/>
          <w:sz w:val="24"/>
          <w:szCs w:val="24"/>
        </w:rPr>
        <w:t xml:space="preserve">limiti di dimensione (l'Opera integrale supera i 24 MB).</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UNA_GUERRA_SENZA_FINE_OPERA_INTEGRALE.pdf</w:t>
      </w:r>
      <w:r>
        <w:rPr>
          <w:rFonts w:ascii="Barlow Semi Condensed" w:cs="Barlow Semi Condensed" w:eastAsia="Barlow Semi Condensed" w:hAnsi="Barlow Semi Condensed"/>
          <w:sz w:val="24"/>
          <w:szCs w:val="24"/>
        </w:rPr>
        <w:t xml:space="preserve"> — l'opera completa, 1.762 pagine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GUIDA-ALLA-LETTURA.md</w:t>
      </w:r>
      <w:r>
        <w:rPr>
          <w:rFonts w:ascii="Barlow Semi Condensed" w:cs="Barlow Semi Condensed" w:eastAsia="Barlow Semi Condensed" w:hAnsi="Barlow Semi Condensed"/>
          <w:sz w:val="24"/>
          <w:szCs w:val="24"/>
        </w:rPr>
        <w:t xml:space="preserve"> — la guida alla lettura del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INDICE-DOCUMENTI-BRANCH.md</w:t>
      </w:r>
      <w:r>
        <w:rPr>
          <w:rFonts w:ascii="Barlow Semi Condensed" w:cs="Barlow Semi Condensed" w:eastAsia="Barlow Semi Condensed" w:hAnsi="Barlow Semi Condensed"/>
          <w:sz w:val="24"/>
          <w:szCs w:val="24"/>
        </w:rPr>
        <w:t xml:space="preserve"> — l'indice ragionato di tutti i documenti</w:t>
      </w:r>
    </w:p>
    <w:p>
      <w:pPr>
        <w:spacing w:after="120" w:line="276"/>
        <w:jc w:val="both"/>
      </w:pPr>
      <w:r>
        <w:rPr>
          <w:rFonts w:ascii="Barlow Semi Condensed" w:cs="Barlow Semi Condensed" w:eastAsia="Barlow Semi Condensed" w:hAnsi="Barlow Semi Condensed"/>
          <w:sz w:val="24"/>
          <w:szCs w:val="24"/>
        </w:rPr>
        <w:t xml:space="preserve">In alternativa all'allegato pesante, si può indicare nel corpo il collegamento</w:t>
      </w:r>
    </w:p>
    <w:p>
      <w:pPr>
        <w:spacing w:after="120" w:line="276"/>
        <w:jc w:val="both"/>
      </w:pPr>
      <w:r>
        <w:rPr>
          <w:rFonts w:ascii="Barlow Semi Condensed" w:cs="Barlow Semi Condensed" w:eastAsia="Barlow Semi Condensed" w:hAnsi="Barlow Semi Condensed"/>
          <w:sz w:val="24"/>
          <w:szCs w:val="24"/>
        </w:rPr>
        <w:t xml:space="preserve">al deposito pubblico e allegare la sola guida alla lettura.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rileggere l'opera con un occhio a ciò che un archivio</w:t>
      </w:r>
    </w:p>
    <w:p>
      <w:pPr>
        <w:spacing w:after="120" w:line="276"/>
        <w:jc w:val="both"/>
      </w:pPr>
      <w:r>
        <w:rPr>
          <w:rFonts w:ascii="Barlow Semi Condensed" w:cs="Barlow Semi Condensed" w:eastAsia="Barlow Semi Condensed" w:hAnsi="Barlow Semi Condensed"/>
          <w:sz w:val="24"/>
          <w:szCs w:val="24"/>
        </w:rPr>
        <w:t xml:space="preserve">specializzato noterebbe per primo: la qualificazione dei gradi, il trattamento</w:t>
      </w:r>
    </w:p>
    <w:p>
      <w:pPr>
        <w:spacing w:after="120" w:line="276"/>
        <w:jc w:val="both"/>
      </w:pPr>
      <w:r>
        <w:rPr>
          <w:rFonts w:ascii="Barlow Semi Condensed" w:cs="Barlow Semi Condensed" w:eastAsia="Barlow Semi Condensed" w:hAnsi="Barlow Semi Condensed"/>
          <w:sz w:val="24"/>
          <w:szCs w:val="24"/>
        </w:rPr>
        <w:t xml:space="preserve">delle persone nominate, e la distinzione fra ciò che è documentato e ciò che è</w:t>
      </w:r>
    </w:p>
    <w:p>
      <w:pPr>
        <w:spacing w:after="120" w:line="276"/>
        <w:jc w:val="both"/>
      </w:pPr>
      <w:r>
        <w:rPr>
          <w:rFonts w:ascii="Barlow Semi Condensed" w:cs="Barlow Semi Condensed" w:eastAsia="Barlow Semi Condensed" w:hAnsi="Barlow Semi Condensed"/>
          <w:sz w:val="24"/>
          <w:szCs w:val="24"/>
        </w:rPr>
        <w:t xml:space="preserve">riferito. Il Centro Flamigni conserva le carte di chi ha lavorato su questa</w:t>
      </w:r>
    </w:p>
    <w:p>
      <w:pPr>
        <w:spacing w:after="120" w:line="276"/>
        <w:jc w:val="both"/>
      </w:pPr>
      <w:r>
        <w:rPr>
          <w:rFonts w:ascii="Barlow Semi Condensed" w:cs="Barlow Semi Condensed" w:eastAsia="Barlow Semi Condensed" w:hAnsi="Barlow Semi Condensed"/>
          <w:sz w:val="24"/>
          <w:szCs w:val="24"/>
        </w:rPr>
        <w:t xml:space="preserve">materia per trent'anni: un'imprecisione che altrove passerebbe, lì non passa.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 All'Archivio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1.289 parole in 5 sezioni; la più ampia è §3 Corpo del messaggio, con 961.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31 paragrafi in 5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 Al Centro Flamigni</w:t>
      </w:r>
    </w:p>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sz w:val="24"/>
          <w:szCs w:val="24"/>
        </w:rPr>
        <w:t xml:space="preserve">*Documento di accompagnamento alla proposta rivolta al Centro documentazione</w:t>
      </w:r>
    </w:p>
    <w:p>
      <w:pPr>
        <w:spacing w:after="120" w:line="276"/>
        <w:jc w:val="both"/>
      </w:pPr>
      <w:r>
        <w:rPr>
          <w:rFonts w:ascii="Barlow Semi Condensed" w:cs="Barlow Semi Condensed" w:eastAsia="Barlow Semi Condensed" w:hAnsi="Barlow Semi Condensed"/>
          <w:sz w:val="24"/>
          <w:szCs w:val="24"/>
        </w:rPr>
        <w:t xml:space="preserve">Archivio «Flamigni» ETS. Redatto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w:t>
      </w:r>
    </w:p>
    <w:p>
      <w:pPr>
        <w:spacing w:after="120" w:line="276"/>
        <w:jc w:val="both"/>
      </w:pPr>
      <w:r>
        <w:rPr>
          <w:rFonts w:ascii="Barlow Semi Condensed" w:cs="Barlow Semi Condensed" w:eastAsia="Barlow Semi Condensed" w:hAnsi="Barlow Semi Condensed"/>
          <w:sz w:val="24"/>
          <w:szCs w:val="24"/>
        </w:rPr>
        <w:t xml:space="preserve">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w:t>
      </w:r>
    </w:p>
    <w:p>
      <w:pPr>
        <w:spacing w:after="120" w:line="276"/>
        <w:jc w:val="both"/>
      </w:pPr>
      <w:r>
        <w:rPr>
          <w:rFonts w:ascii="Barlow Semi Condensed" w:cs="Barlow Semi Condensed" w:eastAsia="Barlow Semi Condensed" w:hAnsi="Barlow Semi Condensed"/>
          <w:sz w:val="24"/>
          <w:szCs w:val="24"/>
        </w:rPr>
        <w:t xml:space="preserve">alla vostra valutazione: un archivio che conserva le carte di chi ha lavorato</w:t>
      </w:r>
    </w:p>
    <w:p>
      <w:pPr>
        <w:spacing w:after="120" w:line="276"/>
        <w:jc w:val="both"/>
      </w:pPr>
      <w:r>
        <w:rPr>
          <w:rFonts w:ascii="Barlow Semi Condensed" w:cs="Barlow Semi Condensed" w:eastAsia="Barlow Semi Condensed" w:hAnsi="Barlow Semi Condensed"/>
          <w:sz w:val="24"/>
          <w:szCs w:val="24"/>
        </w:rPr>
        <w:t xml:space="preserve">trent'anni su questa materia giudica un lavoro dal metodo prima che dal</w:t>
      </w:r>
    </w:p>
    <w:p>
      <w:pPr>
        <w:spacing w:after="120" w:line="276"/>
        <w:jc w:val="both"/>
      </w:pPr>
      <w:r>
        <w:rPr>
          <w:rFonts w:ascii="Barlow Semi Condensed" w:cs="Barlow Semi Condensed" w:eastAsia="Barlow Semi Condensed" w:hAnsi="Barlow Semi Condensed"/>
          <w:sz w:val="24"/>
          <w:szCs w:val="24"/>
        </w:rPr>
        <w:t xml:space="preserve">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w:t>
      </w:r>
    </w:p>
    <w:p>
      <w:pPr>
        <w:spacing w:after="120" w:line="276"/>
        <w:jc w:val="both"/>
      </w:pPr>
      <w:r>
        <w:rPr>
          <w:rFonts w:ascii="Barlow Semi Condensed" w:cs="Barlow Semi Condensed" w:eastAsia="Barlow Semi Condensed" w:hAnsi="Barlow Semi Condensed"/>
          <w:sz w:val="24"/>
          <w:szCs w:val="24"/>
        </w:rPr>
        <w:t xml:space="preserve">è stato condotto in un deposito di codice, e ogni sua modifica è registrata con</w:t>
      </w:r>
    </w:p>
    <w:p>
      <w:pPr>
        <w:spacing w:after="120" w:line="276"/>
        <w:jc w:val="both"/>
      </w:pPr>
      <w:r>
        <w:rPr>
          <w:rFonts w:ascii="Barlow Semi Condensed" w:cs="Barlow Semi Condensed" w:eastAsia="Barlow Semi Condensed" w:hAnsi="Barlow Semi Condensed"/>
          <w:sz w:val="24"/>
          <w:szCs w:val="24"/>
        </w:rPr>
        <w:t xml:space="preserve">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w:t>
      </w:r>
    </w:p>
    <w:p>
      <w:pPr>
        <w:spacing w:after="120" w:line="276"/>
        <w:jc w:val="both"/>
      </w:pP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w:t>
      </w:r>
    </w:p>
    <w:p>
      <w:pPr>
        <w:spacing w:after="120" w:line="276"/>
        <w:jc w:val="both"/>
      </w:pPr>
      <w:r>
        <w:rPr>
          <w:rFonts w:ascii="Barlow Semi Condensed" w:cs="Barlow Semi Condensed" w:eastAsia="Barlow Semi Condensed" w:hAnsi="Barlow Semi Condensed"/>
          <w:sz w:val="24"/>
          <w:szCs w:val="24"/>
        </w:rPr>
        <w:t xml:space="preserve">a memoria — la leggo in un registro che non ho scritto per raccontarla, e che</w:t>
      </w:r>
    </w:p>
    <w:p>
      <w:pPr>
        <w:spacing w:after="120" w:line="276"/>
        <w:jc w:val="both"/>
      </w:pPr>
      <w:r>
        <w:rPr>
          <w:rFonts w:ascii="Barlow Semi Condensed" w:cs="Barlow Semi Condensed" w:eastAsia="Barlow Semi Condensed" w:hAnsi="Barlow Semi Condensed"/>
          <w:sz w:val="24"/>
          <w:szCs w:val="24"/>
        </w:rPr>
        <w:t xml:space="preserve">per questo vale più di un racconto. Dove qui compare una data, quella data è</w:t>
      </w:r>
    </w:p>
    <w:p>
      <w:pPr>
        <w:spacing w:after="120" w:line="276"/>
        <w:jc w:val="both"/>
      </w:pPr>
      <w:r>
        <w:rPr>
          <w:rFonts w:ascii="Barlow Semi Condensed" w:cs="Barlow Semi Condensed" w:eastAsia="Barlow Semi Condensed" w:hAnsi="Barlow Semi Condensed"/>
          <w:sz w:val="24"/>
          <w:szCs w:val="24"/>
        </w:rPr>
        <w:t xml:space="preserve">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w:t>
      </w:r>
    </w:p>
    <w:p>
      <w:pPr>
        <w:spacing w:after="120" w:line="276"/>
        <w:jc w:val="both"/>
      </w:pPr>
      <w:r>
        <w:rPr>
          <w:rFonts w:ascii="Barlow Semi Condensed" w:cs="Barlow Semi Condensed" w:eastAsia="Barlow Semi Condensed" w:hAnsi="Barlow Semi Condensed"/>
          <w:sz w:val="24"/>
          <w:szCs w:val="24"/>
        </w:rPr>
        <w:t xml:space="preserve">Ne troverete un esempio al paragrafo 4, e ne ho fatto una correzione ai miei</w:t>
      </w:r>
    </w:p>
    <w:p>
      <w:pPr>
        <w:spacing w:after="120" w:line="276"/>
        <w:jc w:val="both"/>
      </w:pPr>
      <w:r>
        <w:rPr>
          <w:rFonts w:ascii="Barlow Semi Condensed" w:cs="Barlow Semi Condensed" w:eastAsia="Barlow Semi Condensed" w:hAnsi="Barlow Semi Condensed"/>
          <w:sz w:val="24"/>
          <w:szCs w:val="24"/>
        </w:rPr>
        <w:t xml:space="preserve">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w:t>
      </w:r>
    </w:p>
    <w:p>
      <w:pPr>
        <w:spacing w:after="120" w:line="276"/>
        <w:jc w:val="both"/>
      </w:pPr>
      <w:r>
        <w:rPr>
          <w:rFonts w:ascii="Barlow Semi Condensed" w:cs="Barlow Semi Condensed" w:eastAsia="Barlow Semi Condensed" w:hAnsi="Barlow Semi Condensed"/>
          <w:sz w:val="24"/>
          <w:szCs w:val="24"/>
        </w:rPr>
        <w:t xml:space="preserve">centoventidue righe intitolato *Amnistiati del Tribunale Speciale per la Difesa</w:t>
      </w:r>
    </w:p>
    <w:p>
      <w:pPr>
        <w:spacing w:after="120" w:line="276"/>
        <w:jc w:val="both"/>
      </w:pPr>
      <w:r>
        <w:rPr>
          <w:rFonts w:ascii="Barlow Semi Condensed" w:cs="Barlow Semi Condensed" w:eastAsia="Barlow Semi Condensed" w:hAnsi="Barlow Semi Condensed"/>
          <w:sz w:val="24"/>
          <w:szCs w:val="24"/>
        </w:rPr>
        <w:t xml:space="preserve">dello Stato</w:t>
      </w:r>
      <w:r>
        <w:rPr>
          <w:rFonts w:ascii="Barlow Semi Condensed" w:cs="Barlow Semi Condensed" w:eastAsia="Barlow Semi Condensed" w:hAnsi="Barlow Semi Condensed"/>
          <w:i/>
          <w:iCs/>
          <w:sz w:val="24"/>
          <w:szCs w:val="24"/>
        </w:rPr>
        <w:t xml:space="preserve">: </w:t>
      </w:r>
      <w:r>
        <w:rPr>
          <w:rFonts w:ascii="Barlow Semi Condensed" w:cs="Barlow Semi Condensed" w:eastAsia="Barlow Semi Condensed" w:hAnsi="Barlow Semi Condensed"/>
          <w:i/>
          <w:i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w:t>
      </w:r>
    </w:p>
    <w:p>
      <w:pPr>
        <w:spacing w:after="120" w:line="276"/>
        <w:jc w:val="both"/>
      </w:pPr>
      <w:r>
        <w:rPr>
          <w:rFonts w:ascii="Barlow Semi Condensed" w:cs="Barlow Semi Condensed" w:eastAsia="Barlow Semi Condensed" w:hAnsi="Barlow Semi Condensed"/>
          <w:sz w:val="24"/>
          <w:szCs w:val="24"/>
        </w:rPr>
        <w:t xml:space="preserve">di Bologna, condannate o deferite dal Tribunale Speciale fra il 1926 e il 1943 e</w:t>
      </w:r>
    </w:p>
    <w:p>
      <w:pPr>
        <w:spacing w:after="120" w:line="276"/>
        <w:jc w:val="both"/>
      </w:pPr>
      <w:r>
        <w:rPr>
          <w:rFonts w:ascii="Barlow Semi Condensed" w:cs="Barlow Semi Condensed" w:eastAsia="Barlow Semi Condensed" w:hAnsi="Barlow Semi Condensed"/>
          <w:sz w:val="24"/>
          <w:szCs w:val="24"/>
        </w:rPr>
        <w:t xml:space="preserve">poi beneficiarie di un'amnistia — quasi tutte quella del decennale, novembre</w:t>
      </w:r>
    </w:p>
    <w:p>
      <w:pPr>
        <w:spacing w:after="120" w:line="276"/>
        <w:jc w:val="both"/>
      </w:pPr>
      <w:r>
        <w:rPr>
          <w:rFonts w:ascii="Barlow Semi Condensed" w:cs="Barlow Semi Condensed" w:eastAsia="Barlow Semi Condensed" w:hAnsi="Barlow Semi Condensed"/>
          <w:sz w:val="24"/>
          <w:szCs w:val="24"/>
        </w:rPr>
        <w:t xml:space="preserve">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w:t>
      </w:r>
    </w:p>
    <w:p>
      <w:pPr>
        <w:spacing w:after="120" w:line="276"/>
        <w:jc w:val="both"/>
      </w:pPr>
      <w:r>
        <w:rPr>
          <w:rFonts w:ascii="Barlow Semi Condensed" w:cs="Barlow Semi Condensed" w:eastAsia="Barlow Semi Condensed" w:hAnsi="Barlow Semi Condensed"/>
          <w:sz w:val="24"/>
          <w:szCs w:val="24"/>
        </w:rPr>
        <w:t xml:space="preserve">la disciplina delle mille pagine successive. Vale la pena rileggerle, perché</w:t>
      </w:r>
    </w:p>
    <w:p>
      <w:pPr>
        <w:spacing w:after="120" w:line="276"/>
        <w:jc w:val="both"/>
      </w:pPr>
      <w:r>
        <w:rPr>
          <w:rFonts w:ascii="Barlow Semi Condensed" w:cs="Barlow Semi Condensed" w:eastAsia="Barlow Semi Condensed" w:hAnsi="Barlow Semi Condensed"/>
          <w:sz w:val="24"/>
          <w:szCs w:val="24"/>
        </w:rPr>
        <w:t xml:space="preserve">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w:t>
      </w:r>
    </w:p>
    <w:p>
      <w:pPr>
        <w:spacing w:after="120" w:line="276"/>
        <w:jc w:val="both"/>
      </w:pPr>
      <w:r>
        <w:rPr>
          <w:rFonts w:ascii="Barlow Semi Condensed" w:cs="Barlow Semi Condensed" w:eastAsia="Barlow Semi Condensed" w:hAnsi="Barlow Semi Condensed"/>
          <w:sz w:val="24"/>
          <w:szCs w:val="24"/>
        </w:rPr>
        <w:t xml:space="preserve">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**La</w:t>
      </w:r>
    </w:p>
    <w:p>
      <w:pPr>
        <w:spacing w:after="120" w:line="276"/>
        <w:jc w:val="both"/>
      </w:pPr>
      <w:r>
        <w:rPr>
          <w:rFonts w:ascii="Barlow Semi Condensed" w:cs="Barlow Semi Condensed" w:eastAsia="Barlow Semi Condensed" w:hAnsi="Barlow Semi Condensed"/>
          <w:sz w:val="24"/>
          <w:szCs w:val="24"/>
        </w:rPr>
        <w:t xml:space="preserve">misura dell'incompletezza**, data col denominatore — cinquantasette su</w:t>
      </w:r>
    </w:p>
    <w:p>
      <w:pPr>
        <w:spacing w:after="120" w:line="276"/>
        <w:jc w:val="both"/>
      </w:pPr>
      <w:r>
        <w:rPr>
          <w:rFonts w:ascii="Barlow Semi Condensed" w:cs="Barlow Semi Condensed" w:eastAsia="Barlow Semi Condensed" w:hAnsi="Barlow Semi Condensed"/>
          <w:sz w:val="24"/>
          <w:szCs w:val="24"/>
        </w:rPr>
        <w:t xml:space="preserve">settecentotrentaquattro, non «un elenco di amnistiati». E **il rimando puntuale</w:t>
      </w:r>
    </w:p>
    <w:p>
      <w:pPr>
        <w:spacing w:after="120" w:line="276"/>
        <w:jc w:val="both"/>
      </w:pPr>
      <w:r>
        <w:rPr>
          <w:rFonts w:ascii="Barlow Semi Condensed" w:cs="Barlow Semi Condensed" w:eastAsia="Barlow Semi Condensed" w:hAnsi="Barlow Semi Condensed"/>
          <w:sz w:val="24"/>
          <w:szCs w:val="24"/>
        </w:rPr>
        <w:t xml:space="preserve">alla fonte per ciascuna riga**, che è ciò che rende il documento falsificabile da</w:t>
      </w:r>
    </w:p>
    <w:p>
      <w:pPr>
        <w:spacing w:after="120" w:line="276"/>
        <w:jc w:val="both"/>
      </w:pPr>
      <w:r>
        <w:rPr>
          <w:rFonts w:ascii="Barlow Semi Condensed" w:cs="Barlow Semi Condensed" w:eastAsia="Barlow Semi Condensed" w:hAnsi="Barlow Semi Condensed"/>
          <w:sz w:val="24"/>
          <w:szCs w:val="24"/>
        </w:rPr>
        <w:t xml:space="preserve">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Millesettecento pagine</w:t>
      </w:r>
    </w:p>
    <w:p>
      <w:pPr>
        <w:spacing w:after="120" w:line="276"/>
        <w:jc w:val="both"/>
      </w:pPr>
      <w:r>
        <w:rPr>
          <w:rFonts w:ascii="Barlow Semi Condensed" w:cs="Barlow Semi Condensed" w:eastAsia="Barlow Semi Condensed" w:hAnsi="Barlow Semi Condensed"/>
          <w:sz w:val="24"/>
          <w:szCs w:val="24"/>
        </w:rPr>
        <w:t xml:space="preserve">dopo, il corpus vive su un ramo che si chiama come una lista di cinquantasette</w:t>
      </w:r>
    </w:p>
    <w:p>
      <w:pPr>
        <w:spacing w:after="120" w:line="276"/>
        <w:jc w:val="both"/>
      </w:pPr>
      <w:r>
        <w:rPr>
          <w:rFonts w:ascii="Barlow Semi Condensed" w:cs="Barlow Semi Condensed" w:eastAsia="Barlow Semi Condensed" w:hAnsi="Barlow Semi Condensed"/>
          <w:sz w:val="24"/>
          <w:szCs w:val="24"/>
        </w:rPr>
        <w:t xml:space="preserve">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w:t>
      </w:r>
    </w:p>
    <w:p>
      <w:pPr>
        <w:spacing w:after="120" w:line="276"/>
        <w:jc w:val="both"/>
      </w:pPr>
      <w:r>
        <w:rPr>
          <w:rFonts w:ascii="Barlow Semi Condensed" w:cs="Barlow Semi Condensed" w:eastAsia="Barlow Semi Condensed" w:hAnsi="Barlow Semi Condensed"/>
          <w:sz w:val="24"/>
          <w:szCs w:val="24"/>
        </w:rPr>
        <w:t xml:space="preserve">fra le 14:50 e le 15:08 — e alle 15:15 accade la cosa che dà al progetto la sua</w:t>
      </w:r>
    </w:p>
    <w:p>
      <w:pPr>
        <w:spacing w:after="120" w:line="276"/>
        <w:jc w:val="both"/>
      </w:pPr>
      <w:r>
        <w:rPr>
          <w:rFonts w:ascii="Barlow Semi Condensed" w:cs="Barlow Semi Condensed" w:eastAsia="Barlow Semi Condensed" w:hAnsi="Barlow Semi Condensed"/>
          <w:sz w:val="24"/>
          <w:szCs w:val="24"/>
        </w:rPr>
        <w:t xml:space="preserve">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w:t>
      </w:r>
    </w:p>
    <w:p>
      <w:pPr>
        <w:spacing w:after="120" w:line="276"/>
        <w:jc w:val="both"/>
      </w:pPr>
      <w:r>
        <w:rPr>
          <w:rFonts w:ascii="Barlow Semi Condensed" w:cs="Barlow Semi Condensed" w:eastAsia="Barlow Semi Condensed" w:hAnsi="Barlow Semi Condensed"/>
          <w:sz w:val="24"/>
          <w:szCs w:val="24"/>
        </w:rPr>
        <w:t xml:space="preserve">mette contro tutto ciò che il corpus già contiene, non per confermarlo ma per</w:t>
      </w:r>
    </w:p>
    <w:p>
      <w:pPr>
        <w:spacing w:after="120" w:line="276"/>
        <w:jc w:val="both"/>
      </w:pPr>
      <w:r>
        <w:rPr>
          <w:rFonts w:ascii="Barlow Semi Condensed" w:cs="Barlow Semi Condensed" w:eastAsia="Barlow Semi Condensed" w:hAnsi="Barlow Semi Condensed"/>
          <w:sz w:val="24"/>
          <w:szCs w:val="24"/>
        </w:rPr>
        <w:t xml:space="preserve">vedere che cosa si rompe. Sette minuti dopo, alle 15:22, la revisione successiva</w:t>
      </w:r>
    </w:p>
    <w:p>
      <w:pPr>
        <w:spacing w:after="120" w:line="276"/>
        <w:jc w:val="both"/>
      </w:pPr>
      <w:r>
        <w:rPr>
          <w:rFonts w:ascii="Barlow Semi Condensed" w:cs="Barlow Semi Condensed" w:eastAsia="Barlow Semi Condensed" w:hAnsi="Barlow Semi Condensed"/>
          <w:sz w:val="24"/>
          <w:szCs w:val="24"/>
        </w:rPr>
        <w:t xml:space="preserve">si intitola «Applicate le correzioni emerse dalla triangolazione ai tre</w:t>
      </w:r>
    </w:p>
    <w:p>
      <w:pPr>
        <w:spacing w:after="120" w:line="276"/>
        <w:jc w:val="both"/>
      </w:pPr>
      <w:r>
        <w:rPr>
          <w:rFonts w:ascii="Barlow Semi Condensed" w:cs="Barlow Semi Condensed" w:eastAsia="Barlow Semi Condensed" w:hAnsi="Barlow Semi Condensed"/>
          <w:sz w:val="24"/>
          <w:szCs w:val="24"/>
        </w:rPr>
        <w:t xml:space="preserve">documenti». **Il primo uso del metodo produce correzioni ai propri stessi</w:t>
      </w:r>
    </w:p>
    <w:p>
      <w:pPr>
        <w:spacing w:after="120" w:line="276"/>
        <w:jc w:val="both"/>
      </w:pPr>
      <w:r>
        <w:rPr>
          <w:rFonts w:ascii="Barlow Semi Condensed" w:cs="Barlow Semi Condensed" w:eastAsia="Barlow Semi Condensed" w:hAnsi="Barlow Semi Condensed"/>
          <w:sz w:val="24"/>
          <w:szCs w:val="24"/>
        </w:rPr>
        <w:t xml:space="preserve">testi**,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w:t>
      </w:r>
    </w:p>
    <w:p>
      <w:pPr>
        <w:spacing w:after="120" w:line="276"/>
        <w:jc w:val="both"/>
      </w:pPr>
      <w:r>
        <w:rPr>
          <w:rFonts w:ascii="Barlow Semi Condensed" w:cs="Barlow Semi Condensed" w:eastAsia="Barlow Semi Condensed" w:hAnsi="Barlow Semi Condensed"/>
          <w:sz w:val="24"/>
          <w:szCs w:val="24"/>
        </w:rPr>
        <w:t xml:space="preserve">sa fare, e ritorna lungo tutte le centotré revisioni del corpus. Non ha altri</w:t>
      </w:r>
    </w:p>
    <w:p>
      <w:pPr>
        <w:spacing w:after="120" w:line="276"/>
        <w:jc w:val="both"/>
      </w:pPr>
      <w:r>
        <w:rPr>
          <w:rFonts w:ascii="Barlow Semi Condensed" w:cs="Barlow Semi Condensed" w:eastAsia="Barlow Semi Condensed" w:hAnsi="Barlow Semi Condensed"/>
          <w:sz w:val="24"/>
          <w:szCs w:val="24"/>
        </w:rPr>
        <w:t xml:space="preserve">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w:t>
      </w:r>
    </w:p>
    <w:p>
      <w:pPr>
        <w:spacing w:after="120" w:line="276"/>
        <w:jc w:val="both"/>
      </w:pPr>
      <w:r>
        <w:rPr>
          <w:rFonts w:ascii="Barlow Semi Condensed" w:cs="Barlow Semi Condensed" w:eastAsia="Barlow Semi Condensed" w:hAnsi="Barlow Semi Condensed"/>
          <w:sz w:val="24"/>
          <w:szCs w:val="24"/>
        </w:rPr>
        <w:t xml:space="preserve">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**Arrivarono una</w:t>
      </w:r>
    </w:p>
    <w:p>
      <w:pPr>
        <w:spacing w:after="120" w:line="276"/>
        <w:jc w:val="both"/>
      </w:pPr>
      <w:r>
        <w:rPr>
          <w:rFonts w:ascii="Barlow Semi Condensed" w:cs="Barlow Semi Condensed" w:eastAsia="Barlow Semi Condensed" w:hAnsi="Barlow Semi Condensed"/>
          <w:sz w:val="24"/>
          <w:szCs w:val="24"/>
        </w:rPr>
        <w:t xml:space="preserve">per volta, ciascuna quando un lavoro specifico aveva incrinato quella</w:t>
      </w:r>
    </w:p>
    <w:p>
      <w:pPr>
        <w:spacing w:after="120" w:line="276"/>
        <w:jc w:val="both"/>
      </w:pPr>
      <w:r>
        <w:rPr>
          <w:rFonts w:ascii="Barlow Semi Condensed" w:cs="Barlow Semi Condensed" w:eastAsia="Barlow Semi Condensed" w:hAnsi="Barlow Semi Condensed"/>
          <w:sz w:val="24"/>
          <w:szCs w:val="24"/>
        </w:rPr>
        <w:t xml:space="preserve">precedente**, e ciascuna porta la data e l'ora del lavoro che l'ha resa</w:t>
      </w:r>
    </w:p>
    <w:p>
      <w:pPr>
        <w:spacing w:after="120" w:line="276"/>
        <w:jc w:val="both"/>
      </w:pPr>
      <w:r>
        <w:rPr>
          <w:rFonts w:ascii="Barlow Semi Condensed" w:cs="Barlow Semi Condensed" w:eastAsia="Barlow Semi Condensed" w:hAnsi="Barlow Semi Condensed"/>
          <w:sz w:val="24"/>
          <w:szCs w:val="24"/>
        </w:rPr>
        <w:t xml:space="preserve">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w:t>
      </w:r>
    </w:p>
    <w:p>
      <w:pPr>
        <w:spacing w:after="120" w:line="276"/>
        <w:jc w:val="both"/>
      </w:pPr>
      <w:r>
        <w:rPr>
          <w:rFonts w:ascii="Barlow Semi Condensed" w:cs="Barlow Semi Condensed" w:eastAsia="Barlow Semi Condensed" w:hAnsi="Barlow Semi Condensed"/>
          <w:sz w:val="24"/>
          <w:szCs w:val="24"/>
        </w:rPr>
        <w:t xml:space="preserve">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w:t>
      </w:r>
    </w:p>
    <w:p>
      <w:pPr>
        <w:spacing w:after="120" w:line="276"/>
        <w:jc w:val="both"/>
      </w:pPr>
      <w:r>
        <w:rPr>
          <w:rFonts w:ascii="Barlow Semi Condensed" w:cs="Barlow Semi Condensed" w:eastAsia="Barlow Semi Condensed" w:hAnsi="Barlow Semi Condensed"/>
          <w:sz w:val="24"/>
          <w:szCs w:val="24"/>
        </w:rPr>
        <w:t xml:space="preserve">dell'opera e le proposte editoriali descrivono il corpus come prodotto «sotto una</w:t>
      </w:r>
    </w:p>
    <w:p>
      <w:pPr>
        <w:spacing w:after="120" w:line="276"/>
        <w:jc w:val="both"/>
      </w:pPr>
      <w:r>
        <w:rPr>
          <w:rFonts w:ascii="Barlow Semi Condensed" w:cs="Barlow Semi Condensed" w:eastAsia="Barlow Semi Condensed" w:hAnsi="Barlow Semi Condensed"/>
          <w:sz w:val="24"/>
          <w:szCs w:val="24"/>
        </w:rPr>
        <w:t xml:space="preserve">disciplina metodologica scritta prima del lavoro». Il registro dice che è troppo</w:t>
      </w:r>
    </w:p>
    <w:p>
      <w:pPr>
        <w:spacing w:after="120" w:line="276"/>
        <w:jc w:val="both"/>
      </w:pPr>
      <w:r>
        <w:rPr>
          <w:rFonts w:ascii="Barlow Semi Condensed" w:cs="Barlow Semi Condensed" w:eastAsia="Barlow Semi Condensed" w:hAnsi="Barlow Semi Condensed"/>
          <w:sz w:val="24"/>
          <w:szCs w:val="24"/>
        </w:rPr>
        <w:t xml:space="preserve">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w:t>
      </w:r>
    </w:p>
    <w:p>
      <w:pPr>
        <w:spacing w:after="120" w:line="276"/>
        <w:jc w:val="both"/>
      </w:pPr>
      <w:r>
        <w:rPr>
          <w:rFonts w:ascii="Barlow Semi Condensed" w:cs="Barlow Semi Condensed" w:eastAsia="Barlow Semi Condensed" w:hAnsi="Barlow Semi Condensed"/>
          <w:sz w:val="24"/>
          <w:szCs w:val="24"/>
        </w:rPr>
        <w:t xml:space="preserve">che un lotto la incrinava. La formula esatta è **scritta prima di ogni lotto,</w:t>
      </w:r>
    </w:p>
    <w:p>
      <w:pPr>
        <w:spacing w:after="120" w:line="276"/>
        <w:jc w:val="both"/>
      </w:pPr>
      <w:r>
        <w:rPr>
          <w:rFonts w:ascii="Barlow Semi Condensed" w:cs="Barlow Semi Condensed" w:eastAsia="Barlow Semi Condensed" w:hAnsi="Barlow Semi Condensed"/>
          <w:sz w:val="24"/>
          <w:szCs w:val="24"/>
        </w:rPr>
        <w:t xml:space="preserve">mai prima di tutto**, e l'accrescimento è datato. Correggo qui, per nota, senza</w:t>
      </w:r>
    </w:p>
    <w:p>
      <w:pPr>
        <w:spacing w:after="120" w:line="276"/>
        <w:jc w:val="both"/>
      </w:pPr>
      <w:r>
        <w:rPr>
          <w:rFonts w:ascii="Barlow Semi Condensed" w:cs="Barlow Semi Condensed" w:eastAsia="Barlow Semi Condensed" w:hAnsi="Barlow Semi Condensed"/>
          <w:sz w:val="24"/>
          <w:szCs w:val="24"/>
        </w:rPr>
        <w:t xml:space="preserve">riscrivere in silenzio i documenti che lo dicevano male; e segnalo che questa è</w:t>
      </w:r>
    </w:p>
    <w:p>
      <w:pPr>
        <w:spacing w:after="120" w:line="276"/>
        <w:jc w:val="both"/>
      </w:pPr>
      <w:r>
        <w:rPr>
          <w:rFonts w:ascii="Barlow Semi Condensed" w:cs="Barlow Semi Condensed" w:eastAsia="Barlow Semi Condensed" w:hAnsi="Barlow Semi Condensed"/>
          <w:sz w:val="24"/>
          <w:szCs w:val="24"/>
        </w:rPr>
        <w:t xml:space="preserve">la prima cosa che un lettore attento troverebbe confrontando le mie affermazioni</w:t>
      </w:r>
    </w:p>
    <w:p>
      <w:pPr>
        <w:spacing w:after="120" w:line="276"/>
        <w:jc w:val="both"/>
      </w:pPr>
      <w:r>
        <w:rPr>
          <w:rFonts w:ascii="Barlow Semi Condensed" w:cs="Barlow Semi Condensed" w:eastAsia="Barlow Semi Condensed" w:hAnsi="Barlow Semi Condensed"/>
          <w:sz w:val="24"/>
          <w:szCs w:val="24"/>
        </w:rPr>
        <w:t xml:space="preserve">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w:t>
      </w:r>
    </w:p>
    <w:p>
      <w:pPr>
        <w:spacing w:after="120" w:line="276"/>
        <w:jc w:val="both"/>
      </w:pPr>
      <w:r>
        <w:rPr>
          <w:rFonts w:ascii="Barlow Semi Condensed" w:cs="Barlow Semi Condensed" w:eastAsia="Barlow Semi Condensed" w:hAnsi="Barlow Semi Condensed"/>
          <w:sz w:val="24"/>
          <w:szCs w:val="24"/>
        </w:rPr>
        <w:t xml:space="preserve">  un'acquisizione di pieno valore, non un fallimento da tacere. Ha un perimetro,</w:t>
      </w:r>
    </w:p>
    <w:p>
      <w:pPr>
        <w:spacing w:after="120" w:line="276"/>
        <w:jc w:val="both"/>
      </w:pPr>
      <w:r>
        <w:rPr>
          <w:rFonts w:ascii="Barlow Semi Condensed" w:cs="Barlow Semi Condensed" w:eastAsia="Barlow Semi Condensed" w:hAnsi="Barlow Semi Condensed"/>
          <w:sz w:val="24"/>
          <w:szCs w:val="24"/>
        </w:rPr>
        <w:t xml:space="preserve">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w:t>
      </w:r>
    </w:p>
    <w:p>
      <w:pPr>
        <w:spacing w:after="120" w:line="276"/>
        <w:jc w:val="both"/>
      </w:pPr>
      <w:r>
        <w:rPr>
          <w:rFonts w:ascii="Barlow Semi Condensed" w:cs="Barlow Semi Condensed" w:eastAsia="Barlow Semi Condensed" w:hAnsi="Barlow Semi Condensed"/>
          <w:sz w:val="24"/>
          <w:szCs w:val="24"/>
        </w:rPr>
        <w:t xml:space="preserve">  strutturale nella stessa cornice è piano 2; un'affermazione di terza mano senza</w:t>
      </w:r>
    </w:p>
    <w:p>
      <w:pPr>
        <w:spacing w:after="120" w:line="276"/>
        <w:jc w:val="both"/>
      </w:pPr>
      <w:r>
        <w:rPr>
          <w:rFonts w:ascii="Barlow Semi Condensed" w:cs="Barlow Semi Condensed" w:eastAsia="Barlow Semi Condensed" w:hAnsi="Barlow Semi Condensed"/>
          <w:sz w:val="24"/>
          <w:szCs w:val="24"/>
        </w:rPr>
        <w:t xml:space="preserve">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w:t>
      </w:r>
    </w:p>
    <w:p>
      <w:pPr>
        <w:spacing w:after="120" w:line="276"/>
        <w:jc w:val="both"/>
      </w:pPr>
      <w:r>
        <w:rPr>
          <w:rFonts w:ascii="Barlow Semi Condensed" w:cs="Barlow Semi Condensed" w:eastAsia="Barlow Semi Condensed" w:hAnsi="Barlow Semi Condensed"/>
          <w:sz w:val="24"/>
          <w:szCs w:val="24"/>
        </w:rPr>
        <w:t xml:space="preserve">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w:t>
      </w:r>
    </w:p>
    <w:p>
      <w:pPr>
        <w:spacing w:after="120" w:line="276"/>
        <w:jc w:val="both"/>
      </w:pPr>
      <w:r>
        <w:rPr>
          <w:rFonts w:ascii="Barlow Semi Condensed" w:cs="Barlow Semi Condensed" w:eastAsia="Barlow Semi Condensed" w:hAnsi="Barlow Semi Condensed"/>
          <w:sz w:val="24"/>
          <w:szCs w:val="24"/>
        </w:rPr>
        <w:t xml:space="preserve">  antenato comune. La prova è un documento di provenienza che nomini entrambe le</w:t>
      </w:r>
    </w:p>
    <w:p>
      <w:pPr>
        <w:spacing w:after="120" w:line="276"/>
        <w:jc w:val="both"/>
      </w:pPr>
      <w:r>
        <w:rPr>
          <w:rFonts w:ascii="Barlow Semi Condensed" w:cs="Barlow Semi Condensed" w:eastAsia="Barlow Semi Condensed" w:hAnsi="Barlow Semi Condensed"/>
          <w:sz w:val="24"/>
          <w:szCs w:val="24"/>
        </w:rPr>
        <w:t xml:space="preserv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w:t>
      </w:r>
    </w:p>
    <w:p>
      <w:pPr>
        <w:spacing w:after="120" w:line="276"/>
        <w:jc w:val="both"/>
      </w:pPr>
      <w:r>
        <w:rPr>
          <w:rFonts w:ascii="Barlow Semi Condensed" w:cs="Barlow Semi Condensed" w:eastAsia="Barlow Semi Condensed" w:hAnsi="Barlow Semi Condensed"/>
          <w:sz w:val="24"/>
          <w:szCs w:val="24"/>
        </w:rPr>
        <w:t xml:space="preserve">  che parlava d'altro hanno lo stesso aspetto e valore opposto. Il primo è uno</w:t>
      </w:r>
    </w:p>
    <w:p>
      <w:pPr>
        <w:spacing w:after="120" w:line="276"/>
        <w:jc w:val="both"/>
      </w:pPr>
      <w:r>
        <w:rPr>
          <w:rFonts w:ascii="Barlow Semi Condensed" w:cs="Barlow Semi Condensed" w:eastAsia="Barlow Semi Condensed" w:hAnsi="Barlow Semi Condensed"/>
          <w:sz w:val="24"/>
          <w:szCs w:val="24"/>
        </w:rPr>
        <w:t xml:space="preserve">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w:t>
      </w:r>
    </w:p>
    <w:p>
      <w:pPr>
        <w:spacing w:after="120" w:line="276"/>
        <w:jc w:val="both"/>
      </w:pPr>
      <w:r>
        <w:rPr>
          <w:rFonts w:ascii="Barlow Semi Condensed" w:cs="Barlow Semi Condensed" w:eastAsia="Barlow Semi Condensed" w:hAnsi="Barlow Semi Condensed"/>
          <w:sz w:val="24"/>
          <w:szCs w:val="24"/>
        </w:rPr>
        <w:t xml:space="preserve">  aspetta di trovarvi. Un esito negativo previsto e uno inatteso sono identici</w:t>
      </w:r>
    </w:p>
    <w:p>
      <w:pPr>
        <w:spacing w:after="120" w:line="276"/>
        <w:jc w:val="both"/>
      </w:pPr>
      <w:r>
        <w:rPr>
          <w:rFonts w:ascii="Barlow Semi Condensed" w:cs="Barlow Semi Condensed" w:eastAsia="Barlow Semi Condensed" w:hAnsi="Barlow Semi Condensed"/>
          <w:sz w:val="24"/>
          <w:szCs w:val="24"/>
        </w:rPr>
        <w:t xml:space="preserve">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w:t>
      </w:r>
    </w:p>
    <w:p>
      <w:pPr>
        <w:spacing w:after="120" w:line="276"/>
        <w:jc w:val="both"/>
      </w:pPr>
      <w:r>
        <w:rPr>
          <w:rFonts w:ascii="Barlow Semi Condensed" w:cs="Barlow Semi Condensed" w:eastAsia="Barlow Semi Condensed" w:hAnsi="Barlow Semi Condensed"/>
          <w:sz w:val="24"/>
          <w:szCs w:val="24"/>
        </w:rPr>
        <w:t xml:space="preserv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w:t>
      </w:r>
    </w:p>
    <w:p>
      <w:pPr>
        <w:spacing w:after="120" w:line="276"/>
        <w:jc w:val="both"/>
      </w:pPr>
      <w:r>
        <w:rPr>
          <w:rFonts w:ascii="Barlow Semi Condensed" w:cs="Barlow Semi Condensed" w:eastAsia="Barlow Semi Condensed" w:hAnsi="Barlow Semi Condensed"/>
          <w:sz w:val="24"/>
          <w:szCs w:val="24"/>
        </w:rPr>
        <w:t xml:space="preserve">giornate del 7, 8 e 11 — la stessa cartella conteneva un lavoro di tutt'altra</w:t>
      </w:r>
    </w:p>
    <w:p>
      <w:pPr>
        <w:spacing w:after="120" w:line="276"/>
        <w:jc w:val="both"/>
      </w:pPr>
      <w:r>
        <w:rPr>
          <w:rFonts w:ascii="Barlow Semi Condensed" w:cs="Barlow Semi Condensed" w:eastAsia="Barlow Semi Condensed" w:hAnsi="Barlow Semi Condensed"/>
          <w:sz w:val="24"/>
          <w:szCs w:val="24"/>
        </w:rPr>
        <w:t xml:space="preserve">materia: la ristrutturazione di uno studio di politica sanitaria, con apparato</w:t>
      </w:r>
    </w:p>
    <w:p>
      <w:pPr>
        <w:spacing w:after="120" w:line="276"/>
        <w:jc w:val="both"/>
      </w:pPr>
      <w:r>
        <w:rPr>
          <w:rFonts w:ascii="Barlow Semi Condensed" w:cs="Barlow Semi Condensed" w:eastAsia="Barlow Semi Condensed" w:hAnsi="Barlow Semi Condensed"/>
          <w:sz w:val="24"/>
          <w:szCs w:val="24"/>
        </w:rPr>
        <w:t xml:space="preserve">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*«Questo file registra difetti o incoerenze rilevate</w:t>
      </w:r>
    </w:p>
    <w:p>
      <w:pPr>
        <w:spacing w:after="120" w:line="276"/>
        <w:jc w:val="both"/>
      </w:pPr>
      <w:r>
        <w:rPr>
          <w:rFonts w:ascii="Barlow Semi Condensed" w:cs="Barlow Semi Condensed" w:eastAsia="Barlow Semi Condensed" w:hAnsi="Barlow Semi Condensed"/>
          <w:sz w:val="24"/>
          <w:szCs w:val="24"/>
        </w:rPr>
        <w:t xml:space="preserve">nel corpo integrale, senza deciderne il trattamento. Nessuna correzione viene</w:t>
      </w:r>
    </w:p>
    <w:p>
      <w:pPr>
        <w:spacing w:after="120" w:line="276"/>
        <w:jc w:val="both"/>
      </w:pPr>
      <w:r>
        <w:rPr>
          <w:rFonts w:ascii="Barlow Semi Condensed" w:cs="Barlow Semi Condensed" w:eastAsia="Barlow Semi Condensed" w:hAnsi="Barlow Semi Condensed"/>
          <w:sz w:val="24"/>
          <w:szCs w:val="24"/>
        </w:rPr>
        <w:t xml:space="preserve">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**correzione per nota, mai</w:t>
      </w:r>
    </w:p>
    <w:p>
      <w:pPr>
        <w:spacing w:after="120" w:line="276"/>
        <w:jc w:val="both"/>
      </w:pPr>
      <w:r>
        <w:rPr>
          <w:rFonts w:ascii="Barlow Semi Condensed" w:cs="Barlow Semi Condensed" w:eastAsia="Barlow Semi Condensed" w:hAnsi="Barlow Semi Condensed"/>
          <w:sz w:val="24"/>
          <w:szCs w:val="24"/>
        </w:rPr>
        <w:t xml:space="preserve">riscrittura silenziosa**.</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**Non lo</w:t>
      </w:r>
    </w:p>
    <w:p>
      <w:pPr>
        <w:spacing w:after="120" w:line="276"/>
        <w:jc w:val="both"/>
      </w:pPr>
      <w:r>
        <w:rPr>
          <w:rFonts w:ascii="Barlow Semi Condensed" w:cs="Barlow Semi Condensed" w:eastAsia="Barlow Semi Condensed" w:hAnsi="Barlow Semi Condensed"/>
          <w:sz w:val="24"/>
          <w:szCs w:val="24"/>
        </w:rPr>
        <w:t xml:space="preserve">scrivo, e la ragione è la regola numero tre.** Ho verificato: nessuno degli otto</w:t>
      </w:r>
    </w:p>
    <w:p>
      <w:pPr>
        <w:spacing w:after="120" w:line="276"/>
        <w:jc w:val="both"/>
      </w:pPr>
      <w:r>
        <w:rPr>
          <w:rFonts w:ascii="Barlow Semi Condensed" w:cs="Barlow Semi Condensed" w:eastAsia="Barlow Semi Condensed" w:hAnsi="Barlow Semi Condensed"/>
          <w:sz w:val="24"/>
          <w:szCs w:val="24"/>
        </w:rPr>
        <w:t xml:space="preserve">termini caratteristici del corpus — Stato Zero, i gradi, i tre piani, la</w:t>
      </w:r>
    </w:p>
    <w:p>
      <w:pPr>
        <w:spacing w:after="120" w:line="276"/>
        <w:jc w:val="both"/>
      </w:pPr>
      <w:r>
        <w:rPr>
          <w:rFonts w:ascii="Barlow Semi Condensed" w:cs="Barlow Semi Condensed" w:eastAsia="Barlow Semi Condensed" w:hAnsi="Barlow Semi Condensed"/>
          <w:sz w:val="24"/>
          <w:szCs w:val="24"/>
        </w:rPr>
        <w:t xml:space="preserve">triangolazione, il verbale di vuoto, la correzione per nota — compare in un solo</w:t>
      </w:r>
    </w:p>
    <w:p>
      <w:pPr>
        <w:spacing w:after="120" w:line="276"/>
        <w:jc w:val="both"/>
      </w:pPr>
      <w:r>
        <w:rPr>
          <w:rFonts w:ascii="Barlow Semi Condensed" w:cs="Barlow Semi Condensed" w:eastAsia="Barlow Semi Condensed" w:hAnsi="Barlow Semi Condensed"/>
          <w:sz w:val="24"/>
          <w:szCs w:val="24"/>
        </w:rPr>
        <w:t xml:space="preserve">file del lavoro di luglio. Il vocabolario non è ereditato: è stato creato in</w:t>
      </w:r>
    </w:p>
    <w:p>
      <w:pPr>
        <w:spacing w:after="120" w:line="276"/>
        <w:jc w:val="both"/>
      </w:pPr>
      <w:r>
        <w:rPr>
          <w:rFonts w:ascii="Barlow Semi Condensed" w:cs="Barlow Semi Condensed" w:eastAsia="Barlow Semi Condensed" w:hAnsi="Barlow Semi Condensed"/>
          <w:sz w:val="24"/>
          <w:szCs w:val="24"/>
        </w:rPr>
        <w:t xml:space="preserve">agosto.</w:t>
      </w:r>
    </w:p>
    <w:p>
      <w:pPr>
        <w:spacing w:after="120" w:line="276"/>
        <w:jc w:val="both"/>
      </w:pPr>
      <w:r>
        <w:rPr>
          <w:rFonts w:ascii="Barlow Semi Condensed" w:cs="Barlow Semi Condensed" w:eastAsia="Barlow Semi Condensed" w:hAnsi="Barlow Semi Condensed"/>
          <w:sz w:val="24"/>
          <w:szCs w:val="24"/>
        </w:rPr>
        <w:t xml:space="preserve">Restano dunque due fatti: **stesso autore, stessa cartella, sei settimane di</w:t>
      </w:r>
    </w:p>
    <w:p>
      <w:pPr>
        <w:spacing w:after="120" w:line="276"/>
        <w:jc w:val="both"/>
      </w:pPr>
      <w:r>
        <w:rPr>
          <w:rFonts w:ascii="Barlow Semi Condensed" w:cs="Barlow Semi Condensed" w:eastAsia="Barlow Semi Condensed" w:hAnsi="Barlow Semi Condensed"/>
          <w:sz w:val="24"/>
          <w:szCs w:val="24"/>
        </w:rPr>
        <w:t xml:space="preserve">distanza, stesso comportamento, nomi diversi**. È esattamente la configurazione</w:t>
      </w:r>
    </w:p>
    <w:p>
      <w:pPr>
        <w:spacing w:after="120" w:line="276"/>
        <w:jc w:val="both"/>
      </w:pPr>
      <w:r>
        <w:rPr>
          <w:rFonts w:ascii="Barlow Semi Condensed" w:cs="Barlow Semi Condensed" w:eastAsia="Barlow Semi Condensed" w:hAnsi="Barlow Semi Condensed"/>
          <w:sz w:val="24"/>
          <w:szCs w:val="24"/>
        </w:rPr>
        <w:t xml:space="preserve">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w:t>
      </w:r>
    </w:p>
    <w:p>
      <w:pPr>
        <w:spacing w:after="120" w:line="276"/>
        <w:jc w:val="both"/>
      </w:pPr>
      <w:r>
        <w:rPr>
          <w:rFonts w:ascii="Barlow Semi Condensed" w:cs="Barlow Semi Condensed" w:eastAsia="Barlow Semi Condensed" w:hAnsi="Barlow Semi Condensed"/>
          <w:sz w:val="24"/>
          <w:szCs w:val="24"/>
        </w:rPr>
        <w:t xml:space="preserve">che vi resta finché non compaia un documento in cui l'uno rimandi all'altro. Non</w:t>
      </w:r>
    </w:p>
    <w:p>
      <w:pPr>
        <w:spacing w:after="120" w:line="276"/>
        <w:jc w:val="both"/>
      </w:pPr>
      <w:r>
        <w:rPr>
          <w:rFonts w:ascii="Barlow Semi Condensed" w:cs="Barlow Semi Condensed" w:eastAsia="Barlow Semi Condensed" w:hAnsi="Barlow Semi Condensed"/>
          <w:sz w:val="24"/>
          <w:szCs w:val="24"/>
        </w:rPr>
        <w:t xml:space="preserve">c'è. Lo registro come convergenza e non come filiazione, e applico a me stesso il</w:t>
      </w:r>
    </w:p>
    <w:p>
      <w:pPr>
        <w:spacing w:after="120" w:line="276"/>
        <w:jc w:val="both"/>
      </w:pPr>
      <w:r>
        <w:rPr>
          <w:rFonts w:ascii="Barlow Semi Condensed" w:cs="Barlow Semi Condensed" w:eastAsia="Barlow Semi Condensed" w:hAnsi="Barlow Semi Condensed"/>
          <w:sz w:val="24"/>
          <w:szCs w:val="24"/>
        </w:rPr>
        <w:t xml:space="preserve">criterio che applico a chiunque altro. Se un giorno quel documento comparisse,</w:t>
      </w:r>
    </w:p>
    <w:p>
      <w:pPr>
        <w:spacing w:after="120" w:line="276"/>
        <w:jc w:val="both"/>
      </w:pPr>
      <w:r>
        <w:rPr>
          <w:rFonts w:ascii="Barlow Semi Condensed" w:cs="Barlow Semi Condensed" w:eastAsia="Barlow Semi Condensed" w:hAnsi="Barlow Semi Condensed"/>
          <w:sz w:val="24"/>
          <w:szCs w:val="24"/>
        </w:rPr>
        <w:t xml:space="preserve">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w:t>
      </w:r>
    </w:p>
    <w:p>
      <w:pPr>
        <w:spacing w:after="120" w:line="276"/>
        <w:jc w:val="both"/>
      </w:pPr>
      <w:r>
        <w:rPr>
          <w:rFonts w:ascii="Barlow Semi Condensed" w:cs="Barlow Semi Condensed" w:eastAsia="Barlow Semi Condensed" w:hAnsi="Barlow Semi Condensed"/>
          <w:sz w:val="24"/>
          <w:szCs w:val="24"/>
        </w:rPr>
        <w:t xml:space="preserve">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w:t>
      </w:r>
    </w:p>
    <w:p>
      <w:pPr>
        <w:spacing w:after="120" w:line="276"/>
        <w:jc w:val="both"/>
      </w:pPr>
      <w:r>
        <w:rPr>
          <w:rFonts w:ascii="Barlow Semi Condensed" w:cs="Barlow Semi Condensed" w:eastAsia="Barlow Semi Condensed" w:hAnsi="Barlow Semi Condensed"/>
          <w:sz w:val="24"/>
          <w:szCs w:val="24"/>
        </w:rPr>
        <w:t xml:space="preserve">registri giudiziari, studi su Feltrinelli, sul nodo Hyperion, sul ceppo Simioni,</w:t>
      </w:r>
    </w:p>
    <w:p>
      <w:pPr>
        <w:spacing w:after="120" w:line="276"/>
        <w:jc w:val="both"/>
      </w:pPr>
      <w:r>
        <w:rPr>
          <w:rFonts w:ascii="Barlow Semi Condensed" w:cs="Barlow Semi Condensed" w:eastAsia="Barlow Semi Condensed" w:hAnsi="Barlow Semi Condensed"/>
          <w:sz w:val="24"/>
          <w:szCs w:val="24"/>
        </w:rPr>
        <w:t xml:space="preserve">sul Tribunale Speciale, sulla dimensione diplomatica di Moro ministro degli</w:t>
      </w:r>
    </w:p>
    <w:p>
      <w:pPr>
        <w:spacing w:after="120" w:line="276"/>
        <w:jc w:val="both"/>
      </w:pPr>
      <w:r>
        <w:rPr>
          <w:rFonts w:ascii="Barlow Semi Condensed" w:cs="Barlow Semi Condensed" w:eastAsia="Barlow Semi Condensed" w:hAnsi="Barlow Semi Condensed"/>
          <w:sz w:val="24"/>
          <w:szCs w:val="24"/>
        </w:rPr>
        <w:t xml:space="preserve">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un'affermazione, ma un bersaglio di ricerca — un quesito formulato in modo che</w:t>
      </w:r>
    </w:p>
    <w:p>
      <w:pPr>
        <w:spacing w:after="120" w:line="276"/>
        <w:jc w:val="both"/>
      </w:pPr>
      <w:r>
        <w:rPr>
          <w:rFonts w:ascii="Barlow Semi Condensed" w:cs="Barlow Semi Condensed" w:eastAsia="Barlow Semi Condensed" w:hAnsi="Barlow Semi Condensed"/>
          <w:sz w:val="24"/>
          <w:szCs w:val="24"/>
        </w:rPr>
        <w:t xml:space="preserve">qualcuno possa portarlo in archivio, con il grado di ciò che già si sa e la sede</w:t>
      </w:r>
    </w:p>
    <w:p>
      <w:pPr>
        <w:spacing w:after="120" w:line="276"/>
        <w:jc w:val="both"/>
      </w:pPr>
      <w:r>
        <w:rPr>
          <w:rFonts w:ascii="Barlow Semi Condensed" w:cs="Barlow Semi Condensed" w:eastAsia="Barlow Semi Condensed" w:hAnsi="Barlow Semi Condensed"/>
          <w:sz w:val="24"/>
          <w:szCs w:val="24"/>
        </w:rPr>
        <w:t xml:space="preserve">in cui si cercherebbe. Il primo lotto è di trecento blocchi; oggi sono</w:t>
      </w:r>
    </w:p>
    <w:p>
      <w:pPr>
        <w:spacing w:after="120" w:line="276"/>
        <w:jc w:val="both"/>
      </w:pP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w:t>
      </w:r>
    </w:p>
    <w:p>
      <w:pPr>
        <w:spacing w:after="120" w:line="276"/>
        <w:jc w:val="both"/>
      </w:pPr>
      <w:r>
        <w:rPr>
          <w:rFonts w:ascii="Barlow Semi Condensed" w:cs="Barlow Semi Condensed" w:eastAsia="Barlow Semi Condensed" w:hAnsi="Barlow Semi Condensed"/>
          <w:sz w:val="24"/>
          <w:szCs w:val="24"/>
        </w:rPr>
        <w:t xml:space="preserve">racconto in più su questa materia non serve a nessuno, e ce ne sono troppi. Un</w:t>
      </w:r>
    </w:p>
    <w:p>
      <w:pPr>
        <w:spacing w:after="120" w:line="276"/>
        <w:jc w:val="both"/>
      </w:pPr>
      <w:r>
        <w:rPr>
          <w:rFonts w:ascii="Barlow Semi Condensed" w:cs="Barlow Semi Condensed" w:eastAsia="Barlow Semi Condensed" w:hAnsi="Barlow Semi Condensed"/>
          <w:sz w:val="24"/>
          <w:szCs w:val="24"/>
        </w:rPr>
        <w:t xml:space="preserve">elenco di domande eseguibili, ciascuna con la porta a cui bussare, è un altro</w:t>
      </w:r>
    </w:p>
    <w:p>
      <w:pPr>
        <w:spacing w:after="120" w:line="276"/>
        <w:jc w:val="both"/>
      </w:pPr>
      <w:r>
        <w:rPr>
          <w:rFonts w:ascii="Barlow Semi Condensed" w:cs="Barlow Semi Condensed" w:eastAsia="Barlow Semi Condensed" w:hAnsi="Barlow Semi Condensed"/>
          <w:sz w:val="24"/>
          <w:szCs w:val="24"/>
        </w:rPr>
        <w:t xml:space="preserve">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rilegate in un volume integrale,</w:t>
      </w:r>
    </w:p>
    <w:p>
      <w:pPr>
        <w:spacing w:after="120" w:line="276"/>
        <w:jc w:val="both"/>
      </w:pPr>
      <w:r>
        <w:rPr>
          <w:rFonts w:ascii="Barlow Semi Condensed" w:cs="Barlow Semi Condensed" w:eastAsia="Barlow Semi Condensed" w:hAnsi="Barlow Semi Condensed"/>
          <w:sz w:val="24"/>
          <w:szCs w:val="24"/>
        </w:rPr>
        <w:t xml:space="preserve">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w:t>
      </w:r>
    </w:p>
    <w:p>
      <w:pPr>
        <w:spacing w:after="120" w:line="276"/>
        <w:jc w:val="both"/>
      </w:pPr>
      <w:r>
        <w:rPr>
          <w:rFonts w:ascii="Barlow Semi Condensed" w:cs="Barlow Semi Condensed" w:eastAsia="Barlow Semi Condensed" w:hAnsi="Barlow Semi Condensed"/>
          <w:sz w:val="24"/>
          <w:szCs w:val="24"/>
        </w:rPr>
        <w:t xml:space="preserve">citazioni su 344 domini. Il dominio più citato — sessantadue volte — è</w:t>
      </w:r>
    </w:p>
    <w:p>
      <w:pPr>
        <w:spacing w:after="120" w:line="276"/>
        <w:jc w:val="both"/>
      </w:pP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w:t>
      </w:r>
    </w:p>
    <w:p>
      <w:pPr>
        <w:spacing w:after="120" w:line="276"/>
        <w:jc w:val="both"/>
      </w:pPr>
      <w:r>
        <w:rPr>
          <w:rFonts w:ascii="Barlow Semi Condensed" w:cs="Barlow Semi Condensed" w:eastAsia="Barlow Semi Condensed" w:hAnsi="Barlow Semi Condensed"/>
          <w:sz w:val="24"/>
          <w:szCs w:val="24"/>
        </w:rPr>
        <w:t xml:space="preserve">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w:t>
      </w:r>
    </w:p>
    <w:p>
      <w:pPr>
        <w:spacing w:after="120" w:line="276"/>
        <w:jc w:val="both"/>
      </w:pPr>
      <w:r>
        <w:rPr>
          <w:rFonts w:ascii="Barlow Semi Condensed" w:cs="Barlow Semi Condensed" w:eastAsia="Barlow Semi Condensed" w:hAnsi="Barlow Semi Condensed"/>
          <w:sz w:val="24"/>
          <w:szCs w:val="24"/>
        </w:rPr>
        <w:t xml:space="preserve">dichiara dove ha sbagliato lo è. Elenco gli errori trovati e corretti, perché è</w:t>
      </w:r>
    </w:p>
    <w:p>
      <w:pPr>
        <w:spacing w:after="120" w:line="276"/>
        <w:jc w:val="both"/>
      </w:pPr>
      <w:r>
        <w:rPr>
          <w:rFonts w:ascii="Barlow Semi Condensed" w:cs="Barlow Semi Condensed" w:eastAsia="Barlow Semi Condensed" w:hAnsi="Barlow Semi Condensed"/>
          <w:sz w:val="24"/>
          <w:szCs w:val="24"/>
        </w:rPr>
        <w:t xml:space="preserve">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w:t>
      </w:r>
    </w:p>
    <w:p>
      <w:pPr>
        <w:spacing w:after="120" w:line="276"/>
        <w:jc w:val="both"/>
      </w:pPr>
      <w:r>
        <w:rPr>
          <w:rFonts w:ascii="Barlow Semi Condensed" w:cs="Barlow Semi Condensed" w:eastAsia="Barlow Semi Condensed" w:hAnsi="Barlow Semi Condensed"/>
          <w:sz w:val="24"/>
          <w:szCs w:val="24"/>
        </w:rPr>
        <w:t xml:space="preserve">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w:t>
      </w:r>
    </w:p>
    <w:p>
      <w:pPr>
        <w:spacing w:after="120" w:line="276"/>
        <w:jc w:val="both"/>
      </w:pPr>
      <w:r>
        <w:rPr>
          <w:rFonts w:ascii="Barlow Semi Condensed" w:cs="Barlow Semi Condensed" w:eastAsia="Barlow Semi Condensed" w:hAnsi="Barlow Semi Condensed"/>
          <w:sz w:val="24"/>
          <w:szCs w:val="24"/>
        </w:rPr>
        <w:t xml:space="preserve">  1938 la trasformazione di un nome che il fascicolo d'immigrazione colloca al</w:t>
      </w:r>
    </w:p>
    <w:p>
      <w:pPr>
        <w:spacing w:after="120" w:line="276"/>
        <w:jc w:val="both"/>
      </w:pPr>
      <w:r>
        <w:rPr>
          <w:rFonts w:ascii="Barlow Semi Condensed" w:cs="Barlow Semi Condensed" w:eastAsia="Barlow Semi Condensed" w:hAnsi="Barlow Semi Condensed"/>
          <w:sz w:val="24"/>
          <w:szCs w:val="24"/>
        </w:rPr>
        <w:t xml:space="preserve">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w:t>
      </w:r>
    </w:p>
    <w:p>
      <w:pPr>
        <w:spacing w:after="120" w:line="276"/>
        <w:jc w:val="both"/>
      </w:pPr>
      <w:r>
        <w:rPr>
          <w:rFonts w:ascii="Barlow Semi Condensed" w:cs="Barlow Semi Condensed" w:eastAsia="Barlow Semi Condensed" w:hAnsi="Barlow Semi Condensed"/>
          <w:sz w:val="24"/>
          <w:szCs w:val="24"/>
        </w:rPr>
        <w:t xml:space="preserve">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cioè in italiano approssimato. Riparata con una procedura che garantiva</w:t>
      </w:r>
    </w:p>
    <w:p>
      <w:pPr>
        <w:spacing w:after="120" w:line="276"/>
        <w:jc w:val="both"/>
      </w:pPr>
      <w:r>
        <w:rPr>
          <w:rFonts w:ascii="Barlow Semi Condensed" w:cs="Barlow Semi Condensed" w:eastAsia="Barlow Semi Condensed" w:hAnsi="Barlow Semi Condensed"/>
          <w:sz w:val="24"/>
          <w:szCs w:val="24"/>
        </w:rPr>
        <w:t xml:space="preserve">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w:t>
      </w:r>
    </w:p>
    <w:p>
      <w:pPr>
        <w:spacing w:after="120" w:line="276"/>
        <w:jc w:val="both"/>
      </w:pPr>
      <w:r>
        <w:rPr>
          <w:rFonts w:ascii="Barlow Semi Condensed" w:cs="Barlow Semi Condensed" w:eastAsia="Barlow Semi Condensed" w:hAnsi="Barlow Semi Condensed"/>
          <w:sz w:val="24"/>
          <w:szCs w:val="24"/>
        </w:rPr>
        <w:t xml:space="preserve">  volte in un'altra, e in entrambi i volumi rilegati che lo contengono. Stessa</w:t>
      </w:r>
    </w:p>
    <w:p>
      <w:pPr>
        <w:spacing w:after="120" w:line="276"/>
        <w:jc w:val="both"/>
      </w:pPr>
      <w:r>
        <w:rPr>
          <w:rFonts w:ascii="Barlow Semi Condensed" w:cs="Barlow Semi Condensed" w:eastAsia="Barlow Semi Condensed" w:hAnsi="Barlow Semi Condensed"/>
          <w:sz w:val="24"/>
          <w:szCs w:val="24"/>
        </w:rPr>
        <w:t xml:space="preserve">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w:t>
      </w:r>
    </w:p>
    <w:p>
      <w:pPr>
        <w:spacing w:after="120" w:line="276"/>
        <w:jc w:val="both"/>
      </w:pPr>
      <w:r>
        <w:rPr>
          <w:rFonts w:ascii="Barlow Semi Condensed" w:cs="Barlow Semi Condensed" w:eastAsia="Barlow Semi Condensed" w:hAnsi="Barlow Semi Condensed"/>
          <w:sz w:val="24"/>
          <w:szCs w:val="24"/>
        </w:rPr>
        <w:t xml:space="preserve">  misurato contando righe in un registro di lavorazione che un rilancio</w:t>
      </w:r>
    </w:p>
    <w:p>
      <w:pPr>
        <w:spacing w:after="120" w:line="276"/>
        <w:jc w:val="both"/>
      </w:pPr>
      <w:r>
        <w:rPr>
          <w:rFonts w:ascii="Barlow Semi Condensed" w:cs="Barlow Semi Condensed" w:eastAsia="Barlow Semi Condensed" w:hAnsi="Barlow Semi Condensed"/>
          <w:sz w:val="24"/>
          <w:szCs w:val="24"/>
        </w:rPr>
        <w:t xml:space="preserve">  riscrive. Una campagna mostrava tredici righe e dodici serie. L'opera sarebbe</w:t>
      </w:r>
    </w:p>
    <w:p>
      <w:pPr>
        <w:spacing w:after="120" w:line="276"/>
        <w:jc w:val="both"/>
      </w:pPr>
      <w:r>
        <w:rPr>
          <w:rFonts w:ascii="Barlow Semi Condensed" w:cs="Barlow Semi Condensed" w:eastAsia="Barlow Semi Condensed" w:hAnsi="Barlow Semi Condensed"/>
          <w:sz w:val="24"/>
          <w:szCs w:val="24"/>
        </w:rPr>
        <w:t xml:space="preserv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w:t>
      </w:r>
    </w:p>
    <w:p>
      <w:pPr>
        <w:spacing w:after="120" w:line="276"/>
        <w:jc w:val="both"/>
      </w:pPr>
      <w:r>
        <w:rPr>
          <w:rFonts w:ascii="Barlow Semi Condensed" w:cs="Barlow Semi Condensed" w:eastAsia="Barlow Semi Condensed" w:hAnsi="Barlow Semi Condensed"/>
          <w:sz w:val="24"/>
          <w:szCs w:val="24"/>
        </w:rPr>
        <w:t xml:space="preserve">  in copertina. Trovato per caso, confrontando due misure che dovevano coincidere</w:t>
      </w:r>
    </w:p>
    <w:p>
      <w:pPr>
        <w:spacing w:after="120" w:line="276"/>
        <w:jc w:val="both"/>
      </w:pPr>
      <w:r>
        <w:rPr>
          <w:rFonts w:ascii="Barlow Semi Condensed" w:cs="Barlow Semi Condensed" w:eastAsia="Barlow Semi Condensed" w:hAnsi="Barlow Semi Condensed"/>
          <w:sz w:val="24"/>
          <w:szCs w:val="24"/>
        </w:rPr>
        <w:t xml:space="preserv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w:t>
      </w:r>
    </w:p>
    <w:p>
      <w:pPr>
        <w:spacing w:after="120" w:line="276"/>
        <w:jc w:val="both"/>
      </w:pPr>
      <w:r>
        <w:rPr>
          <w:rFonts w:ascii="Barlow Semi Condensed" w:cs="Barlow Semi Condensed" w:eastAsia="Barlow Semi Condensed" w:hAnsi="Barlow Semi Condensed"/>
          <w:sz w:val="24"/>
          <w:szCs w:val="24"/>
        </w:rPr>
        <w:t xml:space="preserve">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w:t>
      </w:r>
    </w:p>
    <w:p>
      <w:pPr>
        <w:spacing w:after="120" w:line="276"/>
        <w:jc w:val="both"/>
      </w:pPr>
      <w:r>
        <w:rPr>
          <w:rFonts w:ascii="Barlow Semi Condensed" w:cs="Barlow Semi Condensed" w:eastAsia="Barlow Semi Condensed" w:hAnsi="Barlow Semi Condensed"/>
          <w:sz w:val="24"/>
          <w:szCs w:val="24"/>
        </w:rPr>
        <w:t xml:space="preserve">citarle, perché per vietare una formula bisogna scriverla. Il rilevatore delle</w:t>
      </w:r>
    </w:p>
    <w:p>
      <w:pPr>
        <w:spacing w:after="120" w:line="276"/>
        <w:jc w:val="both"/>
      </w:pPr>
      <w:r>
        <w:rPr>
          <w:rFonts w:ascii="Barlow Semi Condensed" w:cs="Barlow Semi Condensed" w:eastAsia="Barlow Semi Condensed" w:hAnsi="Barlow Semi Condensed"/>
          <w:sz w:val="24"/>
          <w:szCs w:val="24"/>
        </w:rPr>
        <w:t xml:space="preserve">attribuzioni penali leggeva «nessuno è colpevole» come un'accusa. Il profilo</w:t>
      </w:r>
    </w:p>
    <w:p>
      <w:pPr>
        <w:spacing w:after="120" w:line="276"/>
        <w:jc w:val="both"/>
      </w:pPr>
      <w:r>
        <w:rPr>
          <w:rFonts w:ascii="Barlow Semi Condensed" w:cs="Barlow Semi Condensed" w:eastAsia="Barlow Semi Condensed" w:hAnsi="Barlow Semi Condensed"/>
          <w:sz w:val="24"/>
          <w:szCs w:val="24"/>
        </w:rPr>
        <w:t xml:space="preserve">delle fonti contava la sigla della CIA dentro le parole «traccia», «denuncia» ed</w:t>
      </w:r>
    </w:p>
    <w:p>
      <w:pPr>
        <w:spacing w:after="120" w:line="276"/>
        <w:jc w:val="both"/>
      </w:pPr>
      <w:r>
        <w:rPr>
          <w:rFonts w:ascii="Barlow Semi Condensed" w:cs="Barlow Semi Condensed" w:eastAsia="Barlow Semi Condensed" w:hAnsi="Barlow Semi Condensed"/>
          <w:sz w:val="24"/>
          <w:szCs w:val="24"/>
        </w:rPr>
        <w:t xml:space="preserve">«efficacia», e quella della NATO dentro «nato a Fürth»: quaranta menzioni</w:t>
      </w:r>
    </w:p>
    <w:p>
      <w:pPr>
        <w:spacing w:after="120" w:line="276"/>
        <w:jc w:val="both"/>
      </w:pPr>
      <w:r>
        <w:rPr>
          <w:rFonts w:ascii="Barlow Semi Condensed" w:cs="Barlow Semi Condensed" w:eastAsia="Barlow Semi Condensed" w:hAnsi="Barlow Semi Condensed"/>
          <w:sz w:val="24"/>
          <w:szCs w:val="24"/>
        </w:rPr>
        <w:t xml:space="preserve">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w:t>
      </w:r>
    </w:p>
    <w:p>
      <w:pPr>
        <w:spacing w:after="120" w:line="276"/>
        <w:jc w:val="both"/>
      </w:pPr>
      <w:r>
        <w:rPr>
          <w:rFonts w:ascii="Barlow Semi Condensed" w:cs="Barlow Semi Condensed" w:eastAsia="Barlow Semi Condensed" w:hAnsi="Barlow Semi Condensed"/>
          <w:sz w:val="24"/>
          <w:szCs w:val="24"/>
        </w:rPr>
        <w:t xml:space="preserve">correzione al contenuto è mai discesa da un controllo automatico: le due</w:t>
      </w:r>
    </w:p>
    <w:p>
      <w:pPr>
        <w:spacing w:after="120" w:line="276"/>
        <w:jc w:val="both"/>
      </w:pPr>
      <w:r>
        <w:rPr>
          <w:rFonts w:ascii="Barlow Semi Condensed" w:cs="Barlow Semi Condensed" w:eastAsia="Barlow Semi Condensed" w:hAnsi="Barlow Semi Condensed"/>
          <w:sz w:val="24"/>
          <w:szCs w:val="24"/>
        </w:rPr>
        <w:t xml:space="preserve">correzioni di merito sono venute da fonti esterne, e la terza, l'ortografia, da</w:t>
      </w:r>
    </w:p>
    <w:p>
      <w:pPr>
        <w:spacing w:after="120" w:line="276"/>
        <w:jc w:val="both"/>
      </w:pPr>
      <w:r>
        <w:rPr>
          <w:rFonts w:ascii="Barlow Semi Condensed" w:cs="Barlow Semi Condensed" w:eastAsia="Barlow Semi Condensed" w:hAnsi="Barlow Semi Condensed"/>
          <w:sz w:val="24"/>
          <w:szCs w:val="24"/>
        </w:rPr>
        <w:t xml:space="preserve">una lettura. **Ne ricavo la regola che offro a chiunque riprenda questo metodo:</w:t>
      </w:r>
    </w:p>
    <w:p>
      <w:pPr>
        <w:spacing w:after="120" w:line="276"/>
        <w:jc w:val="both"/>
      </w:pPr>
      <w:r>
        <w:rPr>
          <w:rFonts w:ascii="Barlow Semi Condensed" w:cs="Barlow Semi Condensed" w:eastAsia="Barlow Semi Condensed" w:hAnsi="Barlow Semi Condensed"/>
          <w:sz w:val="24"/>
          <w:szCs w:val="24"/>
        </w:rPr>
        <w:t xml:space="preserve">un controllo meccanico non verifica ciò che si voleva verificare, ma ciò che è</w:t>
      </w:r>
    </w:p>
    <w:p>
      <w:pPr>
        <w:spacing w:after="120" w:line="276"/>
        <w:jc w:val="both"/>
      </w:pPr>
      <w:r>
        <w:rPr>
          <w:rFonts w:ascii="Barlow Semi Condensed" w:cs="Barlow Semi Condensed" w:eastAsia="Barlow Semi Condensed" w:hAnsi="Barlow Semi Condensed"/>
          <w:sz w:val="24"/>
          <w:szCs w:val="24"/>
        </w:rPr>
        <w:t xml:space="preserve">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per tredici dei suoi quattordici Libri</w:t>
      </w:r>
      <w:r>
        <w:rPr>
          <w:rFonts w:ascii="Barlow Semi Condensed" w:cs="Barlow Semi Condensed" w:eastAsia="Barlow Semi Condensed" w:hAnsi="Barlow Semi Condensed"/>
          <w:sz w:val="24"/>
          <w:szCs w:val="24"/>
        </w:rPr>
        <w:t xml:space="preserve">, non propone una tesi sul</w:t>
      </w:r>
    </w:p>
    <w:p>
      <w:pPr>
        <w:spacing w:after="40"/>
        <w:ind w:left="360"/>
        <w:jc w:val="both"/>
      </w:pPr>
      <w:r>
        <w:rPr>
          <w:rFonts w:ascii="Barlow Semi Condensed" w:cs="Barlow Semi Condensed" w:eastAsia="Barlow Semi Condensed" w:hAnsi="Barlow Semi Condensed"/>
          <w:sz w:val="24"/>
          <w:szCs w:val="24"/>
        </w:rPr>
        <w:t xml:space="preserve">1978. Non indica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Non compila graduatorie di colpa per persone. Non promuove mai la</w:t>
      </w:r>
    </w:p>
    <w:p>
      <w:pPr>
        <w:spacing w:after="120" w:line="276"/>
        <w:jc w:val="both"/>
      </w:pPr>
      <w:r>
        <w:rPr>
          <w:rFonts w:ascii="Barlow Semi Condensed" w:cs="Barlow Semi Condensed" w:eastAsia="Barlow Semi Condensed" w:hAnsi="Barlow Semi Condensed"/>
          <w:sz w:val="24"/>
          <w:szCs w:val="24"/>
        </w:rPr>
        <w:t xml:space="preserve">contemporaneità a nesso, né l'appartenenza a un'organizzazione a prova di</w:t>
      </w:r>
    </w:p>
    <w:p>
      <w:pPr>
        <w:spacing w:after="120" w:line="276"/>
        <w:jc w:val="both"/>
      </w:pPr>
      <w:r>
        <w:rPr>
          <w:rFonts w:ascii="Barlow Semi Condensed" w:cs="Barlow Semi Condensed" w:eastAsia="Barlow Semi Condensed" w:hAnsi="Barlow Semi Condensed"/>
          <w:sz w:val="24"/>
          <w:szCs w:val="24"/>
        </w:rPr>
        <w:t xml:space="preserve">condotta.</w:t>
      </w:r>
    </w:p>
    <w:p>
      <w:pPr>
        <w:spacing w:after="120" w:line="276"/>
        <w:jc w:val="both"/>
      </w:pPr>
      <w:r>
        <w:rPr>
          <w:rFonts w:ascii="Barlow Semi Condensed" w:cs="Barlow Semi Condensed" w:eastAsia="Barlow Semi Condensed" w:hAnsi="Barlow Semi Condensed"/>
          <w:sz w:val="24"/>
          <w:szCs w:val="24"/>
        </w:rPr>
        <w:t xml:space="preserve">**Il Libro quarto fa eccezione, e la dichiaro qui perché è il punto su cui vi</w:t>
      </w:r>
    </w:p>
    <w:p>
      <w:pPr>
        <w:spacing w:after="120" w:line="276"/>
        <w:jc w:val="both"/>
      </w:pPr>
      <w:r>
        <w:rPr>
          <w:rFonts w:ascii="Barlow Semi Condensed" w:cs="Barlow Semi Condensed" w:eastAsia="Barlow Semi Condensed" w:hAnsi="Barlow Semi Condensed"/>
          <w:sz w:val="24"/>
          <w:szCs w:val="24"/>
        </w:rPr>
        <w:t xml:space="preserve">chiedo di misurare la mia buona fede.** È il Dossier maggiore dell'autore, opera</w:t>
      </w:r>
    </w:p>
    <w:p>
      <w:pPr>
        <w:spacing w:after="120" w:line="276"/>
        <w:jc w:val="both"/>
      </w:pPr>
      <w:r>
        <w:rPr>
          <w:rFonts w:ascii="Barlow Semi Condensed" w:cs="Barlow Semi Condensed" w:eastAsia="Barlow Semi Condensed" w:hAnsi="Barlow Semi Condensed"/>
          <w:sz w:val="24"/>
          <w:szCs w:val="24"/>
        </w:rPr>
        <w:t xml:space="preserve">anteriore al corpus e conservata per intero anziché riscritta: nella seconda</w:t>
      </w:r>
    </w:p>
    <w:p>
      <w:pPr>
        <w:spacing w:after="120" w:line="276"/>
        <w:jc w:val="both"/>
      </w:pPr>
      <w:r>
        <w:rPr>
          <w:rFonts w:ascii="Barlow Semi Condensed" w:cs="Barlow Semi Condensed" w:eastAsia="Barlow Semi Condensed" w:hAnsi="Barlow Semi Condensed"/>
          <w:sz w:val="24"/>
          <w:szCs w:val="24"/>
        </w:rPr>
        <w:t xml:space="preserve">metà congeda la disciplina falsificazionista, adotta una bilancia probabilistica</w:t>
      </w:r>
    </w:p>
    <w:p>
      <w:pPr>
        <w:spacing w:after="120" w:line="276"/>
        <w:jc w:val="both"/>
      </w:pPr>
      <w:r>
        <w:rPr>
          <w:rFonts w:ascii="Barlow Semi Condensed" w:cs="Barlow Semi Condensed" w:eastAsia="Barlow Semi Condensed" w:hAnsi="Barlow Semi Condensed"/>
          <w:sz w:val="24"/>
          <w:szCs w:val="24"/>
        </w:rPr>
        <w:t xml:space="preserve">a dieci metodi e ordina secondo il grado di plausibilità del coinvolgimento —</w:t>
      </w:r>
    </w:p>
    <w:p>
      <w:pPr>
        <w:spacing w:after="120" w:line="276"/>
        <w:jc w:val="both"/>
      </w:pPr>
      <w:r>
        <w:rPr>
          <w:rFonts w:ascii="Barlow Semi Condensed" w:cs="Barlow Semi Condensed" w:eastAsia="Barlow Semi Condensed" w:hAnsi="Barlow Semi Condensed"/>
          <w:b/>
          <w:bCs/>
          <w:sz w:val="24"/>
          <w:szCs w:val="24"/>
        </w:rPr>
        <w:t xml:space="preserve">per categorie di soggetti, non per nomi individuali</w:t>
      </w:r>
      <w:r>
        <w:rPr>
          <w:rFonts w:ascii="Barlow Semi Condensed" w:cs="Barlow Semi Condensed" w:eastAsia="Barlow Semi Condensed" w:hAnsi="Barlow Semi Condensed"/>
          <w:sz w:val="24"/>
          <w:szCs w:val="24"/>
        </w:rPr>
        <w:t xml:space="preserve">: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dei depistaggi, i portatori d'interesse esterno. La</w:t>
      </w:r>
    </w:p>
    <w:p>
      <w:pPr>
        <w:spacing w:after="120" w:line="276"/>
        <w:jc w:val="both"/>
      </w:pPr>
      <w:r>
        <w:rPr>
          <w:rFonts w:ascii="Barlow Semi Condensed" w:cs="Barlow Semi Condensed" w:eastAsia="Barlow Semi Condensed" w:hAnsi="Barlow Semi Condensed"/>
          <w:sz w:val="24"/>
          <w:szCs w:val="24"/>
        </w:rPr>
        <w:t xml:space="preserve">premessa che apre quelle pagine distingue la plausibilità dalla colpevolezza,</w:t>
      </w:r>
    </w:p>
    <w:p>
      <w:pPr>
        <w:spacing w:after="120" w:line="276"/>
        <w:jc w:val="both"/>
      </w:pPr>
      <w:r>
        <w:rPr>
          <w:rFonts w:ascii="Barlow Semi Condensed" w:cs="Barlow Semi Condensed" w:eastAsia="Barlow Semi Condensed" w:hAnsi="Barlow Semi Condensed"/>
          <w:sz w:val="24"/>
          <w:szCs w:val="24"/>
        </w:rPr>
        <w:t xml:space="preserve">ribadisce la presunzione d'innocenza e si vieta di indicare un mandante esterno</w:t>
      </w:r>
    </w:p>
    <w:p>
      <w:pPr>
        <w:spacing w:after="120" w:line="276"/>
        <w:jc w:val="both"/>
      </w:pPr>
      <w:r>
        <w:rPr>
          <w:rFonts w:ascii="Barlow Semi Condensed" w:cs="Barlow Semi Condensed" w:eastAsia="Barlow Semi Condensed" w:hAnsi="Barlow Semi Condensed"/>
          <w:sz w:val="24"/>
          <w:szCs w:val="24"/>
        </w:rPr>
        <w:t xml:space="preserve">determinato; la disciplina in copertina registra l'eccezione e la limita a quel</w:t>
      </w:r>
    </w:p>
    <w:p>
      <w:pPr>
        <w:spacing w:after="120" w:line="276"/>
        <w:jc w:val="both"/>
      </w:pPr>
      <w:r>
        <w:rPr>
          <w:rFonts w:ascii="Barlow Semi Condensed" w:cs="Barlow Semi Condensed" w:eastAsia="Barlow Semi Condensed" w:hAnsi="Barlow Semi Condensed"/>
          <w:sz w:val="24"/>
          <w:szCs w:val="24"/>
        </w:rPr>
        <w:t xml:space="preserve">solo Libro; il Libro si apre con una nota di raccordo che avverte del cambio di</w:t>
      </w:r>
    </w:p>
    <w:p>
      <w:pPr>
        <w:spacing w:after="120" w:line="276"/>
        <w:jc w:val="both"/>
      </w:pPr>
      <w:r>
        <w:rPr>
          <w:rFonts w:ascii="Barlow Semi Condensed" w:cs="Barlow Semi Condensed" w:eastAsia="Barlow Semi Condensed" w:hAnsi="Barlow Semi Condensed"/>
          <w:sz w:val="24"/>
          <w:szCs w:val="24"/>
        </w:rPr>
        <w:t xml:space="preserve">regime.</w:t>
      </w:r>
    </w:p>
    <w:p>
      <w:pPr>
        <w:spacing w:after="120" w:line="276"/>
        <w:jc w:val="both"/>
      </w:pPr>
      <w:r>
        <w:rPr>
          <w:rFonts w:ascii="Barlow Semi Condensed" w:cs="Barlow Semi Condensed" w:eastAsia="Barlow Semi Condensed" w:hAnsi="Barlow Semi Condensed"/>
          <w:sz w:val="24"/>
          <w:szCs w:val="24"/>
        </w:rPr>
        <w:t xml:space="preserve">Ho scelto di **conservare quel testo com'era, e non di piegarlo alla disciplina</w:t>
      </w:r>
    </w:p>
    <w:p>
      <w:pPr>
        <w:spacing w:after="120" w:line="276"/>
        <w:jc w:val="both"/>
      </w:pPr>
      <w:r>
        <w:rPr>
          <w:rFonts w:ascii="Barlow Semi Condensed" w:cs="Barlow Semi Condensed" w:eastAsia="Barlow Semi Condensed" w:hAnsi="Barlow Semi Condensed"/>
          <w:sz w:val="24"/>
          <w:szCs w:val="24"/>
        </w:rPr>
        <w:t xml:space="preserve">degli altri tredici**: la ragione è la stessa per cui non riscrivo in silenzio</w:t>
      </w:r>
    </w:p>
    <w:p>
      <w:pPr>
        <w:spacing w:after="120" w:line="276"/>
        <w:jc w:val="both"/>
      </w:pPr>
      <w:r>
        <w:rPr>
          <w:rFonts w:ascii="Barlow Semi Condensed" w:cs="Barlow Semi Condensed" w:eastAsia="Barlow Semi Condensed" w:hAnsi="Barlow Semi Condensed"/>
          <w:sz w:val="24"/>
          <w:szCs w:val="24"/>
        </w:rPr>
        <w:t xml:space="preserve">gli errori che trovo. Resta una scelta discutibile, e la sottopongo per prima al</w:t>
      </w:r>
    </w:p>
    <w:p>
      <w:pPr>
        <w:spacing w:after="120" w:line="276"/>
        <w:jc w:val="both"/>
      </w:pPr>
      <w:r>
        <w:rPr>
          <w:rFonts w:ascii="Barlow Semi Condensed" w:cs="Barlow Semi Condensed" w:eastAsia="Barlow Semi Condensed" w:hAnsi="Barlow Semi Condensed"/>
          <w:sz w:val="24"/>
          <w:szCs w:val="24"/>
        </w:rPr>
        <w:t xml:space="preserve">vostro giudizio.</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**non è</w:t>
      </w:r>
    </w:p>
    <w:p>
      <w:pPr>
        <w:spacing w:after="120" w:line="276"/>
        <w:jc w:val="both"/>
      </w:pPr>
      <w:r>
        <w:rPr>
          <w:rFonts w:ascii="Barlow Semi Condensed" w:cs="Barlow Semi Condensed" w:eastAsia="Barlow Semi Condensed" w:hAnsi="Barlow Semi Condensed"/>
          <w:sz w:val="24"/>
          <w:szCs w:val="24"/>
        </w:rPr>
        <w:t xml:space="preserve">sul ramo pubblico**: resta in un deposito separato, non divulgabile, e non è</w:t>
      </w:r>
    </w:p>
    <w:p>
      <w:pPr>
        <w:spacing w:after="120" w:line="276"/>
        <w:jc w:val="both"/>
      </w:pPr>
      <w:r>
        <w:rPr>
          <w:rFonts w:ascii="Barlow Semi Condensed" w:cs="Barlow Semi Condensed" w:eastAsia="Barlow Semi Condensed" w:hAnsi="Barlow Semi Condensed"/>
          <w:sz w:val="24"/>
          <w:szCs w:val="24"/>
        </w:rPr>
        <w:t xml:space="preserve">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e fonti secondarie: **non sui resoconti</w:t>
      </w:r>
    </w:p>
    <w:p>
      <w:pPr>
        <w:spacing w:after="120" w:line="276"/>
        <w:jc w:val="both"/>
      </w:pPr>
      <w:r>
        <w:rPr>
          <w:rFonts w:ascii="Barlow Semi Condensed" w:cs="Barlow Semi Condensed" w:eastAsia="Barlow Semi Condensed" w:hAnsi="Barlow Semi Condensed"/>
          <w:sz w:val="24"/>
          <w:szCs w:val="24"/>
        </w:rPr>
        <w:t xml:space="preserve">stenografici</w:t>
      </w:r>
      <w:r>
        <w:rPr>
          <w:rFonts w:ascii="Barlow Semi Condensed" w:cs="Barlow Semi Condensed" w:eastAsia="Barlow Semi Condensed" w:hAnsi="Barlow Semi Condensed"/>
          <w:b/>
          <w:bCs/>
          <w:sz w:val="24"/>
          <w:szCs w:val="24"/>
        </w:rPr>
        <w:t xml:space="preserve"> della Commissione parlamentare d'inchiesta, </w:t>
      </w:r>
      <w:r>
        <w:rPr>
          <w:rFonts w:ascii="Barlow Semi Condensed" w:cs="Barlow Semi Condensed" w:eastAsia="Barlow Semi Condensed" w:hAnsi="Barlow Semi Condensed"/>
          <w:sz w:val="24"/>
          <w:szCs w:val="24"/>
        </w:rPr>
        <w:t xml:space="preserve">non sui verbali</w:t>
      </w:r>
    </w:p>
    <w:p>
      <w:pPr>
        <w:spacing w:after="120" w:line="276"/>
        <w:jc w:val="both"/>
      </w:pPr>
      <w:r>
        <w:rPr>
          <w:rFonts w:ascii="Barlow Semi Condensed" w:cs="Barlow Semi Condensed" w:eastAsia="Barlow Semi Condensed" w:hAnsi="Barlow Semi Condensed"/>
          <w:sz w:val="24"/>
          <w:szCs w:val="24"/>
        </w:rPr>
        <w:t xml:space="preserve">d'udienza** del processo. È il limite più pesante di tutti, ed è scritto in coda</w:t>
      </w:r>
    </w:p>
    <w:p>
      <w:pPr>
        <w:spacing w:after="120" w:line="276"/>
        <w:jc w:val="both"/>
      </w:pPr>
      <w:r>
        <w:rPr>
          <w:rFonts w:ascii="Barlow Semi Condensed" w:cs="Barlow Semi Condensed" w:eastAsia="Barlow Semi Condensed" w:hAnsi="Barlow Semi Condensed"/>
          <w:sz w:val="24"/>
          <w:szCs w:val="24"/>
        </w:rPr>
        <w:t xml:space="preserve">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w:t>
      </w:r>
    </w:p>
    <w:p>
      <w:pPr>
        <w:spacing w:after="120" w:line="276"/>
        <w:jc w:val="both"/>
      </w:pPr>
      <w:r>
        <w:rPr>
          <w:rFonts w:ascii="Barlow Semi Condensed" w:cs="Barlow Semi Condensed" w:eastAsia="Barlow Semi Condensed" w:hAnsi="Barlow Semi Condensed"/>
          <w:sz w:val="24"/>
          <w:szCs w:val="24"/>
        </w:rPr>
        <w:t xml:space="preserve">«aggiungere altri blocchi»: il corpus ha raggiunto il punto in cui altre domande</w:t>
      </w:r>
    </w:p>
    <w:p>
      <w:pPr>
        <w:spacing w:after="120" w:line="276"/>
        <w:jc w:val="both"/>
      </w:pPr>
      <w:r>
        <w:rPr>
          <w:rFonts w:ascii="Barlow Semi Condensed" w:cs="Barlow Semi Condensed" w:eastAsia="Barlow Semi Condensed" w:hAnsi="Barlow Semi Condensed"/>
          <w:sz w:val="24"/>
          <w:szCs w:val="24"/>
        </w:rPr>
        <w:t xml:space="preserve">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è formulato in una riga, ha una sede, e ha un esito che conta anche se</w:t>
      </w:r>
    </w:p>
    <w:p>
      <w:pPr>
        <w:spacing w:after="120" w:line="276"/>
        <w:jc w:val="both"/>
      </w:pPr>
      <w:r>
        <w:rPr>
          <w:rFonts w:ascii="Barlow Semi Condensed" w:cs="Barlow Semi Condensed" w:eastAsia="Barlow Semi Condensed" w:hAnsi="Barlow Semi Condensed"/>
          <w:sz w:val="24"/>
          <w:szCs w:val="24"/>
        </w:rPr>
        <w:t xml:space="preserve">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w:t>
      </w:r>
    </w:p>
    <w:p>
      <w:pPr>
        <w:spacing w:after="120" w:line="276"/>
        <w:jc w:val="both"/>
      </w:pPr>
      <w:r>
        <w:rPr>
          <w:rFonts w:ascii="Barlow Semi Condensed" w:cs="Barlow Semi Condensed" w:eastAsia="Barlow Semi Condensed" w:hAnsi="Barlow Semi Condensed"/>
          <w:sz w:val="24"/>
          <w:szCs w:val="24"/>
        </w:rPr>
        <w:t xml:space="preserve">Un ministro degli Esteri che esce da un bilaterale col Presidente degli Stati</w:t>
      </w:r>
    </w:p>
    <w:p>
      <w:pPr>
        <w:spacing w:after="120" w:line="276"/>
        <w:jc w:val="both"/>
      </w:pPr>
      <w:r>
        <w:rPr>
          <w:rFonts w:ascii="Barlow Semi Condensed" w:cs="Barlow Semi Condensed" w:eastAsia="Barlow Semi Condensed" w:hAnsi="Barlow Semi Condensed"/>
          <w:sz w:val="24"/>
          <w:szCs w:val="24"/>
        </w:rPr>
        <w:t xml:space="preserve">Uniti fa stendere un appunto: è prassi ordinaria. Di quell'appunto, per quella</w:t>
      </w:r>
    </w:p>
    <w:p>
      <w:pPr>
        <w:spacing w:after="120" w:line="276"/>
        <w:jc w:val="both"/>
      </w:pPr>
      <w:r>
        <w:rPr>
          <w:rFonts w:ascii="Barlow Semi Condensed" w:cs="Barlow Semi Condensed" w:eastAsia="Barlow Semi Condensed" w:hAnsi="Barlow Semi Condensed"/>
          <w:sz w:val="24"/>
          <w:szCs w:val="24"/>
        </w:rPr>
        <w:t xml:space="preserve">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w:t>
      </w:r>
    </w:p>
    <w:p>
      <w:pPr>
        <w:spacing w:after="120" w:line="276"/>
        <w:jc w:val="both"/>
      </w:pPr>
      <w:r>
        <w:rPr>
          <w:rFonts w:ascii="Barlow Semi Condensed" w:cs="Barlow Semi Condensed" w:eastAsia="Barlow Semi Condensed" w:hAnsi="Barlow Semi Condensed"/>
          <w:sz w:val="24"/>
          <w:szCs w:val="24"/>
        </w:rPr>
        <w:t xml:space="preserve">diplomatico della Farnesina, gabinetto del ministro, annata 1974; in subordine</w:t>
      </w:r>
    </w:p>
    <w:p>
      <w:pPr>
        <w:spacing w:after="120" w:line="276"/>
        <w:jc w:val="both"/>
      </w:pPr>
      <w:r>
        <w:rPr>
          <w:rFonts w:ascii="Barlow Semi Condensed" w:cs="Barlow Semi Condensed" w:eastAsia="Barlow Semi Condensed" w:hAnsi="Barlow Semi Condensed"/>
          <w:sz w:val="24"/>
          <w:szCs w:val="24"/>
        </w:rPr>
        <w:t xml:space="preserve">l'Archivio centrale dello Stato e il Fondo Moro del Senato; e, se le carte</w:t>
      </w:r>
    </w:p>
    <w:p>
      <w:pPr>
        <w:spacing w:after="120" w:line="276"/>
        <w:jc w:val="both"/>
      </w:pPr>
      <w:r>
        <w:rPr>
          <w:rFonts w:ascii="Barlow Semi Condensed" w:cs="Barlow Semi Condensed" w:eastAsia="Barlow Semi Condensed" w:hAnsi="Barlow Semi Condensed"/>
          <w:sz w:val="24"/>
          <w:szCs w:val="24"/>
        </w:rPr>
        <w:t xml:space="preserve">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w:t>
      </w:r>
    </w:p>
    <w:p>
      <w:pPr>
        <w:spacing w:after="120" w:line="276"/>
        <w:jc w:val="both"/>
      </w:pPr>
      <w:r>
        <w:rPr>
          <w:rFonts w:ascii="Barlow Semi Condensed" w:cs="Barlow Semi Condensed" w:eastAsia="Barlow Semi Condensed" w:hAnsi="Barlow Semi Condensed"/>
          <w:sz w:val="24"/>
          <w:szCs w:val="24"/>
        </w:rPr>
        <w:t xml:space="preserve">americano,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w:t>
      </w:r>
    </w:p>
    <w:p>
      <w:pPr>
        <w:spacing w:after="120" w:line="276"/>
        <w:jc w:val="both"/>
      </w:pPr>
      <w:r>
        <w:rPr>
          <w:rFonts w:ascii="Barlow Semi Condensed" w:cs="Barlow Semi Condensed" w:eastAsia="Barlow Semi Condensed" w:hAnsi="Barlow Semi Condensed"/>
          <w:sz w:val="24"/>
          <w:szCs w:val="24"/>
        </w:rPr>
        <w:t xml:space="preserve">chi ha la competenza per farlo. Un atto d'archivio eseguito da altri, che</w:t>
      </w:r>
    </w:p>
    <w:p>
      <w:pPr>
        <w:spacing w:after="120" w:line="276"/>
        <w:jc w:val="both"/>
      </w:pPr>
      <w:r>
        <w:rPr>
          <w:rFonts w:ascii="Barlow Semi Condensed" w:cs="Barlow Semi Condensed" w:eastAsia="Barlow Semi Condensed" w:hAnsi="Barlow Semi Condensed"/>
          <w:sz w:val="24"/>
          <w:szCs w:val="24"/>
        </w:rPr>
        <w:t xml:space="preserve">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w:t>
      </w:r>
    </w:p>
    <w:p>
      <w:pPr>
        <w:spacing w:after="120" w:line="276"/>
        <w:jc w:val="both"/>
      </w:pPr>
      <w:r>
        <w:rPr>
          <w:rFonts w:ascii="Barlow Semi Condensed" w:cs="Barlow Semi Condensed" w:eastAsia="Barlow Semi Condensed" w:hAnsi="Barlow Semi Condensed"/>
          <w:sz w:val="24"/>
          <w:szCs w:val="24"/>
        </w:rPr>
        <w:t xml:space="preserve">stesso, e la misura è netta. Il versante di ricerca costruisce tre cantieri</w:t>
      </w:r>
    </w:p>
    <w:p>
      <w:pPr>
        <w:spacing w:after="120" w:line="276"/>
        <w:jc w:val="both"/>
      </w:pPr>
      <w:r>
        <w:rPr>
          <w:rFonts w:ascii="Barlow Semi Condensed" w:cs="Barlow Semi Condensed" w:eastAsia="Barlow Semi Condensed" w:hAnsi="Barlow Semi Condensed"/>
          <w:sz w:val="24"/>
          <w:szCs w:val="24"/>
        </w:rPr>
        <w:t xml:space="preserve">d'archivio alleato — Londra, Parigi, Bonn — e non il quarto. Sui milletrecento</w:t>
      </w:r>
    </w:p>
    <w:p>
      <w:pPr>
        <w:spacing w:after="120" w:line="276"/>
        <w:jc w:val="both"/>
      </w:pPr>
      <w:r>
        <w:rPr>
          <w:rFonts w:ascii="Barlow Semi Condensed" w:cs="Barlow Semi Condensed" w:eastAsia="Barlow Semi Condensed" w:hAnsi="Barlow Semi Condensed"/>
          <w:sz w:val="24"/>
          <w:szCs w:val="24"/>
        </w:rPr>
        <w:t xml:space="preserve">blocchi dei due documenti di ricerca: **Parigi ventitré menzioni, Londra</w:t>
      </w:r>
    </w:p>
    <w:p>
      <w:pPr>
        <w:spacing w:after="120" w:line="276"/>
        <w:jc w:val="both"/>
      </w:pPr>
      <w:r>
        <w:rPr>
          <w:rFonts w:ascii="Barlow Semi Condensed" w:cs="Barlow Semi Condensed" w:eastAsia="Barlow Semi Condensed" w:hAnsi="Barlow Semi Condensed"/>
          <w:sz w:val="24"/>
          <w:szCs w:val="24"/>
        </w:rPr>
        <w:t xml:space="preserve">diciassette, Bonn diciassette, Washington sette**. La capitale alleata meno</w:t>
      </w:r>
    </w:p>
    <w:p>
      <w:pPr>
        <w:spacing w:after="120" w:line="276"/>
        <w:jc w:val="both"/>
      </w:pPr>
      <w:r>
        <w:rPr>
          <w:rFonts w:ascii="Barlow Semi Condensed" w:cs="Barlow Semi Condensed" w:eastAsia="Barlow Semi Condensed" w:hAnsi="Barlow Semi Condensed"/>
          <w:sz w:val="24"/>
          <w:szCs w:val="24"/>
        </w:rPr>
        <w:t xml:space="preserve">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w:t>
      </w:r>
    </w:p>
    <w:p>
      <w:pPr>
        <w:spacing w:after="120" w:line="276"/>
        <w:jc w:val="both"/>
      </w:pPr>
      <w:r>
        <w:rPr>
          <w:rFonts w:ascii="Barlow Semi Condensed" w:cs="Barlow Semi Condensed" w:eastAsia="Barlow Semi Condensed" w:hAnsi="Barlow Semi Condensed"/>
          <w:sz w:val="24"/>
          <w:szCs w:val="24"/>
        </w:rPr>
        <w:t xml:space="preserve">versante del nodo più contestato che il corpus registra. Finché non esiste un</w:t>
      </w:r>
    </w:p>
    <w:p>
      <w:pPr>
        <w:spacing w:after="120" w:line="276"/>
        <w:jc w:val="both"/>
      </w:pPr>
      <w:r>
        <w:rPr>
          <w:rFonts w:ascii="Barlow Semi Condensed" w:cs="Barlow Semi Condensed" w:eastAsia="Barlow Semi Condensed" w:hAnsi="Barlow Semi Condensed"/>
          <w:sz w:val="24"/>
          <w:szCs w:val="24"/>
        </w:rPr>
        <w:t xml:space="preserve">cantiere atlantico con la stessa griglia degli altri tre, ogni affermazione sul</w:t>
      </w:r>
    </w:p>
    <w:p>
      <w:pPr>
        <w:spacing w:after="120" w:line="276"/>
        <w:jc w:val="both"/>
      </w:pPr>
      <w:r>
        <w:rPr>
          <w:rFonts w:ascii="Barlow Semi Condensed" w:cs="Barlow Semi Condensed" w:eastAsia="Barlow Semi Condensed" w:hAnsi="Barlow Semi Condensed"/>
          <w:sz w:val="24"/>
          <w:szCs w:val="24"/>
        </w:rPr>
        <w:t xml:space="preserve">versante statunitense poggia su una ricerca che non è stata organizzata come le</w:t>
      </w:r>
    </w:p>
    <w:p>
      <w:pPr>
        <w:spacing w:after="120" w:line="276"/>
        <w:jc w:val="both"/>
      </w:pPr>
      <w:r>
        <w:rPr>
          <w:rFonts w:ascii="Barlow Semi Condensed" w:cs="Barlow Semi Condensed" w:eastAsia="Barlow Semi Condensed" w:hAnsi="Barlow Semi Condensed"/>
          <w:sz w:val="24"/>
          <w:szCs w:val="24"/>
        </w:rPr>
        <w:t xml:space="preserve">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w:t>
      </w:r>
    </w:p>
    <w:p>
      <w:pPr>
        <w:spacing w:after="120" w:line="276"/>
        <w:jc w:val="both"/>
      </w:pPr>
      <w:r>
        <w:rPr>
          <w:rFonts w:ascii="Barlow Semi Condensed" w:cs="Barlow Semi Condensed" w:eastAsia="Barlow Semi Condensed" w:hAnsi="Barlow Semi Condensed"/>
          <w:sz w:val="24"/>
          <w:szCs w:val="24"/>
        </w:rPr>
        <w:t xml:space="preserve">Commissione d'inchiesta e i verbali d'udienza non sono stati letti. Ogni data</w:t>
      </w:r>
    </w:p>
    <w:p>
      <w:pPr>
        <w:spacing w:after="120" w:line="276"/>
        <w:jc w:val="both"/>
      </w:pPr>
      <w:r>
        <w:rPr>
          <w:rFonts w:ascii="Barlow Semi Condensed" w:cs="Barlow Semi Condensed" w:eastAsia="Barlow Semi Condensed" w:hAnsi="Barlow Semi Condensed"/>
          <w:sz w:val="24"/>
          <w:szCs w:val="24"/>
        </w:rPr>
        <w:t xml:space="preserve">qualificata come confermata lo è per convergenza di fonti secondarie, e **resta</w:t>
      </w:r>
    </w:p>
    <w:p>
      <w:pPr>
        <w:spacing w:after="120" w:line="276"/>
        <w:jc w:val="both"/>
      </w:pPr>
      <w:r>
        <w:rPr>
          <w:rFonts w:ascii="Barlow Semi Condensed" w:cs="Barlow Semi Condensed" w:eastAsia="Barlow Semi Condensed" w:hAnsi="Barlow Semi Condensed"/>
          <w:sz w:val="24"/>
          <w:szCs w:val="24"/>
        </w:rPr>
        <w:t xml:space="preserve">da riscontrare sui testi ufficiali**. Chiunque abbia accesso fisico a quei fondi</w:t>
      </w:r>
    </w:p>
    <w:p>
      <w:pPr>
        <w:spacing w:after="120" w:line="276"/>
        <w:jc w:val="both"/>
      </w:pPr>
      <w:r>
        <w:rPr>
          <w:rFonts w:ascii="Barlow Semi Condensed" w:cs="Barlow Semi Condensed" w:eastAsia="Barlow Semi Condensed" w:hAnsi="Barlow Semi Condensed"/>
          <w:sz w:val="24"/>
          <w:szCs w:val="24"/>
        </w:rPr>
        <w:t xml:space="preserve">può, in poche giornate, portare al piano 1 decine di righe che oggi stanno al</w:t>
      </w:r>
    </w:p>
    <w:p>
      <w:pPr>
        <w:spacing w:after="120" w:line="276"/>
        <w:jc w:val="both"/>
      </w:pPr>
      <w:r>
        <w:rPr>
          <w:rFonts w:ascii="Barlow Semi Condensed" w:cs="Barlow Semi Condensed" w:eastAsia="Barlow Semi Condensed" w:hAnsi="Barlow Semi Condensed"/>
          <w:sz w:val="24"/>
          <w:szCs w:val="24"/>
        </w:rPr>
        <w:t xml:space="preserve">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w:t>
      </w:r>
    </w:p>
    <w:p>
      <w:pPr>
        <w:spacing w:after="120" w:line="276"/>
        <w:jc w:val="both"/>
      </w:pPr>
      <w:r>
        <w:rPr>
          <w:rFonts w:ascii="Barlow Semi Condensed" w:cs="Barlow Semi Condensed" w:eastAsia="Barlow Semi Condensed" w:hAnsi="Barlow Semi Condensed"/>
          <w:sz w:val="24"/>
          <w:szCs w:val="24"/>
        </w:rPr>
        <w:t xml:space="preserve">storica assistita da sistemi automatici: le sei regole, l'obbligo del grado</w:t>
      </w:r>
    </w:p>
    <w:p>
      <w:pPr>
        <w:spacing w:after="120" w:line="276"/>
        <w:jc w:val="both"/>
      </w:pPr>
      <w:r>
        <w:rPr>
          <w:rFonts w:ascii="Barlow Semi Condensed" w:cs="Barlow Semi Condensed" w:eastAsia="Barlow Semi Condensed" w:hAnsi="Barlow Semi Condensed"/>
          <w:sz w:val="24"/>
          <w:szCs w:val="24"/>
        </w:rPr>
        <w:t xml:space="preserve">dichiarato, il verbale di vuoto, la correzione per nota, e il catalogo dei modi</w:t>
      </w:r>
    </w:p>
    <w:p>
      <w:pPr>
        <w:spacing w:after="120" w:line="276"/>
        <w:jc w:val="both"/>
      </w:pPr>
      <w:r>
        <w:rPr>
          <w:rFonts w:ascii="Barlow Semi Condensed" w:cs="Barlow Semi Condensed" w:eastAsia="Barlow Semi Condensed" w:hAnsi="Barlow Semi Condensed"/>
          <w:sz w:val="24"/>
          <w:szCs w:val="24"/>
        </w:rPr>
        <w:t xml:space="preserve">in cui i controlli automatici falliscono. Ne sto ricavando un saggio breve. **Il</w:t>
      </w:r>
    </w:p>
    <w:p>
      <w:pPr>
        <w:spacing w:after="120" w:line="276"/>
        <w:jc w:val="both"/>
      </w:pPr>
      <w:r>
        <w:rPr>
          <w:rFonts w:ascii="Barlow Semi Condensed" w:cs="Barlow Semi Condensed" w:eastAsia="Barlow Semi Condensed" w:hAnsi="Barlow Semi Condensed"/>
          <w:sz w:val="24"/>
          <w:szCs w:val="24"/>
        </w:rPr>
        <w:t xml:space="preserve">valore di quel protocollo, però, non lo stabilisce chi lo ha scritto**: lo</w:t>
      </w:r>
    </w:p>
    <w:p>
      <w:pPr>
        <w:spacing w:after="120" w:line="276"/>
        <w:jc w:val="both"/>
      </w:pPr>
      <w:r>
        <w:rPr>
          <w:rFonts w:ascii="Barlow Semi Condensed" w:cs="Barlow Semi Condensed" w:eastAsia="Barlow Semi Condensed" w:hAnsi="Barlow Semi Condensed"/>
          <w:sz w:val="24"/>
          <w:szCs w:val="24"/>
        </w:rPr>
        <w:t xml:space="preserve">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w:t>
      </w:r>
    </w:p>
    <w:p>
      <w:pPr>
        <w:spacing w:after="120" w:line="276"/>
        <w:jc w:val="both"/>
      </w:pPr>
      <w:r>
        <w:rPr>
          <w:rFonts w:ascii="Barlow Semi Condensed" w:cs="Barlow Semi Condensed" w:eastAsia="Barlow Semi Condensed" w:hAnsi="Barlow Semi Condensed"/>
          <w:sz w:val="24"/>
          <w:szCs w:val="24"/>
        </w:rPr>
        <w:t xml:space="preserve">perché li ha cercati in casa; ma chi li cerca in casa trova solo quelli che sa</w:t>
      </w:r>
    </w:p>
    <w:p>
      <w:pPr>
        <w:spacing w:after="120" w:line="276"/>
        <w:jc w:val="both"/>
      </w:pPr>
      <w:r>
        <w:rPr>
          <w:rFonts w:ascii="Barlow Semi Condensed" w:cs="Barlow Semi Condensed" w:eastAsia="Barlow Semi Condensed" w:hAnsi="Barlow Semi Condensed"/>
          <w:sz w:val="24"/>
          <w:szCs w:val="24"/>
        </w:rPr>
        <w:t xml:space="preserve">riconoscere. Il Centro conserva le carte di chi ha lavorato su questa materia per</w:t>
      </w:r>
    </w:p>
    <w:p>
      <w:pPr>
        <w:spacing w:after="120" w:line="276"/>
        <w:jc w:val="both"/>
      </w:pPr>
      <w:r>
        <w:rPr>
          <w:rFonts w:ascii="Barlow Semi Condensed" w:cs="Barlow Semi Condensed" w:eastAsia="Barlow Semi Condensed" w:hAnsi="Barlow Semi Condensed"/>
          <w:sz w:val="24"/>
          <w:szCs w:val="24"/>
        </w:rPr>
        <w:t xml:space="preserve">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w:t>
      </w:r>
    </w:p>
    <w:p>
      <w:pPr>
        <w:spacing w:after="120" w:line="276"/>
        <w:jc w:val="both"/>
      </w:pPr>
      <w:r>
        <w:rPr>
          <w:rFonts w:ascii="Barlow Semi Condensed" w:cs="Barlow Semi Condensed" w:eastAsia="Barlow Semi Condensed" w:hAnsi="Barlow Semi Condensed"/>
          <w:sz w:val="24"/>
          <w:szCs w:val="24"/>
        </w:rPr>
        <w:t xml:space="preserve">verrà recepito per nota, accanto al testo errato e senza cancellarlo — come ho</w:t>
      </w:r>
    </w:p>
    <w:p>
      <w:pPr>
        <w:spacing w:after="120" w:line="276"/>
        <w:jc w:val="both"/>
      </w:pPr>
      <w:r>
        <w:rPr>
          <w:rFonts w:ascii="Barlow Semi Condensed" w:cs="Barlow Semi Condensed" w:eastAsia="Barlow Semi Condensed" w:hAnsi="Barlow Semi Condensed"/>
          <w:sz w:val="24"/>
          <w:szCs w:val="24"/>
        </w:rPr>
        <w:t xml:space="preserve">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w:t>
      </w:r>
    </w:p>
    <w:p>
      <w:pPr>
        <w:spacing w:after="120" w:line="276"/>
        <w:jc w:val="both"/>
      </w:pPr>
      <w:r>
        <w:rPr>
          <w:rFonts w:ascii="Barlow Semi Condensed" w:cs="Barlow Semi Condensed" w:eastAsia="Barlow Semi Condensed" w:hAnsi="Barlow Semi Condensed"/>
          <w:sz w:val="24"/>
          <w:szCs w:val="24"/>
        </w:rPr>
        <w:t xml:space="preserve">appropriata — e con l'etichetta che gli spetta: materiale di consultazione</w:t>
      </w:r>
    </w:p>
    <w:p>
      <w:pPr>
        <w:spacing w:after="120" w:line="276"/>
        <w:jc w:val="both"/>
      </w:pPr>
      <w:r>
        <w:rPr>
          <w:rFonts w:ascii="Barlow Semi Condensed" w:cs="Barlow Semi Condensed" w:eastAsia="Barlow Semi Condensed" w:hAnsi="Barlow Semi Condensed"/>
          <w:sz w:val="24"/>
          <w:szCs w:val="24"/>
        </w:rPr>
        <w:t xml:space="preserve">generato con sistemi automatici, non studio storiografico. Se riteneste che non</w:t>
      </w:r>
    </w:p>
    <w:p>
      <w:pPr>
        <w:spacing w:after="120" w:line="276"/>
        <w:jc w:val="both"/>
      </w:pPr>
      <w:r>
        <w:rPr>
          <w:rFonts w:ascii="Barlow Semi Condensed" w:cs="Barlow Semi Condensed" w:eastAsia="Barlow Semi Condensed" w:hAnsi="Barlow Semi Condensed"/>
          <w:sz w:val="24"/>
          <w:szCs w:val="24"/>
        </w:rPr>
        <w:t xml:space="preserve">debba essere depositato affatto, quel giudizio sarebbe a sua volta un'informazione</w:t>
      </w:r>
    </w:p>
    <w:p>
      <w:pPr>
        <w:spacing w:after="120" w:line="276"/>
        <w:jc w:val="both"/>
      </w:pPr>
      <w:r>
        <w:rPr>
          <w:rFonts w:ascii="Barlow Semi Condensed" w:cs="Barlow Semi Condensed" w:eastAsia="Barlow Semi Condensed" w:hAnsi="Barlow Semi Condensed"/>
          <w:sz w:val="24"/>
          <w:szCs w:val="24"/>
        </w:rPr>
        <w:t xml:space="preserve">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w:t>
      </w:r>
    </w:p>
    <w:p>
      <w:pPr>
        <w:spacing w:after="120" w:line="276"/>
        <w:jc w:val="both"/>
      </w:pPr>
      <w:r>
        <w:rPr>
          <w:rFonts w:ascii="Barlow Semi Condensed" w:cs="Barlow Semi Condensed" w:eastAsia="Barlow Semi Condensed" w:hAnsi="Barlow Semi Condensed"/>
          <w:sz w:val="24"/>
          <w:szCs w:val="24"/>
        </w:rPr>
        <w:t xml:space="preserve">Speciale. Cinquantasette persone condannate da un tribunale politico fra il 1926</w:t>
      </w:r>
    </w:p>
    <w:p>
      <w:pPr>
        <w:spacing w:after="120" w:line="276"/>
        <w:jc w:val="both"/>
      </w:pPr>
      <w:r>
        <w:rPr>
          <w:rFonts w:ascii="Barlow Semi Condensed" w:cs="Barlow Semi Condensed" w:eastAsia="Barlow Semi Condensed" w:hAnsi="Barlow Semi Condensed"/>
          <w:sz w:val="24"/>
          <w:szCs w:val="24"/>
        </w:rPr>
        <w:t xml:space="preserve">e il 1943, e poi rimesse in libertà da un provvedimento di clemenza del regime</w:t>
      </w:r>
    </w:p>
    <w:p>
      <w:pPr>
        <w:spacing w:after="120" w:line="276"/>
        <w:jc w:val="both"/>
      </w:pPr>
      <w:r>
        <w:rPr>
          <w:rFonts w:ascii="Barlow Semi Condensed" w:cs="Barlow Semi Condensed" w:eastAsia="Barlow Semi Condensed" w:hAnsi="Barlow Semi Condensed"/>
          <w:sz w:val="24"/>
          <w:szCs w:val="24"/>
        </w:rPr>
        <w:t xml:space="preserve">che le aveva condannate. Non è un'allegoria che ho costruito: è il punto da cui</w:t>
      </w:r>
    </w:p>
    <w:p>
      <w:pPr>
        <w:spacing w:after="120" w:line="276"/>
        <w:jc w:val="both"/>
      </w:pPr>
      <w:r>
        <w:rPr>
          <w:rFonts w:ascii="Barlow Semi Condensed" w:cs="Barlow Semi Condensed" w:eastAsia="Barlow Semi Condensed" w:hAnsi="Barlow Semi Condensed"/>
          <w:sz w:val="24"/>
          <w:szCs w:val="24"/>
        </w:rPr>
        <w:t xml:space="preserve">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w:t>
      </w:r>
    </w:p>
    <w:p>
      <w:pPr>
        <w:spacing w:after="120" w:line="276"/>
        <w:jc w:val="both"/>
      </w:pPr>
      <w:r>
        <w:rPr>
          <w:rFonts w:ascii="Barlow Semi Condensed" w:cs="Barlow Semi Condensed" w:eastAsia="Barlow Semi Condensed" w:hAnsi="Barlow Semi Condensed"/>
          <w:sz w:val="24"/>
          <w:szCs w:val="24"/>
        </w:rPr>
        <w:t xml:space="preserve">non è di tema. È che in entrambi i casi si tratta di **rimettere nomi e date</w:t>
      </w:r>
    </w:p>
    <w:p>
      <w:pPr>
        <w:spacing w:after="120" w:line="276"/>
        <w:jc w:val="both"/>
      </w:pPr>
      <w:r>
        <w:rPr>
          <w:rFonts w:ascii="Barlow Semi Condensed" w:cs="Barlow Semi Condensed" w:eastAsia="Barlow Semi Condensed" w:hAnsi="Barlow Semi Condensed"/>
          <w:sz w:val="24"/>
          <w:szCs w:val="24"/>
        </w:rPr>
        <w:t xml:space="preserve">accanto a fatti**,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 Al Centro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3.102 parole in 9 sezioni; la più ampia è §9 Altre sezioni, con 1.179.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79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xiii. A Laterza</w:t>
      </w:r>
    </w:p>
    <w:p>
      <w:pPr>
        <w:pStyle w:val="Heading1"/>
        <w:spacing w:after="120" w:before="240"/>
      </w:pPr>
      <w:r>
        <w:rPr>
          <w:rFonts w:ascii="Barlow Semi Condensed" w:cs="Barlow Semi Condensed" w:eastAsia="Barlow Semi Condensed" w:hAnsi="Barlow Semi Condensed"/>
          <w:sz w:val="24"/>
          <w:szCs w:val="24"/>
        </w:rPr>
        <w:t xml:space="preserve">Proposta editoriale — Gius. Laterza &amp; Figli</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preliminare — perché non una PEC, e perché non l'opera intera</w:t>
      </w:r>
    </w:p>
    <w:p>
      <w:pPr>
        <w:spacing w:after="120" w:line="276"/>
        <w:jc w:val="both"/>
      </w:pPr>
      <w:r>
        <w:rPr>
          <w:rFonts w:ascii="Barlow Semi Condensed" w:cs="Barlow Semi Condensed" w:eastAsia="Barlow Semi Condensed" w:hAnsi="Barlow Semi Condensed"/>
          <w:b/>
          <w:bCs/>
          <w:sz w:val="24"/>
          <w:szCs w:val="24"/>
        </w:rPr>
        <w:t xml:space="preserve">La PEC non è il canale.</w:t>
      </w:r>
      <w:r>
        <w:rPr>
          <w:rFonts w:ascii="Barlow Semi Condensed" w:cs="Barlow Semi Condensed" w:eastAsia="Barlow Semi Condensed" w:hAnsi="Barlow Semi Condensed"/>
          <w:sz w:val="24"/>
          <w:szCs w:val="24"/>
        </w:rPr>
        <w:t xml:space="preserve"> Laterza seleziona su base digitale, attraverso una</w:t>
      </w:r>
    </w:p>
    <w:p>
      <w:pPr>
        <w:spacing w:after="120" w:line="276"/>
        <w:jc w:val="both"/>
      </w:pPr>
      <w:r>
        <w:rPr>
          <w:rFonts w:ascii="Barlow Semi Condensed" w:cs="Barlow Semi Condensed" w:eastAsia="Barlow Semi Condensed" w:hAnsi="Barlow Semi Condensed"/>
          <w:sz w:val="24"/>
          <w:szCs w:val="24"/>
        </w:rPr>
        <w:t xml:space="preserve">rete di consulenti scientifici, e dichiara di **non accettare manoscritti a</w:t>
      </w:r>
    </w:p>
    <w:p>
      <w:pPr>
        <w:spacing w:after="120" w:line="276"/>
        <w:jc w:val="both"/>
      </w:pPr>
      <w:r>
        <w:rPr>
          <w:rFonts w:ascii="Barlow Semi Condensed" w:cs="Barlow Semi Condensed" w:eastAsia="Barlow Semi Condensed" w:hAnsi="Barlow Semi Condensed"/>
          <w:sz w:val="24"/>
          <w:szCs w:val="24"/>
        </w:rPr>
        <w:t xml:space="preserve">stampa**: i plichi inviati alle sedi di Bari o Roma vengono smaltiti senza</w:t>
      </w:r>
    </w:p>
    <w:p>
      <w:pPr>
        <w:spacing w:after="120" w:line="276"/>
        <w:jc w:val="both"/>
      </w:pPr>
      <w:r>
        <w:rPr>
          <w:rFonts w:ascii="Barlow Semi Condensed" w:cs="Barlow Semi Condensed" w:eastAsia="Barlow Semi Condensed" w:hAnsi="Barlow Semi Condensed"/>
          <w:sz w:val="24"/>
          <w:szCs w:val="24"/>
        </w:rPr>
        <w:t xml:space="preserve">essere letti. Una PEC con 24 MB allegati non verrebbe letta più di un plico.</w:t>
      </w:r>
    </w:p>
    <w:p>
      <w:pPr>
        <w:spacing w:after="120" w:line="276"/>
        <w:jc w:val="both"/>
      </w:pPr>
      <w:r>
        <w:rPr>
          <w:rFonts w:ascii="Barlow Semi Condensed" w:cs="Barlow Semi Condensed" w:eastAsia="Barlow Semi Condensed" w:hAnsi="Barlow Semi Condensed"/>
          <w:sz w:val="24"/>
          <w:szCs w:val="24"/>
        </w:rPr>
        <w:t xml:space="preserve">Il canale dichiarato per le proposte iniziali è l'indirizzo ordinario</w:t>
      </w:r>
    </w:p>
    <w:p>
      <w:pPr>
        <w:spacing w:after="120" w:line="276"/>
        <w:jc w:val="both"/>
      </w:pPr>
      <w:r>
        <w:rPr>
          <w:rFonts w:ascii="Barlow Semi Condensed" w:cs="Barlow Semi Condensed" w:eastAsia="Barlow Semi Condensed" w:hAnsi="Barlow Semi Condensed"/>
          <w:b/>
          <w:bCs/>
          <w:sz w:val="24"/>
          <w:szCs w:val="24"/>
        </w:rPr>
        <w:t xml:space="preserve">info@laterza.it</w:t>
      </w:r>
      <w:r>
        <w:rPr>
          <w:rFonts w:ascii="Barlow Semi Condensed" w:cs="Barlow Semi Condensed" w:eastAsia="Barlow Semi Condensed" w:hAnsi="Barlow Semi Condensed"/>
          <w:sz w:val="24"/>
          <w:szCs w:val="24"/>
        </w:rPr>
        <w:t xml:space="preserve">; per la manualistica scolastica esiste un canale separato,</w:t>
      </w:r>
    </w:p>
    <w:p>
      <w:pPr>
        <w:spacing w:after="120" w:line="276"/>
        <w:jc w:val="both"/>
      </w:pPr>
      <w:r>
        <w:rPr>
          <w:rFonts w:ascii="Barlow Semi Condensed" w:cs="Barlow Semi Condensed" w:eastAsia="Barlow Semi Condensed" w:hAnsi="Barlow Semi Condensed"/>
          <w:sz w:val="24"/>
          <w:szCs w:val="24"/>
        </w:rPr>
        <w:t xml:space="preserve">che qui non si applica.</w:t>
      </w:r>
    </w:p>
    <w:p>
      <w:pPr>
        <w:spacing w:after="120" w:line="276"/>
        <w:jc w:val="both"/>
      </w:pPr>
      <w:r>
        <w:rPr>
          <w:rFonts w:ascii="Barlow Semi Condensed" w:cs="Barlow Semi Condensed" w:eastAsia="Barlow Semi Condensed" w:hAnsi="Barlow Semi Condensed"/>
          <w:b/>
          <w:bCs/>
          <w:sz w:val="24"/>
          <w:szCs w:val="24"/>
        </w:rPr>
        <w:t xml:space="preserve">E l'opera integrale non è la proposta.</w:t>
      </w:r>
      <w:r>
        <w:rPr>
          <w:rFonts w:ascii="Barlow Semi Condensed" w:cs="Barlow Semi Condensed" w:eastAsia="Barlow Semi Condensed" w:hAnsi="Barlow Semi Condensed"/>
          <w:sz w:val="24"/>
          <w:szCs w:val="24"/>
        </w:rPr>
        <w:t xml:space="preserve"> Millesettecento pagine di apparato</w:t>
      </w:r>
    </w:p>
    <w:p>
      <w:pPr>
        <w:spacing w:after="120" w:line="276"/>
        <w:jc w:val="both"/>
      </w:pPr>
      <w:r>
        <w:rPr>
          <w:rFonts w:ascii="Barlow Semi Condensed" w:cs="Barlow Semi Condensed" w:eastAsia="Barlow Semi Condensed" w:hAnsi="Barlow Semi Condensed"/>
          <w:sz w:val="24"/>
          <w:szCs w:val="24"/>
        </w:rPr>
        <w:t xml:space="preserve">documentale non sono un libro Laterza, e proporle come tali significa ricevere</w:t>
      </w:r>
    </w:p>
    <w:p>
      <w:pPr>
        <w:spacing w:after="120" w:line="276"/>
        <w:jc w:val="both"/>
      </w:pPr>
      <w:r>
        <w:rPr>
          <w:rFonts w:ascii="Barlow Semi Condensed" w:cs="Barlow Semi Condensed" w:eastAsia="Barlow Semi Condensed" w:hAnsi="Barlow Semi Condensed"/>
          <w:sz w:val="24"/>
          <w:szCs w:val="24"/>
        </w:rPr>
        <w:t xml:space="preserve">un no che è anche corretto. Quello che segue propone il libro che dall'opera può</w:t>
      </w:r>
    </w:p>
    <w:p>
      <w:pPr>
        <w:spacing w:after="120" w:line="276"/>
        <w:jc w:val="both"/>
      </w:pPr>
      <w:r>
        <w:rPr>
          <w:rFonts w:ascii="Barlow Semi Condensed" w:cs="Barlow Semi Condensed" w:eastAsia="Barlow Semi Condensed" w:hAnsi="Barlow Semi Condensed"/>
          <w:sz w:val="24"/>
          <w:szCs w:val="24"/>
        </w:rPr>
        <w:t xml:space="preserve">nascere: breve, leggibile, e su un argomento che l'opera possiede per intero</w:t>
      </w:r>
    </w:p>
    <w:p>
      <w:pPr>
        <w:spacing w:after="120" w:line="276"/>
        <w:jc w:val="both"/>
      </w:pPr>
      <w:r>
        <w:rPr>
          <w:rFonts w:ascii="Barlow Semi Condensed" w:cs="Barlow Semi Condensed" w:eastAsia="Barlow Semi Condensed" w:hAnsi="Barlow Semi Condensed"/>
          <w:sz w:val="24"/>
          <w:szCs w:val="24"/>
        </w:rPr>
        <w:t xml:space="preserve">mentre quasi nessuno lo possiede — che cosa una macchina trova e che cosa non</w:t>
      </w:r>
    </w:p>
    <w:p>
      <w:pPr>
        <w:spacing w:after="120" w:line="276"/>
        <w:jc w:val="both"/>
      </w:pPr>
      <w:r>
        <w:rPr>
          <w:rFonts w:ascii="Barlow Semi Condensed" w:cs="Barlow Semi Condensed" w:eastAsia="Barlow Semi Condensed" w:hAnsi="Barlow Semi Condensed"/>
          <w:sz w:val="24"/>
          <w:szCs w:val="24"/>
        </w:rPr>
        <w:t xml:space="preserve">trova, quando la si mette a lavorare su un caso italiano documentatissimo.</w:t>
      </w:r>
    </w:p>
    <w:p>
      <w:pPr>
        <w:spacing w:after="120" w:line="276"/>
        <w:jc w:val="both"/>
      </w:pPr>
      <w:r>
        <w:rPr>
          <w:rFonts w:ascii="Barlow Semi Condensed" w:cs="Barlow Semi Condensed" w:eastAsia="Barlow Semi Condensed" w:hAnsi="Barlow Semi Condensed"/>
          <w:sz w:val="24"/>
          <w:szCs w:val="24"/>
        </w:rPr>
        <w:t xml:space="preserve">Il corpus resta disponibile come apparato di riscontro, non come manoscritto.</w:t>
      </w:r>
    </w:p>
    <w:p>
      <w:pPr>
        <w:spacing w:after="120" w:line="276"/>
        <w:jc w:val="both"/>
      </w:pPr>
      <w:r>
        <w:rPr>
          <w:rFonts w:ascii="Barlow Semi Condensed" w:cs="Barlow Semi Condensed" w:eastAsia="Barlow Semi Condensed" w:hAnsi="Barlow Semi Condensed"/>
          <w:sz w:val="24"/>
          <w:szCs w:val="24"/>
        </w:rPr>
        <w:t xml:space="preserve">Va detto, poiché lo offro: dei suoi quattordici Libri uno solo — un dossier</w:t>
      </w:r>
    </w:p>
    <w:p>
      <w:pPr>
        <w:spacing w:after="120" w:line="276"/>
        <w:jc w:val="both"/>
      </w:pPr>
      <w:r>
        <w:rPr>
          <w:rFonts w:ascii="Barlow Semi Condensed" w:cs="Barlow Semi Condensed" w:eastAsia="Barlow Semi Condensed" w:hAnsi="Barlow Semi Condensed"/>
          <w:sz w:val="24"/>
          <w:szCs w:val="24"/>
        </w:rPr>
        <w:t xml:space="preserve">d'autore anteriore, conservato per intero anziché riscritto — nella seconda metà</w:t>
      </w:r>
    </w:p>
    <w:p>
      <w:pPr>
        <w:spacing w:after="120" w:line="276"/>
        <w:jc w:val="both"/>
      </w:pPr>
      <w:r>
        <w:rPr>
          <w:rFonts w:ascii="Barlow Semi Condensed" w:cs="Barlow Semi Condensed" w:eastAsia="Barlow Semi Condensed" w:hAnsi="Barlow Semi Condensed"/>
          <w:sz w:val="24"/>
          <w:szCs w:val="24"/>
        </w:rPr>
        <w:t xml:space="preserve">ordina secondo la plausibilità del coinvolgimento, per categorie di soggetti e</w:t>
      </w:r>
    </w:p>
    <w:p>
      <w:pPr>
        <w:spacing w:after="120" w:line="276"/>
        <w:jc w:val="both"/>
      </w:pPr>
      <w:r>
        <w:rPr>
          <w:rFonts w:ascii="Barlow Semi Condensed" w:cs="Barlow Semi Condensed" w:eastAsia="Barlow Semi Condensed" w:hAnsi="Barlow Semi Condensed"/>
          <w:sz w:val="24"/>
          <w:szCs w:val="24"/>
        </w:rPr>
        <w:t xml:space="preserve">non per nomi individuali. L'eccezione è dichiarata in copertina, è limitata a</w:t>
      </w:r>
    </w:p>
    <w:p>
      <w:pPr>
        <w:spacing w:after="120" w:line="276"/>
        <w:jc w:val="both"/>
      </w:pPr>
      <w:r>
        <w:rPr>
          <w:rFonts w:ascii="Barlow Semi Condensed" w:cs="Barlow Semi Condensed" w:eastAsia="Barlow Semi Condensed" w:hAnsi="Barlow Semi Condensed"/>
          <w:sz w:val="24"/>
          <w:szCs w:val="24"/>
        </w:rPr>
        <w:t xml:space="preserve">quel Libro, e ordinare per plausibilità non è condannare. Il saggio che propongo</w:t>
      </w:r>
    </w:p>
    <w:p>
      <w:pPr>
        <w:spacing w:after="120" w:line="276"/>
        <w:jc w:val="both"/>
      </w:pPr>
      <w:r>
        <w:rPr>
          <w:rFonts w:ascii="Barlow Semi Condensed" w:cs="Barlow Semi Condensed" w:eastAsia="Barlow Semi Condensed" w:hAnsi="Barlow Semi Condensed"/>
          <w:sz w:val="24"/>
          <w:szCs w:val="24"/>
        </w:rPr>
        <w:t xml:space="preserve">non la riprende.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inviare a: info@laterza.it</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Proposta editoriale — «Il buco misurato». Un esperimento di ricerca</w:t>
      </w:r>
    </w:p>
    <w:p>
      <w:pPr>
        <w:spacing w:after="120" w:line="276"/>
        <w:jc w:val="both"/>
      </w:pPr>
      <w:r>
        <w:rPr>
          <w:rFonts w:ascii="Barlow Semi Condensed" w:cs="Barlow Semi Condensed" w:eastAsia="Barlow Semi Condensed" w:hAnsi="Barlow Semi Condensed"/>
          <w:sz w:val="24"/>
          <w:szCs w:val="24"/>
        </w:rPr>
        <w:t xml:space="preserve">storica assistita da intelligenza artificiale sul caso Moro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alla vostra attenzione una proposta di saggio breve, secondo le</w:t>
      </w:r>
    </w:p>
    <w:p>
      <w:pPr>
        <w:spacing w:after="120" w:line="276"/>
        <w:jc w:val="both"/>
      </w:pPr>
      <w:r>
        <w:rPr>
          <w:rFonts w:ascii="Barlow Semi Condensed" w:cs="Barlow Semi Condensed" w:eastAsia="Barlow Semi Condensed" w:hAnsi="Barlow Semi Condensed"/>
          <w:sz w:val="24"/>
          <w:szCs w:val="24"/>
        </w:rPr>
        <w:t xml:space="preserve">indicazioni pubblicate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w:t>
      </w:r>
    </w:p>
    <w:p>
      <w:pPr>
        <w:spacing w:after="120" w:line="276"/>
        <w:jc w:val="both"/>
      </w:pPr>
      <w:r>
        <w:rPr>
          <w:rFonts w:ascii="Barlow Semi Condensed" w:cs="Barlow Semi Condensed" w:eastAsia="Barlow Semi Condensed" w:hAnsi="Barlow Semi Condensed"/>
          <w:sz w:val="24"/>
          <w:szCs w:val="24"/>
        </w:rPr>
        <w:t xml:space="preserve">dichiaro in apertura perché non è un dettaglio produttivo: **è l'oggetto stesso</w:t>
      </w:r>
    </w:p>
    <w:p>
      <w:pPr>
        <w:spacing w:after="120" w:line="276"/>
        <w:jc w:val="both"/>
      </w:pPr>
      <w:r>
        <w:rPr>
          <w:rFonts w:ascii="Barlow Semi Condensed" w:cs="Barlow Semi Condensed" w:eastAsia="Barlow Semi Condensed" w:hAnsi="Barlow Semi Condensed"/>
          <w:sz w:val="24"/>
          <w:szCs w:val="24"/>
        </w:rPr>
        <w:t xml:space="preserve">del libro**.</w:t>
      </w:r>
    </w:p>
    <w:p>
      <w:pPr>
        <w:spacing w:after="120" w:line="276"/>
        <w:jc w:val="both"/>
      </w:pPr>
      <w:r>
        <w:rPr>
          <w:rFonts w:ascii="Barlow Semi Condensed" w:cs="Barlow Semi Condensed" w:eastAsia="Barlow Semi Condensed" w:hAnsi="Barlow Semi Condensed"/>
          <w:b/>
          <w:bCs/>
          <w:sz w:val="24"/>
          <w:szCs w:val="24"/>
        </w:rPr>
        <w:t xml:space="preserve">L'idea fondamentale.</w:t>
      </w:r>
      <w:r>
        <w:rPr>
          <w:rFonts w:ascii="Barlow Semi Condensed" w:cs="Barlow Semi Condensed" w:eastAsia="Barlow Semi Condensed" w:hAnsi="Barlow Semi Condensed"/>
          <w:sz w:val="24"/>
          <w:szCs w:val="24"/>
        </w:rPr>
        <w:t xml:space="preserve"> Nel 2026 ho condotto un esperimento: mettere</w:t>
      </w:r>
    </w:p>
    <w:p>
      <w:pPr>
        <w:spacing w:after="120" w:line="276"/>
        <w:jc w:val="both"/>
      </w:pPr>
      <w:r>
        <w:rPr>
          <w:rFonts w:ascii="Barlow Semi Condensed" w:cs="Barlow Semi Condensed" w:eastAsia="Barlow Semi Condensed" w:hAnsi="Barlow Semi Condensed"/>
          <w:sz w:val="24"/>
          <w:szCs w:val="24"/>
        </w:rPr>
        <w:t xml:space="preserve">sistemi di intelligenza artificiale a lavorare, con una disciplina metodologica</w:t>
      </w:r>
    </w:p>
    <w:p>
      <w:pPr>
        <w:spacing w:after="120" w:line="276"/>
        <w:jc w:val="both"/>
      </w:pPr>
      <w:r>
        <w:rPr>
          <w:rFonts w:ascii="Barlow Semi Condensed" w:cs="Barlow Semi Condensed" w:eastAsia="Barlow Semi Condensed" w:hAnsi="Barlow Semi Condensed"/>
          <w:sz w:val="24"/>
          <w:szCs w:val="24"/>
        </w:rPr>
        <w:t xml:space="preserve">rigida e dichiarata, su uno dei casi più documentati e più infestati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 il sequestro e l'omicidio di Aldo Moro.</w:t>
      </w:r>
    </w:p>
    <w:p>
      <w:pPr>
        <w:spacing w:after="120" w:line="276"/>
        <w:jc w:val="both"/>
      </w:pPr>
      <w:r>
        <w:rPr>
          <w:rFonts w:ascii="Barlow Semi Condensed" w:cs="Barlow Semi Condensed" w:eastAsia="Barlow Semi Condensed" w:hAnsi="Barlow Semi Condensed"/>
          <w:sz w:val="24"/>
          <w:szCs w:val="24"/>
        </w:rPr>
        <w:t xml:space="preserve">Il risultato è un corpus di circa 1.750 pagine e 7.699 «blocchi mirati», cioè</w:t>
      </w:r>
    </w:p>
    <w:p>
      <w:pPr>
        <w:spacing w:after="120" w:line="276"/>
        <w:jc w:val="both"/>
      </w:pPr>
      <w:r>
        <w:rPr>
          <w:rFonts w:ascii="Barlow Semi Condensed" w:cs="Barlow Semi Condensed" w:eastAsia="Barlow Semi Condensed" w:hAnsi="Barlow Semi Condensed"/>
          <w:sz w:val="24"/>
          <w:szCs w:val="24"/>
        </w:rPr>
        <w:t xml:space="preserve">bersagli di ricerca e non affermazioni. Il libro che propongo non è quel corpus:</w:t>
      </w:r>
    </w:p>
    <w:p>
      <w:pPr>
        <w:spacing w:after="120" w:line="276"/>
        <w:jc w:val="both"/>
      </w:pPr>
      <w:r>
        <w:rPr>
          <w:rFonts w:ascii="Barlow Semi Condensed" w:cs="Barlow Semi Condensed" w:eastAsia="Barlow Semi Condensed" w:hAnsi="Barlow Semi Condensed"/>
          <w:sz w:val="24"/>
          <w:szCs w:val="24"/>
        </w:rPr>
        <w:t xml:space="preserve">è il </w:t>
      </w:r>
      <w:r>
        <w:rPr>
          <w:rFonts w:ascii="Barlow Semi Condensed" w:cs="Barlow Semi Condensed" w:eastAsia="Barlow Semi Condensed" w:hAnsi="Barlow Semi Condensed"/>
          <w:b/>
          <w:bCs/>
          <w:sz w:val="24"/>
          <w:szCs w:val="24"/>
        </w:rPr>
        <w:t xml:space="preserve">resoconto dell'esperimento</w:t>
      </w:r>
      <w:r>
        <w:rPr>
          <w:rFonts w:ascii="Barlow Semi Condensed" w:cs="Barlow Semi Condensed" w:eastAsia="Barlow Semi Condensed" w:hAnsi="Barlow Semi Condensed"/>
          <w:sz w:val="24"/>
          <w:szCs w:val="24"/>
        </w:rPr>
        <w:t xml:space="preserve">,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La tesi.</w:t>
      </w:r>
      <w:r>
        <w:rPr>
          <w:rFonts w:ascii="Barlow Semi Condensed" w:cs="Barlow Semi Condensed" w:eastAsia="Barlow Semi Condensed" w:hAnsi="Barlow Semi Condensed"/>
          <w:sz w:val="24"/>
          <w:szCs w:val="24"/>
        </w:rPr>
        <w:t xml:space="preserve"> Una macchina messa a cercare connessioni le trova sempre. La sola</w:t>
      </w:r>
    </w:p>
    <w:p>
      <w:pPr>
        <w:spacing w:after="120" w:line="276"/>
        <w:jc w:val="both"/>
      </w:pPr>
      <w:r>
        <w:rPr>
          <w:rFonts w:ascii="Barlow Semi Condensed" w:cs="Barlow Semi Condensed" w:eastAsia="Barlow Semi Condensed" w:hAnsi="Barlow Semi Condensed"/>
          <w:sz w:val="24"/>
          <w:szCs w:val="24"/>
        </w:rPr>
        <w:t xml:space="preserve">cosa che glielo impedisce è una disciplina scritta prima, e la parte interessante</w:t>
      </w:r>
    </w:p>
    <w:p>
      <w:pPr>
        <w:spacing w:after="120" w:line="276"/>
        <w:jc w:val="both"/>
      </w:pPr>
      <w:r>
        <w:rPr>
          <w:rFonts w:ascii="Barlow Semi Condensed" w:cs="Barlow Semi Condensed" w:eastAsia="Barlow Semi Condensed" w:hAnsi="Barlow Semi Condensed"/>
          <w:sz w:val="24"/>
          <w:szCs w:val="24"/>
        </w:rPr>
        <w:t xml:space="preserve">del lavoro non sono i risultati ma **i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 Il libro racconta sette di questi punti, ciascuno con il</w:t>
      </w:r>
    </w:p>
    <w:p>
      <w:pPr>
        <w:spacing w:after="120" w:line="276"/>
        <w:jc w:val="both"/>
      </w:pPr>
      <w:r>
        <w:rPr>
          <w:rFonts w:ascii="Barlow Semi Condensed" w:cs="Barlow Semi Condensed" w:eastAsia="Barlow Semi Condensed" w:hAnsi="Barlow Semi Condensed"/>
          <w:sz w:val="24"/>
          <w:szCs w:val="24"/>
        </w:rPr>
        <w:t xml:space="preserve">suo caso concreto.</w:t>
      </w:r>
    </w:p>
    <w:p>
      <w:pPr>
        <w:spacing w:after="120" w:line="276"/>
        <w:jc w:val="both"/>
      </w:pPr>
      <w:r>
        <w:rPr>
          <w:rFonts w:ascii="Barlow Semi Condensed" w:cs="Barlow Semi Condensed" w:eastAsia="Barlow Semi Condensed" w:hAnsi="Barlow Semi Condensed"/>
          <w:b/>
          <w:bCs/>
          <w:sz w:val="24"/>
          <w:szCs w:val="24"/>
        </w:rPr>
        <w:t xml:space="preserve">Alcuni esempi di che cosa contiene.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la prova</w:t>
      </w:r>
    </w:p>
    <w:p>
      <w:pPr>
        <w:spacing w:after="120" w:line="276"/>
        <w:jc w:val="both"/>
      </w:pPr>
      <w:r>
        <w:rPr>
          <w:rFonts w:ascii="Barlow Semi Condensed" w:cs="Barlow Semi Condensed" w:eastAsia="Barlow Semi Condensed" w:hAnsi="Barlow Semi Condensed"/>
          <w:sz w:val="24"/>
          <w:szCs w:val="24"/>
        </w:rPr>
        <w:t xml:space="preserve">  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  banale e nessuno l'aveva pubblicata in questa forma.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versante mai cercato.</w:t>
      </w:r>
      <w:r>
        <w:rPr>
          <w:rFonts w:ascii="Barlow Semi Condensed" w:cs="Barlow Semi Condensed" w:eastAsia="Barlow Semi Condensed" w:hAnsi="Barlow Semi Condensed"/>
          <w:sz w:val="24"/>
          <w:szCs w:val="24"/>
        </w:rPr>
        <w:t xml:space="preserve"> Di quel colloquio esiste un solo verbale, quello</w:t>
      </w:r>
    </w:p>
    <w:p>
      <w:pPr>
        <w:spacing w:after="120" w:line="276"/>
        <w:jc w:val="both"/>
      </w:pPr>
      <w:r>
        <w:rPr>
          <w:rFonts w:ascii="Barlow Semi Condensed" w:cs="Barlow Semi Condensed" w:eastAsia="Barlow Semi Condensed" w:hAnsi="Barlow Semi Condensed"/>
          <w:sz w:val="24"/>
          <w:szCs w:val="24"/>
        </w:rPr>
        <w:t xml:space="preserve">  americano. L'appunto italiano dello stesso incontro non risulta essere mai</w:t>
      </w:r>
    </w:p>
    <w:p>
      <w:pPr>
        <w:spacing w:after="120" w:line="276"/>
        <w:jc w:val="both"/>
      </w:pPr>
      <w:r>
        <w:rPr>
          <w:rFonts w:ascii="Barlow Semi Condensed" w:cs="Barlow Semi Condensed" w:eastAsia="Barlow Semi Condensed" w:hAnsi="Barlow Semi Condensed"/>
          <w:sz w:val="24"/>
          <w:szCs w:val="24"/>
        </w:rPr>
        <w:t xml:space="preserve">  stato cercato, e il suo esito sarebbe dirimente in tutte e tre le direzioni</w:t>
      </w:r>
    </w:p>
    <w:p>
      <w:pPr>
        <w:spacing w:after="120" w:line="276"/>
        <w:jc w:val="both"/>
      </w:pPr>
      <w:r>
        <w:rPr>
          <w:rFonts w:ascii="Barlow Semi Condensed" w:cs="Barlow Semi Condensed" w:eastAsia="Barlow Semi Condensed" w:hAnsi="Barlow Semi Condensed"/>
          <w:sz w:val="24"/>
          <w:szCs w:val="24"/>
        </w:rPr>
        <w:t xml:space="preserve">  possibili.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Lo Stato Zero e il silenzio d'oggetto.</w:t>
      </w:r>
      <w:r>
        <w:rPr>
          <w:rFonts w:ascii="Barlow Semi Condensed" w:cs="Barlow Semi Condensed" w:eastAsia="Barlow Semi Condensed" w:hAnsi="Barlow Semi Condensed"/>
          <w:sz w:val="24"/>
          <w:szCs w:val="24"/>
        </w:rPr>
        <w:t xml:space="preserve"> Una distinzione che l'esperimento ha</w:t>
      </w:r>
    </w:p>
    <w:p>
      <w:pPr>
        <w:spacing w:after="120" w:line="276"/>
        <w:jc w:val="both"/>
      </w:pPr>
      <w:r>
        <w:rPr>
          <w:rFonts w:ascii="Barlow Semi Condensed" w:cs="Barlow Semi Condensed" w:eastAsia="Barlow Semi Condensed" w:hAnsi="Barlow Semi Condensed"/>
          <w:sz w:val="24"/>
          <w:szCs w:val="24"/>
        </w:rPr>
        <w:t xml:space="preserve">  dovuto inventare per non trasformare ogni assenza tematica in un indizio: un</w:t>
      </w:r>
    </w:p>
    <w:p>
      <w:pPr>
        <w:spacing w:after="120" w:line="276"/>
        <w:jc w:val="both"/>
      </w:pPr>
      <w:r>
        <w:rPr>
          <w:rFonts w:ascii="Barlow Semi Condensed" w:cs="Barlow Semi Condensed" w:eastAsia="Barlow Semi Condensed" w:hAnsi="Barlow Semi Condensed"/>
          <w:sz w:val="24"/>
          <w:szCs w:val="24"/>
        </w:rPr>
        <w:t xml:space="preserve">  esito negativo vale solo se si può nominare la sede in cui si è cercato.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L'attesa dichiarata.</w:t>
      </w:r>
      <w:r>
        <w:rPr>
          <w:rFonts w:ascii="Barlow Semi Condensed" w:cs="Barlow Semi Condensed" w:eastAsia="Barlow Semi Condensed" w:hAnsi="Barlow Semi Condensed"/>
          <w:sz w:val="24"/>
          <w:szCs w:val="24"/>
        </w:rPr>
        <w:t xml:space="preserve"> L'antidoto all'errore speculare del precedente: non</w:t>
      </w:r>
    </w:p>
    <w:p>
      <w:pPr>
        <w:spacing w:after="120" w:line="276"/>
        <w:jc w:val="both"/>
      </w:pPr>
      <w:r>
        <w:rPr>
          <w:rFonts w:ascii="Barlow Semi Condensed" w:cs="Barlow Semi Condensed" w:eastAsia="Barlow Semi Condensed" w:hAnsi="Barlow Semi Condensed"/>
          <w:sz w:val="24"/>
          <w:szCs w:val="24"/>
        </w:rPr>
        <w:t xml:space="preserve">  trovare un nome dove nessuno si aspettava di trovarlo non è una scoperta.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Come falliscono i controlli automatici.</w:t>
      </w:r>
      <w:r>
        <w:rPr>
          <w:rFonts w:ascii="Barlow Semi Condensed" w:cs="Barlow Semi Condensed" w:eastAsia="Barlow Semi Condensed" w:hAnsi="Barlow Semi Condensed"/>
          <w:sz w:val="24"/>
          <w:szCs w:val="24"/>
        </w:rPr>
        <w:t xml:space="preserve"> Otto casi documentati in cui la</w:t>
      </w:r>
    </w:p>
    <w:p>
      <w:pPr>
        <w:spacing w:after="120" w:line="276"/>
        <w:jc w:val="both"/>
      </w:pPr>
      <w:r>
        <w:rPr>
          <w:rFonts w:ascii="Barlow Semi Condensed" w:cs="Barlow Semi Condensed" w:eastAsia="Barlow Semi Condensed" w:hAnsi="Barlow Semi Condensed"/>
          <w:sz w:val="24"/>
          <w:szCs w:val="24"/>
        </w:rPr>
        <w:t xml:space="preserve">  verifica meccanica ha segnalato come violazione proprio i passaggi che</w:t>
      </w:r>
    </w:p>
    <w:p>
      <w:pPr>
        <w:spacing w:after="120" w:line="276"/>
        <w:jc w:val="both"/>
      </w:pPr>
      <w:r>
        <w:rPr>
          <w:rFonts w:ascii="Barlow Semi Condensed" w:cs="Barlow Semi Condensed" w:eastAsia="Barlow Semi Condensed" w:hAnsi="Barlow Semi Condensed"/>
          <w:sz w:val="24"/>
          <w:szCs w:val="24"/>
        </w:rPr>
        <w:t xml:space="preserve">  applicavano la regola — perché per vietare una formula bisogna scriverla.</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Il caso Moro vi funziona come </w:t>
      </w:r>
      <w:r>
        <w:rPr>
          <w:rFonts w:ascii="Barlow Semi Condensed" w:cs="Barlow Semi Condensed" w:eastAsia="Barlow Semi Condensed" w:hAnsi="Barlow Semi Condensed"/>
          <w:b/>
          <w:bCs/>
          <w:sz w:val="24"/>
          <w:szCs w:val="24"/>
        </w:rPr>
        <w:t xml:space="preserve">banco di prova</w:t>
      </w:r>
      <w:r>
        <w:rPr>
          <w:rFonts w:ascii="Barlow Semi Condensed" w:cs="Barlow Semi Condensed" w:eastAsia="Barlow Semi Condensed" w:hAnsi="Barlow Semi Condensed"/>
          <w:sz w:val="24"/>
          <w:szCs w:val="24"/>
        </w:rPr>
        <w:t xml:space="preserve">, non come oggetto:</w:t>
      </w:r>
    </w:p>
    <w:p>
      <w:pPr>
        <w:spacing w:after="120" w:line="276"/>
        <w:jc w:val="both"/>
      </w:pPr>
      <w:r>
        <w:rPr>
          <w:rFonts w:ascii="Barlow Semi Condensed" w:cs="Barlow Semi Condensed" w:eastAsia="Barlow Semi Condensed" w:hAnsi="Barlow Semi Condensed"/>
          <w:sz w:val="24"/>
          <w:szCs w:val="24"/>
        </w:rPr>
        <w:t xml:space="preserve">serve perché è documentatissimo, perché la sua letteratura è tossica, e perché</w:t>
      </w:r>
    </w:p>
    <w:p>
      <w:pPr>
        <w:spacing w:after="120" w:line="276"/>
        <w:jc w:val="both"/>
      </w:pPr>
      <w:r>
        <w:rPr>
          <w:rFonts w:ascii="Barlow Semi Condensed" w:cs="Barlow Semi Condensed" w:eastAsia="Barlow Semi Condensed" w:hAnsi="Barlow Semi Condensed"/>
          <w:sz w:val="24"/>
          <w:szCs w:val="24"/>
        </w:rPr>
        <w:t xml:space="preserve">chiunque 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storica e civile; e il pubblico, più</w:t>
      </w:r>
    </w:p>
    <w:p>
      <w:pPr>
        <w:spacing w:after="120" w:line="276"/>
        <w:jc w:val="both"/>
      </w:pPr>
      <w:r>
        <w:rPr>
          <w:rFonts w:ascii="Barlow Semi Condensed" w:cs="Barlow Semi Condensed" w:eastAsia="Barlow Semi Condensed" w:hAnsi="Barlow Semi Condensed"/>
          <w:sz w:val="24"/>
          <w:szCs w:val="24"/>
        </w:rPr>
        <w:t xml:space="preserve">ampio e oggi mal servito, di chi vuole capire che cosa questi sistemi facciano</w:t>
      </w:r>
    </w:p>
    <w:p>
      <w:pPr>
        <w:spacing w:after="120" w:line="276"/>
        <w:jc w:val="both"/>
      </w:pPr>
      <w:r>
        <w:rPr>
          <w:rFonts w:ascii="Barlow Semi Condensed" w:cs="Barlow Semi Condensed" w:eastAsia="Barlow Semi Condensed" w:hAnsi="Barlow Semi Condensed"/>
          <w:sz w:val="24"/>
          <w:szCs w:val="24"/>
        </w:rPr>
        <w:t xml:space="preserve">davvero quando li si mette al lavoro su qualcosa di verificabile — al di là</w:t>
      </w:r>
    </w:p>
    <w:p>
      <w:pPr>
        <w:spacing w:after="120" w:line="276"/>
        <w:jc w:val="both"/>
      </w:pPr>
      <w:r>
        <w:rPr>
          <w:rFonts w:ascii="Barlow Semi Condensed" w:cs="Barlow Semi Condensed" w:eastAsia="Barlow Semi Condensed" w:hAnsi="Barlow Semi Condensed"/>
          <w:sz w:val="24"/>
          <w:szCs w:val="24"/>
        </w:rPr>
        <w:t xml:space="preserve">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w:t>
      </w:r>
      <w:r>
        <w:rPr>
          <w:rFonts w:ascii="Barlow Semi Condensed" w:cs="Barlow Semi Condensed" w:eastAsia="Barlow Semi Condensed" w:hAnsi="Barlow Semi Condensed"/>
          <w:b/>
          <w:bCs/>
          <w:sz w:val="24"/>
          <w:szCs w:val="24"/>
        </w:rPr>
        <w:t xml:space="preserve">140-180 pagine</w:t>
      </w:r>
      <w:r>
        <w:rPr>
          <w:rFonts w:ascii="Barlow Semi Condensed" w:cs="Barlow Semi Condensed" w:eastAsia="Barlow Semi Condensed" w:hAnsi="Barlow Semi Condensed"/>
          <w:sz w:val="24"/>
          <w:szCs w:val="24"/>
        </w:rPr>
        <w:t xml:space="preserve">, senza illustrazioni,</w:t>
      </w:r>
    </w:p>
    <w:p>
      <w:pPr>
        <w:spacing w:after="120" w:line="276"/>
        <w:jc w:val="both"/>
      </w:pPr>
      <w:r>
        <w:rPr>
          <w:rFonts w:ascii="Barlow Semi Condensed" w:cs="Barlow Semi Condensed" w:eastAsia="Barlow Semi Condensed" w:hAnsi="Barlow Semi Condensed"/>
          <w:sz w:val="24"/>
          <w:szCs w:val="24"/>
        </w:rPr>
        <w:t xml:space="preserve">articolato in sette capitoli più un'appendice con i cinque atti d'archivio</w:t>
      </w:r>
    </w:p>
    <w:p>
      <w:pPr>
        <w:spacing w:after="120" w:line="276"/>
        <w:jc w:val="both"/>
      </w:pPr>
      <w:r>
        <w:rPr>
          <w:rFonts w:ascii="Barlow Semi Condensed" w:cs="Barlow Semi Condensed" w:eastAsia="Barlow Semi Condensed" w:hAnsi="Barlow Semi Condensed"/>
          <w:sz w:val="24"/>
          <w:szCs w:val="24"/>
        </w:rPr>
        <w:t xml:space="preserve">eseguibili che l'esperimento ha prodotto. Nessuna nota a piè di pagina: i</w:t>
      </w:r>
    </w:p>
    <w:p>
      <w:pPr>
        <w:spacing w:after="120" w:line="276"/>
        <w:jc w:val="both"/>
      </w:pPr>
      <w:r>
        <w:rPr>
          <w:rFonts w:ascii="Barlow Semi Condensed" w:cs="Barlow Semi Condensed" w:eastAsia="Barlow Semi Condensed" w:hAnsi="Barlow Semi Condensed"/>
          <w:sz w:val="24"/>
          <w:szCs w:val="24"/>
        </w:rPr>
        <w:t xml:space="preserve">riferimenti sono nel corpo, e 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w:t>
      </w:r>
    </w:p>
    <w:p>
      <w:pPr>
        <w:spacing w:after="120" w:line="276"/>
        <w:jc w:val="both"/>
      </w:pPr>
      <w:r>
        <w:rPr>
          <w:rFonts w:ascii="Barlow Semi Condensed" w:cs="Barlow Semi Condensed" w:eastAsia="Barlow Semi Condensed" w:hAnsi="Barlow Semi Condensed"/>
          <w:sz w:val="24"/>
          <w:szCs w:val="24"/>
        </w:rPr>
        <w:t xml:space="preserve">esistono la struttura, i sette casi e tutto il materiale;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 otto pagine, «Il documento che non dice ciò che tutti</w:t>
      </w:r>
    </w:p>
    <w:p>
      <w:pPr>
        <w:spacing w:after="120" w:line="276"/>
        <w:jc w:val="both"/>
      </w:pPr>
      <w:r>
        <w:rPr>
          <w:rFonts w:ascii="Barlow Semi Condensed" w:cs="Barlow Semi Condensed" w:eastAsia="Barlow Semi Condensed" w:hAnsi="Barlow Semi Condensed"/>
          <w:sz w:val="24"/>
          <w:szCs w:val="24"/>
        </w:rPr>
        <w:t xml:space="preserve">citano» — perché è il modo più rapido per giudicare la scrittura senza</w:t>
      </w:r>
    </w:p>
    <w:p>
      <w:pPr>
        <w:spacing w:after="120" w:line="276"/>
        <w:jc w:val="both"/>
      </w:pPr>
      <w:r>
        <w:rPr>
          <w:rFonts w:ascii="Barlow Semi Condensed" w:cs="Barlow Semi Condensed" w:eastAsia="Barlow Semi Condensed" w:hAnsi="Barlow Semi Condensed"/>
          <w:sz w:val="24"/>
          <w:szCs w:val="24"/>
        </w:rPr>
        <w:t xml:space="preserve">credermi sulla parola. Il resto del testo è da scrivere.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Variante PEC — solo se si vuole certificare l'invio</w:t>
      </w:r>
    </w:p>
    <w:p>
      <w:pPr>
        <w:spacing w:after="120" w:line="276"/>
        <w:jc w:val="both"/>
      </w:pPr>
      <w:r>
        <w:rPr>
          <w:rFonts w:ascii="Barlow Semi Condensed" w:cs="Barlow Semi Condensed" w:eastAsia="Barlow Semi Condensed" w:hAnsi="Barlow Semi Condensed"/>
          <w:sz w:val="24"/>
          <w:szCs w:val="24"/>
        </w:rPr>
        <w:t xml:space="preserve">Se si desidera comunque una traccia certificata, la PEC va usata </w:t>
      </w:r>
      <w:r>
        <w:rPr>
          <w:rFonts w:ascii="Barlow Semi Condensed" w:cs="Barlow Semi Condensed" w:eastAsia="Barlow Semi Condensed" w:hAnsi="Barlow Semi Condensed"/>
          <w:b/>
          <w:bCs/>
          <w:sz w:val="24"/>
          <w:szCs w:val="24"/>
        </w:rPr>
        <w:t xml:space="preserve">in aggiunta</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non al posto della proposta ordinaria, con lo stesso testo, allegando la sola</w:t>
      </w:r>
    </w:p>
    <w:p>
      <w:pPr>
        <w:spacing w:after="120" w:line="276"/>
        <w:jc w:val="both"/>
      </w:pPr>
      <w:r>
        <w:rPr>
          <w:rFonts w:ascii="Barlow Semi Condensed" w:cs="Barlow Semi Condensed" w:eastAsia="Barlow Semi Condensed" w:hAnsi="Barlow Semi Condensed"/>
          <w:sz w:val="24"/>
          <w:szCs w:val="24"/>
        </w:rPr>
        <w:t xml:space="preserve">proposta in PDF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l'opera. L'indirizzo PEC della società — Gius. Laterza</w:t>
      </w:r>
    </w:p>
    <w:p>
      <w:pPr>
        <w:spacing w:after="120" w:line="276"/>
        <w:jc w:val="both"/>
      </w:pPr>
      <w:r>
        <w:rPr>
          <w:rFonts w:ascii="Barlow Semi Condensed" w:cs="Barlow Semi Condensed" w:eastAsia="Barlow Semi Condensed" w:hAnsi="Barlow Semi Condensed"/>
          <w:sz w:val="24"/>
          <w:szCs w:val="24"/>
        </w:rPr>
        <w:t xml:space="preserve">&amp; Figli S.p.A., sede legale Piazza Umberto I 54, 70121 Bari — è reperibile</w:t>
      </w:r>
    </w:p>
    <w:p>
      <w:pPr>
        <w:spacing w:after="120" w:line="276"/>
        <w:jc w:val="both"/>
      </w:pPr>
      <w:r>
        <w:rPr>
          <w:rFonts w:ascii="Barlow Semi Condensed" w:cs="Barlow Semi Condensed" w:eastAsia="Barlow Semi Condensed" w:hAnsi="Barlow Semi Condensed"/>
          <w:sz w:val="24"/>
          <w:szCs w:val="24"/>
        </w:rPr>
        <w:t xml:space="preserve">nell'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il registro dei domicili digitali delle imprese: non è</w:t>
      </w:r>
    </w:p>
    <w:p>
      <w:pPr>
        <w:spacing w:after="120" w:line="276"/>
        <w:jc w:val="both"/>
      </w:pPr>
      <w:r>
        <w:rPr>
          <w:rFonts w:ascii="Barlow Semi Condensed" w:cs="Barlow Semi Condensed" w:eastAsia="Barlow Semi Condensed" w:hAnsi="Barlow Semi Condensed"/>
          <w:sz w:val="24"/>
          <w:szCs w:val="24"/>
        </w:rPr>
        <w:t xml:space="preserve">riportato qui perché non è stato possibile accertarlo, e non va ipotizzato.</w:t>
      </w:r>
    </w:p>
    <w:p>
      <w:pPr>
        <w:spacing w:after="120" w:line="276"/>
        <w:jc w:val="both"/>
      </w:pPr>
      <w:r>
        <w:rPr>
          <w:rFonts w:ascii="Barlow Semi Condensed" w:cs="Barlow Semi Condensed" w:eastAsia="Barlow Semi Condensed" w:hAnsi="Barlow Semi Condensed"/>
          <w:sz w:val="24"/>
          <w:szCs w:val="24"/>
        </w:rPr>
        <w:t xml:space="preserve">Va però detto che la PEC, verso un editore, non aggiunge nulla di utile: certifica</w:t>
      </w:r>
    </w:p>
    <w:p>
      <w:pPr>
        <w:spacing w:after="120" w:line="276"/>
        <w:jc w:val="both"/>
      </w:pPr>
      <w:r>
        <w:rPr>
          <w:rFonts w:ascii="Barlow Semi Condensed" w:cs="Barlow Semi Condensed" w:eastAsia="Barlow Semi Condensed" w:hAnsi="Barlow Semi Condensed"/>
          <w:sz w:val="24"/>
          <w:szCs w:val="24"/>
        </w:rPr>
        <w:t xml:space="preserve">la consegna, non l'attenzione. La proposta viene letta perché è breve e</w:t>
      </w:r>
    </w:p>
    <w:p>
      <w:pPr>
        <w:spacing w:after="120" w:line="276"/>
        <w:jc w:val="both"/>
      </w:pPr>
      <w:r>
        <w:rPr>
          <w:rFonts w:ascii="Barlow Semi Condensed" w:cs="Barlow Semi Condensed" w:eastAsia="Barlow Semi Condensed" w:hAnsi="Barlow Semi Condensed"/>
          <w:sz w:val="24"/>
          <w:szCs w:val="24"/>
        </w:rPr>
        <w:t xml:space="preserve">interessante, o non viene letta affatto.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verificare sul sito che le indicazioni per le proposte</w:t>
      </w:r>
    </w:p>
    <w:p>
      <w:pPr>
        <w:spacing w:after="120" w:line="276"/>
        <w:jc w:val="both"/>
      </w:pPr>
      <w:r>
        <w:rPr>
          <w:rFonts w:ascii="Barlow Semi Condensed" w:cs="Barlow Semi Condensed" w:eastAsia="Barlow Semi Condensed" w:hAnsi="Barlow Semi Condensed"/>
          <w:sz w:val="24"/>
          <w:szCs w:val="24"/>
        </w:rPr>
        <w:t xml:space="preserve">non siano cambiate, e leggere qualche titolo recente del catalogo di saggistica</w:t>
      </w:r>
    </w:p>
    <w:p>
      <w:pPr>
        <w:spacing w:after="120" w:line="276"/>
        <w:jc w:val="both"/>
      </w:pPr>
      <w:r>
        <w:rPr>
          <w:rFonts w:ascii="Barlow Semi Condensed" w:cs="Barlow Semi Condensed" w:eastAsia="Barlow Semi Condensed" w:hAnsi="Barlow Semi Condensed"/>
          <w:sz w:val="24"/>
          <w:szCs w:val="24"/>
        </w:rPr>
        <w:t xml:space="preserve">per calibrare il registro. Una proposta che dimostra di conoscere il catalogo a</w:t>
      </w:r>
    </w:p>
    <w:p>
      <w:pPr>
        <w:spacing w:after="120" w:line="276"/>
        <w:jc w:val="both"/>
      </w:pPr>
      <w:r>
        <w:rPr>
          <w:rFonts w:ascii="Barlow Semi Condensed" w:cs="Barlow Semi Condensed" w:eastAsia="Barlow Semi Condensed" w:hAnsi="Barlow Semi Condensed"/>
          <w:sz w:val="24"/>
          <w:szCs w:val="24"/>
        </w:rPr>
        <w:t xml:space="preserve">cui si rivolge ha una probabilità diversa da una che non lo fa.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xiii. A Laterza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1.075 parole in 5 sezioni; la più ampia è §3 Corpo del messaggio, con 666.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25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xiv. A il Mulino, Carocci, Einaudi</w:t>
      </w:r>
    </w:p>
    <w:p>
      <w:pPr>
        <w:pStyle w:val="Heading1"/>
        <w:spacing w:after="120" w:before="240"/>
      </w:pPr>
      <w:r>
        <w:rPr>
          <w:rFonts w:ascii="Barlow Semi Condensed" w:cs="Barlow Semi Condensed" w:eastAsia="Barlow Semi Condensed" w:hAnsi="Barlow Semi Condensed"/>
          <w:sz w:val="24"/>
          <w:szCs w:val="24"/>
        </w:rPr>
        <w:t xml:space="preserve">Proposte editoriali — il Mulino, Carocci, Einaudi</w:t>
      </w:r>
    </w:p>
    <w:p>
      <w:pPr>
        <w:spacing w:after="120" w:line="276"/>
        <w:jc w:val="both"/>
      </w:pPr>
      <w:r>
        <w:rPr>
          <w:rFonts w:ascii="Barlow Semi Condensed" w:cs="Barlow Semi Condensed" w:eastAsia="Barlow Semi Condensed" w:hAnsi="Barlow Semi Condensed"/>
          <w:sz w:val="24"/>
          <w:szCs w:val="24"/>
        </w:rPr>
        <w:t xml:space="preserve">*Preparate il 26 agosto 2026. Tre editori, tre modalità di invio diverse, tre</w:t>
      </w:r>
    </w:p>
    <w:p>
      <w:pPr>
        <w:spacing w:after="120" w:line="276"/>
        <w:jc w:val="both"/>
      </w:pPr>
      <w:r>
        <w:rPr>
          <w:rFonts w:ascii="Barlow Semi Condensed" w:cs="Barlow Semi Condensed" w:eastAsia="Barlow Semi Condensed" w:hAnsi="Barlow Semi Condensed"/>
          <w:sz w:val="24"/>
          <w:szCs w:val="24"/>
        </w:rPr>
        <w:t xml:space="preserve">angolature diverse dello stesso libro. Verificare le modalità sui siti prima</w:t>
      </w:r>
    </w:p>
    <w:p>
      <w:pPr>
        <w:spacing w:after="120" w:line="276"/>
        <w:jc w:val="both"/>
      </w:pPr>
      <w:r>
        <w:rPr>
          <w:rFonts w:ascii="Barlow Semi Condensed" w:cs="Barlow Semi Condensed" w:eastAsia="Barlow Semi Condensed" w:hAnsi="Barlow Semi Condensed"/>
          <w:sz w:val="24"/>
          <w:szCs w:val="24"/>
        </w:rPr>
        <w:t xml:space="preserve">dell'invio: 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 a tutte e tre</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sz w:val="24"/>
          <w:szCs w:val="24"/>
        </w:rPr>
        <w:t xml:space="preserve">**In tutte e tre le proposte la dichiarazione sull'uso dell'intelligenza</w:t>
      </w:r>
    </w:p>
    <w:p>
      <w:pPr>
        <w:spacing w:after="120" w:line="276"/>
        <w:jc w:val="both"/>
      </w:pPr>
      <w:r>
        <w:rPr>
          <w:rFonts w:ascii="Barlow Semi Condensed" w:cs="Barlow Semi Condensed" w:eastAsia="Barlow Semi Condensed" w:hAnsi="Barlow Semi Condensed"/>
          <w:sz w:val="24"/>
          <w:szCs w:val="24"/>
        </w:rPr>
        <w:t xml:space="preserve">artificiale sta in apertura.** Non è cautela: è l'oggetto del libro, e ometterla</w:t>
      </w:r>
    </w:p>
    <w:p>
      <w:pPr>
        <w:spacing w:after="120" w:line="276"/>
        <w:jc w:val="both"/>
      </w:pPr>
      <w:r>
        <w:rPr>
          <w:rFonts w:ascii="Barlow Semi Condensed" w:cs="Barlow Semi Condensed" w:eastAsia="Barlow Semi Condensed" w:hAnsi="Barlow Semi Condensed"/>
          <w:sz w:val="24"/>
          <w:szCs w:val="24"/>
        </w:rPr>
        <w:t xml:space="preserve">significherebbe proporre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va detto con franchezza</w:t>
      </w:r>
      <w:r>
        <w:rPr>
          <w:rFonts w:ascii="Barlow Semi Condensed" w:cs="Barlow Semi Condensed" w:eastAsia="Barlow Semi Condensed" w:hAnsi="Barlow Semi Condensed"/>
          <w:sz w:val="24"/>
          <w:szCs w:val="24"/>
        </w:rPr>
        <w:t xml:space="preserve">, e con la stessa formula</w:t>
      </w:r>
    </w:p>
    <w:p>
      <w:pPr>
        <w:spacing w:after="120" w:line="276"/>
        <w:jc w:val="both"/>
      </w:pPr>
      <w:r>
        <w:rPr>
          <w:rFonts w:ascii="Barlow Semi Condensed" w:cs="Barlow Semi Condensed" w:eastAsia="Barlow Semi Condensed" w:hAnsi="Barlow Semi Condensed"/>
          <w:sz w:val="24"/>
          <w:szCs w:val="24"/>
        </w:rPr>
        <w:t xml:space="preserve">ovunque: il corpus è completo e verificato, la struttura del saggio esiste, i</w:t>
      </w:r>
    </w:p>
    <w:p>
      <w:pPr>
        <w:spacing w:after="120" w:line="276"/>
        <w:jc w:val="both"/>
      </w:pPr>
      <w:r>
        <w:rPr>
          <w:rFonts w:ascii="Barlow Semi Condensed" w:cs="Barlow Semi Condensed" w:eastAsia="Barlow Semi Condensed" w:hAnsi="Barlow Semi Condensed"/>
          <w:sz w:val="24"/>
          <w:szCs w:val="24"/>
        </w:rPr>
        <w:t xml:space="preserve">sette casi sono 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w:t>
      </w:r>
    </w:p>
    <w:p>
      <w:pPr>
        <w:spacing w:after="120" w:line="276"/>
        <w:jc w:val="both"/>
      </w:pPr>
      <w:r>
        <w:rPr>
          <w:rFonts w:ascii="Barlow Semi Condensed" w:cs="Barlow Semi Condensed" w:eastAsia="Barlow Semi Condensed" w:hAnsi="Barlow Semi Condensed"/>
          <w:i/>
          <w:iCs/>
          <w:sz w:val="24"/>
          <w:szCs w:val="24"/>
        </w:rPr>
        <w:t xml:space="preserve">capitolo-campione.md</w:t>
      </w:r>
      <w:r>
        <w:rPr>
          <w:rFonts w:ascii="Barlow Semi Condensed" w:cs="Barlow Semi Condensed" w:eastAsia="Barlow Semi Condensed" w:hAnsi="Barlow Semi Condensed"/>
          <w:sz w:val="24"/>
          <w:szCs w:val="24"/>
        </w:rPr>
        <w:t xml:space="preserve">, e sta in questa stessa cartella anche in DOCX e in PDF —</w:t>
      </w:r>
    </w:p>
    <w:p>
      <w:pPr>
        <w:spacing w:after="120" w:line="276"/>
        <w:jc w:val="both"/>
      </w:pPr>
      <w:r>
        <w:rPr>
          <w:rFonts w:ascii="Barlow Semi Condensed" w:cs="Barlow Semi Condensed" w:eastAsia="Barlow Semi Condensed" w:hAnsi="Barlow Semi Condensed"/>
          <w:b/>
          <w:bCs/>
          <w:sz w:val="24"/>
          <w:szCs w:val="24"/>
        </w:rPr>
        <w:t xml:space="preserve">il resto del testo è da scrivere</w:t>
      </w:r>
      <w:r>
        <w:rPr>
          <w:rFonts w:ascii="Barlow Semi Condensed" w:cs="Barlow Semi Condensed" w:eastAsia="Barlow Semi Condensed" w:hAnsi="Barlow Semi Condensed"/>
          <w:sz w:val="24"/>
          <w:szCs w:val="24"/>
        </w:rPr>
        <w:t xml:space="preserve">. Questo pesa diversamente presso i tre</w:t>
      </w:r>
    </w:p>
    <w:p>
      <w:pPr>
        <w:spacing w:after="120" w:line="276"/>
        <w:jc w:val="both"/>
      </w:pPr>
      <w:r>
        <w:rPr>
          <w:rFonts w:ascii="Barlow Semi Condensed" w:cs="Barlow Semi Condensed" w:eastAsia="Barlow Semi Condensed" w:hAnsi="Barlow Semi Condensed"/>
          <w:sz w:val="24"/>
          <w:szCs w:val="24"/>
        </w:rPr>
        <w:t xml:space="preserve">editori, e lo si vedrà.</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Società editrice il Mulino</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il Mulino raccoglie le proposte attraverso un </w:t>
      </w:r>
      <w:r>
        <w:rPr>
          <w:rFonts w:ascii="Barlow Semi Condensed" w:cs="Barlow Semi Condensed" w:eastAsia="Barlow Semi Condensed" w:hAnsi="Barlow Semi Condensed"/>
          <w:b/>
          <w:bCs/>
          <w:sz w:val="24"/>
          <w:szCs w:val="24"/>
        </w:rPr>
        <w:t xml:space="preserve">modulo online</w:t>
      </w:r>
      <w:r>
        <w:rPr>
          <w:rFonts w:ascii="Barlow Semi Condensed" w:cs="Barlow Semi Condensed" w:eastAsia="Barlow Semi Condensed" w:hAnsi="Barlow Semi Condensed"/>
          <w:sz w:val="24"/>
          <w:szCs w:val="24"/>
        </w:rPr>
        <w:t xml:space="preserve"> sul proprio sito,</w:t>
      </w:r>
    </w:p>
    <w:p>
      <w:pPr>
        <w:spacing w:after="120" w:line="276"/>
        <w:jc w:val="both"/>
      </w:pPr>
      <w:r>
        <w:rPr>
          <w:rFonts w:ascii="Barlow Semi Condensed" w:cs="Barlow Semi Condensed" w:eastAsia="Barlow Semi Condensed" w:hAnsi="Barlow Semi Condensed"/>
          <w:sz w:val="24"/>
          <w:szCs w:val="24"/>
        </w:rPr>
        <w:t xml:space="preserve">non via email. Richiede registrazione e poi, in campi distinti: </w:t>
      </w:r>
      <w:r>
        <w:rPr>
          <w:rFonts w:ascii="Barlow Semi Condensed" w:cs="Barlow Semi Condensed" w:eastAsia="Barlow Semi Condensed" w:hAnsi="Barlow Semi Condensed"/>
          <w:b/>
          <w:bCs/>
          <w:sz w:val="24"/>
          <w:szCs w:val="24"/>
        </w:rPr>
        <w:t xml:space="preserve">argomento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estratto dell'opera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indice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descrizione estesa</w:t>
      </w:r>
      <w:r>
        <w:rPr>
          <w:rFonts w:ascii="Barlow Semi Condensed" w:cs="Barlow Semi Condensed" w:eastAsia="Barlow Semi Condensed" w:hAnsi="Barlow Semi Condensed"/>
          <w:sz w:val="24"/>
          <w:szCs w:val="24"/>
        </w:rPr>
        <w:t xml:space="preserve">, **pubblico di</w:t>
      </w:r>
    </w:p>
    <w:p>
      <w:pPr>
        <w:spacing w:after="120" w:line="276"/>
        <w:jc w:val="both"/>
      </w:pPr>
      <w:r>
        <w:rPr>
          <w:rFonts w:ascii="Barlow Semi Condensed" w:cs="Barlow Semi Condensed" w:eastAsia="Barlow Semi Condensed" w:hAnsi="Barlow Semi Condensed"/>
          <w:sz w:val="24"/>
          <w:szCs w:val="24"/>
        </w:rPr>
        <w:t xml:space="preserve">riferimento</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biografia dell'autore**. Quanto segue è già organizzato per</w:t>
      </w:r>
    </w:p>
    <w:p>
      <w:pPr>
        <w:spacing w:after="120" w:line="276"/>
        <w:jc w:val="both"/>
      </w:pPr>
      <w:r>
        <w:rPr>
          <w:rFonts w:ascii="Barlow Semi Condensed" w:cs="Barlow Semi Condensed" w:eastAsia="Barlow Semi Condensed" w:hAnsi="Barlow Semi Condensed"/>
          <w:sz w:val="24"/>
          <w:szCs w:val="24"/>
        </w:rPr>
        <w:t xml:space="preserve">quei campi, pronto da incollare.</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il Mulino è l'editore della storia repubblicana e del discorso civile. La</w:t>
      </w:r>
    </w:p>
    <w:p>
      <w:pPr>
        <w:spacing w:after="120" w:line="276"/>
        <w:jc w:val="both"/>
      </w:pPr>
      <w:r>
        <w:rPr>
          <w:rFonts w:ascii="Barlow Semi Condensed" w:cs="Barlow Semi Condensed" w:eastAsia="Barlow Semi Condensed" w:hAnsi="Barlow Semi Condensed"/>
          <w:sz w:val="24"/>
          <w:szCs w:val="24"/>
        </w:rPr>
        <w:t xml:space="preserve">proposta punta perciò sul </w:t>
      </w:r>
      <w:r>
        <w:rPr>
          <w:rFonts w:ascii="Barlow Semi Condensed" w:cs="Barlow Semi Condensed" w:eastAsia="Barlow Semi Condensed" w:hAnsi="Barlow Semi Condensed"/>
          <w:b/>
          <w:bCs/>
          <w:sz w:val="24"/>
          <w:szCs w:val="24"/>
        </w:rPr>
        <w:t xml:space="preserve">problema pubblico</w:t>
      </w:r>
      <w:r>
        <w:rPr>
          <w:rFonts w:ascii="Barlow Semi Condensed" w:cs="Barlow Semi Condensed" w:eastAsia="Barlow Semi Condensed" w:hAnsi="Barlow Semi Condensed"/>
          <w:sz w:val="24"/>
          <w:szCs w:val="24"/>
        </w:rPr>
        <w:t xml:space="preserve">: come si difende un fatto dalla</w:t>
      </w:r>
    </w:p>
    <w:p>
      <w:pPr>
        <w:spacing w:after="120" w:line="276"/>
        <w:jc w:val="both"/>
      </w:pPr>
      <w:r>
        <w:rPr>
          <w:rFonts w:ascii="Barlow Semi Condensed" w:cs="Barlow Semi Condensed" w:eastAsia="Barlow Semi Condensed" w:hAnsi="Barlow Semi Condensed"/>
          <w:sz w:val="24"/>
          <w:szCs w:val="24"/>
        </w:rPr>
        <w:t xml:space="preserve">dietrologia, e che cosa succede quando lo strumento che si usa per difenderlo è</w:t>
      </w:r>
    </w:p>
    <w:p>
      <w:pPr>
        <w:spacing w:after="120" w:line="276"/>
        <w:jc w:val="both"/>
      </w:pPr>
      <w:r>
        <w:rPr>
          <w:rFonts w:ascii="Barlow Semi Condensed" w:cs="Barlow Semi Condensed" w:eastAsia="Barlow Semi Condensed" w:hAnsi="Barlow Semi Condensed"/>
          <w:sz w:val="24"/>
          <w:szCs w:val="24"/>
        </w:rPr>
        <w:t xml:space="preserve">una macchina che, lasciata libera, la dietrologia la produce.</w:t>
      </w:r>
    </w:p>
    <w:p>
      <w:pPr>
        <w:pStyle w:val="Heading3"/>
        <w:spacing w:after="80" w:before="160"/>
      </w:pPr>
      <w:r>
        <w:rPr>
          <w:rFonts w:ascii="Barlow Semi Condensed" w:cs="Barlow Semi Condensed" w:eastAsia="Barlow Semi Condensed" w:hAnsi="Barlow Semi Condensed"/>
          <w:sz w:val="24"/>
          <w:szCs w:val="24"/>
        </w:rPr>
        <w:t xml:space="preserve">Argomento</w:t>
      </w:r>
    </w:p>
    <w:p>
      <w:pPr>
        <w:spacing w:after="120" w:line="276"/>
        <w:jc w:val="both"/>
      </w:pPr>
      <w:r>
        <w:rPr>
          <w:rFonts w:ascii="Barlow Semi Condensed" w:cs="Barlow Semi Condensed" w:eastAsia="Barlow Semi Condensed" w:hAnsi="Barlow Semi Condensed"/>
          <w:sz w:val="24"/>
          <w:szCs w:val="24"/>
        </w:rPr>
        <w:t xml:space="preserve">Storia contemporanea italiana; metodologia della ricerca storica; cultura</w:t>
      </w:r>
    </w:p>
    <w:p>
      <w:pPr>
        <w:spacing w:after="120" w:line="276"/>
        <w:jc w:val="both"/>
      </w:pPr>
      <w:r>
        <w:rPr>
          <w:rFonts w:ascii="Barlow Semi Condensed" w:cs="Barlow Semi Condensed" w:eastAsia="Barlow Semi Condensed" w:hAnsi="Barlow Semi Condensed"/>
          <w:sz w:val="24"/>
          <w:szCs w:val="24"/>
        </w:rPr>
        <w:t xml:space="preserve">digitale.</w:t>
      </w:r>
    </w:p>
    <w:p>
      <w:pPr>
        <w:pStyle w:val="Heading3"/>
        <w:spacing w:after="80" w:before="160"/>
      </w:pPr>
      <w:r>
        <w:rPr>
          <w:rFonts w:ascii="Barlow Semi Condensed" w:cs="Barlow Semi Condensed" w:eastAsia="Barlow Semi Condensed" w:hAnsi="Barlow Semi Condensed"/>
          <w:sz w:val="24"/>
          <w:szCs w:val="24"/>
        </w:rPr>
        <w:t xml:space="preserve">Titolo proposto</w:t>
      </w:r>
    </w:p>
    <w:p>
      <w:pPr>
        <w:spacing w:after="120" w:line="276"/>
        <w:jc w:val="both"/>
      </w:pPr>
      <w:r>
        <w:rPr>
          <w:rFonts w:ascii="Barlow Semi Condensed" w:cs="Barlow Semi Condensed" w:eastAsia="Barlow Semi Condensed" w:hAnsi="Barlow Semi Condensed"/>
          <w:sz w:val="24"/>
          <w:szCs w:val="24"/>
        </w:rPr>
        <w:t xml:space="preserve">**Il buco misurato. Che cosa trova una macchina quando la si mette a cercare</w:t>
      </w:r>
    </w:p>
    <w:p>
      <w:pPr>
        <w:spacing w:after="120" w:line="276"/>
        <w:jc w:val="both"/>
      </w:pPr>
      <w:r>
        <w:rPr>
          <w:rFonts w:ascii="Barlow Semi Condensed" w:cs="Barlow Semi Condensed" w:eastAsia="Barlow Semi Condensed" w:hAnsi="Barlow Semi Condensed"/>
          <w:sz w:val="24"/>
          <w:szCs w:val="24"/>
        </w:rPr>
        <w:t xml:space="preserve">nel caso Moro**</w:t>
      </w:r>
    </w:p>
    <w:p>
      <w:pPr>
        <w:pStyle w:val="Heading3"/>
        <w:spacing w:after="80" w:before="160"/>
      </w:pPr>
      <w:r>
        <w:rPr>
          <w:rFonts w:ascii="Barlow Semi Condensed" w:cs="Barlow Semi Condensed" w:eastAsia="Barlow Semi Condensed" w:hAnsi="Barlow Semi Condensed"/>
          <w:sz w:val="24"/>
          <w:szCs w:val="24"/>
        </w:rPr>
        <w:t xml:space="preserve">Descrizione estesa</w:t>
      </w:r>
    </w:p>
    <w:p>
      <w:pPr>
        <w:spacing w:after="120" w:line="276"/>
        <w:jc w:val="both"/>
      </w:pPr>
      <w:r>
        <w:rPr>
          <w:rFonts w:ascii="Barlow Semi Condensed" w:cs="Barlow Semi Condensed" w:eastAsia="Barlow Semi Condensed" w:hAnsi="Barlow Semi Condensed"/>
          <w:sz w:val="24"/>
          <w:szCs w:val="24"/>
        </w:rPr>
        <w:t xml:space="preserve">Il caso Moro è insieme il caso più documentato e il più infestato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Su di esso esiste una biblioteca di atti</w:t>
      </w:r>
    </w:p>
    <w:p>
      <w:pPr>
        <w:spacing w:after="120" w:line="276"/>
        <w:jc w:val="both"/>
      </w:pPr>
      <w:r>
        <w:rPr>
          <w:rFonts w:ascii="Barlow Semi Condensed" w:cs="Barlow Semi Condensed" w:eastAsia="Barlow Semi Condensed" w:hAnsi="Barlow Semi Condensed"/>
          <w:sz w:val="24"/>
          <w:szCs w:val="24"/>
        </w:rPr>
        <w:t xml:space="preserve">giudiziari, relazioni parlamentari e fondi archivistici; e sopra quella</w:t>
      </w:r>
    </w:p>
    <w:p>
      <w:pPr>
        <w:spacing w:after="120" w:line="276"/>
        <w:jc w:val="both"/>
      </w:pPr>
      <w:r>
        <w:rPr>
          <w:rFonts w:ascii="Barlow Semi Condensed" w:cs="Barlow Semi Condensed" w:eastAsia="Barlow Semi Condensed" w:hAnsi="Barlow Semi Condensed"/>
          <w:sz w:val="24"/>
          <w:szCs w:val="24"/>
        </w:rPr>
        <w:t xml:space="preserve">biblioteca è cresciuta una letteratura che prospera esattamente dove la</w:t>
      </w:r>
    </w:p>
    <w:p>
      <w:pPr>
        <w:spacing w:after="120" w:line="276"/>
        <w:jc w:val="both"/>
      </w:pPr>
      <w:r>
        <w:rPr>
          <w:rFonts w:ascii="Barlow Semi Condensed" w:cs="Barlow Semi Condensed" w:eastAsia="Barlow Semi Condensed" w:hAnsi="Barlow Semi Condensed"/>
          <w:sz w:val="24"/>
          <w:szCs w:val="24"/>
        </w:rPr>
        <w:t xml:space="preserve">documentazione tace.</w:t>
      </w:r>
    </w:p>
    <w:p>
      <w:pPr>
        <w:spacing w:after="120" w:line="276"/>
        <w:jc w:val="both"/>
      </w:pPr>
      <w:r>
        <w:rPr>
          <w:rFonts w:ascii="Barlow Semi Condensed" w:cs="Barlow Semi Condensed" w:eastAsia="Barlow Semi Condensed" w:hAnsi="Barlow Semi Condensed"/>
          <w:sz w:val="24"/>
          <w:szCs w:val="24"/>
        </w:rPr>
        <w:t xml:space="preserve">Nel 2026 ho condotto un esperimento: mettere sistemi di intelligenza artificiale</w:t>
      </w:r>
    </w:p>
    <w:p>
      <w:pPr>
        <w:spacing w:after="120" w:line="276"/>
        <w:jc w:val="both"/>
      </w:pPr>
      <w:r>
        <w:rPr>
          <w:rFonts w:ascii="Barlow Semi Condensed" w:cs="Barlow Semi Condensed" w:eastAsia="Barlow Semi Condensed" w:hAnsi="Barlow Semi Condensed"/>
          <w:sz w:val="24"/>
          <w:szCs w:val="24"/>
        </w:rPr>
        <w:t xml:space="preserve">a lavorare su quel materiale, con una disciplina metodologica vincolante, scritta</w:t>
      </w:r>
    </w:p>
    <w:p>
      <w:pPr>
        <w:spacing w:after="120" w:line="276"/>
        <w:jc w:val="both"/>
      </w:pPr>
      <w:r>
        <w:rPr>
          <w:rFonts w:ascii="Barlow Semi Condensed" w:cs="Barlow Semi Condensed" w:eastAsia="Barlow Semi Condensed" w:hAnsi="Barlow Semi Condensed"/>
          <w:sz w:val="24"/>
          <w:szCs w:val="24"/>
        </w:rPr>
        <w:t xml:space="preserve">prima di ciascun lotto e riscritta ogni volta che un lotto la incrinava — un</w:t>
      </w:r>
    </w:p>
    <w:p>
      <w:pPr>
        <w:spacing w:after="120" w:line="276"/>
        <w:jc w:val="both"/>
      </w:pPr>
      <w:r>
        <w:rPr>
          <w:rFonts w:ascii="Barlow Semi Condensed" w:cs="Barlow Semi Condensed" w:eastAsia="Barlow Semi Condensed" w:hAnsi="Barlow Semi Condensed"/>
          <w:sz w:val="24"/>
          <w:szCs w:val="24"/>
        </w:rPr>
        <w:t xml:space="preserve">legame è reale solo se un</w:t>
      </w:r>
    </w:p>
    <w:p>
      <w:pPr>
        <w:spacing w:after="120" w:line="276"/>
        <w:jc w:val="both"/>
      </w:pPr>
      <w:r>
        <w:rPr>
          <w:rFonts w:ascii="Barlow Semi Condensed" w:cs="Barlow Semi Condensed" w:eastAsia="Barlow Semi Condensed" w:hAnsi="Barlow Semi Condensed"/>
          <w:sz w:val="24"/>
          <w:szCs w:val="24"/>
        </w:rPr>
        <w:t xml:space="preserve">documento di provenienza nomina entrambe le parti; la contemporaneità non è prova</w:t>
      </w:r>
    </w:p>
    <w:p>
      <w:pPr>
        <w:spacing w:after="120" w:line="276"/>
        <w:jc w:val="both"/>
      </w:pPr>
      <w:r>
        <w:rPr>
          <w:rFonts w:ascii="Barlow Semi Condensed" w:cs="Barlow Semi Condensed" w:eastAsia="Barlow Semi Condensed" w:hAnsi="Barlow Semi Condensed"/>
          <w:sz w:val="24"/>
          <w:szCs w:val="24"/>
        </w:rPr>
        <w:t xml:space="preserve">di nesso; l'appartenenza a un'organizzazione non è prova di condotta; nessuna</w:t>
      </w:r>
    </w:p>
    <w:p>
      <w:pPr>
        <w:spacing w:after="120" w:line="276"/>
        <w:jc w:val="both"/>
      </w:pPr>
      <w:r>
        <w:rPr>
          <w:rFonts w:ascii="Barlow Semi Condensed" w:cs="Barlow Semi Condensed" w:eastAsia="Barlow Semi Condensed" w:hAnsi="Barlow Semi Condensed"/>
          <w:sz w:val="24"/>
          <w:szCs w:val="24"/>
        </w:rPr>
        <w:t xml:space="preserve">persona è indicata come responsabile oltre il giudicato definitivo. Il risultato</w:t>
      </w:r>
    </w:p>
    <w:p>
      <w:pPr>
        <w:spacing w:after="120" w:line="276"/>
        <w:jc w:val="both"/>
      </w:pPr>
      <w:r>
        <w:rPr>
          <w:rFonts w:ascii="Barlow Semi Condensed" w:cs="Barlow Semi Condensed" w:eastAsia="Barlow Semi Condensed" w:hAnsi="Barlow Semi Condensed"/>
          <w:sz w:val="24"/>
          <w:szCs w:val="24"/>
        </w:rPr>
        <w:t xml:space="preserve">è un corpus di quasi ottomila «blocchi mirati», cioè bersagli di ricerca e non</w:t>
      </w:r>
    </w:p>
    <w:p>
      <w:pPr>
        <w:spacing w:after="120" w:line="276"/>
        <w:jc w:val="both"/>
      </w:pPr>
      <w:r>
        <w:rPr>
          <w:rFonts w:ascii="Barlow Semi Condensed" w:cs="Barlow Semi Condensed" w:eastAsia="Barlow Semi Condensed" w:hAnsi="Barlow Semi Condensed"/>
          <w:sz w:val="24"/>
          <w:szCs w:val="24"/>
        </w:rPr>
        <w:t xml:space="preserve">affermazioni.</w:t>
      </w:r>
    </w:p>
    <w:p>
      <w:pPr>
        <w:spacing w:after="120" w:line="276"/>
        <w:jc w:val="both"/>
      </w:pPr>
      <w:r>
        <w:rPr>
          <w:rFonts w:ascii="Barlow Semi Condensed" w:cs="Barlow Semi Condensed" w:eastAsia="Barlow Semi Condensed" w:hAnsi="Barlow Semi Condensed"/>
          <w:sz w:val="24"/>
          <w:szCs w:val="24"/>
        </w:rPr>
        <w:t xml:space="preserve">Quella disciplina governa tredici dei quattordici Libri del corpus. Il</w:t>
      </w:r>
    </w:p>
    <w:p>
      <w:pPr>
        <w:spacing w:after="120" w:line="276"/>
        <w:jc w:val="both"/>
      </w:pPr>
      <w:r>
        <w:rPr>
          <w:rFonts w:ascii="Barlow Semi Condensed" w:cs="Barlow Semi Condensed" w:eastAsia="Barlow Semi Condensed" w:hAnsi="Barlow Semi Condensed"/>
          <w:sz w:val="24"/>
          <w:szCs w:val="24"/>
        </w:rPr>
        <w:t xml:space="preserve">quattordicesimo — un dossier d'autore anteriore, conservato per intero anziché</w:t>
      </w:r>
    </w:p>
    <w:p>
      <w:pPr>
        <w:spacing w:after="120" w:line="276"/>
        <w:jc w:val="both"/>
      </w:pPr>
      <w:r>
        <w:rPr>
          <w:rFonts w:ascii="Barlow Semi Condensed" w:cs="Barlow Semi Condensed" w:eastAsia="Barlow Semi Condensed" w:hAnsi="Barlow Semi Condensed"/>
          <w:sz w:val="24"/>
          <w:szCs w:val="24"/>
        </w:rPr>
        <w:t xml:space="preserve">riscritto — nella seconda metà la congeda dichiaratamente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per categorie di soggetti e non per nomi</w:t>
      </w:r>
    </w:p>
    <w:p>
      <w:pPr>
        <w:spacing w:after="120" w:line="276"/>
        <w:jc w:val="both"/>
      </w:pPr>
      <w:r>
        <w:rPr>
          <w:rFonts w:ascii="Barlow Semi Condensed" w:cs="Barlow Semi Condensed" w:eastAsia="Barlow Semi Condensed" w:hAnsi="Barlow Semi Condensed"/>
          <w:sz w:val="24"/>
          <w:szCs w:val="24"/>
        </w:rPr>
        <w:t xml:space="preserve">individuali. È l'unica deroga, è registrata nella disciplina in copertina</w:t>
      </w:r>
    </w:p>
    <w:p>
      <w:pPr>
        <w:spacing w:after="120" w:line="276"/>
        <w:jc w:val="both"/>
      </w:pPr>
      <w:r>
        <w:rPr>
          <w:rFonts w:ascii="Barlow Semi Condensed" w:cs="Barlow Semi Condensed" w:eastAsia="Barlow Semi Condensed" w:hAnsi="Barlow Semi Condensed"/>
          <w:sz w:val="24"/>
          <w:szCs w:val="24"/>
        </w:rPr>
        <w:t xml:space="preserve">dell'opera, e il saggio che propongo non la riprende.</w:t>
      </w:r>
    </w:p>
    <w:p>
      <w:pPr>
        <w:spacing w:after="120" w:line="276"/>
        <w:jc w:val="both"/>
      </w:pPr>
      <w:r>
        <w:rPr>
          <w:rFonts w:ascii="Barlow Semi Condensed" w:cs="Barlow Semi Condensed" w:eastAsia="Barlow Semi Condensed" w:hAnsi="Barlow Semi Condensed"/>
          <w:sz w:val="24"/>
          <w:szCs w:val="24"/>
        </w:rPr>
        <w:t xml:space="preserve">Questo libro non è quel corpus. È il resoconto dell'esperimento, e la sua tesi è</w:t>
      </w:r>
    </w:p>
    <w:p>
      <w:pPr>
        <w:spacing w:after="120" w:line="276"/>
        <w:jc w:val="both"/>
      </w:pPr>
      <w:r>
        <w:rPr>
          <w:rFonts w:ascii="Barlow Semi Condensed" w:cs="Barlow Semi Condensed" w:eastAsia="Barlow Semi Condensed" w:hAnsi="Barlow Semi Condensed"/>
          <w:sz w:val="24"/>
          <w:szCs w:val="24"/>
        </w:rPr>
        <w:t xml:space="preserve">scomoda per entrambi i partiti del dibattito corrente: **una macchina messa a</w:t>
      </w:r>
    </w:p>
    <w:p>
      <w:pPr>
        <w:spacing w:after="120" w:line="276"/>
        <w:jc w:val="both"/>
      </w:pPr>
      <w:r>
        <w:rPr>
          <w:rFonts w:ascii="Barlow Semi Condensed" w:cs="Barlow Semi Condensed" w:eastAsia="Barlow Semi Condensed" w:hAnsi="Barlow Semi Condensed"/>
          <w:sz w:val="24"/>
          <w:szCs w:val="24"/>
        </w:rPr>
        <w:t xml:space="preserve">cercare connessioni le trova sempre**, e la sola cosa che glielo impedisce è una</w:t>
      </w:r>
    </w:p>
    <w:p>
      <w:pPr>
        <w:spacing w:after="120" w:line="276"/>
        <w:jc w:val="both"/>
      </w:pPr>
      <w:r>
        <w:rPr>
          <w:rFonts w:ascii="Barlow Semi Condensed" w:cs="Barlow Semi Condensed" w:eastAsia="Barlow Semi Condensed" w:hAnsi="Barlow Semi Condensed"/>
          <w:sz w:val="24"/>
          <w:szCs w:val="24"/>
        </w:rPr>
        <w:t xml:space="preserve">disciplina scritta prima da un essere umano. Ma — ed è il punto che rende il</w:t>
      </w:r>
    </w:p>
    <w:p>
      <w:pPr>
        <w:spacing w:after="120" w:line="276"/>
        <w:jc w:val="both"/>
      </w:pPr>
      <w:r>
        <w:rPr>
          <w:rFonts w:ascii="Barlow Semi Condensed" w:cs="Barlow Semi Condensed" w:eastAsia="Barlow Semi Condensed" w:hAnsi="Barlow Semi Condensed"/>
          <w:sz w:val="24"/>
          <w:szCs w:val="24"/>
        </w:rPr>
        <w:t xml:space="preserve">libro civile e non tecnico — **quella disciplina è la stessa che serve a un</w:t>
      </w:r>
    </w:p>
    <w:p>
      <w:pPr>
        <w:spacing w:after="120" w:line="276"/>
        <w:jc w:val="both"/>
      </w:pPr>
      <w:r>
        <w:rPr>
          <w:rFonts w:ascii="Barlow Semi Condensed" w:cs="Barlow Semi Condensed" w:eastAsia="Barlow Semi Condensed" w:hAnsi="Barlow Semi Condensed"/>
          <w:sz w:val="24"/>
          <w:szCs w:val="24"/>
        </w:rPr>
        <w:t xml:space="preserve">lettore, a un giornalista o a una commissione parlamentare**. La macchina non</w:t>
      </w:r>
    </w:p>
    <w:p>
      <w:pPr>
        <w:spacing w:after="120" w:line="276"/>
        <w:jc w:val="both"/>
      </w:pPr>
      <w:r>
        <w:rPr>
          <w:rFonts w:ascii="Barlow Semi Condensed" w:cs="Barlow Semi Condensed" w:eastAsia="Barlow Semi Condensed" w:hAnsi="Barlow Semi Condensed"/>
          <w:sz w:val="24"/>
          <w:szCs w:val="24"/>
        </w:rPr>
        <w:t xml:space="preserve">introduce un problema nuovo: rende visibile, ingrandito e misurabile, il</w:t>
      </w:r>
    </w:p>
    <w:p>
      <w:pPr>
        <w:spacing w:after="120" w:line="276"/>
        <w:jc w:val="both"/>
      </w:pPr>
      <w:r>
        <w:rPr>
          <w:rFonts w:ascii="Barlow Semi Condensed" w:cs="Barlow Semi Condensed" w:eastAsia="Barlow Semi Condensed" w:hAnsi="Barlow Semi Condensed"/>
          <w:sz w:val="24"/>
          <w:szCs w:val="24"/>
        </w:rPr>
        <w:t xml:space="preserve">problema che la dietrologia italiana ha sempre avuto.</w:t>
      </w:r>
    </w:p>
    <w:p>
      <w:pPr>
        <w:spacing w:after="120" w:line="276"/>
        <w:jc w:val="both"/>
      </w:pPr>
      <w:r>
        <w:rPr>
          <w:rFonts w:ascii="Barlow Semi Condensed" w:cs="Barlow Semi Condensed" w:eastAsia="Barlow Semi Condensed" w:hAnsi="Barlow Semi Condensed"/>
          <w:sz w:val="24"/>
          <w:szCs w:val="24"/>
        </w:rPr>
        <w:t xml:space="preserve">Il libro procede per sette casi concreti, ciascuno con il suo documento. Fra</w:t>
      </w:r>
    </w:p>
    <w:p>
      <w:pPr>
        <w:spacing w:after="120" w:line="276"/>
        <w:jc w:val="both"/>
      </w:pPr>
      <w:r>
        <w:rPr>
          <w:rFonts w:ascii="Barlow Semi Condensed" w:cs="Barlow Semi Condensed" w:eastAsia="Barlow Semi Condensed" w:hAnsi="Barlow Semi Condensed"/>
          <w:sz w:val="24"/>
          <w:szCs w:val="24"/>
        </w:rPr>
        <w:t xml:space="preserve">questi: una frase attribuita a Henry Kissinger e ripetuta da decine di fonti</w:t>
      </w:r>
    </w:p>
    <w:p>
      <w:pPr>
        <w:spacing w:after="120" w:line="276"/>
        <w:jc w:val="both"/>
      </w:pPr>
      <w:r>
        <w:rPr>
          <w:rFonts w:ascii="Barlow Semi Condensed" w:cs="Barlow Semi Condensed" w:eastAsia="Barlow Semi Condensed" w:hAnsi="Barlow Semi Condensed"/>
          <w:sz w:val="24"/>
          <w:szCs w:val="24"/>
        </w:rPr>
        <w:t xml:space="preserve">risulta, a spoglio, discendere da un unico lancio d'agenzia del 30 novembre 2023</w:t>
      </w:r>
    </w:p>
    <w:p>
      <w:pPr>
        <w:spacing w:after="120" w:line="276"/>
        <w:jc w:val="both"/>
      </w:pPr>
      <w:r>
        <w:rPr>
          <w:rFonts w:ascii="Barlow Semi Condensed" w:cs="Barlow Semi Condensed" w:eastAsia="Barlow Semi Condensed" w:hAnsi="Barlow Semi Condensed"/>
          <w:sz w:val="24"/>
          <w:szCs w:val="24"/>
        </w:rPr>
        <w:t xml:space="preserve">— cento riprese di una sola origine restano una sola fonte. Il verbale dello</w:t>
      </w:r>
    </w:p>
    <w:p>
      <w:pPr>
        <w:spacing w:after="120" w:line="276"/>
        <w:jc w:val="both"/>
      </w:pPr>
      <w:r>
        <w:rPr>
          <w:rFonts w:ascii="Barlow Semi Condensed" w:cs="Barlow Semi Condensed" w:eastAsia="Barlow Semi Condensed" w:hAnsi="Barlow Semi Condensed"/>
          <w:sz w:val="24"/>
          <w:szCs w:val="24"/>
        </w:rPr>
        <w:t xml:space="preserve">Studio Ovale del 25 settembre 1974, correntemente citato come la prova</w:t>
      </w:r>
    </w:p>
    <w:p>
      <w:pPr>
        <w:spacing w:after="120" w:line="276"/>
        <w:jc w:val="both"/>
      </w:pPr>
      <w:r>
        <w:rPr>
          <w:rFonts w:ascii="Barlow Semi Condensed" w:cs="Barlow Semi Condensed" w:eastAsia="Barlow Semi Condensed" w:hAnsi="Barlow Semi Condensed"/>
          <w:sz w:val="24"/>
          <w:szCs w:val="24"/>
        </w:rPr>
        <w:t xml:space="preserve">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banale e non risulta pubblicata in questa forma. E di quel colloquio esiste un</w:t>
      </w:r>
    </w:p>
    <w:p>
      <w:pPr>
        <w:spacing w:after="120" w:line="276"/>
        <w:jc w:val="both"/>
      </w:pPr>
      <w:r>
        <w:rPr>
          <w:rFonts w:ascii="Barlow Semi Condensed" w:cs="Barlow Semi Condensed" w:eastAsia="Barlow Semi Condensed" w:hAnsi="Barlow Semi Condensed"/>
          <w:sz w:val="24"/>
          <w:szCs w:val="24"/>
        </w:rPr>
        <w:t xml:space="preserve">solo versante, quello statunitense: l'appunto italiano dello stesso incontro non</w:t>
      </w:r>
    </w:p>
    <w:p>
      <w:pPr>
        <w:spacing w:after="120" w:line="276"/>
        <w:jc w:val="both"/>
      </w:pPr>
      <w:r>
        <w:rPr>
          <w:rFonts w:ascii="Barlow Semi Condensed" w:cs="Barlow Semi Condensed" w:eastAsia="Barlow Semi Condensed" w:hAnsi="Barlow Semi Condensed"/>
          <w:sz w:val="24"/>
          <w:szCs w:val="24"/>
        </w:rPr>
        <w:t xml:space="preserve">risulta essere mai stato cercato.</w:t>
      </w:r>
    </w:p>
    <w:p>
      <w:pPr>
        <w:spacing w:after="120" w:line="276"/>
        <w:jc w:val="both"/>
      </w:pPr>
      <w:r>
        <w:rPr>
          <w:rFonts w:ascii="Barlow Semi Condensed" w:cs="Barlow Semi Condensed" w:eastAsia="Barlow Semi Condensed" w:hAnsi="Barlow Semi Condensed"/>
          <w:sz w:val="24"/>
          <w:szCs w:val="24"/>
        </w:rPr>
        <w:t xml:space="preserve">Il caso Moro funziona qui come </w:t>
      </w:r>
      <w:r>
        <w:rPr>
          <w:rFonts w:ascii="Barlow Semi Condensed" w:cs="Barlow Semi Condensed" w:eastAsia="Barlow Semi Condensed" w:hAnsi="Barlow Semi Condensed"/>
          <w:b/>
          <w:bCs/>
          <w:sz w:val="24"/>
          <w:szCs w:val="24"/>
        </w:rPr>
        <w:t xml:space="preserve">banco di prova e non come oggetto</w:t>
      </w:r>
      <w:r>
        <w:rPr>
          <w:rFonts w:ascii="Barlow Semi Condensed" w:cs="Barlow Semi Condensed" w:eastAsia="Barlow Semi Condensed" w:hAnsi="Barlow Semi Condensed"/>
          <w:sz w:val="24"/>
          <w:szCs w:val="24"/>
        </w:rPr>
        <w:t xml:space="preserve">. Il libro</w:t>
      </w:r>
    </w:p>
    <w:p>
      <w:pPr>
        <w:spacing w:after="120" w:line="276"/>
        <w:jc w:val="both"/>
      </w:pPr>
      <w:r>
        <w:rPr>
          <w:rFonts w:ascii="Barlow Semi Condensed" w:cs="Barlow Semi Condensed" w:eastAsia="Barlow Semi Condensed" w:hAnsi="Barlow Semi Condensed"/>
          <w:sz w:val="24"/>
          <w:szCs w:val="24"/>
        </w:rPr>
        <w:t xml:space="preserve">non propone alcuna tesi sul 1978, non rivela nulla e non indica alcun</w:t>
      </w:r>
    </w:p>
    <w:p>
      <w:pPr>
        <w:spacing w:after="120" w:line="276"/>
        <w:jc w:val="both"/>
      </w:pPr>
      <w:r>
        <w:rPr>
          <w:rFonts w:ascii="Barlow Semi Condensed" w:cs="Barlow Semi Condensed" w:eastAsia="Barlow Semi Condensed" w:hAnsi="Barlow Semi Condensed"/>
          <w:sz w:val="24"/>
          <w:szCs w:val="24"/>
        </w:rPr>
        <w:t xml:space="preserve">responsabile. Serve perché è documentatissimo, perché la sua letteratura è</w:t>
      </w:r>
    </w:p>
    <w:p>
      <w:pPr>
        <w:spacing w:after="120" w:line="276"/>
        <w:jc w:val="both"/>
      </w:pPr>
      <w:r>
        <w:rPr>
          <w:rFonts w:ascii="Barlow Semi Condensed" w:cs="Barlow Semi Condensed" w:eastAsia="Barlow Semi Condensed" w:hAnsi="Barlow Semi Condensed"/>
          <w:sz w:val="24"/>
          <w:szCs w:val="24"/>
        </w:rPr>
        <w:t xml:space="preserve">tossica, e perché ogni lettore italiano riconosce quando un ragionamento su di</w:t>
      </w:r>
    </w:p>
    <w:p>
      <w:pPr>
        <w:spacing w:after="120" w:line="276"/>
        <w:jc w:val="both"/>
      </w:pPr>
      <w:r>
        <w:rPr>
          <w:rFonts w:ascii="Barlow Semi Condensed" w:cs="Barlow Semi Condensed" w:eastAsia="Barlow Semi Condensed" w:hAnsi="Barlow Semi Condensed"/>
          <w:sz w:val="24"/>
          <w:szCs w:val="24"/>
        </w:rPr>
        <w:t xml:space="preserve">esso sta scivolando.</w:t>
      </w:r>
    </w:p>
    <w:p>
      <w:pPr>
        <w:pStyle w:val="Heading3"/>
        <w:spacing w:after="80" w:before="160"/>
      </w:pPr>
      <w:r>
        <w:rPr>
          <w:rFonts w:ascii="Barlow Semi Condensed" w:cs="Barlow Semi Condensed" w:eastAsia="Barlow Semi Condensed" w:hAnsi="Barlow Semi Condensed"/>
          <w:sz w:val="24"/>
          <w:szCs w:val="24"/>
        </w:rPr>
        <w:t xml:space="preserve">Indice proposto</w:t>
      </w:r>
    </w:p>
    <w:p>
      <w:pPr>
        <w:spacing w:after="40"/>
        <w:ind w:left="360"/>
        <w:jc w:val="both"/>
      </w:pPr>
      <w:r>
        <w:rPr>
          <w:rFonts w:ascii="Barlow Semi Condensed" w:cs="Barlow Semi Condensed" w:eastAsia="Barlow Semi Condensed" w:hAnsi="Barlow Semi Condensed"/>
          <w:sz w:val="24"/>
          <w:szCs w:val="24"/>
        </w:rPr>
        <w:t xml:space="preserve">1. La regola scritta prima — perché una disciplina si fissa quando non serve ancora</w:t>
      </w:r>
    </w:p>
    <w:p>
      <w:pPr>
        <w:spacing w:after="40"/>
        <w:ind w:left="360"/>
        <w:jc w:val="both"/>
      </w:pPr>
      <w:r>
        <w:rPr>
          <w:rFonts w:ascii="Barlow Semi Condensed" w:cs="Barlow Semi Condensed" w:eastAsia="Barlow Semi Condensed" w:hAnsi="Barlow Semi Condensed"/>
          <w:sz w:val="24"/>
          <w:szCs w:val="24"/>
        </w:rPr>
        <w:t xml:space="preserve">2. I tre piani — documento, convergenza, diceria: e perché solo il primo è un ponte</w:t>
      </w:r>
    </w:p>
    <w:p>
      <w:pPr>
        <w:spacing w:after="40"/>
        <w:ind w:left="360"/>
        <w:jc w:val="both"/>
      </w:pPr>
      <w:r>
        <w:rPr>
          <w:rFonts w:ascii="Barlow Semi Condensed" w:cs="Barlow Semi Condensed" w:eastAsia="Barlow Semi Condensed" w:hAnsi="Barlow Semi Condensed"/>
          <w:sz w:val="24"/>
          <w:szCs w:val="24"/>
        </w:rPr>
        <w:t xml:space="preserve">3. La moltiplicazione apparente — cento riprese di una sola fonte</w:t>
      </w:r>
    </w:p>
    <w:p>
      <w:pPr>
        <w:spacing w:after="40"/>
        <w:ind w:left="360"/>
        <w:jc w:val="both"/>
      </w:pPr>
      <w:r>
        <w:rPr>
          <w:rFonts w:ascii="Barlow Semi Condensed" w:cs="Barlow Semi Condensed" w:eastAsia="Barlow Semi Condensed" w:hAnsi="Barlow Semi Condensed"/>
          <w:sz w:val="24"/>
          <w:szCs w:val="24"/>
        </w:rPr>
        <w:t xml:space="preserve">4. Il documento che non dice ciò che tutti citano — il verbale del 25 settembre 1974</w:t>
      </w:r>
    </w:p>
    <w:p>
      <w:pPr>
        <w:spacing w:after="40"/>
        <w:ind w:left="360"/>
        <w:jc w:val="both"/>
      </w:pPr>
      <w:r>
        <w:rPr>
          <w:rFonts w:ascii="Barlow Semi Condensed" w:cs="Barlow Semi Condensed" w:eastAsia="Barlow Semi Condensed" w:hAnsi="Barlow Semi Condensed"/>
          <w:sz w:val="24"/>
          <w:szCs w:val="24"/>
        </w:rPr>
        <w:t xml:space="preserve">5. Il buco misurato e il buco narrato — come si dichiara un'assenza</w:t>
      </w:r>
    </w:p>
    <w:p>
      <w:pPr>
        <w:spacing w:after="40"/>
        <w:ind w:left="360"/>
        <w:jc w:val="both"/>
      </w:pPr>
      <w:r>
        <w:rPr>
          <w:rFonts w:ascii="Barlow Semi Condensed" w:cs="Barlow Semi Condensed" w:eastAsia="Barlow Semi Condensed" w:hAnsi="Barlow Semi Condensed"/>
          <w:sz w:val="24"/>
          <w:szCs w:val="24"/>
        </w:rPr>
        <w:t xml:space="preserve">6. L'attesa dichiarata — perché non trovare nulla, a volte, non è una scoperta</w:t>
      </w:r>
    </w:p>
    <w:p>
      <w:pPr>
        <w:spacing w:after="40"/>
        <w:ind w:left="360"/>
        <w:jc w:val="both"/>
      </w:pPr>
      <w:r>
        <w:rPr>
          <w:rFonts w:ascii="Barlow Semi Condensed" w:cs="Barlow Semi Condensed" w:eastAsia="Barlow Semi Condensed" w:hAnsi="Barlow Semi Condensed"/>
          <w:sz w:val="24"/>
          <w:szCs w:val="24"/>
        </w:rPr>
        <w:t xml:space="preserve">7. Quando il controllo sbaglia — otto casi in cui la verifica ha segnalato la regola</w:t>
      </w:r>
    </w:p>
    <w:p>
      <w:pPr>
        <w:spacing w:after="120" w:line="276"/>
        <w:jc w:val="both"/>
      </w:pPr>
      <w:r>
        <w:rPr>
          <w:rFonts w:ascii="Barlow Semi Condensed" w:cs="Barlow Semi Condensed" w:eastAsia="Barlow Semi Condensed" w:hAnsi="Barlow Semi Condensed"/>
          <w:sz w:val="24"/>
          <w:szCs w:val="24"/>
        </w:rPr>
        <w:t xml:space="preserve">   Appendice: cinque atti d'archivio da compiere</w:t>
      </w:r>
    </w:p>
    <w:p>
      <w:pPr>
        <w:pStyle w:val="Heading3"/>
        <w:spacing w:after="80" w:before="160"/>
      </w:pPr>
      <w:r>
        <w:rPr>
          <w:rFonts w:ascii="Barlow Semi Condensed" w:cs="Barlow Semi Condensed" w:eastAsia="Barlow Semi Condensed" w:hAnsi="Barlow Semi Condensed"/>
          <w:sz w:val="24"/>
          <w:szCs w:val="24"/>
        </w:rPr>
        <w:t xml:space="preserve">Pubblico di riferimento</w:t>
      </w:r>
    </w:p>
    <w:p>
      <w:pPr>
        <w:spacing w:after="120" w:line="276"/>
        <w:jc w:val="both"/>
      </w:pPr>
      <w:r>
        <w:rPr>
          <w:rFonts w:ascii="Barlow Semi Condensed" w:cs="Barlow Semi Condensed" w:eastAsia="Barlow Semi Condensed" w:hAnsi="Barlow Semi Condensed"/>
          <w:sz w:val="24"/>
          <w:szCs w:val="24"/>
        </w:rPr>
        <w:t xml:space="preserve">Lettori di saggistica storica e civile — il pubblico che segue la storia</w:t>
      </w:r>
    </w:p>
    <w:p>
      <w:pPr>
        <w:spacing w:after="120" w:line="276"/>
        <w:jc w:val="both"/>
      </w:pPr>
      <w:r>
        <w:rPr>
          <w:rFonts w:ascii="Barlow Semi Condensed" w:cs="Barlow Semi Condensed" w:eastAsia="Barlow Semi Condensed" w:hAnsi="Barlow Semi Condensed"/>
          <w:sz w:val="24"/>
          <w:szCs w:val="24"/>
        </w:rPr>
        <w:t xml:space="preserve">repubblicana e le sue zone grigie. E, in seconda battuta, il pubblico più ampio</w:t>
      </w:r>
    </w:p>
    <w:p>
      <w:pPr>
        <w:spacing w:after="120" w:line="276"/>
        <w:jc w:val="both"/>
      </w:pPr>
      <w:r>
        <w:rPr>
          <w:rFonts w:ascii="Barlow Semi Condensed" w:cs="Barlow Semi Condensed" w:eastAsia="Barlow Semi Condensed" w:hAnsi="Barlow Semi Condensed"/>
          <w:sz w:val="24"/>
          <w:szCs w:val="24"/>
        </w:rPr>
        <w:t xml:space="preserve">di chi vuole capire che cosa questi sistemi facciano davvero su qualcosa di</w:t>
      </w:r>
    </w:p>
    <w:p>
      <w:pPr>
        <w:spacing w:after="120" w:line="276"/>
        <w:jc w:val="both"/>
      </w:pPr>
      <w:r>
        <w:rPr>
          <w:rFonts w:ascii="Barlow Semi Condensed" w:cs="Barlow Semi Condensed" w:eastAsia="Barlow Semi Condensed" w:hAnsi="Barlow Semi Condensed"/>
          <w:sz w:val="24"/>
          <w:szCs w:val="24"/>
        </w:rPr>
        <w:t xml:space="preserve">verificabile, al di là tanto dell'entusiasmo quanto dell'allarme. Il libro è</w:t>
      </w:r>
    </w:p>
    <w:p>
      <w:pPr>
        <w:spacing w:after="120" w:line="276"/>
        <w:jc w:val="both"/>
      </w:pPr>
      <w:r>
        <w:rPr>
          <w:rFonts w:ascii="Barlow Semi Condensed" w:cs="Barlow Semi Condensed" w:eastAsia="Barlow Semi Condensed" w:hAnsi="Barlow Semi Condensed"/>
          <w:sz w:val="24"/>
          <w:szCs w:val="24"/>
        </w:rPr>
        <w:t xml:space="preserve">scritto per essere letto senza competenze tecniche.</w:t>
      </w:r>
    </w:p>
    <w:p>
      <w:pPr>
        <w:pStyle w:val="Heading3"/>
        <w:spacing w:after="80" w:before="160"/>
      </w:pPr>
      <w:r>
        <w:rPr>
          <w:rFonts w:ascii="Barlow Semi Condensed" w:cs="Barlow Semi Condensed" w:eastAsia="Barlow Semi Condensed" w:hAnsi="Barlow Semi Condensed"/>
          <w:sz w:val="24"/>
          <w:szCs w:val="24"/>
        </w:rPr>
        <w:t xml:space="preserve">Estensione</w:t>
      </w:r>
    </w:p>
    <w:p>
      <w:pPr>
        <w:spacing w:after="120" w:line="276"/>
        <w:jc w:val="both"/>
      </w:pPr>
      <w:r>
        <w:rPr>
          <w:rFonts w:ascii="Barlow Semi Condensed" w:cs="Barlow Semi Condensed" w:eastAsia="Barlow Semi Condensed" w:hAnsi="Barlow Semi Condensed"/>
          <w:sz w:val="24"/>
          <w:szCs w:val="24"/>
        </w:rPr>
        <w:t xml:space="preserve">140-180 pagine, senza illustrazioni, senza note a piè di pagina: i riferimenti</w:t>
      </w:r>
    </w:p>
    <w:p>
      <w:pPr>
        <w:spacing w:after="120" w:line="276"/>
        <w:jc w:val="both"/>
      </w:pPr>
      <w:r>
        <w:rPr>
          <w:rFonts w:ascii="Barlow Semi Condensed" w:cs="Barlow Semi Condensed" w:eastAsia="Barlow Semi Condensed" w:hAnsi="Barlow Semi Condensed"/>
          <w:sz w:val="24"/>
          <w:szCs w:val="24"/>
        </w:rPr>
        <w:t xml:space="preserve">sono nel corpo e l'apparato completo resta consultabile a parte.</w:t>
      </w:r>
    </w:p>
    <w:p>
      <w:pPr>
        <w:pStyle w:val="Heading3"/>
        <w:spacing w:after="80" w:before="160"/>
      </w:pPr>
      <w:r>
        <w:rPr>
          <w:rFonts w:ascii="Barlow Semi Condensed" w:cs="Barlow Semi Condensed" w:eastAsia="Barlow Semi Condensed" w:hAnsi="Barlow Semi Condensed"/>
          <w:sz w:val="24"/>
          <w:szCs w:val="24"/>
        </w:rPr>
        <w:t xml:space="preserve">Biografia</w:t>
      </w:r>
    </w:p>
    <w:p>
      <w:pPr>
        <w:spacing w:after="120" w:line="276"/>
        <w:jc w:val="both"/>
      </w:pPr>
      <w:r>
        <w:rPr>
          <w:rFonts w:ascii="Barlow Semi Condensed" w:cs="Barlow Semi Condensed" w:eastAsia="Barlow Semi Condensed" w:hAnsi="Barlow Semi Condensed"/>
          <w:sz w:val="24"/>
          <w:szCs w:val="24"/>
        </w:rPr>
        <w:t xml:space="preserve">[Da compilare: formazione, attività professionale, eventuali pubblicazioni</w:t>
      </w:r>
    </w:p>
    <w:p>
      <w:pPr>
        <w:spacing w:after="120" w:line="276"/>
        <w:jc w:val="both"/>
      </w:pPr>
      <w:r>
        <w:rPr>
          <w:rFonts w:ascii="Barlow Semi Condensed" w:cs="Barlow Semi Condensed" w:eastAsia="Barlow Semi Condensed" w:hAnsi="Barlow Semi Condensed"/>
          <w:sz w:val="24"/>
          <w:szCs w:val="24"/>
        </w:rPr>
        <w:t xml:space="preserve">precedenti. Va indicato con chiarezza se si tratta della prima proposta.]</w:t>
      </w:r>
    </w:p>
    <w:p>
      <w:pPr>
        <w:pStyle w:val="Heading3"/>
        <w:spacing w:after="80" w:before="160"/>
      </w:pPr>
      <w:r>
        <w:rPr>
          <w:rFonts w:ascii="Barlow Semi Condensed" w:cs="Barlow Semi Condensed" w:eastAsia="Barlow Semi Condensed" w:hAnsi="Barlow Semi Condensed"/>
          <w:sz w:val="24"/>
          <w:szCs w:val="24"/>
        </w:rPr>
        <w:t xml:space="preserve">Estratto</w:t>
      </w:r>
    </w:p>
    <w:p>
      <w:pPr>
        <w:spacing w:after="120" w:line="276"/>
        <w:jc w:val="both"/>
      </w:pPr>
      <w:r>
        <w:rPr>
          <w:rFonts w:ascii="Barlow Semi Condensed" w:cs="Barlow Semi Condensed" w:eastAsia="Barlow Semi Condensed" w:hAnsi="Barlow Semi Condensed"/>
          <w:b/>
          <w:bCs/>
          <w:sz w:val="24"/>
          <w:szCs w:val="24"/>
        </w:rPr>
        <w:t xml:space="preserve">Capitolo quarto — «Il documento che non dice ciò che tutti citano»</w:t>
      </w:r>
      <w:r>
        <w:rPr>
          <w:rFonts w:ascii="Barlow Semi Condensed" w:cs="Barlow Semi Condensed" w:eastAsia="Barlow Semi Condensed" w:hAnsi="Barlow Semi Condensed"/>
          <w:sz w:val="24"/>
          <w:szCs w:val="24"/>
        </w:rPr>
        <w:t xml:space="preserve">, scritto</w:t>
      </w:r>
    </w:p>
    <w:p>
      <w:pPr>
        <w:spacing w:after="120" w:line="276"/>
        <w:jc w:val="both"/>
      </w:pPr>
      <w:r>
        <w:rPr>
          <w:rFonts w:ascii="Barlow Semi Condensed" w:cs="Barlow Semi Condensed" w:eastAsia="Barlow Semi Condensed" w:hAnsi="Barlow Semi Condensed"/>
          <w:sz w:val="24"/>
          <w:szCs w:val="24"/>
        </w:rPr>
        <w:t xml:space="preserve">per intero: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otto pagine. È stato scelto come</w:t>
      </w:r>
    </w:p>
    <w:p>
      <w:pPr>
        <w:spacing w:after="120" w:line="276"/>
        <w:jc w:val="both"/>
      </w:pPr>
      <w:r>
        <w:rPr>
          <w:rFonts w:ascii="Barlow Semi Condensed" w:cs="Barlow Semi Condensed" w:eastAsia="Barlow Semi Condensed" w:hAnsi="Barlow Semi Condensed"/>
          <w:sz w:val="24"/>
          <w:szCs w:val="24"/>
        </w:rPr>
        <w:t xml:space="preserve">estratto perché è il più verificabile dei sette: ogni sua affermazione può essere</w:t>
      </w:r>
    </w:p>
    <w:p>
      <w:pPr>
        <w:spacing w:after="120" w:line="276"/>
        <w:jc w:val="both"/>
      </w:pPr>
      <w:r>
        <w:rPr>
          <w:rFonts w:ascii="Barlow Semi Condensed" w:cs="Barlow Semi Condensed" w:eastAsia="Barlow Semi Condensed" w:hAnsi="Barlow Semi Condensed"/>
          <w:sz w:val="24"/>
          <w:szCs w:val="24"/>
        </w:rPr>
        <w:t xml:space="preserve">controllata da chi legge, in mezz'ora, senza uscire di casa.</w:t>
      </w:r>
    </w:p>
    <w:p>
      <w:pPr>
        <w:spacing w:after="120" w:line="276"/>
        <w:jc w:val="both"/>
      </w:pPr>
      <w:r>
        <w:rPr>
          <w:rFonts w:ascii="Barlow Semi Condensed" w:cs="Barlow Semi Condensed" w:eastAsia="Barlow Semi Condensed" w:hAnsi="Barlow Semi Condensed"/>
          <w:sz w:val="24"/>
          <w:szCs w:val="24"/>
        </w:rPr>
        <w:t xml:space="preserve">Il modulo chiede un estratto, non un montaggio di frammenti: si carichi il</w:t>
      </w:r>
    </w:p>
    <w:p>
      <w:pPr>
        <w:spacing w:after="120" w:line="276"/>
        <w:jc w:val="both"/>
      </w:pPr>
      <w:r>
        <w:rPr>
          <w:rFonts w:ascii="Barlow Semi Condensed" w:cs="Barlow Semi Condensed" w:eastAsia="Barlow Semi Condensed" w:hAnsi="Barlow Semi Condensed"/>
          <w:sz w:val="24"/>
          <w:szCs w:val="24"/>
        </w:rPr>
        <w:t xml:space="preserve">capitolo intero.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Carocci editore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Carocci raccoglie le proposte attraverso la pagina </w:t>
      </w:r>
      <w:r>
        <w:rPr>
          <w:rFonts w:ascii="Barlow Semi Condensed" w:cs="Barlow Semi Condensed" w:eastAsia="Barlow Semi Condensed" w:hAnsi="Barlow Semi Condensed"/>
          <w:b/>
          <w:bCs/>
          <w:sz w:val="24"/>
          <w:szCs w:val="24"/>
        </w:rPr>
        <w:t xml:space="preserve">«Proposte editoriali»</w:t>
      </w:r>
      <w:r>
        <w:rPr>
          <w:rFonts w:ascii="Barlow Semi Condensed" w:cs="Barlow Semi Condensed" w:eastAsia="Barlow Semi Condensed" w:hAnsi="Barlow Semi Condensed"/>
          <w:sz w:val="24"/>
          <w:szCs w:val="24"/>
        </w:rPr>
        <w:t xml:space="preserve"> del</w:t>
      </w:r>
    </w:p>
    <w:p>
      <w:pPr>
        <w:spacing w:after="120" w:line="276"/>
        <w:jc w:val="both"/>
      </w:pPr>
      <w:r>
        <w:rPr>
          <w:rFonts w:ascii="Barlow Semi Condensed" w:cs="Barlow Semi Condensed" w:eastAsia="Barlow Semi Condensed" w:hAnsi="Barlow Semi Condensed"/>
          <w:sz w:val="24"/>
          <w:szCs w:val="24"/>
        </w:rPr>
        <w:t xml:space="preserve">proprio sito, con modalità da verificare lì prima dell'invio.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Carocci è editore accademico e di manualistica: il suo catalogo vive di libri</w:t>
      </w:r>
    </w:p>
    <w:p>
      <w:pPr>
        <w:spacing w:after="120" w:line="276"/>
        <w:jc w:val="both"/>
      </w:pPr>
      <w:r>
        <w:rPr>
          <w:rFonts w:ascii="Barlow Semi Condensed" w:cs="Barlow Semi Condensed" w:eastAsia="Barlow Semi Condensed" w:hAnsi="Barlow Semi Condensed"/>
          <w:b/>
          <w:bCs/>
          <w:sz w:val="24"/>
          <w:szCs w:val="24"/>
        </w:rPr>
        <w:t xml:space="preserve">adottabili in un corso</w:t>
      </w:r>
      <w:r>
        <w:rPr>
          <w:rFonts w:ascii="Barlow Semi Condensed" w:cs="Barlow Semi Condensed" w:eastAsia="Barlow Semi Condensed" w:hAnsi="Barlow Semi Condensed"/>
          <w:sz w:val="24"/>
          <w:szCs w:val="24"/>
        </w:rPr>
        <w:t xml:space="preserve">. La proposta punta perciò sul lato che il Mulino</w:t>
      </w:r>
    </w:p>
    <w:p>
      <w:pPr>
        <w:spacing w:after="120" w:line="276"/>
        <w:jc w:val="both"/>
      </w:pPr>
      <w:r>
        <w:rPr>
          <w:rFonts w:ascii="Barlow Semi Condensed" w:cs="Barlow Semi Condensed" w:eastAsia="Barlow Semi Condensed" w:hAnsi="Barlow Semi Condensed"/>
          <w:sz w:val="24"/>
          <w:szCs w:val="24"/>
        </w:rPr>
        <w:t xml:space="preserve">tiene in secondo piano — il libro come </w:t>
      </w:r>
      <w:r>
        <w:rPr>
          <w:rFonts w:ascii="Barlow Semi Condensed" w:cs="Barlow Semi Condensed" w:eastAsia="Barlow Semi Condensed" w:hAnsi="Barlow Semi Condensed"/>
          <w:b/>
          <w:bCs/>
          <w:sz w:val="24"/>
          <w:szCs w:val="24"/>
        </w:rPr>
        <w:t xml:space="preserve">caso di studio didattico</w:t>
      </w:r>
      <w:r>
        <w:rPr>
          <w:rFonts w:ascii="Barlow Semi Condensed" w:cs="Barlow Semi Condensed" w:eastAsia="Barlow Semi Condensed" w:hAnsi="Barlow Semi Condensed"/>
          <w:sz w:val="24"/>
          <w:szCs w:val="24"/>
        </w:rPr>
        <w:t xml:space="preserve"> sulla critica</w:t>
      </w:r>
    </w:p>
    <w:p>
      <w:pPr>
        <w:spacing w:after="120" w:line="276"/>
        <w:jc w:val="both"/>
      </w:pPr>
      <w:r>
        <w:rPr>
          <w:rFonts w:ascii="Barlow Semi Condensed" w:cs="Barlow Semi Condensed" w:eastAsia="Barlow Semi Condensed" w:hAnsi="Barlow Semi Condensed"/>
          <w:sz w:val="24"/>
          <w:szCs w:val="24"/>
        </w:rPr>
        <w:t xml:space="preserve">delle fonti in presenza di strumenti automatici.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per un volume breve di metodologia, secondo le modalità</w:t>
      </w:r>
    </w:p>
    <w:p>
      <w:pPr>
        <w:spacing w:after="120" w:line="276"/>
        <w:jc w:val="both"/>
      </w:pPr>
      <w:r>
        <w:rPr>
          <w:rFonts w:ascii="Barlow Semi Condensed" w:cs="Barlow Semi Condensed" w:eastAsia="Barlow Semi Condensed" w:hAnsi="Barlow Semi Condensed"/>
          <w:sz w:val="24"/>
          <w:szCs w:val="24"/>
        </w:rPr>
        <w:t xml:space="preserve">indicate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 dichiaro</w:t>
      </w:r>
    </w:p>
    <w:p>
      <w:pPr>
        <w:spacing w:after="120" w:line="276"/>
        <w:jc w:val="both"/>
      </w:pPr>
      <w:r>
        <w:rPr>
          <w:rFonts w:ascii="Barlow Semi Condensed" w:cs="Barlow Semi Condensed" w:eastAsia="Barlow Semi Condensed" w:hAnsi="Barlow Semi Condensed"/>
          <w:sz w:val="24"/>
          <w:szCs w:val="24"/>
        </w:rPr>
        <w:t xml:space="preserve">in apertura perché è l'oggetto stesso del 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*La critica delle fonti alla prova della macchina. Un caso</w:t>
      </w:r>
    </w:p>
    <w:p>
      <w:pPr>
        <w:spacing w:after="120" w:line="276"/>
        <w:jc w:val="both"/>
      </w:pPr>
      <w:r>
        <w:rPr>
          <w:rFonts w:ascii="Barlow Semi Condensed" w:cs="Barlow Semi Condensed" w:eastAsia="Barlow Semi Condensed" w:hAnsi="Barlow Semi Condensed"/>
          <w:sz w:val="24"/>
          <w:szCs w:val="24"/>
        </w:rPr>
        <w:t xml:space="preserve">di studio sul caso Moro*</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I corsi di metodologia della ricerca storica insegnano la critica</w:t>
      </w:r>
    </w:p>
    <w:p>
      <w:pPr>
        <w:spacing w:after="120" w:line="276"/>
        <w:jc w:val="both"/>
      </w:pPr>
      <w:r>
        <w:rPr>
          <w:rFonts w:ascii="Barlow Semi Condensed" w:cs="Barlow Semi Condensed" w:eastAsia="Barlow Semi Condensed" w:hAnsi="Barlow Semi Condensed"/>
          <w:sz w:val="24"/>
          <w:szCs w:val="24"/>
        </w:rPr>
        <w:t xml:space="preserve">delle fonti su esempi classici, quasi sempre lontani nel tempo. Gli studenti che</w:t>
      </w:r>
    </w:p>
    <w:p>
      <w:pPr>
        <w:spacing w:after="120" w:line="276"/>
        <w:jc w:val="both"/>
      </w:pPr>
      <w:r>
        <w:rPr>
          <w:rFonts w:ascii="Barlow Semi Condensed" w:cs="Barlow Semi Condensed" w:eastAsia="Barlow Semi Condensed" w:hAnsi="Barlow Semi Condensed"/>
          <w:sz w:val="24"/>
          <w:szCs w:val="24"/>
        </w:rPr>
        <w:t xml:space="preserve">li seguono, però, lavoreranno con strumenti che producono testo plausibile a</w:t>
      </w:r>
    </w:p>
    <w:p>
      <w:pPr>
        <w:spacing w:after="120" w:line="276"/>
        <w:jc w:val="both"/>
      </w:pPr>
      <w:r>
        <w:rPr>
          <w:rFonts w:ascii="Barlow Semi Condensed" w:cs="Barlow Semi Condensed" w:eastAsia="Barlow Semi Condensed" w:hAnsi="Barlow Semi Condensed"/>
          <w:sz w:val="24"/>
          <w:szCs w:val="24"/>
        </w:rPr>
        <w:t xml:space="preserve">richiesta, e il problema che si troveranno davanti non è nuovo nella sostanza ma</w:t>
      </w:r>
    </w:p>
    <w:p>
      <w:pPr>
        <w:spacing w:after="120" w:line="276"/>
        <w:jc w:val="both"/>
      </w:pPr>
      <w:r>
        <w:rPr>
          <w:rFonts w:ascii="Barlow Semi Condensed" w:cs="Barlow Semi Condensed" w:eastAsia="Barlow Semi Condensed" w:hAnsi="Barlow Semi Condensed"/>
          <w:sz w:val="24"/>
          <w:szCs w:val="24"/>
        </w:rPr>
        <w:t xml:space="preserve">è nuovo nella scala. Manca un manuale breve che mostri **su un caso italiano,</w:t>
      </w:r>
    </w:p>
    <w:p>
      <w:pPr>
        <w:spacing w:after="120" w:line="276"/>
        <w:jc w:val="both"/>
      </w:pPr>
      <w:r>
        <w:rPr>
          <w:rFonts w:ascii="Barlow Semi Condensed" w:cs="Barlow Semi Condensed" w:eastAsia="Barlow Semi Condensed" w:hAnsi="Barlow Semi Condensed"/>
          <w:sz w:val="24"/>
          <w:szCs w:val="24"/>
        </w:rPr>
        <w:t xml:space="preserve">recente e documentatissimo** che cosa accade quando si applicano gli strumenti</w:t>
      </w:r>
    </w:p>
    <w:p>
      <w:pPr>
        <w:spacing w:after="120" w:line="276"/>
        <w:jc w:val="both"/>
      </w:pPr>
      <w:r>
        <w:rPr>
          <w:rFonts w:ascii="Barlow Semi Condensed" w:cs="Barlow Semi Condensed" w:eastAsia="Barlow Semi Condensed" w:hAnsi="Barlow Semi Condensed"/>
          <w:sz w:val="24"/>
          <w:szCs w:val="24"/>
        </w:rPr>
        <w:t xml:space="preserve">classici della critica delle fonti a materiale prodotto o mediato da sistemi</w:t>
      </w:r>
    </w:p>
    <w:p>
      <w:pPr>
        <w:spacing w:after="120" w:line="276"/>
        <w:jc w:val="both"/>
      </w:pPr>
      <w:r>
        <w:rPr>
          <w:rFonts w:ascii="Barlow Semi Condensed" w:cs="Barlow Semi Condensed" w:eastAsia="Barlow Semi Condensed" w:hAnsi="Barlow Semi Condensed"/>
          <w:sz w:val="24"/>
          <w:szCs w:val="24"/>
        </w:rPr>
        <w:t xml:space="preserve">automatici.</w:t>
      </w:r>
    </w:p>
    <w:p>
      <w:pPr>
        <w:spacing w:after="120" w:line="276"/>
        <w:jc w:val="both"/>
      </w:pPr>
      <w:r>
        <w:rPr>
          <w:rFonts w:ascii="Barlow Semi Condensed" w:cs="Barlow Semi Condensed" w:eastAsia="Barlow Semi Condensed" w:hAnsi="Barlow Semi Condensed"/>
          <w:sz w:val="24"/>
          <w:szCs w:val="24"/>
        </w:rPr>
        <w:t xml:space="preserve">Questo volume lo fa. Nasce da un esperimento condotto sul caso Moro con una</w:t>
      </w:r>
    </w:p>
    <w:p>
      <w:pPr>
        <w:spacing w:after="120" w:line="276"/>
        <w:jc w:val="both"/>
      </w:pPr>
      <w:r>
        <w:rPr>
          <w:rFonts w:ascii="Barlow Semi Condensed" w:cs="Barlow Semi Condensed" w:eastAsia="Barlow Semi Condensed" w:hAnsi="Barlow Semi Condensed"/>
          <w:sz w:val="24"/>
          <w:szCs w:val="24"/>
        </w:rPr>
        <w:t xml:space="preserve">disciplina metodologica dichiarata e vincolante, e ne ricava sette lezioni,</w:t>
      </w:r>
    </w:p>
    <w:p>
      <w:pPr>
        <w:spacing w:after="120" w:line="276"/>
        <w:jc w:val="both"/>
      </w:pPr>
      <w:r>
        <w:rPr>
          <w:rFonts w:ascii="Barlow Semi Condensed" w:cs="Barlow Semi Condensed" w:eastAsia="Barlow Semi Condensed" w:hAnsi="Barlow Semi Condensed"/>
          <w:sz w:val="24"/>
          <w:szCs w:val="24"/>
        </w:rPr>
        <w:t xml:space="preserve">ciascuna ancorata a un documento verificabile dallo studente in autonomia.</w:t>
      </w:r>
    </w:p>
    <w:p>
      <w:pPr>
        <w:spacing w:after="120" w:line="276"/>
        <w:jc w:val="both"/>
      </w:pPr>
      <w:r>
        <w:rPr>
          <w:rFonts w:ascii="Barlow Semi Condensed" w:cs="Barlow Semi Condensed" w:eastAsia="Barlow Semi Condensed" w:hAnsi="Barlow Semi Condensed"/>
          <w:b/>
          <w:bCs/>
          <w:sz w:val="24"/>
          <w:szCs w:val="24"/>
        </w:rPr>
        <w:t xml:space="preserve">Perché è adottabile.</w:t>
      </w:r>
      <w:r>
        <w:rPr>
          <w:rFonts w:ascii="Barlow Semi Condensed" w:cs="Barlow Semi Condensed" w:eastAsia="Barlow Semi Condensed" w:hAnsi="Barlow Semi Condensed"/>
          <w:sz w:val="24"/>
          <w:szCs w:val="24"/>
        </w:rPr>
        <w:t xml:space="preserve"> Ogni capitolo ha la stessa struttura: il problema, il</w:t>
      </w:r>
    </w:p>
    <w:p>
      <w:pPr>
        <w:spacing w:after="120" w:line="276"/>
        <w:jc w:val="both"/>
      </w:pPr>
      <w:r>
        <w:rPr>
          <w:rFonts w:ascii="Barlow Semi Condensed" w:cs="Barlow Semi Condensed" w:eastAsia="Barlow Semi Condensed" w:hAnsi="Barlow Semi Condensed"/>
          <w:sz w:val="24"/>
          <w:szCs w:val="24"/>
        </w:rPr>
        <w:t xml:space="preserve">caso concreto, la regola che se ne ricava, e </w:t>
      </w:r>
      <w:r>
        <w:rPr>
          <w:rFonts w:ascii="Barlow Semi Condensed" w:cs="Barlow Semi Condensed" w:eastAsia="Barlow Semi Condensed" w:hAnsi="Barlow Semi Condensed"/>
          <w:b/>
          <w:bCs/>
          <w:sz w:val="24"/>
          <w:szCs w:val="24"/>
        </w:rPr>
        <w:t xml:space="preserve">un esercizio eseguibile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un documento da aprire, una stringa da cercare, un conteggio da rifare. Il</w:t>
      </w:r>
    </w:p>
    <w:p>
      <w:pPr>
        <w:spacing w:after="120" w:line="276"/>
        <w:jc w:val="both"/>
      </w:pPr>
      <w:r>
        <w:rPr>
          <w:rFonts w:ascii="Barlow Semi Condensed" w:cs="Barlow Semi Condensed" w:eastAsia="Barlow Semi Condensed" w:hAnsi="Barlow Semi Condensed"/>
          <w:sz w:val="24"/>
          <w:szCs w:val="24"/>
        </w:rPr>
        <w:t xml:space="preserve">capitolo sulla moltiplicazione apparente delle fonti, per esempio, si chiude con</w:t>
      </w:r>
    </w:p>
    <w:p>
      <w:pPr>
        <w:spacing w:after="120" w:line="276"/>
        <w:jc w:val="both"/>
      </w:pPr>
      <w:r>
        <w:rPr>
          <w:rFonts w:ascii="Barlow Semi Condensed" w:cs="Barlow Semi Condensed" w:eastAsia="Barlow Semi Condensed" w:hAnsi="Barlow Semi Condensed"/>
          <w:sz w:val="24"/>
          <w:szCs w:val="24"/>
        </w:rPr>
        <w:t xml:space="preserve">la richiesta di risalire a mano all'origine di una frase circolante e di datarla:</w:t>
      </w:r>
    </w:p>
    <w:p>
      <w:pPr>
        <w:spacing w:after="120" w:line="276"/>
        <w:jc w:val="both"/>
      </w:pPr>
      <w:r>
        <w:rPr>
          <w:rFonts w:ascii="Barlow Semi Condensed" w:cs="Barlow Semi Condensed" w:eastAsia="Barlow Semi Condensed" w:hAnsi="Barlow Semi Condensed"/>
          <w:sz w:val="24"/>
          <w:szCs w:val="24"/>
        </w:rPr>
        <w:t xml:space="preserve">è un esercizio di due ore che insegna più di venti pagine di teoria.</w:t>
      </w:r>
    </w:p>
    <w:p>
      <w:pPr>
        <w:spacing w:after="120" w:line="276"/>
        <w:jc w:val="both"/>
      </w:pPr>
      <w:r>
        <w:rPr>
          <w:rFonts w:ascii="Barlow Semi Condensed" w:cs="Barlow Semi Condensed" w:eastAsia="Barlow Semi Condensed" w:hAnsi="Barlow Semi Condensed"/>
          <w:b/>
          <w:bCs/>
          <w:sz w:val="24"/>
          <w:szCs w:val="24"/>
        </w:rPr>
        <w:t xml:space="preserve">Le sette lezioni.</w:t>
      </w:r>
      <w:r>
        <w:rPr>
          <w:rFonts w:ascii="Barlow Semi Condensed" w:cs="Barlow Semi Condensed" w:eastAsia="Barlow Semi Condensed" w:hAnsi="Barlow Semi Condensed"/>
          <w:sz w:val="24"/>
          <w:szCs w:val="24"/>
        </w:rPr>
        <w:t xml:space="preserve"> La regola scritta prima; la scala dei gradi fra documento,</w:t>
      </w:r>
    </w:p>
    <w:p>
      <w:pPr>
        <w:spacing w:after="120" w:line="276"/>
        <w:jc w:val="both"/>
      </w:pPr>
      <w:r>
        <w:rPr>
          <w:rFonts w:ascii="Barlow Semi Condensed" w:cs="Barlow Semi Condensed" w:eastAsia="Barlow Semi Condensed" w:hAnsi="Barlow Semi Condensed"/>
          <w:sz w:val="24"/>
          <w:szCs w:val="24"/>
        </w:rPr>
        <w:t xml:space="preserve">convergenza e diceria; la moltiplicazione apparente delle fonti; il documento</w:t>
      </w:r>
    </w:p>
    <w:p>
      <w:pPr>
        <w:spacing w:after="120" w:line="276"/>
        <w:jc w:val="both"/>
      </w:pPr>
      <w:r>
        <w:rPr>
          <w:rFonts w:ascii="Barlow Semi Condensed" w:cs="Barlow Semi Condensed" w:eastAsia="Barlow Semi Condensed" w:hAnsi="Barlow Semi Condensed"/>
          <w:sz w:val="24"/>
          <w:szCs w:val="24"/>
        </w:rPr>
        <w:t xml:space="preserve">che non contiene ciò che gli si attribuisce; la differenza fra un'assenza</w:t>
      </w:r>
    </w:p>
    <w:p>
      <w:pPr>
        <w:spacing w:after="120" w:line="276"/>
        <w:jc w:val="both"/>
      </w:pPr>
      <w:r>
        <w:rPr>
          <w:rFonts w:ascii="Barlow Semi Condensed" w:cs="Barlow Semi Condensed" w:eastAsia="Barlow Semi Condensed" w:hAnsi="Barlow Semi Condensed"/>
          <w:sz w:val="24"/>
          <w:szCs w:val="24"/>
        </w:rPr>
        <w:t xml:space="preserve">misurata e un'assenza narrata; l'attesa dichiarata prima della ricerca; e i modi</w:t>
      </w:r>
    </w:p>
    <w:p>
      <w:pPr>
        <w:spacing w:after="120" w:line="276"/>
        <w:jc w:val="both"/>
      </w:pPr>
      <w:r>
        <w:rPr>
          <w:rFonts w:ascii="Barlow Semi Condensed" w:cs="Barlow Semi Condensed" w:eastAsia="Barlow Semi Condensed" w:hAnsi="Barlow Semi Condensed"/>
          <w:sz w:val="24"/>
          <w:szCs w:val="24"/>
        </w:rPr>
        <w:t xml:space="preserve">tipici in cui una verifica automatica fallisce — con otto casi in cui il</w:t>
      </w:r>
    </w:p>
    <w:p>
      <w:pPr>
        <w:spacing w:after="120" w:line="276"/>
        <w:jc w:val="both"/>
      </w:pPr>
      <w:r>
        <w:rPr>
          <w:rFonts w:ascii="Barlow Semi Condensed" w:cs="Barlow Semi Condensed" w:eastAsia="Barlow Semi Condensed" w:hAnsi="Barlow Semi Condensed"/>
          <w:sz w:val="24"/>
          <w:szCs w:val="24"/>
        </w:rPr>
        <w:t xml:space="preserve">controllo ha segnalato come violazione proprio i passaggi che applicavano la</w:t>
      </w:r>
    </w:p>
    <w:p>
      <w:pPr>
        <w:spacing w:after="120" w:line="276"/>
        <w:jc w:val="both"/>
      </w:pPr>
      <w:r>
        <w:rPr>
          <w:rFonts w:ascii="Barlow Semi Condensed" w:cs="Barlow Semi Condensed" w:eastAsia="Barlow Semi Condensed" w:hAnsi="Barlow Semi Condensed"/>
          <w:sz w:val="24"/>
          <w:szCs w:val="24"/>
        </w:rPr>
        <w:t xml:space="preserve">regola.</w:t>
      </w:r>
    </w:p>
    <w:p>
      <w:pPr>
        <w:spacing w:after="120" w:line="276"/>
        <w:jc w:val="both"/>
      </w:pPr>
      <w:r>
        <w:rPr>
          <w:rFonts w:ascii="Barlow Semi Condensed" w:cs="Barlow Semi Condensed" w:eastAsia="Barlow Semi Condensed" w:hAnsi="Barlow Semi Condensed"/>
          <w:b/>
          <w:bCs/>
          <w:sz w:val="24"/>
          <w:szCs w:val="24"/>
        </w:rPr>
        <w:t xml:space="preserve">Contiene anche due accertamenti originali</w:t>
      </w:r>
      <w:r>
        <w:rPr>
          <w:rFonts w:ascii="Barlow Semi Condensed" w:cs="Barlow Semi Condensed" w:eastAsia="Barlow Semi Condensed" w:hAnsi="Barlow Semi Condensed"/>
          <w:sz w:val="24"/>
          <w:szCs w:val="24"/>
        </w:rPr>
        <w:t xml:space="preserve">, che valgono come esempi vivi: che</w:t>
      </w:r>
    </w:p>
    <w:p>
      <w:pPr>
        <w:spacing w:after="120" w:line="276"/>
        <w:jc w:val="both"/>
      </w:pPr>
      <w:r>
        <w:rPr>
          <w:rFonts w:ascii="Barlow Semi Condensed" w:cs="Barlow Semi Condensed" w:eastAsia="Barlow Semi Condensed" w:hAnsi="Barlow Semi Condensed"/>
          <w:sz w:val="24"/>
          <w:szCs w:val="24"/>
        </w:rPr>
        <w:t xml:space="preserve">il verbale dello Studio Ovale del 25 settembre 1974 non contiene la frase che gli</w:t>
      </w:r>
    </w:p>
    <w:p>
      <w:pPr>
        <w:spacing w:after="120" w:line="276"/>
        <w:jc w:val="both"/>
      </w:pPr>
      <w:r>
        <w:rPr>
          <w:rFonts w:ascii="Barlow Semi Condensed" w:cs="Barlow Semi Condensed" w:eastAsia="Barlow Semi Condensed" w:hAnsi="Barlow Semi Condensed"/>
          <w:sz w:val="24"/>
          <w:szCs w:val="24"/>
        </w:rPr>
        <w:t xml:space="preserve">si attribuisce correntemente, e che di quel colloquio non risulta mai cercato il</w:t>
      </w:r>
    </w:p>
    <w:p>
      <w:pPr>
        <w:spacing w:after="120" w:line="276"/>
        <w:jc w:val="both"/>
      </w:pPr>
      <w:r>
        <w:rPr>
          <w:rFonts w:ascii="Barlow Semi Condensed" w:cs="Barlow Semi Condensed" w:eastAsia="Barlow Semi Condensed" w:hAnsi="Barlow Semi Condensed"/>
          <w:sz w:val="24"/>
          <w:szCs w:val="24"/>
        </w:rPr>
        <w:t xml:space="preserve">versante italiano.</w:t>
      </w:r>
    </w:p>
    <w:p>
      <w:pPr>
        <w:spacing w:after="120" w:line="276"/>
        <w:jc w:val="both"/>
      </w:pPr>
      <w:r>
        <w:rPr>
          <w:rFonts w:ascii="Barlow Semi Condensed" w:cs="Barlow Semi Condensed" w:eastAsia="Barlow Semi Condensed" w:hAnsi="Barlow Semi Condensed"/>
          <w:b/>
          <w:bCs/>
          <w:sz w:val="24"/>
          <w:szCs w:val="24"/>
        </w:rPr>
        <w:t xml:space="preserve">Estensione e collocazione</w:t>
      </w:r>
      <w:r>
        <w:rPr>
          <w:rFonts w:ascii="Barlow Semi Condensed" w:cs="Barlow Semi Condensed" w:eastAsia="Barlow Semi Condensed" w:hAnsi="Barlow Semi Condensed"/>
          <w:sz w:val="24"/>
          <w:szCs w:val="24"/>
        </w:rPr>
        <w:t xml:space="preserve">: 150-190 pagine. Adatto a un corso di metodologia</w:t>
      </w:r>
    </w:p>
    <w:p>
      <w:pPr>
        <w:spacing w:after="120" w:line="276"/>
        <w:jc w:val="both"/>
      </w:pPr>
      <w:r>
        <w:rPr>
          <w:rFonts w:ascii="Barlow Semi Condensed" w:cs="Barlow Semi Condensed" w:eastAsia="Barlow Semi Condensed" w:hAnsi="Barlow Semi Condensed"/>
          <w:sz w:val="24"/>
          <w:szCs w:val="24"/>
        </w:rPr>
        <w:t xml:space="preserve">della ricerca storica, di storia contemporanea o di </w:t>
      </w:r>
      <w:r>
        <w:rPr>
          <w:rFonts w:ascii="Barlow Semi Condensed" w:cs="Barlow Semi Condensed" w:eastAsia="Barlow Semi Condensed" w:hAnsi="Barlow Semi Condensed"/>
          <w:i/>
          <w:iCs/>
          <w:sz w:val="24"/>
          <w:szCs w:val="24"/>
        </w:rPr>
        <w:t xml:space="preserve">digital humanities</w:t>
      </w:r>
      <w:r>
        <w:rPr>
          <w:rFonts w:ascii="Barlow Semi Condensed" w:cs="Barlow Semi Condensed" w:eastAsia="Barlow Semi Condensed" w:hAnsi="Barlow Semi Condensed"/>
          <w:sz w:val="24"/>
          <w:szCs w:val="24"/>
        </w:rPr>
        <w:t xml:space="preserve">, come</w:t>
      </w:r>
    </w:p>
    <w:p>
      <w:pPr>
        <w:spacing w:after="120" w:line="276"/>
        <w:jc w:val="both"/>
      </w:pPr>
      <w:r>
        <w:rPr>
          <w:rFonts w:ascii="Barlow Semi Condensed" w:cs="Barlow Semi Condensed" w:eastAsia="Barlow Semi Condensed" w:hAnsi="Barlow Semi Condensed"/>
          <w:sz w:val="24"/>
          <w:szCs w:val="24"/>
        </w:rPr>
        <w:t xml:space="preserve">testo di supporto; leggibile anche fuori dall'aula.</w:t>
      </w:r>
    </w:p>
    <w:p>
      <w:pPr>
        <w:spacing w:after="120" w:line="276"/>
        <w:jc w:val="both"/>
      </w:pPr>
      <w:r>
        <w:rPr>
          <w:rFonts w:ascii="Barlow Semi Condensed" w:cs="Barlow Semi Condensed" w:eastAsia="Barlow Semi Condensed" w:hAnsi="Barlow Semi Condensed"/>
          <w:b/>
          <w:bCs/>
          <w:sz w:val="24"/>
          <w:szCs w:val="24"/>
        </w:rPr>
        <w:t xml:space="preserve">Stato</w:t>
      </w:r>
      <w:r>
        <w:rPr>
          <w:rFonts w:ascii="Barlow Semi Condensed" w:cs="Barlow Semi Condensed" w:eastAsia="Barlow Semi Condensed" w:hAnsi="Barlow Semi Condensed"/>
          <w:sz w:val="24"/>
          <w:szCs w:val="24"/>
        </w:rPr>
        <w:t xml:space="preserve">: struttura completa, materiale documentale integralmente disponibile,</w:t>
      </w:r>
    </w:p>
    <w:p>
      <w:pPr>
        <w:spacing w:after="120" w:line="276"/>
        <w:jc w:val="both"/>
      </w:pPr>
      <w:r>
        <w:rPr>
          <w:rFonts w:ascii="Barlow Semi Condensed" w:cs="Barlow Semi Condensed" w:eastAsia="Barlow Semi Condensed" w:hAnsi="Barlow Semi Condensed"/>
          <w:sz w:val="24"/>
          <w:szCs w:val="24"/>
        </w:rPr>
        <w:t xml:space="preserve">resto del testo da scrivere. </w:t>
      </w:r>
      <w:r>
        <w:rPr>
          <w:rFonts w:ascii="Barlow Semi Condensed" w:cs="Barlow Semi Condensed" w:eastAsia="Barlow Semi Condensed" w:hAnsi="Barlow Semi Condensed"/>
          <w:b/>
          <w:bCs/>
          <w:sz w:val="24"/>
          <w:szCs w:val="24"/>
        </w:rPr>
        <w:t xml:space="preserve">Allego il capitolo campione con il suo esercizio</w:t>
      </w:r>
    </w:p>
    <w:p>
      <w:pPr>
        <w:spacing w:after="120" w:line="276"/>
        <w:jc w:val="both"/>
      </w:pPr>
      <w:r>
        <w:rPr>
          <w:rFonts w:ascii="Barlow Semi Condensed" w:cs="Barlow Semi Condensed" w:eastAsia="Barlow Semi Condensed" w:hAnsi="Barlow Semi Condensed"/>
          <w:sz w:val="24"/>
          <w:szCs w:val="24"/>
        </w:rPr>
        <w:t xml:space="preserve">— il quarto, otto pagine: è il pezzo che dimostra che cosa si intende per</w:t>
      </w:r>
    </w:p>
    <w:p>
      <w:pPr>
        <w:spacing w:after="120" w:line="276"/>
        <w:jc w:val="both"/>
      </w:pPr>
      <w:r>
        <w:rPr>
          <w:rFonts w:ascii="Barlow Semi Condensed" w:cs="Barlow Semi Condensed" w:eastAsia="Barlow Semi Condensed" w:hAnsi="Barlow Semi Condensed"/>
          <w:sz w:val="24"/>
          <w:szCs w:val="24"/>
        </w:rPr>
        <w:t xml:space="preserve">«esercizio eseguibile», e senza di esso questa proposta chiederebbe di credermi</w:t>
      </w:r>
    </w:p>
    <w:p>
      <w:pPr>
        <w:spacing w:after="120" w:line="276"/>
        <w:jc w:val="both"/>
      </w:pPr>
      <w:r>
        <w:rPr>
          <w:rFonts w:ascii="Barlow Semi Condensed" w:cs="Barlow Semi Condensed" w:eastAsia="Barlow Semi Condensed" w:hAnsi="Barlow Semi Condensed"/>
          <w:sz w:val="24"/>
          <w:szCs w:val="24"/>
        </w:rPr>
        <w:t xml:space="preserve">sulla parola.</w:t>
      </w:r>
    </w:p>
    <w:p>
      <w:pPr>
        <w:spacing w:after="120" w:line="276"/>
        <w:jc w:val="both"/>
      </w:pPr>
      <w:r>
        <w:rPr>
          <w:rFonts w:ascii="Barlow Semi Condensed" w:cs="Barlow Semi Condensed" w:eastAsia="Barlow Semi Condensed" w:hAnsi="Barlow Semi Condensed"/>
          <w:sz w:val="24"/>
          <w:szCs w:val="24"/>
        </w:rPr>
        <w:t xml:space="preserve">Resto a disposizione.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3. Giulio Einaudi editore</w:t>
      </w:r>
    </w:p>
    <w:p>
      <w:pPr>
        <w:pStyle w:val="Heading2"/>
        <w:spacing w:after="100" w:before="200"/>
      </w:pPr>
      <w:r>
        <w:rPr>
          <w:rFonts w:ascii="Barlow Semi Condensed" w:cs="Barlow Semi Condensed" w:eastAsia="Barlow Semi Condensed" w:hAnsi="Barlow Semi Condensed"/>
          <w:sz w:val="24"/>
          <w:szCs w:val="24"/>
        </w:rPr>
        <w:t xml:space="preserve">Modalità — e un avvertimento che conta</w:t>
      </w:r>
    </w:p>
    <w:p>
      <w:pPr>
        <w:spacing w:after="120" w:line="276"/>
        <w:jc w:val="both"/>
      </w:pPr>
      <w:r>
        <w:rPr>
          <w:rFonts w:ascii="Barlow Semi Condensed" w:cs="Barlow Semi Condensed" w:eastAsia="Barlow Semi Condensed" w:hAnsi="Barlow Semi Condensed"/>
          <w:sz w:val="24"/>
          <w:szCs w:val="24"/>
        </w:rPr>
        <w:t xml:space="preserve">Einaudi riceve la </w:t>
      </w:r>
      <w:r>
        <w:rPr>
          <w:rFonts w:ascii="Barlow Semi Condensed" w:cs="Barlow Semi Condensed" w:eastAsia="Barlow Semi Condensed" w:hAnsi="Barlow Semi Condensed"/>
          <w:b/>
          <w:bCs/>
          <w:sz w:val="24"/>
          <w:szCs w:val="24"/>
        </w:rPr>
        <w:t xml:space="preserve">saggistica all'indirizzo einaudi@einaudi.it</w:t>
      </w:r>
      <w:r>
        <w:rPr>
          <w:rFonts w:ascii="Barlow Semi Condensed" w:cs="Barlow Semi Condensed" w:eastAsia="Barlow Semi Condensed" w:hAnsi="Barlow Semi Condensed"/>
          <w:sz w:val="24"/>
          <w:szCs w:val="24"/>
        </w:rPr>
        <w:t xml:space="preserve">, chiedendo di</w:t>
      </w:r>
    </w:p>
    <w:p>
      <w:pPr>
        <w:spacing w:after="120" w:line="276"/>
        <w:jc w:val="both"/>
      </w:pPr>
      <w:r>
        <w:rPr>
          <w:rFonts w:ascii="Barlow Semi Condensed" w:cs="Barlow Semi Condensed" w:eastAsia="Barlow Semi Condensed" w:hAnsi="Barlow Semi Condensed"/>
          <w:sz w:val="24"/>
          <w:szCs w:val="24"/>
        </w:rPr>
        <w:t xml:space="preserve">allegare un </w:t>
      </w:r>
      <w:r>
        <w:rPr>
          <w:rFonts w:ascii="Barlow Semi Condensed" w:cs="Barlow Semi Condensed" w:eastAsia="Barlow Semi Condensed" w:hAnsi="Barlow Semi Condensed"/>
          <w:b/>
          <w:bCs/>
          <w:sz w:val="24"/>
          <w:szCs w:val="24"/>
        </w:rPr>
        <w:t xml:space="preserve">curriculum vitae</w:t>
      </w:r>
      <w:r>
        <w:rPr>
          <w:rFonts w:ascii="Barlow Semi Condensed" w:cs="Barlow Semi Condensed" w:eastAsia="Barlow Semi Condensed" w:hAnsi="Barlow Semi Condensed"/>
          <w:sz w:val="24"/>
          <w:szCs w:val="24"/>
        </w:rPr>
        <w:t xml:space="preserve"> e di ripetere i dati anagrafici, la posta</w:t>
      </w:r>
    </w:p>
    <w:p>
      <w:pPr>
        <w:spacing w:after="120" w:line="276"/>
        <w:jc w:val="both"/>
      </w:pPr>
      <w:r>
        <w:rPr>
          <w:rFonts w:ascii="Barlow Semi Condensed" w:cs="Barlow Semi Condensed" w:eastAsia="Barlow Semi Condensed" w:hAnsi="Barlow Semi Condensed"/>
          <w:sz w:val="24"/>
          <w:szCs w:val="24"/>
        </w:rPr>
        <w:t xml:space="preserve">elettronica e il telefono </w:t>
      </w:r>
      <w:r>
        <w:rPr>
          <w:rFonts w:ascii="Barlow Semi Condensed" w:cs="Barlow Semi Condensed" w:eastAsia="Barlow Semi Condensed" w:hAnsi="Barlow Semi Condensed"/>
          <w:b/>
          <w:bCs/>
          <w:sz w:val="24"/>
          <w:szCs w:val="24"/>
        </w:rPr>
        <w:t xml:space="preserve">anche dentro il documento allegato</w:t>
      </w:r>
      <w:r>
        <w:rPr>
          <w:rFonts w:ascii="Barlow Semi Condensed" w:cs="Barlow Semi Condensed" w:eastAsia="Barlow Semi Condensed" w:hAnsi="Barlow Semi Condensed"/>
          <w:sz w:val="24"/>
          <w:szCs w:val="24"/>
        </w:rPr>
        <w:t xml:space="preserve">. La redazione</w:t>
      </w:r>
    </w:p>
    <w:p>
      <w:pPr>
        <w:spacing w:after="120" w:line="276"/>
        <w:jc w:val="both"/>
      </w:pPr>
      <w:r>
        <w:rPr>
          <w:rFonts w:ascii="Barlow Semi Condensed" w:cs="Barlow Semi Condensed" w:eastAsia="Barlow Semi Condensed" w:hAnsi="Barlow Semi Condensed"/>
          <w:sz w:val="24"/>
          <w:szCs w:val="24"/>
        </w:rPr>
        <w:t xml:space="preserve">contatta gli autori </w:t>
      </w:r>
      <w:r>
        <w:rPr>
          <w:rFonts w:ascii="Barlow Semi Condensed" w:cs="Barlow Semi Condensed" w:eastAsia="Barlow Semi Condensed" w:hAnsi="Barlow Semi Condensed"/>
          <w:b/>
          <w:bCs/>
          <w:sz w:val="24"/>
          <w:szCs w:val="24"/>
        </w:rPr>
        <w:t xml:space="preserve">soltanto in caso di interesse</w:t>
      </w:r>
      <w:r>
        <w:rPr>
          <w:rFonts w:ascii="Barlow Semi Condensed" w:cs="Barlow Semi Condensed" w:eastAsia="Barlow Semi Condensed" w:hAnsi="Barlow Semi Condensed"/>
          <w:sz w:val="24"/>
          <w:szCs w:val="24"/>
        </w:rPr>
        <w:t xml:space="preserve">, in un tempo stimabile</w:t>
      </w:r>
    </w:p>
    <w:p>
      <w:pPr>
        <w:spacing w:after="120" w:line="276"/>
        <w:jc w:val="both"/>
      </w:pPr>
      <w:r>
        <w:rPr>
          <w:rFonts w:ascii="Barlow Semi Condensed" w:cs="Barlow Semi Condensed" w:eastAsia="Barlow Semi Condensed" w:hAnsi="Barlow Semi Condensed"/>
          <w:b/>
          <w:bCs/>
          <w:sz w:val="24"/>
          <w:szCs w:val="24"/>
        </w:rPr>
        <w:t xml:space="preserve">intorno ai sei mesi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L'avvertimento.</w:t>
      </w:r>
      <w:r>
        <w:rPr>
          <w:rFonts w:ascii="Barlow Semi Condensed" w:cs="Barlow Semi Condensed" w:eastAsia="Barlow Semi Condensed" w:hAnsi="Barlow Semi Condensed"/>
          <w:sz w:val="24"/>
          <w:szCs w:val="24"/>
        </w:rPr>
        <w:t xml:space="preserve"> Per la saggistica Einaudi valuta l'opera, non l'idea. Una</w:t>
      </w:r>
    </w:p>
    <w:p>
      <w:pPr>
        <w:spacing w:after="120" w:line="276"/>
        <w:jc w:val="both"/>
      </w:pPr>
      <w:r>
        <w:rPr>
          <w:rFonts w:ascii="Barlow Semi Condensed" w:cs="Barlow Semi Condensed" w:eastAsia="Barlow Semi Condensed" w:hAnsi="Barlow Semi Condensed"/>
          <w:sz w:val="24"/>
          <w:szCs w:val="24"/>
        </w:rPr>
        <w:t xml:space="preserve">proposta di due pagine su un libro non ancora scritto, presso questo editore, ha</w:t>
      </w:r>
    </w:p>
    <w:p>
      <w:pPr>
        <w:spacing w:after="120" w:line="276"/>
        <w:jc w:val="both"/>
      </w:pPr>
      <w:r>
        <w:rPr>
          <w:rFonts w:ascii="Barlow Semi Condensed" w:cs="Barlow Semi Condensed" w:eastAsia="Barlow Semi Condensed" w:hAnsi="Barlow Semi Condensed"/>
          <w:sz w:val="24"/>
          <w:szCs w:val="24"/>
        </w:rPr>
        <w:t xml:space="preserve">una probabilità molto bassa — non per severità, ma perché non è ciò che il</w:t>
      </w:r>
    </w:p>
    <w:p>
      <w:pPr>
        <w:spacing w:after="120" w:line="276"/>
        <w:jc w:val="both"/>
      </w:pPr>
      <w:r>
        <w:rPr>
          <w:rFonts w:ascii="Barlow Semi Condensed" w:cs="Barlow Semi Condensed" w:eastAsia="Barlow Semi Condensed" w:hAnsi="Barlow Semi Condensed"/>
          <w:sz w:val="24"/>
          <w:szCs w:val="24"/>
        </w:rPr>
        <w:t xml:space="preserve">canale è fatto per ricevere. **Il mio consiglio è di non inviare a Einaudi finché</w:t>
      </w:r>
    </w:p>
    <w:p>
      <w:pPr>
        <w:spacing w:after="120" w:line="276"/>
        <w:jc w:val="both"/>
      </w:pPr>
      <w:r>
        <w:rPr>
          <w:rFonts w:ascii="Barlow Semi Condensed" w:cs="Barlow Semi Condensed" w:eastAsia="Barlow Semi Condensed" w:hAnsi="Barlow Semi Condensed"/>
          <w:sz w:val="24"/>
          <w:szCs w:val="24"/>
        </w:rPr>
        <w:t xml:space="preserve">il saggio non è scritto**, e di usare nel frattempo il Mulino e Carocci, che</w:t>
      </w:r>
    </w:p>
    <w:p>
      <w:pPr>
        <w:spacing w:after="120" w:line="276"/>
        <w:jc w:val="both"/>
      </w:pPr>
      <w:r>
        <w:rPr>
          <w:rFonts w:ascii="Barlow Semi Condensed" w:cs="Barlow Semi Condensed" w:eastAsia="Barlow Semi Condensed" w:hAnsi="Barlow Semi Condensed"/>
          <w:sz w:val="24"/>
          <w:szCs w:val="24"/>
        </w:rPr>
        <w:t xml:space="preserve">valutano progetti.</w:t>
      </w:r>
    </w:p>
    <w:p>
      <w:pPr>
        <w:spacing w:after="120" w:line="276"/>
        <w:jc w:val="both"/>
      </w:pPr>
      <w:r>
        <w:rPr>
          <w:rFonts w:ascii="Barlow Semi Condensed" w:cs="Barlow Semi Condensed" w:eastAsia="Barlow Semi Condensed" w:hAnsi="Barlow Semi Condensed"/>
          <w:sz w:val="24"/>
          <w:szCs w:val="24"/>
        </w:rPr>
        <w:t xml:space="preserve">Se si vuole comunque inviare ora, quanto segue è la forma migliore possibile —</w:t>
      </w:r>
    </w:p>
    <w:p>
      <w:pPr>
        <w:spacing w:after="120" w:line="276"/>
        <w:jc w:val="both"/>
      </w:pPr>
      <w:r>
        <w:rPr>
          <w:rFonts w:ascii="Barlow Semi Condensed" w:cs="Barlow Semi Condensed" w:eastAsia="Barlow Semi Condensed" w:hAnsi="Barlow Semi Condensed"/>
          <w:sz w:val="24"/>
          <w:szCs w:val="24"/>
        </w:rPr>
        <w:t xml:space="preserve">ma va inviato sapendo che è un tentativo.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Einaudi, e in particolare le sue collane di non-fiction, chiede una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una tesi metodologica: un arco narrativo con un protagonista, un ostacolo e</w:t>
      </w:r>
    </w:p>
    <w:p>
      <w:pPr>
        <w:spacing w:after="120" w:line="276"/>
        <w:jc w:val="both"/>
      </w:pPr>
      <w:r>
        <w:rPr>
          <w:rFonts w:ascii="Barlow Semi Condensed" w:cs="Barlow Semi Condensed" w:eastAsia="Barlow Semi Condensed" w:hAnsi="Barlow Semi Condensed"/>
          <w:sz w:val="24"/>
          <w:szCs w:val="24"/>
        </w:rPr>
        <w:t xml:space="preserve">un esito. La proposta è quindi scritta come racconto di un'impresa che continua a</w:t>
      </w:r>
    </w:p>
    <w:p>
      <w:pPr>
        <w:spacing w:after="120" w:line="276"/>
        <w:jc w:val="both"/>
      </w:pPr>
      <w:r>
        <w:rPr>
          <w:rFonts w:ascii="Barlow Semi Condensed" w:cs="Barlow Semi Condensed" w:eastAsia="Barlow Semi Condensed" w:hAnsi="Barlow Semi Condensed"/>
          <w:sz w:val="24"/>
          <w:szCs w:val="24"/>
        </w:rPr>
        <w:t xml:space="preserve">fallire nei punti interessanti.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w:t>
      </w:r>
    </w:p>
    <w:p>
      <w:pPr>
        <w:spacing w:after="120" w:line="276"/>
        <w:jc w:val="both"/>
      </w:pPr>
      <w:r>
        <w:rPr>
          <w:rFonts w:ascii="Barlow Semi Condensed" w:cs="Barlow Semi Condensed" w:eastAsia="Barlow Semi Condensed" w:hAnsi="Barlow Semi Condensed"/>
          <w:b/>
          <w:bCs/>
          <w:sz w:val="24"/>
          <w:szCs w:val="24"/>
        </w:rPr>
        <w:t xml:space="preserve">Dichiarazione preliminare, che è anche l'attacco del libro.</w:t>
      </w:r>
      <w:r>
        <w:rPr>
          <w:rFonts w:ascii="Barlow Semi Condensed" w:cs="Barlow Semi Condensed" w:eastAsia="Barlow Semi Condensed" w:hAnsi="Barlow Semi Condensed"/>
          <w:sz w:val="24"/>
          <w:szCs w:val="24"/>
        </w:rPr>
        <w:t xml:space="preserve"> Quest'opera è</w:t>
      </w:r>
    </w:p>
    <w:p>
      <w:pPr>
        <w:spacing w:after="120" w:line="276"/>
        <w:jc w:val="both"/>
      </w:pPr>
      <w:r>
        <w:rPr>
          <w:rFonts w:ascii="Barlow Semi Condensed" w:cs="Barlow Semi Condensed" w:eastAsia="Barlow Semi Condensed" w:hAnsi="Barlow Semi Condensed"/>
          <w:sz w:val="24"/>
          <w:szCs w:val="24"/>
        </w:rPr>
        <w:t xml:space="preserve">nata da un esperimento condotto con sistemi di intelligenza artificiale sotto mia</w:t>
      </w:r>
    </w:p>
    <w:p>
      <w:pPr>
        <w:spacing w:after="120" w:line="276"/>
        <w:jc w:val="both"/>
      </w:pPr>
      <w:r>
        <w:rPr>
          <w:rFonts w:ascii="Barlow Semi Condensed" w:cs="Barlow Semi Condensed" w:eastAsia="Barlow Semi Condensed" w:hAnsi="Barlow Semi Condensed"/>
          <w:sz w:val="24"/>
          <w:szCs w:val="24"/>
        </w:rPr>
        <w:t xml:space="preserve">direzione. Lo dichiaro subito perché è il soggetto del racconto, non il suo</w:t>
      </w:r>
    </w:p>
    <w:p>
      <w:pPr>
        <w:spacing w:after="120" w:line="276"/>
        <w:jc w:val="both"/>
      </w:pPr>
      <w:r>
        <w:rPr>
          <w:rFonts w:ascii="Barlow Semi Condensed" w:cs="Barlow Semi Condensed" w:eastAsia="Barlow Semi Condensed" w:hAnsi="Barlow Semi Condensed"/>
          <w:sz w:val="24"/>
          <w:szCs w:val="24"/>
        </w:rPr>
        <w:t xml:space="preserve">metodo di produzione.</w:t>
      </w:r>
    </w:p>
    <w:p>
      <w:pPr>
        <w:spacing w:after="120" w:line="276"/>
        <w:jc w:val="both"/>
      </w:pPr>
      <w:r>
        <w:rPr>
          <w:rFonts w:ascii="Barlow Semi Condensed" w:cs="Barlow Semi Condensed" w:eastAsia="Barlow Semi Condensed" w:hAnsi="Barlow Semi Condensed"/>
          <w:b/>
          <w:bCs/>
          <w:sz w:val="24"/>
          <w:szCs w:val="24"/>
        </w:rPr>
        <w:t xml:space="preserve">La storia.</w:t>
      </w:r>
      <w:r>
        <w:rPr>
          <w:rFonts w:ascii="Barlow Semi Condensed" w:cs="Barlow Semi Condensed" w:eastAsia="Barlow Semi Condensed" w:hAnsi="Barlow Semi Condensed"/>
          <w:sz w:val="24"/>
          <w:szCs w:val="24"/>
        </w:rPr>
        <w:t xml:space="preserve"> Ho preso il caso più documentato e più infestato dalla dietrologia</w:t>
      </w:r>
    </w:p>
    <w:p>
      <w:pPr>
        <w:spacing w:after="120" w:line="276"/>
        <w:jc w:val="both"/>
      </w:pPr>
      <w:r>
        <w:rPr>
          <w:rFonts w:ascii="Barlow Semi Condensed" w:cs="Barlow Semi Condensed" w:eastAsia="Barlow Semi Condensed" w:hAnsi="Barlow Semi Condensed"/>
          <w:sz w:val="24"/>
          <w:szCs w:val="24"/>
        </w:rPr>
        <w:t xml:space="preserve">della storia repubblicana, e ho messo delle macchine a cercarvi dentro. Volevo</w:t>
      </w:r>
    </w:p>
    <w:p>
      <w:pPr>
        <w:spacing w:after="120" w:line="276"/>
        <w:jc w:val="both"/>
      </w:pPr>
      <w:r>
        <w:rPr>
          <w:rFonts w:ascii="Barlow Semi Condensed" w:cs="Barlow Semi Condensed" w:eastAsia="Barlow Semi Condensed" w:hAnsi="Barlow Semi Condensed"/>
          <w:sz w:val="24"/>
          <w:szCs w:val="24"/>
        </w:rPr>
        <w:t xml:space="preserve">sapere una cosa sola: se, date regole abbastanza severe, una macchina possa fare</w:t>
      </w:r>
    </w:p>
    <w:p>
      <w:pPr>
        <w:spacing w:after="120" w:line="276"/>
        <w:jc w:val="both"/>
      </w:pPr>
      <w:r>
        <w:rPr>
          <w:rFonts w:ascii="Barlow Semi Condensed" w:cs="Barlow Semi Condensed" w:eastAsia="Barlow Semi Condensed" w:hAnsi="Barlow Semi Condensed"/>
          <w:sz w:val="24"/>
          <w:szCs w:val="24"/>
        </w:rPr>
        <w:t xml:space="preserve">ricerca storica senza produrre l'unica cosa che sa produrre benissimo — una</w:t>
      </w:r>
    </w:p>
    <w:p>
      <w:pPr>
        <w:spacing w:after="120" w:line="276"/>
        <w:jc w:val="both"/>
      </w:pPr>
      <w:r>
        <w:rPr>
          <w:rFonts w:ascii="Barlow Semi Condensed" w:cs="Barlow Semi Condensed" w:eastAsia="Barlow Semi Condensed" w:hAnsi="Barlow Semi Condensed"/>
          <w:sz w:val="24"/>
          <w:szCs w:val="24"/>
        </w:rPr>
        <w:t xml:space="preserve">trama.</w:t>
      </w:r>
    </w:p>
    <w:p>
      <w:pPr>
        <w:spacing w:after="120" w:line="276"/>
        <w:jc w:val="both"/>
      </w:pPr>
      <w:r>
        <w:rPr>
          <w:rFonts w:ascii="Barlow Semi Condensed" w:cs="Barlow Semi Condensed" w:eastAsia="Barlow Semi Condensed" w:hAnsi="Barlow Semi Condensed"/>
          <w:sz w:val="24"/>
          <w:szCs w:val="24"/>
        </w:rPr>
        <w:t xml:space="preserve">La risposta breve è che no, non può, e che le regole vanno riscritte mentre si</w:t>
      </w:r>
    </w:p>
    <w:p>
      <w:pPr>
        <w:spacing w:after="120" w:line="276"/>
        <w:jc w:val="both"/>
      </w:pPr>
      <w:r>
        <w:rPr>
          <w:rFonts w:ascii="Barlow Semi Condensed" w:cs="Barlow Semi Condensed" w:eastAsia="Barlow Semi Condensed" w:hAnsi="Barlow Semi Condensed"/>
          <w:sz w:val="24"/>
          <w:szCs w:val="24"/>
        </w:rPr>
        <w:t xml:space="preserve">lavora. Il libro è il diario di quelle riscritture, e ognuna nasce da un</w:t>
      </w:r>
    </w:p>
    <w:p>
      <w:pPr>
        <w:spacing w:after="120" w:line="276"/>
        <w:jc w:val="both"/>
      </w:pPr>
      <w:r>
        <w:rPr>
          <w:rFonts w:ascii="Barlow Semi Condensed" w:cs="Barlow Semi Condensed" w:eastAsia="Barlow Semi Condensed" w:hAnsi="Barlow Semi Condensed"/>
          <w:sz w:val="24"/>
          <w:szCs w:val="24"/>
        </w:rPr>
        <w:t xml:space="preserve">fallimento specifico.</w:t>
      </w:r>
    </w:p>
    <w:p>
      <w:pPr>
        <w:spacing w:after="120" w:line="276"/>
        <w:jc w:val="both"/>
      </w:pPr>
      <w:r>
        <w:rPr>
          <w:rFonts w:ascii="Barlow Semi Condensed" w:cs="Barlow Semi Condensed" w:eastAsia="Barlow Semi Condensed" w:hAnsi="Barlow Semi Condensed"/>
          <w:sz w:val="24"/>
          <w:szCs w:val="24"/>
        </w:rPr>
        <w:t xml:space="preserve">C'è il momento in cui una macchina, incaricata di censire ciò che gli archivi</w:t>
      </w:r>
    </w:p>
    <w:p>
      <w:pPr>
        <w:spacing w:after="120" w:line="276"/>
        <w:jc w:val="both"/>
      </w:pPr>
      <w:r>
        <w:rPr>
          <w:rFonts w:ascii="Barlow Semi Condensed" w:cs="Barlow Semi Condensed" w:eastAsia="Barlow Semi Condensed" w:hAnsi="Barlow Semi Condensed"/>
          <w:sz w:val="24"/>
          <w:szCs w:val="24"/>
        </w:rPr>
        <w:t xml:space="preserve">non dicono, si ferma e osserva che stavo confondendo due cose diverse: un</w:t>
      </w:r>
    </w:p>
    <w:p>
      <w:pPr>
        <w:spacing w:after="120" w:line="276"/>
        <w:jc w:val="both"/>
      </w:pPr>
      <w:r>
        <w:rPr>
          <w:rFonts w:ascii="Barlow Semi Condensed" w:cs="Barlow Semi Condensed" w:eastAsia="Barlow Semi Condensed" w:hAnsi="Barlow Semi Condensed"/>
          <w:sz w:val="24"/>
          <w:szCs w:val="24"/>
        </w:rPr>
        <w:t xml:space="preserve">archivio che è stato interrogato e non ha risposto, e un capitolo che parlava</w:t>
      </w:r>
    </w:p>
    <w:p>
      <w:pPr>
        <w:spacing w:after="120" w:line="276"/>
        <w:jc w:val="both"/>
      </w:pPr>
      <w:r>
        <w:rPr>
          <w:rFonts w:ascii="Barlow Semi Condensed" w:cs="Barlow Semi Condensed" w:eastAsia="Barlow Semi Condensed" w:hAnsi="Barlow Semi Condensed"/>
          <w:sz w:val="24"/>
          <w:szCs w:val="24"/>
        </w:rPr>
        <w:t xml:space="preserve">d'altro. Aveva ragione, e la distinzione non era nelle mie istruzioni.</w:t>
      </w:r>
    </w:p>
    <w:p>
      <w:pPr>
        <w:spacing w:after="120" w:line="276"/>
        <w:jc w:val="both"/>
      </w:pPr>
      <w:r>
        <w:rPr>
          <w:rFonts w:ascii="Barlow Semi Condensed" w:cs="Barlow Semi Condensed" w:eastAsia="Barlow Semi Condensed" w:hAnsi="Barlow Semi Condensed"/>
          <w:sz w:val="24"/>
          <w:szCs w:val="24"/>
        </w:rPr>
        <w:t xml:space="preserve">C'è il momento in cui il controllo automatico che avevo scritto per intercettare</w:t>
      </w:r>
    </w:p>
    <w:p>
      <w:pPr>
        <w:spacing w:after="120" w:line="276"/>
        <w:jc w:val="both"/>
      </w:pPr>
      <w:r>
        <w:rPr>
          <w:rFonts w:ascii="Barlow Semi Condensed" w:cs="Barlow Semi Condensed" w:eastAsia="Barlow Semi Condensed" w:hAnsi="Barlow Semi Condensed"/>
          <w:sz w:val="24"/>
          <w:szCs w:val="24"/>
        </w:rPr>
        <w:t xml:space="preserve">le accuse improprie ha segnalato, una dopo l'altra, proprio le pagine che quelle</w:t>
      </w:r>
    </w:p>
    <w:p>
      <w:pPr>
        <w:spacing w:after="120" w:line="276"/>
        <w:jc w:val="both"/>
      </w:pPr>
      <w:r>
        <w:rPr>
          <w:rFonts w:ascii="Barlow Semi Condensed" w:cs="Barlow Semi Condensed" w:eastAsia="Barlow Semi Condensed" w:hAnsi="Barlow Semi Condensed"/>
          <w:sz w:val="24"/>
          <w:szCs w:val="24"/>
        </w:rPr>
        <w:t xml:space="preserve">accuse le vietavano — perché per vietare una formula bisogna scriverla, e nessun</w:t>
      </w:r>
    </w:p>
    <w:p>
      <w:pPr>
        <w:spacing w:after="120" w:line="276"/>
        <w:jc w:val="both"/>
      </w:pPr>
      <w:r>
        <w:rPr>
          <w:rFonts w:ascii="Barlow Semi Condensed" w:cs="Barlow Semi Condensed" w:eastAsia="Barlow Semi Condensed" w:hAnsi="Barlow Semi Condensed"/>
          <w:sz w:val="24"/>
          <w:szCs w:val="24"/>
        </w:rPr>
        <w:t xml:space="preserve">filtro distingue una regola dalla sua trasgressione.</w:t>
      </w:r>
    </w:p>
    <w:p>
      <w:pPr>
        <w:spacing w:after="120" w:line="276"/>
        <w:jc w:val="both"/>
      </w:pPr>
      <w:r>
        <w:rPr>
          <w:rFonts w:ascii="Barlow Semi Condensed" w:cs="Barlow Semi Condensed" w:eastAsia="Barlow Semi Condensed" w:hAnsi="Barlow Semi Condensed"/>
          <w:sz w:val="24"/>
          <w:szCs w:val="24"/>
        </w:rPr>
        <w:t xml:space="preserve">E c'è il momento in cui ho aperto il documento che tutti citano come la prova di</w:t>
      </w:r>
    </w:p>
    <w:p>
      <w:pPr>
        <w:spacing w:after="120" w:line="276"/>
        <w:jc w:val="both"/>
      </w:pPr>
      <w:r>
        <w:rPr>
          <w:rFonts w:ascii="Barlow Semi Condensed" w:cs="Barlow Semi Condensed" w:eastAsia="Barlow Semi Condensed" w:hAnsi="Barlow Semi Condensed"/>
          <w:sz w:val="24"/>
          <w:szCs w:val="24"/>
        </w:rPr>
        <w:t xml:space="preserve">un ultimatum americano ad Aldo Moro —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 e ho constatato che </w:t>
      </w: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La verifica</w:t>
      </w:r>
    </w:p>
    <w:p>
      <w:pPr>
        <w:spacing w:after="120" w:line="276"/>
        <w:jc w:val="both"/>
      </w:pPr>
      <w:r>
        <w:rPr>
          <w:rFonts w:ascii="Barlow Semi Condensed" w:cs="Barlow Semi Condensed" w:eastAsia="Barlow Semi Condensed" w:hAnsi="Barlow Semi Condensed"/>
          <w:sz w:val="24"/>
          <w:szCs w:val="24"/>
        </w:rPr>
        <w:t xml:space="preserve">richiede mezz'ora. Nessuno l'aveva pubblicata. E di quel colloquio, ho scoperto</w:t>
      </w:r>
    </w:p>
    <w:p>
      <w:pPr>
        <w:spacing w:after="120" w:line="276"/>
        <w:jc w:val="both"/>
      </w:pPr>
      <w:r>
        <w:rPr>
          <w:rFonts w:ascii="Barlow Semi Condensed" w:cs="Barlow Semi Condensed" w:eastAsia="Barlow Semi Condensed" w:hAnsi="Barlow Semi Condensed"/>
          <w:sz w:val="24"/>
          <w:szCs w:val="24"/>
        </w:rPr>
        <w:t xml:space="preserve">poi, esiste un solo verbale, quello americano: l'appunto italiano dello stesso</w:t>
      </w:r>
    </w:p>
    <w:p>
      <w:pPr>
        <w:spacing w:after="120" w:line="276"/>
        <w:jc w:val="both"/>
      </w:pPr>
      <w:r>
        <w:rPr>
          <w:rFonts w:ascii="Barlow Semi Condensed" w:cs="Barlow Semi Condensed" w:eastAsia="Barlow Semi Condensed" w:hAnsi="Barlow Semi Condensed"/>
          <w:sz w:val="24"/>
          <w:szCs w:val="24"/>
        </w:rPr>
        <w:t xml:space="preserve">incontro </w:t>
      </w:r>
      <w:r>
        <w:rPr>
          <w:rFonts w:ascii="Barlow Semi Condensed" w:cs="Barlow Semi Condensed" w:eastAsia="Barlow Semi Condensed" w:hAnsi="Barlow Semi Condensed"/>
          <w:b/>
          <w:bCs/>
          <w:sz w:val="24"/>
          <w:szCs w:val="24"/>
        </w:rPr>
        <w:t xml:space="preserve">non risulta essere mai stato cercato da nessuno, in cinquant'anni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libro finisce lì dove finiscono le cose oneste: con un elenco di cose da fare</w:t>
      </w:r>
    </w:p>
    <w:p>
      <w:pPr>
        <w:spacing w:after="120" w:line="276"/>
        <w:jc w:val="both"/>
      </w:pPr>
      <w:r>
        <w:rPr>
          <w:rFonts w:ascii="Barlow Semi Condensed" w:cs="Barlow Semi Condensed" w:eastAsia="Barlow Semi Condensed" w:hAnsi="Barlow Semi Condensed"/>
          <w:sz w:val="24"/>
          <w:szCs w:val="24"/>
        </w:rPr>
        <w:t xml:space="preserve">che non ho fatto io, e con un numero. Quattromilanovecentonovantanove domande, e</w:t>
      </w:r>
    </w:p>
    <w:p>
      <w:pPr>
        <w:spacing w:after="120" w:line="276"/>
        <w:jc w:val="both"/>
      </w:pPr>
      <w:r>
        <w:rPr>
          <w:rFonts w:ascii="Barlow Semi Condensed" w:cs="Barlow Semi Condensed" w:eastAsia="Barlow Semi Condensed" w:hAnsi="Barlow Semi Condensed"/>
          <w:sz w:val="24"/>
          <w:szCs w:val="24"/>
        </w:rPr>
        <w:t xml:space="preserve">non cinquemila, perché la cinquemillesima non ero in grado di formularla senza</w:t>
      </w:r>
    </w:p>
    <w:p>
      <w:pPr>
        <w:spacing w:after="120" w:line="276"/>
        <w:jc w:val="both"/>
      </w:pPr>
      <w:r>
        <w:rPr>
          <w:rFonts w:ascii="Barlow Semi Condensed" w:cs="Barlow Semi Condensed" w:eastAsia="Barlow Semi Condensed" w:hAnsi="Barlow Semi Condensed"/>
          <w:sz w:val="24"/>
          <w:szCs w:val="24"/>
        </w:rPr>
        <w:t xml:space="preserve">ripetere una delle precedenti — e ho preferito lasciare la riga bianca.</w:t>
      </w:r>
    </w:p>
    <w:p>
      <w:pPr>
        <w:spacing w:after="120" w:line="276"/>
        <w:jc w:val="both"/>
      </w:pPr>
      <w:r>
        <w:rPr>
          <w:rFonts w:ascii="Barlow Semi Condensed" w:cs="Barlow Semi Condensed" w:eastAsia="Barlow Semi Condensed" w:hAnsi="Barlow Semi Condensed"/>
          <w:b/>
          <w:bCs/>
          <w:sz w:val="24"/>
          <w:szCs w:val="24"/>
        </w:rPr>
        <w:t xml:space="preserve">Che cosa il libro non è.</w:t>
      </w:r>
      <w:r>
        <w:rPr>
          <w:rFonts w:ascii="Barlow Semi Condensed" w:cs="Barlow Semi Condensed" w:eastAsia="Barlow Semi Condensed" w:hAnsi="Barlow Semi Condensed"/>
          <w:sz w:val="24"/>
          <w:szCs w:val="24"/>
        </w:rPr>
        <w:t xml:space="preserve"> Non è un libro sul caso Moro, non ha una tesi sul</w:t>
      </w:r>
    </w:p>
    <w:p>
      <w:pPr>
        <w:spacing w:after="120" w:line="276"/>
        <w:jc w:val="both"/>
      </w:pPr>
      <w:r>
        <w:rPr>
          <w:rFonts w:ascii="Barlow Semi Condensed" w:cs="Barlow Semi Condensed" w:eastAsia="Barlow Semi Condensed" w:hAnsi="Barlow Semi Condensed"/>
          <w:sz w:val="24"/>
          <w:szCs w:val="24"/>
        </w:rPr>
        <w:t xml:space="preserve">1978, non fa nomi oltre le sentenze definitive. Il caso serve come banco di</w:t>
      </w:r>
    </w:p>
    <w:p>
      <w:pPr>
        <w:spacing w:after="120" w:line="276"/>
        <w:jc w:val="both"/>
      </w:pPr>
      <w:r>
        <w:rPr>
          <w:rFonts w:ascii="Barlow Semi Condensed" w:cs="Barlow Semi Condensed" w:eastAsia="Barlow Semi Condensed" w:hAnsi="Barlow Semi Condensed"/>
          <w:sz w:val="24"/>
          <w:szCs w:val="24"/>
        </w:rPr>
        <w:t xml:space="preserve">prova: è documentatissimo, la sua letteratura è tossica, e chiunque riconosce</w:t>
      </w:r>
    </w:p>
    <w:p>
      <w:pPr>
        <w:spacing w:after="120" w:line="276"/>
        <w:jc w:val="both"/>
      </w:pPr>
      <w:r>
        <w:rPr>
          <w:rFonts w:ascii="Barlow Semi Condensed" w:cs="Barlow Semi Condensed" w:eastAsia="Barlow Semi Condensed" w:hAnsi="Barlow Semi Condensed"/>
          <w:sz w:val="24"/>
          <w:szCs w:val="24"/>
        </w:rPr>
        <w:t xml:space="preserve">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Estensione</w:t>
      </w:r>
      <w:r>
        <w:rPr>
          <w:rFonts w:ascii="Barlow Semi Condensed" w:cs="Barlow Semi Condensed" w:eastAsia="Barlow Semi Condensed" w:hAnsi="Barlow Semi Condensed"/>
          <w:sz w:val="24"/>
          <w:szCs w:val="24"/>
        </w:rPr>
        <w:t xml:space="preserve">: 160-200 pagine.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è completo e verificato;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il resto del testo è da scrivere. Lo dico in chiaro perché a</w:t>
      </w:r>
    </w:p>
    <w:p>
      <w:pPr>
        <w:spacing w:after="120" w:line="276"/>
        <w:jc w:val="both"/>
      </w:pPr>
      <w:r>
        <w:rPr>
          <w:rFonts w:ascii="Barlow Semi Condensed" w:cs="Barlow Semi Condensed" w:eastAsia="Barlow Semi Condensed" w:hAnsi="Barlow Semi Condensed"/>
          <w:sz w:val="24"/>
          <w:szCs w:val="24"/>
        </w:rPr>
        <w:t xml:space="preserve">questo editore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 — e perché, se la risposta arriva in sei mesi, in sei mesi il libro</w:t>
      </w:r>
    </w:p>
    <w:p>
      <w:pPr>
        <w:spacing w:after="120" w:line="276"/>
        <w:jc w:val="both"/>
      </w:pPr>
      <w:r>
        <w:rPr>
          <w:rFonts w:ascii="Barlow Semi Condensed" w:cs="Barlow Semi Condensed" w:eastAsia="Barlow Semi Condensed" w:hAnsi="Barlow Semi Condensed"/>
          <w:sz w:val="24"/>
          <w:szCs w:val="24"/>
        </w:rPr>
        <w:t xml:space="preserve">può esserci.</w:t>
      </w:r>
    </w:p>
    <w:p>
      <w:pPr>
        <w:spacing w:after="120" w:line="276"/>
        <w:jc w:val="both"/>
      </w:pPr>
      <w:r>
        <w:rPr>
          <w:rFonts w:ascii="Barlow Semi Condensed" w:cs="Barlow Semi Condensed" w:eastAsia="Barlow Semi Condensed" w:hAnsi="Barlow Semi Condensed"/>
          <w:sz w:val="24"/>
          <w:szCs w:val="24"/>
        </w:rPr>
        <w:t xml:space="preserve">In allegato il curriculum vitae, come da vostre indicazioni.</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sz w:val="24"/>
          <w:szCs w:val="24"/>
        </w:rPr>
        <w:t xml:space="preserve">[dati anagrafici, email, telefono — da ripetere anche nel documento allegato]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Ordine consigliato fra i tre</w:t>
      </w:r>
    </w:p>
    <w:p>
      <w:pPr>
        <w:spacing w:after="120" w:line="276"/>
        <w:jc w:val="both"/>
      </w:pPr>
      <w:r>
        <w:rPr>
          <w:rFonts w:ascii="Barlow Semi Condensed" w:cs="Barlow Semi Condensed" w:eastAsia="Barlow Semi Condensed" w:hAnsi="Barlow Semi Condensed"/>
          <w:b/>
          <w:bCs/>
          <w:sz w:val="24"/>
          <w:szCs w:val="24"/>
        </w:rPr>
        <w:t xml:space="preserve">il Mulino per primo</w:t>
      </w:r>
      <w:r>
        <w:rPr>
          <w:rFonts w:ascii="Barlow Semi Condensed" w:cs="Barlow Semi Condensed" w:eastAsia="Barlow Semi Condensed" w:hAnsi="Barlow Semi Condensed"/>
          <w:sz w:val="24"/>
          <w:szCs w:val="24"/>
        </w:rPr>
        <w:t xml:space="preserve">: valuta progetti, il modulo è fatto per ricevere</w:t>
      </w:r>
    </w:p>
    <w:p>
      <w:pPr>
        <w:spacing w:after="120" w:line="276"/>
        <w:jc w:val="both"/>
      </w:pPr>
      <w:r>
        <w:rPr>
          <w:rFonts w:ascii="Barlow Semi Condensed" w:cs="Barlow Semi Condensed" w:eastAsia="Barlow Semi Condensed" w:hAnsi="Barlow Semi Condensed"/>
          <w:sz w:val="24"/>
          <w:szCs w:val="24"/>
        </w:rPr>
        <w:t xml:space="preserve">esattamente questo, e l'affinità di catalogo è la più alta. **Carocci in</w:t>
      </w:r>
    </w:p>
    <w:p>
      <w:pPr>
        <w:spacing w:after="120" w:line="276"/>
        <w:jc w:val="both"/>
      </w:pPr>
      <w:r>
        <w:rPr>
          <w:rFonts w:ascii="Barlow Semi Condensed" w:cs="Barlow Semi Condensed" w:eastAsia="Barlow Semi Condensed" w:hAnsi="Barlow Semi Condensed"/>
          <w:sz w:val="24"/>
          <w:szCs w:val="24"/>
        </w:rPr>
        <w:t xml:space="preserve">parallelo**: non è concorrente del Mulino perché il libro proposto è un altro —</w:t>
      </w:r>
    </w:p>
    <w:p>
      <w:pPr>
        <w:spacing w:after="120" w:line="276"/>
        <w:jc w:val="both"/>
      </w:pPr>
      <w:r>
        <w:rPr>
          <w:rFonts w:ascii="Barlow Semi Condensed" w:cs="Barlow Semi Condensed" w:eastAsia="Barlow Semi Condensed" w:hAnsi="Barlow Semi Condensed"/>
          <w:sz w:val="24"/>
          <w:szCs w:val="24"/>
        </w:rPr>
        <w:t xml:space="preserve">lì è un testo adottabile, qui un saggio civile. **Einaudi per ultimo, e solo a</w:t>
      </w:r>
    </w:p>
    <w:p>
      <w:pPr>
        <w:spacing w:after="120" w:line="276"/>
        <w:jc w:val="both"/>
      </w:pPr>
      <w:r>
        <w:rPr>
          <w:rFonts w:ascii="Barlow Semi Condensed" w:cs="Barlow Semi Condensed" w:eastAsia="Barlow Semi Condensed" w:hAnsi="Barlow Semi Condensed"/>
          <w:sz w:val="24"/>
          <w:szCs w:val="24"/>
        </w:rPr>
        <w:t xml:space="preserve">libro scritto.**</w:t>
      </w:r>
    </w:p>
    <w:p>
      <w:pPr>
        <w:spacing w:after="120" w:line="276"/>
        <w:jc w:val="both"/>
      </w:pPr>
      <w:r>
        <w:rPr>
          <w:rFonts w:ascii="Barlow Semi Condensed" w:cs="Barlow Semi Condensed" w:eastAsia="Barlow Semi Condensed" w:hAnsi="Barlow Semi Condensed"/>
          <w:sz w:val="24"/>
          <w:szCs w:val="24"/>
        </w:rPr>
        <w:t xml:space="preserve">Inviare a tutti e tre lo stesso giorno lo stesso testo è l'errore da evitare: se</w:t>
      </w:r>
    </w:p>
    <w:p>
      <w:pPr>
        <w:spacing w:after="120" w:line="276"/>
        <w:jc w:val="both"/>
      </w:pPr>
      <w:r>
        <w:rPr>
          <w:rFonts w:ascii="Barlow Semi Condensed" w:cs="Barlow Semi Condensed" w:eastAsia="Barlow Semi Condensed" w:hAnsi="Barlow Semi Condensed"/>
          <w:sz w:val="24"/>
          <w:szCs w:val="24"/>
        </w:rPr>
        <w:t xml:space="preserve">due rispondessero, ci si troverebbe ad aver promesso due libri diversi con lo</w:t>
      </w:r>
    </w:p>
    <w:p>
      <w:pPr>
        <w:spacing w:after="120" w:line="276"/>
        <w:jc w:val="both"/>
      </w:pPr>
      <w:r>
        <w:rPr>
          <w:rFonts w:ascii="Barlow Semi Condensed" w:cs="Barlow Semi Condensed" w:eastAsia="Barlow Semi Condensed" w:hAnsi="Barlow Semi Condensed"/>
          <w:sz w:val="24"/>
          <w:szCs w:val="24"/>
        </w:rPr>
        <w:t xml:space="preserve">stesso titolo.</w:t>
      </w:r>
    </w:p>
    <w:p>
      <w:pPr>
        <w:pStyle w:val="Heading3"/>
        <w:spacing w:after="80" w:before="240"/>
      </w:pPr>
      <w:r>
        <w:rPr>
          <w:rFonts w:ascii="Barlow Semi Condensed" w:cs="Barlow Semi Condensed" w:eastAsia="Barlow Semi Condensed" w:hAnsi="Barlow Semi Condensed"/>
          <w:sz w:val="24"/>
          <w:szCs w:val="24"/>
        </w:rPr>
        <w:t xml:space="preserve">Apparato grafico — Appendici · xiv. A il Mulino, Carocci, Einaudi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2.315 parole in 9 sezioni; la più ampia è §3 Angolatura scelta, con 827.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 A Chiarelettere e Bompiani</w:t>
      </w:r>
    </w:p>
    <w:p>
      <w:pPr>
        <w:pStyle w:val="Heading1"/>
        <w:spacing w:after="120" w:before="240"/>
      </w:pPr>
      <w:r>
        <w:rPr>
          <w:rFonts w:ascii="Barlow Semi Condensed" w:cs="Barlow Semi Condensed" w:eastAsia="Barlow Semi Condensed" w:hAnsi="Barlow Semi Condensed"/>
          <w:sz w:val="24"/>
          <w:szCs w:val="24"/>
        </w:rPr>
        <w:t xml:space="preserve">Proposte editoriali — Chiarelettere, Bompiani</w:t>
      </w:r>
    </w:p>
    <w:p>
      <w:pPr>
        <w:spacing w:after="120" w:line="276"/>
        <w:jc w:val="both"/>
      </w:pPr>
      <w:r>
        <w:rPr>
          <w:rFonts w:ascii="Barlow Semi Condensed" w:cs="Barlow Semi Condensed" w:eastAsia="Barlow Semi Condensed" w:hAnsi="Barlow Semi Condensed"/>
          <w:sz w:val="24"/>
          <w:szCs w:val="24"/>
        </w:rPr>
        <w:t xml:space="preserve">*Preparate il 26 agosto 2026. Due editori, due canali diversi, due angolature</w:t>
      </w:r>
    </w:p>
    <w:p>
      <w:pPr>
        <w:spacing w:after="120" w:line="276"/>
        <w:jc w:val="both"/>
      </w:pPr>
      <w:r>
        <w:rPr>
          <w:rFonts w:ascii="Barlow Semi Condensed" w:cs="Barlow Semi Condensed" w:eastAsia="Barlow Semi Condensed" w:hAnsi="Barlow Semi Condensed"/>
          <w:sz w:val="24"/>
          <w:szCs w:val="24"/>
        </w:rPr>
        <w:t xml:space="preserve">diverse dello stesso libro. Verificare le modalità sui siti prima dell'invio:</w:t>
      </w:r>
    </w:p>
    <w:p>
      <w:pPr>
        <w:spacing w:after="120" w:line="276"/>
        <w:jc w:val="both"/>
      </w:pPr>
      <w:r>
        <w:rPr>
          <w:rFonts w:ascii="Barlow Semi Condensed" w:cs="Barlow Semi Condensed" w:eastAsia="Barlow Semi Condensed" w:hAnsi="Barlow Semi Condensed"/>
          <w:sz w:val="24"/>
          <w:szCs w:val="24"/>
        </w:rPr>
        <w:t xml:space="preserve">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w:t>
      </w:r>
    </w:p>
    <w:p>
      <w:pPr>
        <w:spacing w:after="120" w:line="276"/>
        <w:jc w:val="both"/>
      </w:pPr>
      <w:r>
        <w:rPr>
          <w:rFonts w:ascii="Barlow Semi Condensed" w:cs="Barlow Semi Condensed" w:eastAsia="Barlow Semi Condensed" w:hAnsi="Barlow Semi Condensed"/>
          <w:sz w:val="24"/>
          <w:szCs w:val="24"/>
        </w:rPr>
        <w:t xml:space="preserve">Vale qui tutto ciò che vale per le altre proposte, e va ripetuto perché queste</w:t>
      </w:r>
    </w:p>
    <w:p>
      <w:pPr>
        <w:spacing w:after="120" w:line="276"/>
        <w:jc w:val="both"/>
      </w:pPr>
      <w:r>
        <w:rPr>
          <w:rFonts w:ascii="Barlow Semi Condensed" w:cs="Barlow Semi Condensed" w:eastAsia="Barlow Semi Condensed" w:hAnsi="Barlow Semi Condensed"/>
          <w:sz w:val="24"/>
          <w:szCs w:val="24"/>
        </w:rPr>
        <w:t xml:space="preserve">due partono per ultime e la memoria si logora.</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entrambe. Non è cautela: è l'oggetto del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con la stessa formula usata ovunque</w:t>
      </w:r>
      <w:r>
        <w:rPr>
          <w:rFonts w:ascii="Barlow Semi Condensed" w:cs="Barlow Semi Condensed" w:eastAsia="Barlow Semi Condensed" w:hAnsi="Barlow Semi Condensed"/>
          <w:sz w:val="24"/>
          <w:szCs w:val="24"/>
        </w:rPr>
        <w:t xml:space="preserve">: il corpus è</w:t>
      </w:r>
    </w:p>
    <w:p>
      <w:pPr>
        <w:spacing w:after="120" w:line="276"/>
        <w:jc w:val="both"/>
      </w:pPr>
      <w:r>
        <w:rPr>
          <w:rFonts w:ascii="Barlow Semi Condensed" w:cs="Barlow Semi Condensed" w:eastAsia="Barlow Semi Condensed" w:hAnsi="Barlow Semi Condensed"/>
          <w:sz w:val="24"/>
          <w:szCs w:val="24"/>
        </w:rPr>
        <w:t xml:space="preserve">completo e verificato, la struttura del saggio esiste, i sette casi sono</w:t>
      </w:r>
    </w:p>
    <w:p>
      <w:pPr>
        <w:spacing w:after="120" w:line="276"/>
        <w:jc w:val="both"/>
      </w:pPr>
      <w:r>
        <w:rPr>
          <w:rFonts w:ascii="Barlow Semi Condensed" w:cs="Barlow Semi Condensed" w:eastAsia="Barlow Semi Condensed" w:hAnsi="Barlow Semi Condensed"/>
          <w:sz w:val="24"/>
          <w:szCs w:val="24"/>
        </w:rPr>
        <w:t xml:space="preserve">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 — **il resto del</w:t>
      </w:r>
    </w:p>
    <w:p>
      <w:pPr>
        <w:spacing w:after="120" w:line="276"/>
        <w:jc w:val="both"/>
      </w:pPr>
      <w:r>
        <w:rPr>
          <w:rFonts w:ascii="Barlow Semi Condensed" w:cs="Barlow Semi Condensed" w:eastAsia="Barlow Semi Condensed" w:hAnsi="Barlow Semi Condensed"/>
          <w:sz w:val="24"/>
          <w:szCs w:val="24"/>
        </w:rPr>
        <w:t xml:space="preserve">testo è da scrivere**.</w:t>
      </w:r>
    </w:p>
    <w:p>
      <w:pPr>
        <w:spacing w:after="120" w:line="276"/>
        <w:jc w:val="both"/>
      </w:pPr>
      <w:r>
        <w:rPr>
          <w:rFonts w:ascii="Barlow Semi Condensed" w:cs="Barlow Semi Condensed" w:eastAsia="Barlow Semi Condensed" w:hAnsi="Barlow Semi Condensed"/>
          <w:b/>
          <w:bCs/>
          <w:sz w:val="24"/>
          <w:szCs w:val="24"/>
        </w:rPr>
        <w:t xml:space="preserve">Dove si offre il corpus si dichiara l'eccezione del Libro quarto.</w:t>
      </w:r>
      <w:r>
        <w:rPr>
          <w:rFonts w:ascii="Barlow Semi Condensed" w:cs="Barlow Semi Condensed" w:eastAsia="Barlow Semi Condensed" w:hAnsi="Barlow Semi Condensed"/>
          <w:sz w:val="24"/>
          <w:szCs w:val="24"/>
        </w:rPr>
        <w:t xml:space="preserve"> Dei</w:t>
      </w:r>
    </w:p>
    <w:p>
      <w:pPr>
        <w:spacing w:after="120" w:line="276"/>
        <w:jc w:val="both"/>
      </w:pPr>
      <w:r>
        <w:rPr>
          <w:rFonts w:ascii="Barlow Semi Condensed" w:cs="Barlow Semi Condensed" w:eastAsia="Barlow Semi Condensed" w:hAnsi="Barlow Semi Condensed"/>
          <w:sz w:val="24"/>
          <w:szCs w:val="24"/>
        </w:rPr>
        <w:t xml:space="preserve">quattordici Libri uno solo, nella seconda metà, ordina per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e non per nomi individuali. È</w:t>
      </w:r>
    </w:p>
    <w:p>
      <w:pPr>
        <w:spacing w:after="120" w:line="276"/>
        <w:jc w:val="both"/>
      </w:pPr>
      <w:r>
        <w:rPr>
          <w:rFonts w:ascii="Barlow Semi Condensed" w:cs="Barlow Semi Condensed" w:eastAsia="Barlow Semi Condensed" w:hAnsi="Barlow Semi Condensed"/>
          <w:sz w:val="24"/>
          <w:szCs w:val="24"/>
        </w:rPr>
        <w:t xml:space="preserve">dichiarata in copertina e vale per quel Libro soltanto. Il saggio non la riprende.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Chiarelettere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Proposte a </w:t>
      </w:r>
      <w:r>
        <w:rPr>
          <w:rFonts w:ascii="Barlow Semi Condensed" w:cs="Barlow Semi Condensed" w:eastAsia="Barlow Semi Condensed" w:hAnsi="Barlow Semi Condensed"/>
          <w:b/>
          <w:bCs/>
          <w:sz w:val="24"/>
          <w:szCs w:val="24"/>
        </w:rPr>
        <w:t xml:space="preserve">`proposte.editoriali@chiarelettere.it`</w:t>
      </w:r>
      <w:r>
        <w:rPr>
          <w:rFonts w:ascii="Barlow Semi Condensed" w:cs="Barlow Semi Condensed" w:eastAsia="Barlow Semi Condensed" w:hAnsi="Barlow Semi Condensed"/>
          <w:sz w:val="24"/>
          <w:szCs w:val="24"/>
        </w:rPr>
        <w:t xml:space="preserve">, oppure attraverso il</w:t>
      </w:r>
    </w:p>
    <w:p>
      <w:pPr>
        <w:spacing w:after="120" w:line="276"/>
        <w:jc w:val="both"/>
      </w:pPr>
      <w:r>
        <w:rPr>
          <w:rFonts w:ascii="Barlow Semi Condensed" w:cs="Barlow Semi Condensed" w:eastAsia="Barlow Semi Condensed" w:hAnsi="Barlow Semi Condensed"/>
          <w:sz w:val="24"/>
          <w:szCs w:val="24"/>
        </w:rPr>
        <w:t xml:space="preserve">modulo sul sito — verificare quale sia il canale preferito il giorno dell'invio.</w:t>
      </w:r>
    </w:p>
    <w:p>
      <w:pPr>
        <w:spacing w:after="120" w:line="276"/>
        <w:jc w:val="both"/>
      </w:pPr>
      <w:r>
        <w:rPr>
          <w:rFonts w:ascii="Barlow Semi Condensed" w:cs="Barlow Semi Condensed" w:eastAsia="Barlow Semi Condensed" w:hAnsi="Barlow Semi Condensed"/>
          <w:sz w:val="24"/>
          <w:szCs w:val="24"/>
        </w:rPr>
        <w:t xml:space="preserve">Sede: corso Sempione 2, 20154 Milano.</w:t>
      </w:r>
    </w:p>
    <w:p>
      <w:pPr>
        <w:pStyle w:val="Heading2"/>
        <w:spacing w:after="100" w:before="200"/>
      </w:pPr>
      <w:r>
        <w:rPr>
          <w:rFonts w:ascii="Barlow Semi Condensed" w:cs="Barlow Semi Condensed" w:eastAsia="Barlow Semi Condensed" w:hAnsi="Barlow Semi Condensed"/>
          <w:sz w:val="24"/>
          <w:szCs w:val="24"/>
        </w:rPr>
        <w:t xml:space="preserve">Angolatura scelta, e perché è la più difficile delle sei</w:t>
      </w:r>
    </w:p>
    <w:p>
      <w:pPr>
        <w:spacing w:after="120" w:line="276"/>
        <w:jc w:val="both"/>
      </w:pPr>
      <w:r>
        <w:rPr>
          <w:rFonts w:ascii="Barlow Semi Condensed" w:cs="Barlow Semi Condensed" w:eastAsia="Barlow Semi Condensed" w:hAnsi="Barlow Semi Condensed"/>
          <w:sz w:val="24"/>
          <w:szCs w:val="24"/>
        </w:rPr>
        <w:t xml:space="preserve">Chiarelettere è il catalogo più affine dei nove: saggistica civile e d'inchiesta</w:t>
      </w:r>
    </w:p>
    <w:p>
      <w:pPr>
        <w:spacing w:after="120" w:line="276"/>
        <w:jc w:val="both"/>
      </w:pPr>
      <w:r>
        <w:rPr>
          <w:rFonts w:ascii="Barlow Semi Condensed" w:cs="Barlow Semi Condensed" w:eastAsia="Barlow Semi Condensed" w:hAnsi="Barlow Semi Condensed"/>
          <w:sz w:val="24"/>
          <w:szCs w:val="24"/>
        </w:rPr>
        <w:t xml:space="preserve">italiana, con una tradizione consolidata sulla storia della Repubblica e sui suoi</w:t>
      </w:r>
    </w:p>
    <w:p>
      <w:pPr>
        <w:spacing w:after="120" w:line="276"/>
        <w:jc w:val="both"/>
      </w:pPr>
      <w:r>
        <w:rPr>
          <w:rFonts w:ascii="Barlow Semi Condensed" w:cs="Barlow Semi Condensed" w:eastAsia="Barlow Semi Condensed" w:hAnsi="Barlow Semi Condensed"/>
          <w:sz w:val="24"/>
          <w:szCs w:val="24"/>
        </w:rPr>
        <w:t xml:space="preserve">punti opachi. **Proprio per questo è la porta dove una proposta sbagliata si nota</w:t>
      </w:r>
    </w:p>
    <w:p>
      <w:pPr>
        <w:spacing w:after="120" w:line="276"/>
        <w:jc w:val="both"/>
      </w:pPr>
      <w:r>
        <w:rPr>
          <w:rFonts w:ascii="Barlow Semi Condensed" w:cs="Barlow Semi Condensed" w:eastAsia="Barlow Semi Condensed" w:hAnsi="Barlow Semi Condensed"/>
          <w:sz w:val="24"/>
          <w:szCs w:val="24"/>
        </w:rPr>
        <w:t xml:space="preserve">di più**, e dove l'errore più facile sarebbe promettere ciò che il libro non dà.</w:t>
      </w:r>
    </w:p>
    <w:p>
      <w:pPr>
        <w:spacing w:after="120" w:line="276"/>
        <w:jc w:val="both"/>
      </w:pPr>
      <w:r>
        <w:rPr>
          <w:rFonts w:ascii="Barlow Semi Condensed" w:cs="Barlow Semi Condensed" w:eastAsia="Barlow Semi Condensed" w:hAnsi="Barlow Semi Condensed"/>
          <w:sz w:val="24"/>
          <w:szCs w:val="24"/>
        </w:rPr>
        <w:t xml:space="preserve">Il lettore di Chiarelettere si aspetta un'inchiesta che riveli. Questo libro</w:t>
      </w:r>
    </w:p>
    <w:p>
      <w:pPr>
        <w:spacing w:after="120" w:line="276"/>
        <w:jc w:val="both"/>
      </w:pPr>
      <w:r>
        <w:rPr>
          <w:rFonts w:ascii="Barlow Semi Condensed" w:cs="Barlow Semi Condensed" w:eastAsia="Barlow Semi Condensed" w:hAnsi="Barlow Semi Condensed"/>
          <w:sz w:val="24"/>
          <w:szCs w:val="24"/>
        </w:rPr>
        <w:t xml:space="preserve">dichiara di non rivelare nulla. Fingere il contrario per farsi leggere sarebbe</w:t>
      </w:r>
    </w:p>
    <w:p>
      <w:pPr>
        <w:spacing w:after="120" w:line="276"/>
        <w:jc w:val="both"/>
      </w:pPr>
      <w:r>
        <w:rPr>
          <w:rFonts w:ascii="Barlow Semi Condensed" w:cs="Barlow Semi Condensed" w:eastAsia="Barlow Semi Condensed" w:hAnsi="Barlow Semi Condensed"/>
          <w:sz w:val="24"/>
          <w:szCs w:val="24"/>
        </w:rPr>
        <w:t xml:space="preserve">disonesto verso l'editore e fatale al primo controllo.</w:t>
      </w:r>
    </w:p>
    <w:p>
      <w:pPr>
        <w:spacing w:after="120" w:line="276"/>
        <w:jc w:val="both"/>
      </w:pPr>
      <w:r>
        <w:rPr>
          <w:rFonts w:ascii="Barlow Semi Condensed" w:cs="Barlow Semi Condensed" w:eastAsia="Barlow Semi Condensed" w:hAnsi="Barlow Semi Condensed"/>
          <w:sz w:val="24"/>
          <w:szCs w:val="24"/>
        </w:rPr>
        <w:t xml:space="preserve">L'angolatura giusta è perciò l'opposta, ed è più forte: **il libro non porta una</w:t>
      </w:r>
    </w:p>
    <w:p>
      <w:pPr>
        <w:spacing w:after="120" w:line="276"/>
        <w:jc w:val="both"/>
      </w:pPr>
      <w:r>
        <w:rPr>
          <w:rFonts w:ascii="Barlow Semi Condensed" w:cs="Barlow Semi Condensed" w:eastAsia="Barlow Semi Condensed" w:hAnsi="Barlow Semi Condensed"/>
          <w:sz w:val="24"/>
          <w:szCs w:val="24"/>
        </w:rPr>
        <w:t xml:space="preserve">rivelazione, porta lo strumento per giudicarle**. A un pubblico che ha letto per</w:t>
      </w:r>
    </w:p>
    <w:p>
      <w:pPr>
        <w:spacing w:after="120" w:line="276"/>
        <w:jc w:val="both"/>
      </w:pPr>
      <w:r>
        <w:rPr>
          <w:rFonts w:ascii="Barlow Semi Condensed" w:cs="Barlow Semi Condensed" w:eastAsia="Barlow Semi Condensed" w:hAnsi="Barlow Semi Condensed"/>
          <w:sz w:val="24"/>
          <w:szCs w:val="24"/>
        </w:rPr>
        <w:t xml:space="preserve">quarant'anni ricostruzioni contrastanti dello stesso caso, offre il criterio per</w:t>
      </w:r>
    </w:p>
    <w:p>
      <w:pPr>
        <w:spacing w:after="120" w:line="276"/>
        <w:jc w:val="both"/>
      </w:pPr>
      <w:r>
        <w:rPr>
          <w:rFonts w:ascii="Barlow Semi Condensed" w:cs="Barlow Semi Condensed" w:eastAsia="Barlow Semi Condensed" w:hAnsi="Barlow Semi Condensed"/>
          <w:sz w:val="24"/>
          <w:szCs w:val="24"/>
        </w:rPr>
        <w:t xml:space="preserve">distinguere ciò che è provato da ciò che è soltanto ripetuto — e lo fa</w:t>
      </w:r>
    </w:p>
    <w:p>
      <w:pPr>
        <w:spacing w:after="120" w:line="276"/>
        <w:jc w:val="both"/>
      </w:pPr>
      <w:r>
        <w:rPr>
          <w:rFonts w:ascii="Barlow Semi Condensed" w:cs="Barlow Semi Condensed" w:eastAsia="Barlow Semi Condensed" w:hAnsi="Barlow Semi Condensed"/>
          <w:sz w:val="24"/>
          <w:szCs w:val="24"/>
        </w:rPr>
        <w:t xml:space="preserve">mostrandolo al lavoro, non predicandolo.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 per la vostra saggistica civile.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 prodotto</w:t>
      </w:r>
    </w:p>
    <w:p>
      <w:pPr>
        <w:spacing w:after="120" w:line="276"/>
        <w:jc w:val="both"/>
      </w:pPr>
      <w:r>
        <w:rPr>
          <w:rFonts w:ascii="Barlow Semi Condensed" w:cs="Barlow Semi Condensed" w:eastAsia="Barlow Semi Condensed" w:hAnsi="Barlow Semi Condensed"/>
          <w:sz w:val="24"/>
          <w:szCs w:val="24"/>
        </w:rPr>
        <w:t xml:space="preserve">con sistemi di intelligenza artificiale sotto la mia direzione e responsabilità.</w:t>
      </w:r>
    </w:p>
    <w:p>
      <w:pPr>
        <w:spacing w:after="120" w:line="276"/>
        <w:jc w:val="both"/>
      </w:pPr>
      <w:r>
        <w:rPr>
          <w:rFonts w:ascii="Barlow Semi Condensed" w:cs="Barlow Semi Condensed" w:eastAsia="Barlow Semi Condensed" w:hAnsi="Barlow Semi Condensed"/>
          <w:sz w:val="24"/>
          <w:szCs w:val="24"/>
        </w:rPr>
        <w:t xml:space="preserve">Lo dichiaro in apertura perché non è un dettaglio produttivo: è l'oggetto del</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Come si distingue un fatto da una voce,</w:t>
      </w:r>
    </w:p>
    <w:p>
      <w:pPr>
        <w:spacing w:after="120" w:line="276"/>
        <w:jc w:val="both"/>
      </w:pPr>
      <w:r>
        <w:rPr>
          <w:rFonts w:ascii="Barlow Semi Condensed" w:cs="Barlow Semi Condensed" w:eastAsia="Barlow Semi Condensed" w:hAnsi="Barlow Semi Condensed"/>
          <w:sz w:val="24"/>
          <w:szCs w:val="24"/>
        </w:rPr>
        <w:t xml:space="preserve">nel caso più raccontato d'Italia.*</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Nel 2026 ho messo sistemi di intelligenza artificiale a lavorare sul</w:t>
      </w:r>
    </w:p>
    <w:p>
      <w:pPr>
        <w:spacing w:after="120" w:line="276"/>
        <w:jc w:val="both"/>
      </w:pPr>
      <w:r>
        <w:rPr>
          <w:rFonts w:ascii="Barlow Semi Condensed" w:cs="Barlow Semi Condensed" w:eastAsia="Barlow Semi Condensed" w:hAnsi="Barlow Semi Condensed"/>
          <w:sz w:val="24"/>
          <w:szCs w:val="24"/>
        </w:rPr>
        <w:t xml:space="preserve">caso Moro sotto una disciplina metodologica scritta prima di ciascun lotto e</w:t>
      </w:r>
    </w:p>
    <w:p>
      <w:pPr>
        <w:spacing w:after="120" w:line="276"/>
        <w:jc w:val="both"/>
      </w:pPr>
      <w:r>
        <w:rPr>
          <w:rFonts w:ascii="Barlow Semi Condensed" w:cs="Barlow Semi Condensed" w:eastAsia="Barlow Semi Condensed" w:hAnsi="Barlow Semi Condensed"/>
          <w:sz w:val="24"/>
          <w:szCs w:val="24"/>
        </w:rPr>
        <w:t xml:space="preserve">riscritta ogni volta che un lotto la incrinava. Il caso Moro serviva come banco di</w:t>
      </w:r>
    </w:p>
    <w:p>
      <w:pPr>
        <w:spacing w:after="120" w:line="276"/>
        <w:jc w:val="both"/>
      </w:pPr>
      <w:r>
        <w:rPr>
          <w:rFonts w:ascii="Barlow Semi Condensed" w:cs="Barlow Semi Condensed" w:eastAsia="Barlow Semi Condensed" w:hAnsi="Barlow Semi Condensed"/>
          <w:sz w:val="24"/>
          <w:szCs w:val="24"/>
        </w:rPr>
        <w:t xml:space="preserve">prova: è il più documentato della storia repubblicana e il più infestato dalla</w:t>
      </w:r>
    </w:p>
    <w:p>
      <w:pPr>
        <w:spacing w:after="120" w:line="276"/>
        <w:jc w:val="both"/>
      </w:pPr>
      <w:r>
        <w:rPr>
          <w:rFonts w:ascii="Barlow Semi Condensed" w:cs="Barlow Semi Condensed" w:eastAsia="Barlow Semi Condensed" w:hAnsi="Barlow Semi Condensed"/>
          <w:sz w:val="24"/>
          <w:szCs w:val="24"/>
        </w:rPr>
        <w:t xml:space="preserve">dietrologia, e chiunque riconosce quando un ragionamento su di esso sta</w:t>
      </w:r>
    </w:p>
    <w:p>
      <w:pPr>
        <w:spacing w:after="120" w:line="276"/>
        <w:jc w:val="both"/>
      </w:pPr>
      <w:r>
        <w:rPr>
          <w:rFonts w:ascii="Barlow Semi Condensed" w:cs="Barlow Semi Condensed" w:eastAsia="Barlow Semi Condensed" w:hAnsi="Barlow Semi Condensed"/>
          <w:sz w:val="24"/>
          <w:szCs w:val="24"/>
        </w:rPr>
        <w:t xml:space="preserve">scivolando. Il libro non è il corpus che ne è uscito: è **il resoconto</w:t>
      </w:r>
    </w:p>
    <w:p>
      <w:pPr>
        <w:spacing w:after="120" w:line="276"/>
        <w:jc w:val="both"/>
      </w:pPr>
      <w:r>
        <w:rPr>
          <w:rFonts w:ascii="Barlow Semi Condensed" w:cs="Barlow Semi Condensed" w:eastAsia="Barlow Semi Condensed" w:hAnsi="Barlow Semi Condensed"/>
          <w:sz w:val="24"/>
          <w:szCs w:val="24"/>
        </w:rPr>
        <w:t xml:space="preserve">dell'esperimento,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Perché credo interessi il vostro catalogo.</w:t>
      </w:r>
      <w:r>
        <w:rPr>
          <w:rFonts w:ascii="Barlow Semi Condensed" w:cs="Barlow Semi Condensed" w:eastAsia="Barlow Semi Condensed" w:hAnsi="Barlow Semi Condensed"/>
          <w:sz w:val="24"/>
          <w:szCs w:val="24"/>
        </w:rPr>
        <w:t xml:space="preserve"> Una macchina messa a cercare</w:t>
      </w:r>
    </w:p>
    <w:p>
      <w:pPr>
        <w:spacing w:after="120" w:line="276"/>
        <w:jc w:val="both"/>
      </w:pPr>
      <w:r>
        <w:rPr>
          <w:rFonts w:ascii="Barlow Semi Condensed" w:cs="Barlow Semi Condensed" w:eastAsia="Barlow Semi Condensed" w:hAnsi="Barlow Semi Condensed"/>
          <w:sz w:val="24"/>
          <w:szCs w:val="24"/>
        </w:rPr>
        <w:t xml:space="preserve">connessioni le trova sempre — e le trova anche dove non ci sono. È la stessa cosa</w:t>
      </w:r>
    </w:p>
    <w:p>
      <w:pPr>
        <w:spacing w:after="120" w:line="276"/>
        <w:jc w:val="both"/>
      </w:pPr>
      <w:r>
        <w:rPr>
          <w:rFonts w:ascii="Barlow Semi Condensed" w:cs="Barlow Semi Condensed" w:eastAsia="Barlow Semi Condensed" w:hAnsi="Barlow Semi Condensed"/>
          <w:sz w:val="24"/>
          <w:szCs w:val="24"/>
        </w:rPr>
        <w:t xml:space="preserve">che fa la cattiva pubblicistica, ma a velocità industriale e senza malafede, il</w:t>
      </w:r>
    </w:p>
    <w:p>
      <w:pPr>
        <w:spacing w:after="120" w:line="276"/>
        <w:jc w:val="both"/>
      </w:pPr>
      <w:r>
        <w:rPr>
          <w:rFonts w:ascii="Barlow Semi Condensed" w:cs="Barlow Semi Condensed" w:eastAsia="Barlow Semi Condensed" w:hAnsi="Barlow Semi Condensed"/>
          <w:sz w:val="24"/>
          <w:szCs w:val="24"/>
        </w:rPr>
        <w:t xml:space="preserve">che la rende un modello di laboratorio perfetto: si vede in vitro come nasce una</w:t>
      </w:r>
    </w:p>
    <w:p>
      <w:pPr>
        <w:spacing w:after="120" w:line="276"/>
        <w:jc w:val="both"/>
      </w:pPr>
      <w:r>
        <w:rPr>
          <w:rFonts w:ascii="Barlow Semi Condensed" w:cs="Barlow Semi Condensed" w:eastAsia="Barlow Semi Condensed" w:hAnsi="Barlow Semi Condensed"/>
          <w:sz w:val="24"/>
          <w:szCs w:val="24"/>
        </w:rPr>
        <w:t xml:space="preserve">falsa connessione. Il libro racconta sette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w:t>
      </w:r>
    </w:p>
    <w:p>
      <w:pPr>
        <w:spacing w:after="120" w:line="276"/>
        <w:jc w:val="both"/>
      </w:pPr>
      <w:r>
        <w:rPr>
          <w:rFonts w:ascii="Barlow Semi Condensed" w:cs="Barlow Semi Condensed" w:eastAsia="Barlow Semi Condensed" w:hAnsi="Barlow Semi Condensed"/>
          <w:sz w:val="24"/>
          <w:szCs w:val="24"/>
        </w:rPr>
        <w:t xml:space="preserve">Due esempi, che sono anche accertamenti nuovi: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prova documentale di</w:t>
      </w:r>
    </w:p>
    <w:p>
      <w:pPr>
        <w:spacing w:after="120" w:line="276"/>
        <w:jc w:val="both"/>
      </w:pPr>
      <w:r>
        <w:rPr>
          <w:rFonts w:ascii="Barlow Semi Condensed" w:cs="Barlow Semi Condensed" w:eastAsia="Barlow Semi Condensed" w:hAnsi="Barlow Semi Condensed"/>
          <w:sz w:val="24"/>
          <w:szCs w:val="24"/>
        </w:rPr>
        <w:t xml:space="preserve">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 alla portata di</w:t>
      </w:r>
    </w:p>
    <w:p>
      <w:pPr>
        <w:spacing w:after="120" w:line="276"/>
        <w:jc w:val="both"/>
      </w:pPr>
      <w:r>
        <w:rPr>
          <w:rFonts w:ascii="Barlow Semi Condensed" w:cs="Barlow Semi Condensed" w:eastAsia="Barlow Semi Condensed" w:hAnsi="Barlow Semi Condensed"/>
          <w:sz w:val="24"/>
          <w:szCs w:val="24"/>
        </w:rPr>
        <w:t xml:space="preserve">  chiunque e nessuno l'aveva pubblicata in questa forma. Di quello stesso</w:t>
      </w:r>
    </w:p>
    <w:p>
      <w:pPr>
        <w:spacing w:after="120" w:line="276"/>
        <w:jc w:val="both"/>
      </w:pPr>
      <w:r>
        <w:rPr>
          <w:rFonts w:ascii="Barlow Semi Condensed" w:cs="Barlow Semi Condensed" w:eastAsia="Barlow Semi Condensed" w:hAnsi="Barlow Semi Condensed"/>
          <w:sz w:val="24"/>
          <w:szCs w:val="24"/>
        </w:rPr>
        <w:t xml:space="preserve">  colloquio esiste un solo verbale, l'americano: l'appunto italiano non risulta</w:t>
      </w:r>
    </w:p>
    <w:p>
      <w:pPr>
        <w:spacing w:after="120" w:line="276"/>
        <w:jc w:val="both"/>
      </w:pPr>
      <w:r>
        <w:rPr>
          <w:rFonts w:ascii="Barlow Semi Condensed" w:cs="Barlow Semi Condensed" w:eastAsia="Barlow Semi Condensed" w:hAnsi="Barlow Semi Condensed"/>
          <w:sz w:val="24"/>
          <w:szCs w:val="24"/>
        </w:rPr>
        <w:t xml:space="preserve">  mai essere stato cercato.</w:t>
      </w:r>
    </w:p>
    <w:p>
      <w:pPr>
        <w:spacing w:after="120" w:line="276"/>
        <w:jc w:val="both"/>
      </w:pPr>
      <w:r>
        <w:rPr>
          <w:rFonts w:ascii="Barlow Semi Condensed" w:cs="Barlow Semi Condensed" w:eastAsia="Barlow Semi Condensed" w:hAnsi="Barlow Semi Condensed"/>
          <w:b/>
          <w:bCs/>
          <w:sz w:val="24"/>
          <w:szCs w:val="24"/>
        </w:rPr>
        <w:t xml:space="preserve">Che cosa il libro non fa, detto subito.</w:t>
      </w:r>
      <w:r>
        <w:rPr>
          <w:rFonts w:ascii="Barlow Semi Condensed" w:cs="Barlow Semi Condensed" w:eastAsia="Barlow Semi Condensed" w:hAnsi="Barlow Semi Condensed"/>
          <w:sz w:val="24"/>
          <w:szCs w:val="24"/>
        </w:rPr>
        <w:t xml:space="preserve"> Non propone una tesi sul caso Moro,</w:t>
      </w:r>
    </w:p>
    <w:p>
      <w:pPr>
        <w:spacing w:after="120" w:line="276"/>
        <w:jc w:val="both"/>
      </w:pPr>
      <w:r>
        <w:rPr>
          <w:rFonts w:ascii="Barlow Semi Condensed" w:cs="Barlow Semi Condensed" w:eastAsia="Barlow Semi Condensed" w:hAnsi="Barlow Semi Condensed"/>
          <w:sz w:val="24"/>
          <w:szCs w:val="24"/>
        </w:rPr>
        <w:t xml:space="preserve">non rivela 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So che questo lo colloca di traverso rispetto a una parte del vostro</w:t>
      </w:r>
    </w:p>
    <w:p>
      <w:pPr>
        <w:spacing w:after="120" w:line="276"/>
        <w:jc w:val="both"/>
      </w:pPr>
      <w:r>
        <w:rPr>
          <w:rFonts w:ascii="Barlow Semi Condensed" w:cs="Barlow Semi Condensed" w:eastAsia="Barlow Semi Condensed" w:hAnsi="Barlow Semi Condensed"/>
          <w:sz w:val="24"/>
          <w:szCs w:val="24"/>
        </w:rPr>
        <w:t xml:space="preserve">catalogo, e lo dico in apertura anziché lasciarlo scoprire: **il libro non porta</w:t>
      </w:r>
    </w:p>
    <w:p>
      <w:pPr>
        <w:spacing w:after="120" w:line="276"/>
        <w:jc w:val="both"/>
      </w:pPr>
      <w:r>
        <w:rPr>
          <w:rFonts w:ascii="Barlow Semi Condensed" w:cs="Barlow Semi Condensed" w:eastAsia="Barlow Semi Condensed" w:hAnsi="Barlow Semi Condensed"/>
          <w:sz w:val="24"/>
          <w:szCs w:val="24"/>
        </w:rPr>
        <w:t xml:space="preserve">una rivelazione, porta il criterio con cui giudicarle**. È il libro che vorrei</w:t>
      </w:r>
    </w:p>
    <w:p>
      <w:pPr>
        <w:spacing w:after="120" w:line="276"/>
        <w:jc w:val="both"/>
      </w:pPr>
      <w:r>
        <w:rPr>
          <w:rFonts w:ascii="Barlow Semi Condensed" w:cs="Barlow Semi Condensed" w:eastAsia="Barlow Semi Condensed" w:hAnsi="Barlow Semi Condensed"/>
          <w:sz w:val="24"/>
          <w:szCs w:val="24"/>
        </w:rPr>
        <w:t xml:space="preserve">avere avuto prima di leggere le altre quaranta ricostruzioni.</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civile e d'inchiesta — e, dentro quel</w:t>
      </w:r>
    </w:p>
    <w:p>
      <w:pPr>
        <w:spacing w:after="120" w:line="276"/>
        <w:jc w:val="both"/>
      </w:pPr>
      <w:r>
        <w:rPr>
          <w:rFonts w:ascii="Barlow Semi Condensed" w:cs="Barlow Semi Condensed" w:eastAsia="Barlow Semi Condensed" w:hAnsi="Barlow Semi Condensed"/>
          <w:sz w:val="24"/>
          <w:szCs w:val="24"/>
        </w:rPr>
        <w:t xml:space="preserve">pubblico, chi è stanco di dover scegliere fra la versione ufficiale e la</w:t>
      </w:r>
    </w:p>
    <w:p>
      <w:pPr>
        <w:spacing w:after="120" w:line="276"/>
        <w:jc w:val="both"/>
      </w:pPr>
      <w:r>
        <w:rPr>
          <w:rFonts w:ascii="Barlow Semi Condensed" w:cs="Barlow Semi Condensed" w:eastAsia="Barlow Semi Condensed" w:hAnsi="Barlow Semi Condensed"/>
          <w:sz w:val="24"/>
          <w:szCs w:val="24"/>
        </w:rPr>
        <w:t xml:space="preserve">controversia, e vorrebbe invece gli strumenti per valutarle. Più il pubblico,</w:t>
      </w:r>
    </w:p>
    <w:p>
      <w:pPr>
        <w:spacing w:after="120" w:line="276"/>
        <w:jc w:val="both"/>
      </w:pPr>
      <w:r>
        <w:rPr>
          <w:rFonts w:ascii="Barlow Semi Condensed" w:cs="Barlow Semi Condensed" w:eastAsia="Barlow Semi Condensed" w:hAnsi="Barlow Semi Condensed"/>
          <w:sz w:val="24"/>
          <w:szCs w:val="24"/>
        </w:rPr>
        <w:t xml:space="preserve">oggi mal servito, di chi vuole capire che cosa questi sistemi facciano davvero</w:t>
      </w:r>
    </w:p>
    <w:p>
      <w:pPr>
        <w:spacing w:after="120" w:line="276"/>
        <w:jc w:val="both"/>
      </w:pPr>
      <w:r>
        <w:rPr>
          <w:rFonts w:ascii="Barlow Semi Condensed" w:cs="Barlow Semi Condensed" w:eastAsia="Barlow Semi Condensed" w:hAnsi="Barlow Semi Condensed"/>
          <w:sz w:val="24"/>
          <w:szCs w:val="24"/>
        </w:rPr>
        <w:t xml:space="preserve">quando li si mette al lavoro su qualcosa di verificabile.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con i cinque atti d'archivio eseguibili che l'esperimento ha</w:t>
      </w:r>
    </w:p>
    <w:p>
      <w:pPr>
        <w:spacing w:after="120" w:line="276"/>
        <w:jc w:val="both"/>
      </w:pPr>
      <w:r>
        <w:rPr>
          <w:rFonts w:ascii="Barlow Semi Condensed" w:cs="Barlow Semi Condensed" w:eastAsia="Barlow Semi Condensed" w:hAnsi="Barlow Semi Condensed"/>
          <w:sz w:val="24"/>
          <w:szCs w:val="24"/>
        </w:rPr>
        <w:t xml:space="preserve">prodotto. Nessuna nota a piè di pagina: i riferimenti stanno nel corpo, e</w:t>
      </w:r>
    </w:p>
    <w:p>
      <w:pPr>
        <w:spacing w:after="120" w:line="276"/>
        <w:jc w:val="both"/>
      </w:pPr>
      <w:r>
        <w:rPr>
          <w:rFonts w:ascii="Barlow Semi Condensed" w:cs="Barlow Semi Condensed" w:eastAsia="Barlow Semi Condensed" w:hAnsi="Barlow Semi Condensed"/>
          <w:sz w:val="24"/>
          <w:szCs w:val="24"/>
        </w:rPr>
        <w:t xml:space="preserve">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w:t>
      </w:r>
    </w:p>
    <w:p>
      <w:pPr>
        <w:spacing w:after="120" w:line="276"/>
        <w:jc w:val="both"/>
      </w:pPr>
      <w:r>
        <w:rPr>
          <w:rFonts w:ascii="Barlow Semi Condensed" w:cs="Barlow Semi Condensed" w:eastAsia="Barlow Semi Condensed" w:hAnsi="Barlow Semi Condensed"/>
          <w:sz w:val="24"/>
          <w:szCs w:val="24"/>
        </w:rPr>
        <w:t xml:space="preserve">esistono la struttura, i sette casi e tutto il materiale;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 «Il documento che non dice ciò che tutti citano» — perché</w:t>
      </w:r>
    </w:p>
    <w:p>
      <w:pPr>
        <w:spacing w:after="120" w:line="276"/>
        <w:jc w:val="both"/>
      </w:pPr>
      <w:r>
        <w:rPr>
          <w:rFonts w:ascii="Barlow Semi Condensed" w:cs="Barlow Semi Condensed" w:eastAsia="Barlow Semi Condensed" w:hAnsi="Barlow Semi Condensed"/>
          <w:sz w:val="24"/>
          <w:szCs w:val="24"/>
        </w:rPr>
        <w:t xml:space="preserve">è il modo più rapido per giudicare la scrittura senza credermi sulla parola. Il</w:t>
      </w:r>
    </w:p>
    <w:p>
      <w:pPr>
        <w:spacing w:after="120" w:line="276"/>
        <w:jc w:val="both"/>
      </w:pPr>
      <w:r>
        <w:rPr>
          <w:rFonts w:ascii="Barlow Semi Condensed" w:cs="Barlow Semi Condensed" w:eastAsia="Barlow Semi Condensed" w:hAnsi="Barlow Semi Condensed"/>
          <w:sz w:val="24"/>
          <w:szCs w:val="24"/>
        </w:rPr>
        <w:t xml:space="preserve">resto è da scrivere.</w:t>
      </w:r>
    </w:p>
    <w:p>
      <w:pPr>
        <w:spacing w:after="120" w:line="276"/>
        <w:jc w:val="both"/>
      </w:pPr>
      <w:r>
        <w:rPr>
          <w:rFonts w:ascii="Barlow Semi Condensed" w:cs="Barlow Semi Condensed" w:eastAsia="Barlow Semi Condensed" w:hAnsi="Barlow Semi Condensed"/>
          <w:sz w:val="24"/>
          <w:szCs w:val="24"/>
        </w:rPr>
        <w:t xml:space="preserve">Il corpus documentale resta disponibile come apparato di riscontro, non come</w:t>
      </w:r>
    </w:p>
    <w:p>
      <w:pPr>
        <w:spacing w:after="120" w:line="276"/>
        <w:jc w:val="both"/>
      </w:pPr>
      <w:r>
        <w:rPr>
          <w:rFonts w:ascii="Barlow Semi Condensed" w:cs="Barlow Semi Condensed" w:eastAsia="Barlow Semi Condensed" w:hAnsi="Barlow Semi Condensed"/>
          <w:sz w:val="24"/>
          <w:szCs w:val="24"/>
        </w:rPr>
        <w:t xml:space="preserve">manoscritto. Va detto, poiché lo offro: dei suoi quattordici Libri uno solo — un</w:t>
      </w:r>
    </w:p>
    <w:p>
      <w:pPr>
        <w:spacing w:after="120" w:line="276"/>
        <w:jc w:val="both"/>
      </w:pPr>
      <w:r>
        <w:rPr>
          <w:rFonts w:ascii="Barlow Semi Condensed" w:cs="Barlow Semi Condensed" w:eastAsia="Barlow Semi Condensed" w:hAnsi="Barlow Semi Condensed"/>
          <w:sz w:val="24"/>
          <w:szCs w:val="24"/>
        </w:rPr>
        <w:t xml:space="preserve">dossier d'autore anteriore, conservato per intero anziché riscritto — nella</w:t>
      </w:r>
    </w:p>
    <w:p>
      <w:pPr>
        <w:spacing w:after="120" w:line="276"/>
        <w:jc w:val="both"/>
      </w:pPr>
      <w:r>
        <w:rPr>
          <w:rFonts w:ascii="Barlow Semi Condensed" w:cs="Barlow Semi Condensed" w:eastAsia="Barlow Semi Condensed" w:hAnsi="Barlow Semi Condensed"/>
          <w:sz w:val="24"/>
          <w:szCs w:val="24"/>
        </w:rPr>
        <w:t xml:space="preserve">seconda metà ordina secondo la plausibilità del coinvolgimento, per categorie di</w:t>
      </w:r>
    </w:p>
    <w:p>
      <w:pPr>
        <w:spacing w:after="120" w:line="276"/>
        <w:jc w:val="both"/>
      </w:pPr>
      <w:r>
        <w:rPr>
          <w:rFonts w:ascii="Barlow Semi Condensed" w:cs="Barlow Semi Condensed" w:eastAsia="Barlow Semi Condensed" w:hAnsi="Barlow Semi Condensed"/>
          <w:sz w:val="24"/>
          <w:szCs w:val="24"/>
        </w:rPr>
        <w:t xml:space="preserve">soggetti e non per nomi individuali. L'eccezione è dichiarata in copertina, vale</w:t>
      </w:r>
    </w:p>
    <w:p>
      <w:pPr>
        <w:spacing w:after="120" w:line="276"/>
        <w:jc w:val="both"/>
      </w:pPr>
      <w:r>
        <w:rPr>
          <w:rFonts w:ascii="Barlow Semi Condensed" w:cs="Barlow Semi Condensed" w:eastAsia="Barlow Semi Condensed" w:hAnsi="Barlow Semi Condensed"/>
          <w:sz w:val="24"/>
          <w:szCs w:val="24"/>
        </w:rPr>
        <w:t xml:space="preserve">per quel Libro soltanto, e ordinare per plausibilità non è condannare. Il saggio</w:t>
      </w:r>
    </w:p>
    <w:p>
      <w:pPr>
        <w:spacing w:after="120" w:line="276"/>
        <w:jc w:val="both"/>
      </w:pPr>
      <w:r>
        <w:rPr>
          <w:rFonts w:ascii="Barlow Semi Condensed" w:cs="Barlow Semi Condensed" w:eastAsia="Barlow Semi Condensed" w:hAnsi="Barlow Semi Condensed"/>
          <w:sz w:val="24"/>
          <w:szCs w:val="24"/>
        </w:rPr>
        <w:t xml:space="preserve">che propongo non la riprende.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ALLEGATO_CAPITOLO_CAMPIONE.pdf</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Bompiani</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b/>
          <w:bCs/>
          <w:sz w:val="24"/>
          <w:szCs w:val="24"/>
        </w:rPr>
        <w:t xml:space="preserve">Modulo online, `manoscritti.bompiani.it`</w:t>
      </w:r>
      <w:r>
        <w:rPr>
          <w:rFonts w:ascii="Barlow Semi Condensed" w:cs="Barlow Semi Condensed" w:eastAsia="Barlow Semi Condensed" w:hAnsi="Barlow Semi Condensed"/>
          <w:sz w:val="24"/>
          <w:szCs w:val="24"/>
        </w:rPr>
        <w:t xml:space="preserve"> (gruppo Giunti). **PDF sotto i 5</w:t>
      </w:r>
    </w:p>
    <w:p>
      <w:pPr>
        <w:spacing w:after="120" w:line="276"/>
        <w:jc w:val="both"/>
      </w:pPr>
      <w:r>
        <w:rPr>
          <w:rFonts w:ascii="Barlow Semi Condensed" w:cs="Barlow Semi Condensed" w:eastAsia="Barlow Semi Condensed" w:hAnsi="Barlow Semi Condensed"/>
          <w:sz w:val="24"/>
          <w:szCs w:val="24"/>
        </w:rPr>
        <w:t xml:space="preserve">MB.** Non si accettano bozze, testi incompleti, tesi di laurea, collegamenti o</w:t>
      </w:r>
    </w:p>
    <w:p>
      <w:pPr>
        <w:spacing w:after="120" w:line="276"/>
        <w:jc w:val="both"/>
      </w:pPr>
      <w:r>
        <w:rPr>
          <w:rFonts w:ascii="Barlow Semi Condensed" w:cs="Barlow Semi Condensed" w:eastAsia="Barlow Semi Condensed" w:hAnsi="Barlow Semi Condensed"/>
          <w:sz w:val="24"/>
          <w:szCs w:val="24"/>
        </w:rPr>
        <w:t xml:space="preserve">file su servizi cloud. Risposta soltanto in caso d'interesse; la segreteria</w:t>
      </w:r>
    </w:p>
    <w:p>
      <w:pPr>
        <w:spacing w:after="120" w:line="276"/>
        <w:jc w:val="both"/>
      </w:pPr>
      <w:r>
        <w:rPr>
          <w:rFonts w:ascii="Barlow Semi Condensed" w:cs="Barlow Semi Condensed" w:eastAsia="Barlow Semi Condensed" w:hAnsi="Barlow Semi Condensed"/>
          <w:sz w:val="24"/>
          <w:szCs w:val="24"/>
        </w:rPr>
        <w:t xml:space="preserve">editoriale non riceve telefonate e i testi non si restituiscono.</w:t>
      </w:r>
    </w:p>
    <w:p>
      <w:pPr>
        <w:pStyle w:val="Heading2"/>
        <w:spacing w:after="100" w:before="200"/>
      </w:pPr>
      <w:r>
        <w:rPr>
          <w:rFonts w:ascii="Barlow Semi Condensed" w:cs="Barlow Semi Condensed" w:eastAsia="Barlow Semi Condensed" w:hAnsi="Barlow Semi Condensed"/>
          <w:sz w:val="24"/>
          <w:szCs w:val="24"/>
        </w:rPr>
        <w:t xml:space="preserve">La regola che decide tutto</w:t>
      </w:r>
    </w:p>
    <w:p>
      <w:pPr>
        <w:spacing w:after="120" w:line="276"/>
        <w:jc w:val="both"/>
      </w:pPr>
      <w:r>
        <w:rPr>
          <w:rFonts w:ascii="Barlow Semi Condensed" w:cs="Barlow Semi Condensed" w:eastAsia="Barlow Semi Condensed" w:hAnsi="Barlow Semi Condensed"/>
          <w:b/>
          <w:bCs/>
          <w:sz w:val="24"/>
          <w:szCs w:val="24"/>
        </w:rPr>
        <w:t xml:space="preserve">Non si può riproporre la stessa proposta entro dodici mesi.</w:t>
      </w:r>
      <w:r>
        <w:rPr>
          <w:rFonts w:ascii="Barlow Semi Condensed" w:cs="Barlow Semi Condensed" w:eastAsia="Barlow Semi Condensed" w:hAnsi="Barlow Semi Condensed"/>
          <w:sz w:val="24"/>
          <w:szCs w:val="24"/>
        </w:rPr>
        <w:t xml:space="preserve"> Si ha un colpo</w:t>
      </w:r>
    </w:p>
    <w:p>
      <w:pPr>
        <w:spacing w:after="120" w:line="276"/>
        <w:jc w:val="both"/>
      </w:pPr>
      <w:r>
        <w:rPr>
          <w:rFonts w:ascii="Barlow Semi Condensed" w:cs="Barlow Semi Condensed" w:eastAsia="Barlow Semi Condensed" w:hAnsi="Barlow Semi Condensed"/>
          <w:sz w:val="24"/>
          <w:szCs w:val="24"/>
        </w:rPr>
        <w:t xml:space="preserve">solo all'anno. Per questo Bompiani sta in terza ondata e **non va bussata prima</w:t>
      </w:r>
    </w:p>
    <w:p>
      <w:pPr>
        <w:spacing w:after="120" w:line="276"/>
        <w:jc w:val="both"/>
      </w:pPr>
      <w:r>
        <w:rPr>
          <w:rFonts w:ascii="Barlow Semi Condensed" w:cs="Barlow Semi Condensed" w:eastAsia="Barlow Semi Condensed" w:hAnsi="Barlow Semi Condensed"/>
          <w:sz w:val="24"/>
          <w:szCs w:val="24"/>
        </w:rPr>
        <w:t xml:space="preserve">che il saggio sia scritto**: spendere l'unico tentativo su un libro che esiste</w:t>
      </w:r>
    </w:p>
    <w:p>
      <w:pPr>
        <w:spacing w:after="120" w:line="276"/>
        <w:jc w:val="both"/>
      </w:pPr>
      <w:r>
        <w:rPr>
          <w:rFonts w:ascii="Barlow Semi Condensed" w:cs="Barlow Semi Condensed" w:eastAsia="Barlow Semi Condensed" w:hAnsi="Barlow Semi Condensed"/>
          <w:sz w:val="24"/>
          <w:szCs w:val="24"/>
        </w:rPr>
        <w:t xml:space="preserve">per un settimo è sprecarlo.</w:t>
      </w:r>
    </w:p>
    <w:p>
      <w:pPr>
        <w:spacing w:after="120" w:line="276"/>
        <w:jc w:val="both"/>
      </w:pPr>
      <w:r>
        <w:rPr>
          <w:rFonts w:ascii="Barlow Semi Condensed" w:cs="Barlow Semi Condensed" w:eastAsia="Barlow Semi Condensed" w:hAnsi="Barlow Semi Condensed"/>
          <w:sz w:val="24"/>
          <w:szCs w:val="24"/>
        </w:rPr>
        <w:t xml:space="preserve">Quanto segue è dunque </w:t>
      </w:r>
      <w:r>
        <w:rPr>
          <w:rFonts w:ascii="Barlow Semi Condensed" w:cs="Barlow Semi Condensed" w:eastAsia="Barlow Semi Condensed" w:hAnsi="Barlow Semi Condensed"/>
          <w:b/>
          <w:bCs/>
          <w:sz w:val="24"/>
          <w:szCs w:val="24"/>
        </w:rPr>
        <w:t xml:space="preserve">pronto ma in attesa</w:t>
      </w:r>
      <w:r>
        <w:rPr>
          <w:rFonts w:ascii="Barlow Semi Condensed" w:cs="Barlow Semi Condensed" w:eastAsia="Barlow Semi Condensed" w:hAnsi="Barlow Semi Condensed"/>
          <w:sz w:val="24"/>
          <w:szCs w:val="24"/>
        </w:rPr>
        <w:t xml:space="preserve">. La casella in fondo si spunta solo</w:t>
      </w:r>
    </w:p>
    <w:p>
      <w:pPr>
        <w:spacing w:after="120" w:line="276"/>
        <w:jc w:val="both"/>
      </w:pPr>
      <w:r>
        <w:rPr>
          <w:rFonts w:ascii="Barlow Semi Condensed" w:cs="Barlow Semi Condensed" w:eastAsia="Barlow Semi Condensed" w:hAnsi="Barlow Semi Condensed"/>
          <w:sz w:val="24"/>
          <w:szCs w:val="24"/>
        </w:rPr>
        <w:t xml:space="preserve">quando il testo c'è.</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Bompiani è un catalogo generalista di qualità: il suo lettore non è</w:t>
      </w:r>
    </w:p>
    <w:p>
      <w:pPr>
        <w:spacing w:after="120" w:line="276"/>
        <w:jc w:val="both"/>
      </w:pPr>
      <w:r>
        <w:rPr>
          <w:rFonts w:ascii="Barlow Semi Condensed" w:cs="Barlow Semi Condensed" w:eastAsia="Barlow Semi Condensed" w:hAnsi="Barlow Semi Condensed"/>
          <w:sz w:val="24"/>
          <w:szCs w:val="24"/>
        </w:rPr>
        <w:t xml:space="preserve">necessariamente uno specialista di storia repubblicana, e la proposta che</w:t>
      </w:r>
    </w:p>
    <w:p>
      <w:pPr>
        <w:spacing w:after="120" w:line="276"/>
        <w:jc w:val="both"/>
      </w:pPr>
      <w:r>
        <w:rPr>
          <w:rFonts w:ascii="Barlow Semi Condensed" w:cs="Barlow Semi Condensed" w:eastAsia="Barlow Semi Condensed" w:hAnsi="Barlow Semi Condensed"/>
          <w:sz w:val="24"/>
          <w:szCs w:val="24"/>
        </w:rPr>
        <w:t xml:space="preserve">funziona è quella che </w:t>
      </w:r>
      <w:r>
        <w:rPr>
          <w:rFonts w:ascii="Barlow Semi Condensed" w:cs="Barlow Semi Condensed" w:eastAsia="Barlow Semi Condensed" w:hAnsi="Barlow Semi Condensed"/>
          <w:b/>
          <w:bCs/>
          <w:sz w:val="24"/>
          <w:szCs w:val="24"/>
        </w:rPr>
        <w:t xml:space="preserve">racconta l'esperimento come storia</w:t>
      </w:r>
      <w:r>
        <w:rPr>
          <w:rFonts w:ascii="Barlow Semi Condensed" w:cs="Barlow Semi Condensed" w:eastAsia="Barlow Semi Condensed" w:hAnsi="Barlow Semi Condensed"/>
          <w:sz w:val="24"/>
          <w:szCs w:val="24"/>
        </w:rPr>
        <w:t xml:space="preserve">, non come metodo.</w:t>
      </w:r>
    </w:p>
    <w:p>
      <w:pPr>
        <w:spacing w:after="120" w:line="276"/>
        <w:jc w:val="both"/>
      </w:pPr>
      <w:r>
        <w:rPr>
          <w:rFonts w:ascii="Barlow Semi Condensed" w:cs="Barlow Semi Condensed" w:eastAsia="Barlow Semi Condensed" w:hAnsi="Barlow Semi Condensed"/>
          <w:sz w:val="24"/>
          <w:szCs w:val="24"/>
        </w:rPr>
        <w:t xml:space="preserve">Il metodo resta il contenuto, ma l'esca è un'altra: che cosa succede se al caso</w:t>
      </w:r>
    </w:p>
    <w:p>
      <w:pPr>
        <w:spacing w:after="120" w:line="276"/>
        <w:jc w:val="both"/>
      </w:pPr>
      <w:r>
        <w:rPr>
          <w:rFonts w:ascii="Barlow Semi Condensed" w:cs="Barlow Semi Condensed" w:eastAsia="Barlow Semi Condensed" w:hAnsi="Barlow Semi Condensed"/>
          <w:sz w:val="24"/>
          <w:szCs w:val="24"/>
        </w:rPr>
        <w:t xml:space="preserve">più raccontato d'Italia si mette davanti una macchina che non ha letto nessuno</w:t>
      </w:r>
    </w:p>
    <w:p>
      <w:pPr>
        <w:spacing w:after="120" w:line="276"/>
        <w:jc w:val="both"/>
      </w:pPr>
      <w:r>
        <w:rPr>
          <w:rFonts w:ascii="Barlow Semi Condensed" w:cs="Barlow Semi Condensed" w:eastAsia="Barlow Semi Condensed" w:hAnsi="Barlow Semi Condensed"/>
          <w:sz w:val="24"/>
          <w:szCs w:val="24"/>
        </w:rPr>
        <w:t xml:space="preserve">dei libri che lo raccontano.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L'opera è stata prodotta con sistemi di</w:t>
      </w:r>
    </w:p>
    <w:p>
      <w:pPr>
        <w:spacing w:after="120" w:line="276"/>
        <w:jc w:val="both"/>
      </w:pPr>
      <w:r>
        <w:rPr>
          <w:rFonts w:ascii="Barlow Semi Condensed" w:cs="Barlow Semi Condensed" w:eastAsia="Barlow Semi Condensed" w:hAnsi="Barlow Semi Condensed"/>
          <w:sz w:val="24"/>
          <w:szCs w:val="24"/>
        </w:rPr>
        <w:t xml:space="preserve">intelligenza artificiale sotto la mia direzione e responsabilità. Lo dichiaro</w:t>
      </w:r>
    </w:p>
    <w:p>
      <w:pPr>
        <w:spacing w:after="120" w:line="276"/>
        <w:jc w:val="both"/>
      </w:pPr>
      <w:r>
        <w:rPr>
          <w:rFonts w:ascii="Barlow Semi Condensed" w:cs="Barlow Semi Condensed" w:eastAsia="Barlow Semi Condensed" w:hAnsi="Barlow Semi Condensed"/>
          <w:sz w:val="24"/>
          <w:szCs w:val="24"/>
        </w:rPr>
        <w:t xml:space="preserve">subito perché è l'oggetto stesso del libro, non una nota tecnica.</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Una macchina, il caso Moro, e ciò che</w:t>
      </w:r>
    </w:p>
    <w:p>
      <w:pPr>
        <w:spacing w:after="120" w:line="276"/>
        <w:jc w:val="both"/>
      </w:pPr>
      <w:r>
        <w:rPr>
          <w:rFonts w:ascii="Barlow Semi Condensed" w:cs="Barlow Semi Condensed" w:eastAsia="Barlow Semi Condensed" w:hAnsi="Barlow Semi Condensed"/>
          <w:sz w:val="24"/>
          <w:szCs w:val="24"/>
        </w:rPr>
        <w:t xml:space="preserve">non c'era.*</w:t>
      </w:r>
    </w:p>
    <w:p>
      <w:pPr>
        <w:spacing w:after="120" w:line="276"/>
        <w:jc w:val="both"/>
      </w:pPr>
      <w:r>
        <w:rPr>
          <w:rFonts w:ascii="Barlow Semi Condensed" w:cs="Barlow Semi Condensed" w:eastAsia="Barlow Semi Condensed" w:hAnsi="Barlow Semi Condensed"/>
          <w:b/>
          <w:bCs/>
          <w:sz w:val="24"/>
          <w:szCs w:val="24"/>
        </w:rPr>
        <w:t xml:space="preserve">L'idea, in una riga.</w:t>
      </w:r>
      <w:r>
        <w:rPr>
          <w:rFonts w:ascii="Barlow Semi Condensed" w:cs="Barlow Semi Condensed" w:eastAsia="Barlow Semi Condensed" w:hAnsi="Barlow Semi Condensed"/>
          <w:sz w:val="24"/>
          <w:szCs w:val="24"/>
        </w:rPr>
        <w:t xml:space="preserve"> Ho dato a una macchina il caso più raccontato d'Italia e</w:t>
      </w:r>
    </w:p>
    <w:p>
      <w:pPr>
        <w:spacing w:after="120" w:line="276"/>
        <w:jc w:val="both"/>
      </w:pPr>
      <w:r>
        <w:rPr>
          <w:rFonts w:ascii="Barlow Semi Condensed" w:cs="Barlow Semi Condensed" w:eastAsia="Barlow Semi Condensed" w:hAnsi="Barlow Semi Condensed"/>
          <w:sz w:val="24"/>
          <w:szCs w:val="24"/>
        </w:rPr>
        <w:t xml:space="preserve">le ho vietato di raccontarlo — e il libro è ciò che è successo.</w:t>
      </w:r>
    </w:p>
    <w:p>
      <w:pPr>
        <w:spacing w:after="120" w:line="276"/>
        <w:jc w:val="both"/>
      </w:pPr>
      <w:r>
        <w:rPr>
          <w:rFonts w:ascii="Barlow Semi Condensed" w:cs="Barlow Semi Condensed" w:eastAsia="Barlow Semi Condensed" w:hAnsi="Barlow Semi Condensed"/>
          <w:b/>
          <w:bCs/>
          <w:sz w:val="24"/>
          <w:szCs w:val="24"/>
        </w:rPr>
        <w:t xml:space="preserve">Che cosa è successo.</w:t>
      </w:r>
      <w:r>
        <w:rPr>
          <w:rFonts w:ascii="Barlow Semi Condensed" w:cs="Barlow Semi Condensed" w:eastAsia="Barlow Semi Condensed" w:hAnsi="Barlow Semi Condensed"/>
          <w:sz w:val="24"/>
          <w:szCs w:val="24"/>
        </w:rPr>
        <w:t xml:space="preserve"> Nel 2026 ho messo sistemi di intelligenza artificiale a</w:t>
      </w:r>
    </w:p>
    <w:p>
      <w:pPr>
        <w:spacing w:after="120" w:line="276"/>
        <w:jc w:val="both"/>
      </w:pPr>
      <w:r>
        <w:rPr>
          <w:rFonts w:ascii="Barlow Semi Condensed" w:cs="Barlow Semi Condensed" w:eastAsia="Barlow Semi Condensed" w:hAnsi="Barlow Semi Condensed"/>
          <w:sz w:val="24"/>
          <w:szCs w:val="24"/>
        </w:rPr>
        <w:t xml:space="preserve">lavorare sul sequestro e l'omicidio di Aldo Moro sotto una disciplina scritta</w:t>
      </w:r>
    </w:p>
    <w:p>
      <w:pPr>
        <w:spacing w:after="120" w:line="276"/>
        <w:jc w:val="both"/>
      </w:pPr>
      <w:r>
        <w:rPr>
          <w:rFonts w:ascii="Barlow Semi Condensed" w:cs="Barlow Semi Condensed" w:eastAsia="Barlow Semi Condensed" w:hAnsi="Barlow Semi Condensed"/>
          <w:sz w:val="24"/>
          <w:szCs w:val="24"/>
        </w:rPr>
        <w:t xml:space="preserve">prima di cominciare: un legame vale solo se un documento nomina entrambe le parti;</w:t>
      </w:r>
    </w:p>
    <w:p>
      <w:pPr>
        <w:spacing w:after="120" w:line="276"/>
        <w:jc w:val="both"/>
      </w:pPr>
      <w:r>
        <w:rPr>
          <w:rFonts w:ascii="Barlow Semi Condensed" w:cs="Barlow Semi Condensed" w:eastAsia="Barlow Semi Condensed" w:hAnsi="Barlow Semi Condensed"/>
          <w:sz w:val="24"/>
          <w:szCs w:val="24"/>
        </w:rPr>
        <w:t xml:space="preserve">la contemporaneità non è prova; nessuno è responsabile oltre il giudicato. La</w:t>
      </w:r>
    </w:p>
    <w:p>
      <w:pPr>
        <w:spacing w:after="120" w:line="276"/>
        <w:jc w:val="both"/>
      </w:pPr>
      <w:r>
        <w:rPr>
          <w:rFonts w:ascii="Barlow Semi Condensed" w:cs="Barlow Semi Condensed" w:eastAsia="Barlow Semi Condensed" w:hAnsi="Barlow Semi Condensed"/>
          <w:sz w:val="24"/>
          <w:szCs w:val="24"/>
        </w:rPr>
        <w:t xml:space="preserve">disciplina si è incrinata sette volte, e ogni volta per la stessa ragione: **un</w:t>
      </w:r>
    </w:p>
    <w:p>
      <w:pPr>
        <w:spacing w:after="120" w:line="276"/>
        <w:jc w:val="both"/>
      </w:pPr>
      <w:r>
        <w:rPr>
          <w:rFonts w:ascii="Barlow Semi Condensed" w:cs="Barlow Semi Condensed" w:eastAsia="Barlow Semi Condensed" w:hAnsi="Barlow Semi Condensed"/>
          <w:sz w:val="24"/>
          <w:szCs w:val="24"/>
        </w:rPr>
        <w:t xml:space="preserve">errore di metodo si era travestito da rigore**. Il libro racconta quelle sette</w:t>
      </w:r>
    </w:p>
    <w:p>
      <w:pPr>
        <w:spacing w:after="120" w:line="276"/>
        <w:jc w:val="both"/>
      </w:pPr>
      <w:r>
        <w:rPr>
          <w:rFonts w:ascii="Barlow Semi Condensed" w:cs="Barlow Semi Condensed" w:eastAsia="Barlow Semi Condensed" w:hAnsi="Barlow Semi Condensed"/>
          <w:sz w:val="24"/>
          <w:szCs w:val="24"/>
        </w:rPr>
        <w:t xml:space="preserve">volte.</w:t>
      </w:r>
    </w:p>
    <w:p>
      <w:pPr>
        <w:spacing w:after="120" w:line="276"/>
        <w:jc w:val="both"/>
      </w:pPr>
      <w:r>
        <w:rPr>
          <w:rFonts w:ascii="Barlow Semi Condensed" w:cs="Barlow Semi Condensed" w:eastAsia="Barlow Semi Condensed" w:hAnsi="Barlow Semi Condensed"/>
          <w:sz w:val="24"/>
          <w:szCs w:val="24"/>
        </w:rPr>
        <w:t xml:space="preserve">Lungo la strada l'esperimento ha prodotto due accertamenti che nessuno aveva</w:t>
      </w:r>
    </w:p>
    <w:p>
      <w:pPr>
        <w:spacing w:after="120" w:line="276"/>
        <w:jc w:val="both"/>
      </w:pPr>
      <w:r>
        <w:rPr>
          <w:rFonts w:ascii="Barlow Semi Condensed" w:cs="Barlow Semi Condensed" w:eastAsia="Barlow Semi Condensed" w:hAnsi="Barlow Semi Condensed"/>
          <w:sz w:val="24"/>
          <w:szCs w:val="24"/>
        </w:rPr>
        <w:t xml:space="preserve">pubblicato in questa forma. Il primo: una frase attribuita a Henry Kissinger e</w:t>
      </w:r>
    </w:p>
    <w:p>
      <w:pPr>
        <w:spacing w:after="120" w:line="276"/>
        <w:jc w:val="both"/>
      </w:pPr>
      <w:r>
        <w:rPr>
          <w:rFonts w:ascii="Barlow Semi Condensed" w:cs="Barlow Semi Condensed" w:eastAsia="Barlow Semi Condensed" w:hAnsi="Barlow Semi Condensed"/>
          <w:sz w:val="24"/>
          <w:szCs w:val="24"/>
        </w:rPr>
        <w:t xml:space="preserve">ripetuta da decine di siti discende tutta da un unico lancio d'agenzia del</w:t>
      </w:r>
    </w:p>
    <w:p>
      <w:pPr>
        <w:spacing w:after="120" w:line="276"/>
        <w:jc w:val="both"/>
      </w:pPr>
      <w:r>
        <w:rPr>
          <w:rFonts w:ascii="Barlow Semi Condensed" w:cs="Barlow Semi Condensed" w:eastAsia="Barlow Semi Condensed" w:hAnsi="Barlow Semi Condensed"/>
          <w:sz w:val="24"/>
          <w:szCs w:val="24"/>
        </w:rPr>
        <w:t xml:space="preserve">novembre 2023 — cento riprese di una sola origine restano una sola fonte. Il</w:t>
      </w:r>
    </w:p>
    <w:p>
      <w:pPr>
        <w:spacing w:after="120" w:line="276"/>
        <w:jc w:val="both"/>
      </w:pPr>
      <w:r>
        <w:rPr>
          <w:rFonts w:ascii="Barlow Semi Condensed" w:cs="Barlow Semi Condensed" w:eastAsia="Barlow Semi Condensed" w:hAnsi="Barlow Semi Condensed"/>
          <w:sz w:val="24"/>
          <w:szCs w:val="24"/>
        </w:rPr>
        <w:t xml:space="preserve">secondo, più netto: il verbale dello Studio Ovale del 25 settembre 1974, che</w:t>
      </w:r>
    </w:p>
    <w:p>
      <w:pPr>
        <w:spacing w:after="120" w:line="276"/>
        <w:jc w:val="both"/>
      </w:pPr>
      <w:r>
        <w:rPr>
          <w:rFonts w:ascii="Barlow Semi Condensed" w:cs="Barlow Semi Condensed" w:eastAsia="Barlow Semi Condensed" w:hAnsi="Barlow Semi Condensed"/>
          <w:sz w:val="24"/>
          <w:szCs w:val="24"/>
        </w:rPr>
        <w:t xml:space="preserve">viene correntemente citato come la prova documentale di un ultimatum a Moro,</w:t>
      </w:r>
    </w:p>
    <w:p>
      <w:pPr>
        <w:spacing w:after="120" w:line="276"/>
        <w:jc w:val="both"/>
      </w:pP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Chiunque può verificarlo in mezz'ora, e in</w:t>
      </w:r>
    </w:p>
    <w:p>
      <w:pPr>
        <w:spacing w:after="120" w:line="276"/>
        <w:jc w:val="both"/>
      </w:pPr>
      <w:r>
        <w:rPr>
          <w:rFonts w:ascii="Barlow Semi Condensed" w:cs="Barlow Semi Condensed" w:eastAsia="Barlow Semi Condensed" w:hAnsi="Barlow Semi Condensed"/>
          <w:sz w:val="24"/>
          <w:szCs w:val="24"/>
        </w:rPr>
        <w:t xml:space="preserve">quarant'anni non risulta che qualcuno l'abbia fatto.</w:t>
      </w:r>
    </w:p>
    <w:p>
      <w:pPr>
        <w:spacing w:after="120" w:line="276"/>
        <w:jc w:val="both"/>
      </w:pPr>
      <w:r>
        <w:rPr>
          <w:rFonts w:ascii="Barlow Semi Condensed" w:cs="Barlow Semi Condensed" w:eastAsia="Barlow Semi Condensed" w:hAnsi="Barlow Semi Condensed"/>
          <w:b/>
          <w:bCs/>
          <w:sz w:val="24"/>
          <w:szCs w:val="24"/>
        </w:rPr>
        <w:t xml:space="preserve">Perché è un libro e non un articolo.</w:t>
      </w:r>
      <w:r>
        <w:rPr>
          <w:rFonts w:ascii="Barlow Semi Condensed" w:cs="Barlow Semi Condensed" w:eastAsia="Barlow Semi Condensed" w:hAnsi="Barlow Semi Condensed"/>
          <w:sz w:val="24"/>
          <w:szCs w:val="24"/>
        </w:rPr>
        <w:t xml:space="preserve"> Perché la cosa interessante non è il</w:t>
      </w:r>
    </w:p>
    <w:p>
      <w:pPr>
        <w:spacing w:after="120" w:line="276"/>
        <w:jc w:val="both"/>
      </w:pPr>
      <w:r>
        <w:rPr>
          <w:rFonts w:ascii="Barlow Semi Condensed" w:cs="Barlow Semi Condensed" w:eastAsia="Barlow Semi Condensed" w:hAnsi="Barlow Semi Condensed"/>
          <w:sz w:val="24"/>
          <w:szCs w:val="24"/>
        </w:rPr>
        <w:t xml:space="preserve">buco: è </w:t>
      </w:r>
      <w:r>
        <w:rPr>
          <w:rFonts w:ascii="Barlow Semi Condensed" w:cs="Barlow Semi Condensed" w:eastAsia="Barlow Semi Condensed" w:hAnsi="Barlow Semi Condensed"/>
          <w:b/>
          <w:bCs/>
          <w:sz w:val="24"/>
          <w:szCs w:val="24"/>
        </w:rPr>
        <w:t xml:space="preserve">come si misura un buco</w:t>
      </w:r>
      <w:r>
        <w:rPr>
          <w:rFonts w:ascii="Barlow Semi Condensed" w:cs="Barlow Semi Condensed" w:eastAsia="Barlow Semi Condensed" w:hAnsi="Barlow Semi Condensed"/>
          <w:sz w:val="24"/>
          <w:szCs w:val="24"/>
        </w:rPr>
        <w:t xml:space="preserve">. Un'assenza in archivio può voler dire che una</w:t>
      </w:r>
    </w:p>
    <w:p>
      <w:pPr>
        <w:spacing w:after="120" w:line="276"/>
        <w:jc w:val="both"/>
      </w:pPr>
      <w:r>
        <w:rPr>
          <w:rFonts w:ascii="Barlow Semi Condensed" w:cs="Barlow Semi Condensed" w:eastAsia="Barlow Semi Condensed" w:hAnsi="Barlow Semi Condensed"/>
          <w:sz w:val="24"/>
          <w:szCs w:val="24"/>
        </w:rPr>
        <w:t xml:space="preserve">carta non è mai esistita, che è stata distrutta, o che nessuno l'ha cercata — e</w:t>
      </w:r>
    </w:p>
    <w:p>
      <w:pPr>
        <w:spacing w:after="120" w:line="276"/>
        <w:jc w:val="both"/>
      </w:pPr>
      <w:r>
        <w:rPr>
          <w:rFonts w:ascii="Barlow Semi Condensed" w:cs="Barlow Semi Condensed" w:eastAsia="Barlow Semi Condensed" w:hAnsi="Barlow Semi Condensed"/>
          <w:sz w:val="24"/>
          <w:szCs w:val="24"/>
        </w:rPr>
        <w:t xml:space="preserve">distinguere fra i tre casi è una disciplina, non un'intuizione. Il libro la</w:t>
      </w:r>
    </w:p>
    <w:p>
      <w:pPr>
        <w:spacing w:after="120" w:line="276"/>
        <w:jc w:val="both"/>
      </w:pPr>
      <w:r>
        <w:rPr>
          <w:rFonts w:ascii="Barlow Semi Condensed" w:cs="Barlow Semi Condensed" w:eastAsia="Barlow Semi Condensed" w:hAnsi="Barlow Semi Condensed"/>
          <w:sz w:val="24"/>
          <w:szCs w:val="24"/>
        </w:rPr>
        <w:t xml:space="preserve">insegna mostrandola fallire.</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 definitivo.</w:t>
      </w:r>
    </w:p>
    <w:p>
      <w:pPr>
        <w:spacing w:after="120" w:line="276"/>
        <w:jc w:val="both"/>
      </w:pPr>
      <w:r>
        <w:rPr>
          <w:rFonts w:ascii="Barlow Semi Condensed" w:cs="Barlow Semi Condensed" w:eastAsia="Barlow Semi Condensed" w:hAnsi="Barlow Semi Condensed"/>
          <w:sz w:val="24"/>
          <w:szCs w:val="24"/>
        </w:rPr>
        <w:t xml:space="preserve">Il caso Moro vi funziona come banco di prova, non come oggetto: serve perché è</w:t>
      </w:r>
    </w:p>
    <w:p>
      <w:pPr>
        <w:spacing w:after="120" w:line="276"/>
        <w:jc w:val="both"/>
      </w:pPr>
      <w:r>
        <w:rPr>
          <w:rFonts w:ascii="Barlow Semi Condensed" w:cs="Barlow Semi Condensed" w:eastAsia="Barlow Semi Condensed" w:hAnsi="Barlow Semi Condensed"/>
          <w:sz w:val="24"/>
          <w:szCs w:val="24"/>
        </w:rPr>
        <w:t xml:space="preserve">documentatissimo, perché la sua letteratura è tossica, e perché chiunque</w:t>
      </w:r>
    </w:p>
    <w:p>
      <w:pPr>
        <w:spacing w:after="120" w:line="276"/>
        <w:jc w:val="both"/>
      </w:pPr>
      <w:r>
        <w:rPr>
          <w:rFonts w:ascii="Barlow Semi Condensed" w:cs="Barlow Semi Condensed" w:eastAsia="Barlow Semi Condensed" w:hAnsi="Barlow Semi Condensed"/>
          <w:sz w:val="24"/>
          <w:szCs w:val="24"/>
        </w:rPr>
        <w:t xml:space="preserve">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di ampia circolazione; e chi vuole capire</w:t>
      </w:r>
    </w:p>
    <w:p>
      <w:pPr>
        <w:spacing w:after="120" w:line="276"/>
        <w:jc w:val="both"/>
      </w:pPr>
      <w:r>
        <w:rPr>
          <w:rFonts w:ascii="Barlow Semi Condensed" w:cs="Barlow Semi Condensed" w:eastAsia="Barlow Semi Condensed" w:hAnsi="Barlow Semi Condensed"/>
          <w:sz w:val="24"/>
          <w:szCs w:val="24"/>
        </w:rPr>
        <w:t xml:space="preserve">che cosa questi sistemi facciano davvero quando li si mette al lavoro su qualcosa</w:t>
      </w:r>
    </w:p>
    <w:p>
      <w:pPr>
        <w:spacing w:after="120" w:line="276"/>
        <w:jc w:val="both"/>
      </w:pPr>
      <w:r>
        <w:rPr>
          <w:rFonts w:ascii="Barlow Semi Condensed" w:cs="Barlow Semi Condensed" w:eastAsia="Barlow Semi Condensed" w:hAnsi="Barlow Semi Condensed"/>
          <w:sz w:val="24"/>
          <w:szCs w:val="24"/>
        </w:rPr>
        <w:t xml:space="preserve">di verificabile — al di là 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Nessuna nota a piè di pagina.</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[**Da compilare al momento dell'invio, e solo a testo</w:t>
      </w:r>
    </w:p>
    <w:p>
      <w:pPr>
        <w:spacing w:after="120" w:line="276"/>
        <w:jc w:val="both"/>
      </w:pPr>
      <w:r>
        <w:rPr>
          <w:rFonts w:ascii="Barlow Semi Condensed" w:cs="Barlow Semi Condensed" w:eastAsia="Barlow Semi Condensed" w:hAnsi="Barlow Semi Condensed"/>
          <w:sz w:val="24"/>
          <w:szCs w:val="24"/>
        </w:rPr>
        <w:t xml:space="preserve">scritto.** Se il saggio non è finito, questa proposta non parte: la regola dei</w:t>
      </w:r>
    </w:p>
    <w:p>
      <w:pPr>
        <w:spacing w:after="120" w:line="276"/>
        <w:jc w:val="both"/>
      </w:pPr>
      <w:r>
        <w:rPr>
          <w:rFonts w:ascii="Barlow Semi Condensed" w:cs="Barlow Semi Condensed" w:eastAsia="Barlow Semi Condensed" w:hAnsi="Barlow Semi Condensed"/>
          <w:sz w:val="24"/>
          <w:szCs w:val="24"/>
        </w:rPr>
        <w:t xml:space="preserve">dodici mesi rende l'attesa meno costosa del tentativo.]</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Allegato</w:t>
      </w:r>
    </w:p>
    <w:p>
      <w:pPr>
        <w:spacing w:after="120" w:line="276"/>
        <w:jc w:val="both"/>
      </w:pP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in PDF sotto i 5 MB: il testo del saggio. Non il corpus, non i</w:t>
      </w:r>
    </w:p>
    <w:p>
      <w:pPr>
        <w:spacing w:after="120" w:line="276"/>
        <w:jc w:val="both"/>
      </w:pPr>
      <w:r>
        <w:rPr>
          <w:rFonts w:ascii="Barlow Semi Condensed" w:cs="Barlow Semi Condensed" w:eastAsia="Barlow Semi Condensed" w:hAnsi="Barlow Semi Condensed"/>
          <w:sz w:val="24"/>
          <w:szCs w:val="24"/>
        </w:rPr>
        <w:t xml:space="preserve">collegamenti al deposito — il modulo li rifiuta esplicitamente.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saggio completato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chiusura, valida per entrambe</w:t>
      </w:r>
    </w:p>
    <w:p>
      <w:pPr>
        <w:spacing w:after="120" w:line="276"/>
        <w:jc w:val="both"/>
      </w:pPr>
      <w:r>
        <w:rPr>
          <w:rFonts w:ascii="Barlow Semi Condensed" w:cs="Barlow Semi Condensed" w:eastAsia="Barlow Semi Condensed" w:hAnsi="Barlow Semi Condensed"/>
          <w:sz w:val="24"/>
          <w:szCs w:val="24"/>
        </w:rPr>
        <w:t xml:space="preserve">Se una delle due risponde, prima di dire sì valgono le quattro domande della</w:t>
      </w:r>
    </w:p>
    <w:p>
      <w:pPr>
        <w:spacing w:after="120" w:line="276"/>
        <w:jc w:val="both"/>
      </w:pPr>
      <w:r>
        <w:rPr>
          <w:rFonts w:ascii="Barlow Semi Condensed" w:cs="Barlow Semi Condensed" w:eastAsia="Barlow Semi Condensed" w:hAnsi="Barlow Semi Condensed"/>
          <w:sz w:val="24"/>
          <w:szCs w:val="24"/>
        </w:rPr>
        <w:t xml:space="preserve">checklist: quale collana, quali tempi, avvertire gli altri destinatari in attesa,</w:t>
      </w:r>
    </w:p>
    <w:p>
      <w:pPr>
        <w:spacing w:after="120" w:line="276"/>
        <w:jc w:val="both"/>
      </w:pPr>
      <w:r>
        <w:rPr>
          <w:rFonts w:ascii="Barlow Semi Condensed" w:cs="Barlow Semi Condensed" w:eastAsia="Barlow Semi Condensed" w:hAnsi="Barlow Semi Condensed"/>
          <w:sz w:val="24"/>
          <w:szCs w:val="24"/>
        </w:rPr>
        <w:t xml:space="preserve">e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apertura del libro**. Se un editore chiedesse di spostarla in fondo o di</w:t>
      </w:r>
    </w:p>
    <w:p>
      <w:pPr>
        <w:spacing w:after="120" w:line="276"/>
        <w:jc w:val="both"/>
      </w:pPr>
      <w:r>
        <w:rPr>
          <w:rFonts w:ascii="Barlow Semi Condensed" w:cs="Barlow Semi Condensed" w:eastAsia="Barlow Semi Condensed" w:hAnsi="Barlow Semi Condensed"/>
          <w:sz w:val="24"/>
          <w:szCs w:val="24"/>
        </w:rPr>
        <w:t xml:space="preserve">attenuarla, quella non è una richiesta redazionale: è la richiesta di pubblicare</w:t>
      </w:r>
    </w:p>
    <w:p>
      <w:pPr>
        <w:spacing w:after="120" w:line="276"/>
        <w:jc w:val="both"/>
      </w:pPr>
      <w:r>
        <w:rPr>
          <w:rFonts w:ascii="Barlow Semi Condensed" w:cs="Barlow Semi Condensed" w:eastAsia="Barlow Semi Condensed" w:hAnsi="Barlow Semi Condensed"/>
          <w:sz w:val="24"/>
          <w:szCs w:val="24"/>
        </w:rPr>
        <w:t xml:space="preserve">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xv. A Chiarelettere e Bompiani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1.799 parole in 9 sezioni; la più ampia è §4 Corpo del messaggio, con 683.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53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 Il deposito Zenodo, foglio operativo</w:t>
      </w:r>
    </w:p>
    <w:p>
      <w:pPr>
        <w:pStyle w:val="Heading1"/>
        <w:spacing w:after="120" w:before="240"/>
      </w:pPr>
      <w:r>
        <w:rPr>
          <w:rFonts w:ascii="Barlow Semi Condensed" w:cs="Barlow Semi Condensed" w:eastAsia="Barlow Semi Condensed" w:hAnsi="Barlow Semi Condensed"/>
          <w:sz w:val="24"/>
          <w:szCs w:val="24"/>
        </w:rPr>
        <w:t xml:space="preserve">Il deposito Zenodo — foglio operativo</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Questo foglio serve a fare una cosa sola e a farla oggi: </w:t>
      </w:r>
      <w:r>
        <w:rPr>
          <w:rFonts w:ascii="Barlow Semi Condensed" w:cs="Barlow Semi Condensed" w:eastAsia="Barlow Semi Condensed" w:hAnsi="Barlow Semi Condensed"/>
          <w:b/>
          <w:bCs/>
          <w:sz w:val="24"/>
          <w:szCs w:val="24"/>
        </w:rPr>
        <w:t xml:space="preserve">ottenere il DOI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Finché non c'è, nessuna delle dodici lettere può partire, perché tutte lo citano.</w:t>
      </w:r>
    </w:p>
    <w:p>
      <w:pPr>
        <w:spacing w:after="120" w:line="276"/>
        <w:jc w:val="both"/>
      </w:pPr>
      <w:r>
        <w:rPr>
          <w:rFonts w:ascii="Barlow Semi Condensed" w:cs="Barlow Semi Condensed" w:eastAsia="Barlow Semi Condensed" w:hAnsi="Barlow Semi Condensed"/>
          <w:sz w:val="24"/>
          <w:szCs w:val="24"/>
        </w:rPr>
        <w:t xml:space="preserve">È l'unico anello che blocca dodici destinatari insieme, e si scioglie in un'ora.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prima di tutto il resto</w:t>
      </w:r>
    </w:p>
    <w:p>
      <w:pPr>
        <w:spacing w:after="120" w:line="276"/>
        <w:jc w:val="both"/>
      </w:pPr>
      <w:r>
        <w:rPr>
          <w:rFonts w:ascii="Barlow Semi Condensed" w:cs="Barlow Semi Condensed" w:eastAsia="Barlow Semi Condensed" w:hAnsi="Barlow Semi Condensed"/>
          <w:sz w:val="24"/>
          <w:szCs w:val="24"/>
        </w:rPr>
        <w:t xml:space="preserve">Il DOI fa tre cose che nessun altro canale fa. </w:t>
      </w:r>
      <w:r>
        <w:rPr>
          <w:rFonts w:ascii="Barlow Semi Condensed" w:cs="Barlow Semi Condensed" w:eastAsia="Barlow Semi Condensed" w:hAnsi="Barlow Semi Condensed"/>
          <w:b/>
          <w:bCs/>
          <w:sz w:val="24"/>
          <w:szCs w:val="24"/>
        </w:rPr>
        <w:t xml:space="preserve">Data</w:t>
      </w:r>
      <w:r>
        <w:rPr>
          <w:rFonts w:ascii="Barlow Semi Condensed" w:cs="Barlow Semi Condensed" w:eastAsia="Barlow Semi Condensed" w:hAnsi="Barlow Semi Condensed"/>
          <w:sz w:val="24"/>
          <w:szCs w:val="24"/>
        </w:rPr>
        <w:t xml:space="preserve"> il deposito in modo</w:t>
      </w:r>
    </w:p>
    <w:p>
      <w:pPr>
        <w:spacing w:after="120" w:line="276"/>
        <w:jc w:val="both"/>
      </w:pPr>
      <w:r>
        <w:rPr>
          <w:rFonts w:ascii="Barlow Semi Condensed" w:cs="Barlow Semi Condensed" w:eastAsia="Barlow Semi Condensed" w:hAnsi="Barlow Semi Condensed"/>
          <w:sz w:val="24"/>
          <w:szCs w:val="24"/>
        </w:rPr>
        <w:t xml:space="preserve">opponibile a terzi. </w:t>
      </w:r>
      <w:r>
        <w:rPr>
          <w:rFonts w:ascii="Barlow Semi Condensed" w:cs="Barlow Semi Condensed" w:eastAsia="Barlow Semi Condensed" w:hAnsi="Barlow Semi Condensed"/>
          <w:b/>
          <w:bCs/>
          <w:sz w:val="24"/>
          <w:szCs w:val="24"/>
        </w:rPr>
        <w:t xml:space="preserve">Rende citabile</w:t>
      </w:r>
      <w:r>
        <w:rPr>
          <w:rFonts w:ascii="Barlow Semi Condensed" w:cs="Barlow Semi Condensed" w:eastAsia="Barlow Semi Condensed" w:hAnsi="Barlow Semi Condensed"/>
          <w:sz w:val="24"/>
          <w:szCs w:val="24"/>
        </w:rPr>
        <w:t xml:space="preserve"> l'opera prima che un editore la</w:t>
      </w:r>
    </w:p>
    <w:p>
      <w:pPr>
        <w:spacing w:after="120" w:line="276"/>
        <w:jc w:val="both"/>
      </w:pPr>
      <w:r>
        <w:rPr>
          <w:rFonts w:ascii="Barlow Semi Condensed" w:cs="Barlow Semi Condensed" w:eastAsia="Barlow Semi Condensed" w:hAnsi="Barlow Semi Condensed"/>
          <w:sz w:val="24"/>
          <w:szCs w:val="24"/>
        </w:rPr>
        <w:t xml:space="preserve">pubblichi, il che cambia il tono di ogni proposta: non si offre un manoscritto,</w:t>
      </w:r>
    </w:p>
    <w:p>
      <w:pPr>
        <w:spacing w:after="120" w:line="276"/>
        <w:jc w:val="both"/>
      </w:pPr>
      <w:r>
        <w:rPr>
          <w:rFonts w:ascii="Barlow Semi Condensed" w:cs="Barlow Semi Condensed" w:eastAsia="Barlow Semi Condensed" w:hAnsi="Barlow Semi Condensed"/>
          <w:sz w:val="24"/>
          <w:szCs w:val="24"/>
        </w:rPr>
        <w:t xml:space="preserve">si segnala un lavoro già depositato. E </w:t>
      </w:r>
      <w:r>
        <w:rPr>
          <w:rFonts w:ascii="Barlow Semi Condensed" w:cs="Barlow Semi Condensed" w:eastAsia="Barlow Semi Condensed" w:hAnsi="Barlow Semi Condensed"/>
          <w:b/>
          <w:bCs/>
          <w:sz w:val="24"/>
          <w:szCs w:val="24"/>
        </w:rPr>
        <w:t xml:space="preserve">stacca l'opera dal repository</w:t>
      </w:r>
      <w:r>
        <w:rPr>
          <w:rFonts w:ascii="Barlow Semi Condensed" w:cs="Barlow Semi Condensed" w:eastAsia="Barlow Semi Condensed" w:hAnsi="Barlow Semi Condensed"/>
          <w:sz w:val="24"/>
          <w:szCs w:val="24"/>
        </w:rPr>
        <w:t xml:space="preserve">: un</w:t>
      </w:r>
    </w:p>
    <w:p>
      <w:pPr>
        <w:spacing w:after="120" w:line="276"/>
        <w:jc w:val="both"/>
      </w:pPr>
      <w:r>
        <w:rPr>
          <w:rFonts w:ascii="Barlow Semi Condensed" w:cs="Barlow Semi Condensed" w:eastAsia="Barlow Semi Condensed" w:hAnsi="Barlow Semi Condensed"/>
          <w:sz w:val="24"/>
          <w:szCs w:val="24"/>
        </w:rPr>
        <w:t xml:space="preserve">file su Zenodo sopravvive alla cancellazione di un ramo Git, e questa opera</w:t>
      </w:r>
    </w:p>
    <w:p>
      <w:pPr>
        <w:spacing w:after="120" w:line="276"/>
        <w:jc w:val="both"/>
      </w:pPr>
      <w:r>
        <w:rPr>
          <w:rFonts w:ascii="Barlow Semi Condensed" w:cs="Barlow Semi Condensed" w:eastAsia="Barlow Semi Condensed" w:hAnsi="Barlow Semi Condensed"/>
          <w:sz w:val="24"/>
          <w:szCs w:val="24"/>
        </w:rPr>
        <w:t xml:space="preserve">esiste solo in un ramo Git.</w:t>
      </w:r>
    </w:p>
    <w:p>
      <w:pPr>
        <w:spacing w:after="120" w:line="276"/>
        <w:jc w:val="both"/>
      </w:pPr>
      <w:r>
        <w:rPr>
          <w:rFonts w:ascii="Barlow Semi Condensed" w:cs="Barlow Semi Condensed" w:eastAsia="Barlow Semi Condensed" w:hAnsi="Barlow Semi Condensed"/>
          <w:sz w:val="24"/>
          <w:szCs w:val="24"/>
        </w:rPr>
        <w:t xml:space="preserve">Va fatto prima delle lettere perché il numero entra nel corpo delle lettere.</w:t>
      </w:r>
    </w:p>
    <w:p>
      <w:pPr>
        <w:spacing w:after="120" w:line="276"/>
        <w:jc w:val="both"/>
      </w:pPr>
      <w:r>
        <w:rPr>
          <w:rFonts w:ascii="Barlow Semi Condensed" w:cs="Barlow Semi Condensed" w:eastAsia="Barlow Semi Condensed" w:hAnsi="Barlow Semi Condensed"/>
          <w:sz w:val="24"/>
          <w:szCs w:val="24"/>
        </w:rPr>
        <w:t xml:space="preserve">Farlo dopo significa riscriverle tutte.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caricare</w:t>
      </w:r>
    </w:p>
    <w:p>
      <w:pPr>
        <w:spacing w:after="120" w:line="276"/>
        <w:jc w:val="both"/>
      </w:pPr>
      <w:r>
        <w:rPr>
          <w:rFonts w:ascii="Barlow Semi Condensed" w:cs="Barlow Semi Condensed" w:eastAsia="Barlow Semi Condensed" w:hAnsi="Barlow Semi Condensed"/>
          <w:sz w:val="24"/>
          <w:szCs w:val="24"/>
        </w:rPr>
        <w:t xml:space="preserve">Tre file, non uno. Il volume intero pesa 37,5 MiB e Zenodo lo accetterebbe, ma</w:t>
      </w:r>
    </w:p>
    <w:p>
      <w:pPr>
        <w:spacing w:after="120" w:line="276"/>
        <w:jc w:val="both"/>
      </w:pPr>
      <w:r>
        <w:rPr>
          <w:rFonts w:ascii="Barlow Semi Condensed" w:cs="Barlow Semi Condensed" w:eastAsia="Barlow Semi Condensed" w:hAnsi="Barlow Semi Condensed"/>
          <w:sz w:val="24"/>
          <w:szCs w:val="24"/>
        </w:rPr>
        <w:t xml:space="preserve">un revisore non apre un PDF da 2.426 pagine: apre la parte che lo riguarda.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Peso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OPERA_INTEGRALE_1-di-3_LIBRI_I-XII.pdf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 MiB</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OPERA_INTEGRALE_2-di-3_LIBRI_XIII-XIV.pdf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 MiB</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OPERA_INTEGRALE_3-di-3_LIBRO_XV_E_APPENDICI.pdf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 MiB</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impronte SHA-256 delle tre parti non sono ricopiate qui, ed è una scelta, non</w:t>
      </w:r>
    </w:p>
    <w:p>
      <w:pPr>
        <w:spacing w:after="120" w:line="276"/>
        <w:jc w:val="both"/>
      </w:pPr>
      <w:r>
        <w:rPr>
          <w:rFonts w:ascii="Barlow Semi Condensed" w:cs="Barlow Semi Condensed" w:eastAsia="Barlow Semi Condensed" w:hAnsi="Barlow Semi Condensed"/>
          <w:sz w:val="24"/>
          <w:szCs w:val="24"/>
        </w:rPr>
        <w:t xml:space="preserve">una dimenticanza: </w:t>
      </w:r>
      <w:r>
        <w:rPr>
          <w:rFonts w:ascii="Barlow Semi Condensed" w:cs="Barlow Semi Condensed" w:eastAsia="Barlow Semi Condensed" w:hAnsi="Barlow Semi Condensed"/>
          <w:b/>
          <w:bCs/>
          <w:sz w:val="24"/>
          <w:szCs w:val="24"/>
        </w:rPr>
        <w:t xml:space="preserve">questo foglio è rilegato dentro il volume</w:t>
      </w:r>
      <w:r>
        <w:rPr>
          <w:rFonts w:ascii="Barlow Semi Condensed" w:cs="Barlow Semi Condensed" w:eastAsia="Barlow Semi Condensed" w:hAnsi="Barlow Semi Condensed"/>
          <w:sz w:val="24"/>
          <w:szCs w:val="24"/>
        </w:rPr>
        <w:t xml:space="preserve"> come Appendice</w:t>
      </w:r>
    </w:p>
    <w:p>
      <w:pPr>
        <w:spacing w:after="120" w:line="276"/>
        <w:jc w:val="both"/>
      </w:pPr>
      <w:r>
        <w:rPr>
          <w:rFonts w:ascii="Barlow Semi Condensed" w:cs="Barlow Semi Condensed" w:eastAsia="Barlow Semi Condensed" w:hAnsi="Barlow Semi Condensed"/>
          <w:sz w:val="24"/>
          <w:szCs w:val="24"/>
        </w:rPr>
        <w:t xml:space="preserve">IV.xvi, e un'impronta scritta dentro il file che essa misura è falsa nell'istante</w:t>
      </w:r>
    </w:p>
    <w:p>
      <w:pPr>
        <w:spacing w:after="120" w:line="276"/>
        <w:jc w:val="both"/>
      </w:pPr>
      <w:r>
        <w:rPr>
          <w:rFonts w:ascii="Barlow Semi Condensed" w:cs="Barlow Semi Condensed" w:eastAsia="Barlow Semi Condensed" w:hAnsi="Barlow Semi Condensed"/>
          <w:sz w:val="24"/>
          <w:szCs w:val="24"/>
        </w:rPr>
        <w:t xml:space="preserve">in cui viene scritta. Vale la stessa regola per cui il registro delle impronte</w:t>
      </w:r>
    </w:p>
    <w:p>
      <w:pPr>
        <w:spacing w:after="120" w:line="276"/>
        <w:jc w:val="both"/>
      </w:pPr>
      <w:r>
        <w:rPr>
          <w:rFonts w:ascii="Barlow Semi Condensed" w:cs="Barlow Semi Condensed" w:eastAsia="Barlow Semi Condensed" w:hAnsi="Barlow Semi Condensed"/>
          <w:sz w:val="24"/>
          <w:szCs w:val="24"/>
        </w:rPr>
        <w:t xml:space="preserve">non certifica sé stesso. Le impronte correnti si leggono in</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../IMPRONTE-SHA256.md</w:t>
      </w:r>
      <w:r>
        <w:rPr>
          <w:rFonts w:ascii="Barlow Semi Condensed" w:cs="Barlow Semi Condensed" w:eastAsia="Barlow Semi Condensed" w:hAnsi="Barlow Semi Condensed"/>
          <w:sz w:val="24"/>
          <w:szCs w:val="24"/>
        </w:rPr>
        <w:t xml:space="preserve">`, sezione «Il volume diviso in</w:t>
      </w:r>
    </w:p>
    <w:p>
      <w:pPr>
        <w:spacing w:after="120" w:line="276"/>
        <w:jc w:val="both"/>
      </w:pPr>
      <w:r>
        <w:rPr>
          <w:rFonts w:ascii="Barlow Semi Condensed" w:cs="Barlow Semi Condensed" w:eastAsia="Barlow Semi Condensed" w:hAnsi="Barlow Semi Condensed"/>
          <w:sz w:val="24"/>
          <w:szCs w:val="24"/>
        </w:rPr>
        <w:t xml:space="preserve">tre parti», e si ricopiano di lì al momento del deposito.*</w:t>
      </w:r>
    </w:p>
    <w:p>
      <w:pPr>
        <w:spacing w:after="120" w:line="276"/>
        <w:jc w:val="both"/>
      </w:pPr>
      <w:r>
        <w:rPr>
          <w:rFonts w:ascii="Barlow Semi Condensed" w:cs="Barlow Semi Condensed" w:eastAsia="Barlow Semi Condensed" w:hAnsi="Barlow Semi Condensed"/>
          <w:sz w:val="24"/>
          <w:szCs w:val="24"/>
        </w:rPr>
        <w:t xml:space="preserve">E due file piccoli che valgono più del loro peso: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IMPRONTE-OPERA-MORO.txt</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manifesto: 173 righe, una per file, verificabile con un comando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IMPRONTE-SHA256.md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registro leggibile, che spiega che cosa l'impronta certifica e che cosa no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Non caricare</w:t>
      </w:r>
      <w:r>
        <w:rPr>
          <w:rFonts w:ascii="Barlow Semi Condensed" w:cs="Barlow Semi Condensed" w:eastAsia="Barlow Semi Condensed" w:hAnsi="Barlow Semi Condensed"/>
          <w:sz w:val="24"/>
          <w:szCs w:val="24"/>
        </w:rPr>
        <w:t xml:space="preserve"> il volume intero da 37,5 MiB: duplica le tre parti e raddoppia</w:t>
      </w:r>
    </w:p>
    <w:p>
      <w:pPr>
        <w:spacing w:after="120" w:line="276"/>
        <w:jc w:val="both"/>
      </w:pPr>
      <w:r>
        <w:rPr>
          <w:rFonts w:ascii="Barlow Semi Condensed" w:cs="Barlow Semi Condensed" w:eastAsia="Barlow Semi Condensed" w:hAnsi="Barlow Semi Condensed"/>
          <w:sz w:val="24"/>
          <w:szCs w:val="24"/>
        </w:rPr>
        <w:t xml:space="preserve">il peso del record senza aggiungere nulla. </w:t>
      </w:r>
      <w:r>
        <w:rPr>
          <w:rFonts w:ascii="Barlow Semi Condensed" w:cs="Barlow Semi Condensed" w:eastAsia="Barlow Semi Condensed" w:hAnsi="Barlow Semi Condensed"/>
          <w:b/>
          <w:bCs/>
          <w:sz w:val="24"/>
          <w:szCs w:val="24"/>
        </w:rPr>
        <w:t xml:space="preserve">Non caricare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italia-nera/</w:t>
      </w:r>
      <w:r>
        <w:rPr>
          <w:rFonts w:ascii="Barlow Semi Condensed" w:cs="Barlow Semi Condensed" w:eastAsia="Barlow Semi Condensed" w:hAnsi="Barlow Semi Condensed"/>
          <w:sz w:val="24"/>
          <w:szCs w:val="24"/>
        </w:rPr>
        <w:t xml:space="preserve">: è</w:t>
      </w:r>
    </w:p>
    <w:p>
      <w:pPr>
        <w:spacing w:after="120" w:line="276"/>
        <w:jc w:val="both"/>
      </w:pPr>
      <w:r>
        <w:rPr>
          <w:rFonts w:ascii="Barlow Semi Condensed" w:cs="Barlow Semi Condensed" w:eastAsia="Barlow Semi Condensed" w:hAnsi="Barlow Semi Condensed"/>
          <w:sz w:val="24"/>
          <w:szCs w:val="24"/>
        </w:rPr>
        <w:t xml:space="preserve">un'opera distinta, e se un giorno va depositata avrà un DOI proprio.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metadati, pronti da incollare</w:t>
      </w:r>
    </w:p>
    <w:p>
      <w:pPr>
        <w:spacing w:after="120" w:line="276"/>
        <w:jc w:val="both"/>
      </w:pPr>
      <w:r>
        <w:rPr>
          <w:rFonts w:ascii="Barlow Semi Condensed" w:cs="Barlow Semi Condensed" w:eastAsia="Barlow Semi Condensed" w:hAnsi="Barlow Semi Condensed"/>
          <w:b/>
          <w:bCs/>
          <w:sz w:val="24"/>
          <w:szCs w:val="24"/>
        </w:rPr>
        <w:t xml:space="preserve">Upload type</w:t>
      </w:r>
      <w:r>
        <w:rPr>
          <w:rFonts w:ascii="Barlow Semi Condensed" w:cs="Barlow Semi Condensed" w:eastAsia="Barlow Semi Condensed" w:hAnsi="Barlow Semi Condensed"/>
          <w:sz w:val="24"/>
          <w:szCs w:val="24"/>
        </w:rPr>
        <w:t xml:space="preserve"> — Publication → Book</w:t>
      </w:r>
    </w:p>
    <w:p>
      <w:pPr>
        <w:spacing w:after="120" w:line="276"/>
        <w:jc w:val="both"/>
      </w:pPr>
      <w:r>
        <w:rPr>
          <w:rFonts w:ascii="Barlow Semi Condensed" w:cs="Barlow Semi Condensed" w:eastAsia="Barlow Semi Condensed" w:hAnsi="Barlow Semi Condensed"/>
          <w:b/>
          <w:bCs/>
          <w:sz w:val="24"/>
          <w:szCs w:val="24"/>
        </w:rPr>
        <w:t xml:space="preserve">Title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Aldo Moro. Ottanta anni di Pace: una guerra senza fine — opera integrale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Authors</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De Michele, Luigi</w:t>
      </w:r>
      <w:r>
        <w:rPr>
          <w:rFonts w:ascii="Barlow Semi Condensed" w:cs="Barlow Semi Condensed" w:eastAsia="Barlow Semi Condensed" w:hAnsi="Barlow Semi Condensed"/>
          <w:sz w:val="24"/>
          <w:szCs w:val="24"/>
        </w:rPr>
        <w:t xml:space="preserve">. Se hai un ORCID, mettilo: è la differenza fra</w:t>
      </w:r>
    </w:p>
    <w:p>
      <w:pPr>
        <w:spacing w:after="120" w:line="276"/>
        <w:jc w:val="both"/>
      </w:pPr>
      <w:r>
        <w:rPr>
          <w:rFonts w:ascii="Barlow Semi Condensed" w:cs="Barlow Semi Condensed" w:eastAsia="Barlow Semi Condensed" w:hAnsi="Barlow Semi Condensed"/>
          <w:sz w:val="24"/>
          <w:szCs w:val="24"/>
        </w:rPr>
        <w:t xml:space="preserve">un deposito anonimo e un deposito attribuibile. Se non ce l'hai, si apre in</w:t>
      </w:r>
    </w:p>
    <w:p>
      <w:pPr>
        <w:spacing w:after="120" w:line="276"/>
        <w:jc w:val="both"/>
      </w:pPr>
      <w:r>
        <w:rPr>
          <w:rFonts w:ascii="Barlow Semi Condensed" w:cs="Barlow Semi Condensed" w:eastAsia="Barlow Semi Condensed" w:hAnsi="Barlow Semi Condensed"/>
          <w:sz w:val="24"/>
          <w:szCs w:val="24"/>
        </w:rPr>
        <w:t xml:space="preserve">cinque minuti su orcid.org ed è gratuito.</w:t>
      </w:r>
    </w:p>
    <w:p>
      <w:pPr>
        <w:spacing w:after="120" w:line="276"/>
        <w:jc w:val="both"/>
      </w:pPr>
      <w:r>
        <w:rPr>
          <w:rFonts w:ascii="Barlow Semi Condensed" w:cs="Barlow Semi Condensed" w:eastAsia="Barlow Semi Condensed" w:hAnsi="Barlow Semi Condensed"/>
          <w:b/>
          <w:bCs/>
          <w:sz w:val="24"/>
          <w:szCs w:val="24"/>
        </w:rPr>
        <w:t xml:space="preserve">Description</w:t>
      </w:r>
      <w:r>
        <w:rPr>
          <w:rFonts w:ascii="Barlow Semi Condensed" w:cs="Barlow Semi Condensed" w:eastAsia="Barlow Semi Condensed" w:hAnsi="Barlow Semi Condensed"/>
          <w:sz w:val="24"/>
          <w:szCs w:val="24"/>
        </w:rPr>
        <w:t xml:space="preserve"> (incolla così com'è)</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Corpus di ricerca storica sul caso Moro e sul suo contesto internazionale, prodotto fra il 2025 e il 2026 con sistemi di intelligenza artificiale sotto direzione umana e sotto una disciplina metodologica scritta prima del lavoro e resa vincolante. La dichiarazione di generazione assistita apre ogni documento dell'opera, non ne chiude nessuno.  L'opera non ricostruisce i fatti del 1978 e non propone una tesi sul sequestro. Non indica responsabili: nessuna persona vi è indicata come responsabile di un reato al di fuori di un giudicato definitivo, e la regola che governa l'intero corpus è che l'appartenenza a un'organizzazione non è prova di condotta. Ciò che l'opera produce sono bersagli di ricerca: domande formulate in modo che un terzo possa andare in archivio a rispondervi, ciascuna col grado di ciò che si sa già e con la sede in cui si cercherebbe.  Ogni proposizione porta un grado dichiarato — A giudicato, B accertamento, C congettura, F fatto pubblico — e le ricerche condotte senza esito sono registrate come Stati Zero, validi soltanto se la sede consultata è nominata. Le correzioni sono annotate accanto all'errore e non applicate in silenzio; le divergenze fra fonti sono riportate e non risolte d'autorità.  Quinta edizione integrale, 27 agosto 2026: oltre 2.400 pagine in 103 documenti, quindici Libri e quattro Appendici, 239 grafici su 104 capitoli, 1.044 citazioni a 688 indirizzi distinti su 358 domini. Depositata in tre parti tagliate su confini di Libro; le parti non si sovrappongono e insieme fanno il volume. Ogni file porta la propria impronta SHA-256 nel manifesto allegato: l'impronta certifica l'integrità del contenitore, non la verità del contenuto, e la distinzione è dichiarata nel registro.</w:t>
      </w:r>
    </w:p>
    <w:p>
      <w:pPr>
        <w:spacing w:after="120" w:line="276"/>
        <w:jc w:val="both"/>
      </w:pPr>
      <w:r>
        <w:rPr>
          <w:rFonts w:ascii="Barlow Semi Condensed" w:cs="Barlow Semi Condensed" w:eastAsia="Barlow Semi Condensed" w:hAnsi="Barlow Semi Condensed"/>
          <w:b/>
          <w:bCs/>
          <w:sz w:val="24"/>
          <w:szCs w:val="24"/>
        </w:rPr>
        <w:t xml:space="preserve">Version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Publication date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2026-08-27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Language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i/>
          <w:iCs/>
          <w:sz w:val="24"/>
          <w:szCs w:val="24"/>
        </w:rPr>
        <w:t xml:space="preserve">Italian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License</w:t>
      </w:r>
      <w:r>
        <w:rPr>
          <w:rFonts w:ascii="Barlow Semi Condensed" w:cs="Barlow Semi Condensed" w:eastAsia="Barlow Semi Condensed" w:hAnsi="Barlow Semi Condensed"/>
          <w:sz w:val="24"/>
          <w:szCs w:val="24"/>
        </w:rPr>
        <w:t xml:space="preserve"> — Creative Commons Attribution 4.0 (CC BY 4.0)</w:t>
      </w:r>
    </w:p>
    <w:p>
      <w:pPr>
        <w:spacing w:after="120" w:line="276"/>
        <w:jc w:val="both"/>
      </w:pPr>
      <w:r>
        <w:rPr>
          <w:rFonts w:ascii="Barlow Semi Condensed" w:cs="Barlow Semi Condensed" w:eastAsia="Barlow Semi Condensed" w:hAnsi="Barlow Semi Condensed"/>
          <w:i/>
          <w:iCs/>
          <w:sz w:val="24"/>
          <w:szCs w:val="24"/>
        </w:rPr>
        <w:t xml:space="preserve">Sulla licenza.</w:t>
      </w:r>
      <w:r>
        <w:rPr>
          <w:rFonts w:ascii="Barlow Semi Condensed" w:cs="Barlow Semi Condensed" w:eastAsia="Barlow Semi Condensed" w:hAnsi="Barlow Semi Condensed"/>
          <w:sz w:val="24"/>
          <w:szCs w:val="24"/>
        </w:rPr>
        <w:t xml:space="preserve"> CC BY è la scelta consigliata: chiunque può citare e</w:t>
      </w:r>
    </w:p>
    <w:p>
      <w:pPr>
        <w:spacing w:after="120" w:line="276"/>
        <w:jc w:val="both"/>
      </w:pPr>
      <w:r>
        <w:rPr>
          <w:rFonts w:ascii="Barlow Semi Condensed" w:cs="Barlow Semi Condensed" w:eastAsia="Barlow Semi Condensed" w:hAnsi="Barlow Semi Condensed"/>
          <w:sz w:val="24"/>
          <w:szCs w:val="24"/>
        </w:rPr>
        <w:t xml:space="preserve">ridistribuire purché attribuisca, il che è esattamente ciò che serve a un'opera</w:t>
      </w:r>
    </w:p>
    <w:p>
      <w:pPr>
        <w:spacing w:after="120" w:line="276"/>
        <w:jc w:val="both"/>
      </w:pPr>
      <w:r>
        <w:rPr>
          <w:rFonts w:ascii="Barlow Semi Condensed" w:cs="Barlow Semi Condensed" w:eastAsia="Barlow Semi Condensed" w:hAnsi="Barlow Semi Condensed"/>
          <w:sz w:val="24"/>
          <w:szCs w:val="24"/>
        </w:rPr>
        <w:t xml:space="preserve">che vuole essere verificata. Se preferisci vietare gli usi commerciali (CC</w:t>
      </w:r>
    </w:p>
    <w:p>
      <w:pPr>
        <w:spacing w:after="120" w:line="276"/>
        <w:jc w:val="both"/>
      </w:pPr>
      <w:r>
        <w:rPr>
          <w:rFonts w:ascii="Barlow Semi Condensed" w:cs="Barlow Semi Condensed" w:eastAsia="Barlow Semi Condensed" w:hAnsi="Barlow Semi Condensed"/>
          <w:sz w:val="24"/>
          <w:szCs w:val="24"/>
        </w:rPr>
        <w:t xml:space="preserve">BY-NC) sappi che molte riviste e archivi non ridistribuiscono materiale NC, e</w:t>
      </w:r>
    </w:p>
    <w:p>
      <w:pPr>
        <w:spacing w:after="120" w:line="276"/>
        <w:jc w:val="both"/>
      </w:pPr>
      <w:r>
        <w:rPr>
          <w:rFonts w:ascii="Barlow Semi Condensed" w:cs="Barlow Semi Condensed" w:eastAsia="Barlow Semi Condensed" w:hAnsi="Barlow Semi Condensed"/>
          <w:sz w:val="24"/>
          <w:szCs w:val="24"/>
        </w:rPr>
        <w:t xml:space="preserve">perderesti proprio i canali che ti interessano.</w:t>
      </w:r>
    </w:p>
    <w:p>
      <w:pPr>
        <w:spacing w:after="120" w:line="276"/>
        <w:jc w:val="both"/>
      </w:pPr>
      <w:r>
        <w:rPr>
          <w:rFonts w:ascii="Barlow Semi Condensed" w:cs="Barlow Semi Condensed" w:eastAsia="Barlow Semi Condensed" w:hAnsi="Barlow Semi Condensed"/>
          <w:b/>
          <w:bCs/>
          <w:sz w:val="24"/>
          <w:szCs w:val="24"/>
        </w:rPr>
        <w:t xml:space="preserve">Keywords</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Aldo Moro; Brigate Rosse; caso Moro; storia contemporanea italiana; strategia della tensione; Loggia P2; Gladio; Commissione Moro; fonti parlamentari; metodo storiografico; gradi probatori; ricerca assistita da intelligenza artificiale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Additional notes</w:t>
      </w:r>
      <w:r>
        <w:rPr>
          <w:rFonts w:ascii="Barlow Semi Condensed" w:cs="Barlow Semi Condensed" w:eastAsia="Barlow Semi Condensed" w:hAnsi="Barlow Semi Condensed"/>
          <w:sz w:val="24"/>
          <w:szCs w:val="24"/>
        </w:rPr>
        <w:t xml:space="preserve"> — l'impronta va copiata dal registro al momento del</w:t>
      </w:r>
    </w:p>
    <w:p>
      <w:pPr>
        <w:spacing w:after="120" w:line="276"/>
        <w:jc w:val="both"/>
      </w:pPr>
      <w:r>
        <w:rPr>
          <w:rFonts w:ascii="Barlow Semi Condensed" w:cs="Barlow Semi Condensed" w:eastAsia="Barlow Semi Condensed" w:hAnsi="Barlow Semi Condensed"/>
          <w:sz w:val="24"/>
          <w:szCs w:val="24"/>
        </w:rPr>
        <w:t xml:space="preserve">deposito, per la ragione detta sopra: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Opera prodotta con sistemi di intelligenza artificiale sotto direzione e responsabilità umana. Impronta SHA-256 del manifesto dell'opera: </w:t>
      </w:r>
      <w:r>
        <w:rPr>
          <w:rFonts w:ascii="Barlow Semi Condensed" w:cs="Barlow Semi Condensed" w:eastAsia="Barlow Semi Condensed" w:hAnsi="Barlow Semi Condensed"/>
          <w:i w:val="false"/>
          <w:iCs w:val="false"/>
          <w:sz w:val="24"/>
          <w:szCs w:val="24"/>
        </w:rPr>
        <w:t xml:space="preserve">«copiare da IMPRONTE-SHA256.md, sezione "L'impronta dell'opera"»</w:t>
      </w:r>
      <w:r>
        <w:rPr>
          <w:rFonts w:ascii="Barlow Semi Condensed" w:cs="Barlow Semi Condensed" w:eastAsia="Barlow Semi Condensed" w:hAnsi="Barlow Semi Condensed"/>
          <w:i w:val="false"/>
          <w:iCs w:val="false"/>
          <w:sz w:val="24"/>
          <w:szCs w:val="24"/>
        </w:rPr>
        <w:t xml:space="preserve">. Il manifesto elenca i file versionati che compongono l'opera e si verifica con </w:t>
      </w:r>
      <w:r>
        <w:rPr>
          <w:rFonts w:ascii="Barlow Semi Condensed" w:cs="Barlow Semi Condensed" w:eastAsia="Barlow Semi Condensed" w:hAnsi="Barlow Semi Condensed"/>
          <w:i w:val="false"/>
          <w:iCs w:val="false"/>
          <w:sz w:val="24"/>
          <w:szCs w:val="24"/>
        </w:rPr>
        <w:t xml:space="preserve">sha256sum --check IMPRONTE-OPERA-MORO.txt</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conteggio esatto delle pagine è volutamente lasciato in tondo — «oltre</w:t>
      </w:r>
    </w:p>
    <w:p>
      <w:pPr>
        <w:spacing w:after="120" w:line="276"/>
        <w:jc w:val="both"/>
      </w:pPr>
      <w:r>
        <w:rPr>
          <w:rFonts w:ascii="Barlow Semi Condensed" w:cs="Barlow Semi Condensed" w:eastAsia="Barlow Semi Condensed" w:hAnsi="Barlow Semi Condensed"/>
          <w:sz w:val="24"/>
          <w:szCs w:val="24"/>
        </w:rPr>
        <w:t xml:space="preserve">2.400» — e va sostituito con la cifra che si legge sulla copertina del volume al</w:t>
      </w:r>
    </w:p>
    <w:p>
      <w:pPr>
        <w:spacing w:after="120" w:line="276"/>
        <w:jc w:val="both"/>
      </w:pPr>
      <w:r>
        <w:rPr>
          <w:rFonts w:ascii="Barlow Semi Condensed" w:cs="Barlow Semi Condensed" w:eastAsia="Barlow Semi Condensed" w:hAnsi="Barlow Semi Condensed"/>
          <w:sz w:val="24"/>
          <w:szCs w:val="24"/>
        </w:rPr>
        <w:t xml:space="preserve">momento del deposito. La ragione è la stessa dell'impronta: **questo foglio è</w:t>
      </w:r>
    </w:p>
    <w:p>
      <w:pPr>
        <w:spacing w:after="120" w:line="276"/>
        <w:jc w:val="both"/>
      </w:pPr>
      <w:r>
        <w:rPr>
          <w:rFonts w:ascii="Barlow Semi Condensed" w:cs="Barlow Semi Condensed" w:eastAsia="Barlow Semi Condensed" w:hAnsi="Barlow Semi Condensed"/>
          <w:sz w:val="24"/>
          <w:szCs w:val="24"/>
        </w:rPr>
        <w:t xml:space="preserve">rilegato dentro il volume che conta**, e ogni volta che si scrive qui il numero</w:t>
      </w:r>
    </w:p>
    <w:p>
      <w:pPr>
        <w:spacing w:after="120" w:line="276"/>
        <w:jc w:val="both"/>
      </w:pPr>
      <w:r>
        <w:rPr>
          <w:rFonts w:ascii="Barlow Semi Condensed" w:cs="Barlow Semi Condensed" w:eastAsia="Barlow Semi Condensed" w:hAnsi="Barlow Semi Condensed"/>
          <w:sz w:val="24"/>
          <w:szCs w:val="24"/>
        </w:rPr>
        <w:t xml:space="preserve">esatto il foglio si allunga e il numero cambia. Un documento non può misurare</w:t>
      </w:r>
    </w:p>
    <w:p>
      <w:pPr>
        <w:spacing w:after="120" w:line="276"/>
        <w:jc w:val="both"/>
      </w:pPr>
      <w:r>
        <w:rPr>
          <w:rFonts w:ascii="Barlow Semi Condensed" w:cs="Barlow Semi Condensed" w:eastAsia="Barlow Semi Condensed" w:hAnsi="Barlow Semi Condensed"/>
          <w:sz w:val="24"/>
          <w:szCs w:val="24"/>
        </w:rPr>
        <w:t xml:space="preserve">sé stesso dall'interno; può però dire dove il numero si legge, ed è ciò che fa.</w:t>
      </w:r>
    </w:p>
    <w:p>
      <w:pPr>
        <w:spacing w:after="120" w:line="276"/>
        <w:jc w:val="both"/>
      </w:pPr>
      <w:r>
        <w:rPr>
          <w:rFonts w:ascii="Barlow Semi Condensed" w:cs="Barlow Semi Condensed" w:eastAsia="Barlow Semi Condensed" w:hAnsi="Barlow Semi Condensed"/>
          <w:sz w:val="24"/>
          <w:szCs w:val="24"/>
        </w:rPr>
        <w:t xml:space="preserve">Gli altri numeri — documenti, grafici, citazioni, domini — non hanno questo</w:t>
      </w:r>
    </w:p>
    <w:p>
      <w:pPr>
        <w:spacing w:after="120" w:line="276"/>
        <w:jc w:val="both"/>
      </w:pPr>
      <w:r>
        <w:rPr>
          <w:rFonts w:ascii="Barlow Semi Condensed" w:cs="Barlow Semi Condensed" w:eastAsia="Barlow Semi Condensed" w:hAnsi="Barlow Semi Condensed"/>
          <w:sz w:val="24"/>
          <w:szCs w:val="24"/>
        </w:rPr>
        <w:t xml:space="preserve">problema e sono esatti: si rileggono comunque sul registro prima di incollarli.*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L'ordine delle operazioni</w:t>
      </w:r>
    </w:p>
    <w:p>
      <w:pPr>
        <w:spacing w:after="40"/>
        <w:ind w:left="360"/>
        <w:jc w:val="both"/>
      </w:pPr>
      <w:r>
        <w:rPr>
          <w:rFonts w:ascii="Barlow Semi Condensed" w:cs="Barlow Semi Condensed" w:eastAsia="Barlow Semi Condensed" w:hAnsi="Barlow Semi Condensed"/>
          <w:sz w:val="24"/>
          <w:szCs w:val="24"/>
        </w:rPr>
        <w:t xml:space="preserve">1. Apri l'account Zenodo (o accedi). Se non hai un ORCID, aprilo prima e</w:t>
      </w:r>
    </w:p>
    <w:p>
      <w:pPr>
        <w:spacing w:after="120" w:line="276"/>
        <w:jc w:val="both"/>
      </w:pPr>
      <w:r>
        <w:rPr>
          <w:rFonts w:ascii="Barlow Semi Condensed" w:cs="Barlow Semi Condensed" w:eastAsia="Barlow Semi Condensed" w:hAnsi="Barlow Semi Condensed"/>
          <w:sz w:val="24"/>
          <w:szCs w:val="24"/>
        </w:rPr>
        <w:t xml:space="preserve">   collegalo.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New upload</w:t>
      </w:r>
      <w:r>
        <w:rPr>
          <w:rFonts w:ascii="Barlow Semi Condensed" w:cs="Barlow Semi Condensed" w:eastAsia="Barlow Semi Condensed" w:hAnsi="Barlow Semi Condensed"/>
          <w:sz w:val="24"/>
          <w:szCs w:val="24"/>
        </w:rPr>
        <w:t xml:space="preserve"> → trascina i cinque file → compila i metadati qui sopra.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Save</w:t>
      </w:r>
      <w:r>
        <w:rPr>
          <w:rFonts w:ascii="Barlow Semi Condensed" w:cs="Barlow Semi Condensed" w:eastAsia="Barlow Semi Condensed" w:hAnsi="Barlow Semi Condensed"/>
          <w:sz w:val="24"/>
          <w:szCs w:val="24"/>
        </w:rPr>
        <w:t xml:space="preserve"> senza pubblicare. Rileggi la description sullo schermo: è il testo</w:t>
      </w:r>
    </w:p>
    <w:p>
      <w:pPr>
        <w:spacing w:after="120" w:line="276"/>
        <w:jc w:val="both"/>
      </w:pPr>
      <w:r>
        <w:rPr>
          <w:rFonts w:ascii="Barlow Semi Condensed" w:cs="Barlow Semi Condensed" w:eastAsia="Barlow Semi Condensed" w:hAnsi="Barlow Semi Condensed"/>
          <w:sz w:val="24"/>
          <w:szCs w:val="24"/>
        </w:rPr>
        <w:t xml:space="preserve">   che leggeranno per primo, ed è l'unico che non puoi correggere dopo la</w:t>
      </w:r>
    </w:p>
    <w:p>
      <w:pPr>
        <w:spacing w:after="120" w:line="276"/>
        <w:jc w:val="both"/>
      </w:pPr>
      <w:r>
        <w:rPr>
          <w:rFonts w:ascii="Barlow Semi Condensed" w:cs="Barlow Semi Condensed" w:eastAsia="Barlow Semi Condensed" w:hAnsi="Barlow Semi Condensed"/>
          <w:sz w:val="24"/>
          <w:szCs w:val="24"/>
        </w:rPr>
        <w:t xml:space="preserve">   pubblicazione senza generare una nuova versione.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Publish.</w:t>
      </w:r>
      <w:r>
        <w:rPr>
          <w:rFonts w:ascii="Barlow Semi Condensed" w:cs="Barlow Semi Condensed" w:eastAsia="Barlow Semi Condensed" w:hAnsi="Barlow Semi Condensed"/>
          <w:sz w:val="24"/>
          <w:szCs w:val="24"/>
        </w:rPr>
        <w:t xml:space="preserve"> Il DOI compare subito; l'indicizzazione richiede fino a un'ora.</w:t>
      </w:r>
    </w:p>
    <w:p>
      <w:pPr>
        <w:spacing w:after="40"/>
        <w:ind w:left="360"/>
        <w:jc w:val="both"/>
      </w:pPr>
      <w:r>
        <w:rPr>
          <w:rFonts w:ascii="Barlow Semi Condensed" w:cs="Barlow Semi Condensed" w:eastAsia="Barlow Semi Condensed" w:hAnsi="Barlow Semi Condensed"/>
          <w:sz w:val="24"/>
          <w:szCs w:val="24"/>
        </w:rPr>
        <w:t xml:space="preserve">5. Copia il DOI e </w:t>
      </w:r>
      <w:r>
        <w:rPr>
          <w:rFonts w:ascii="Barlow Semi Condensed" w:cs="Barlow Semi Condensed" w:eastAsia="Barlow Semi Condensed" w:hAnsi="Barlow Semi Condensed"/>
          <w:b/>
          <w:bCs/>
          <w:sz w:val="24"/>
          <w:szCs w:val="24"/>
        </w:rPr>
        <w:t xml:space="preserve">torna qui</w:t>
      </w:r>
      <w:r>
        <w:rPr>
          <w:rFonts w:ascii="Barlow Semi Condensed" w:cs="Barlow Semi Condensed" w:eastAsia="Barlow Semi Condensed" w:hAnsi="Barlow Semi Condensed"/>
          <w:sz w:val="24"/>
          <w:szCs w:val="24"/>
        </w:rPr>
        <w:t xml:space="preserve">: va inserito in undici lettere e nella scheda</w:t>
      </w:r>
    </w:p>
    <w:p>
      <w:pPr>
        <w:spacing w:after="120" w:line="276"/>
        <w:jc w:val="both"/>
      </w:pPr>
      <w:r>
        <w:rPr>
          <w:rFonts w:ascii="Barlow Semi Condensed" w:cs="Barlow Semi Condensed" w:eastAsia="Barlow Semi Condensed" w:hAnsi="Barlow Semi Condensed"/>
          <w:sz w:val="24"/>
          <w:szCs w:val="24"/>
        </w:rPr>
        <w:t xml:space="preserve">   dell'opera. È una sostituzione meccanica, la faccio io in un passaggio.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Dopo il DOI</w:t>
      </w:r>
    </w:p>
    <w:p>
      <w:pPr>
        <w:spacing w:after="120" w:line="276"/>
        <w:jc w:val="both"/>
      </w:pPr>
      <w:r>
        <w:rPr>
          <w:rFonts w:ascii="Barlow Semi Condensed" w:cs="Barlow Semi Condensed" w:eastAsia="Barlow Semi Condensed" w:hAnsi="Barlow Semi Condensed"/>
          <w:sz w:val="24"/>
          <w:szCs w:val="24"/>
        </w:rPr>
        <w:t xml:space="preserve">Il DOI entra in: la scheda dell'opera, la PEC unica formale, la lettera alla</w:t>
      </w:r>
    </w:p>
    <w:p>
      <w:pPr>
        <w:spacing w:after="120" w:line="276"/>
        <w:jc w:val="both"/>
      </w:pPr>
      <w:r>
        <w:rPr>
          <w:rFonts w:ascii="Barlow Semi Condensed" w:cs="Barlow Semi Condensed" w:eastAsia="Barlow Semi Condensed" w:hAnsi="Barlow Semi Condensed"/>
          <w:sz w:val="24"/>
          <w:szCs w:val="24"/>
        </w:rPr>
        <w:t xml:space="preserve">Fondazione Aldo Moro, la PEC all'Archivio Flamigni, la relazione al Centro</w:t>
      </w:r>
    </w:p>
    <w:p>
      <w:pPr>
        <w:spacing w:after="120" w:line="276"/>
        <w:jc w:val="both"/>
      </w:pPr>
      <w:r>
        <w:rPr>
          <w:rFonts w:ascii="Barlow Semi Condensed" w:cs="Barlow Semi Condensed" w:eastAsia="Barlow Semi Condensed" w:hAnsi="Barlow Semi Condensed"/>
          <w:sz w:val="24"/>
          <w:szCs w:val="24"/>
        </w:rPr>
        <w:t xml:space="preserve">Flamigni, e le sei proposte editoriali. Undici documenti, una stringa.</w:t>
      </w:r>
    </w:p>
    <w:p>
      <w:pPr>
        <w:spacing w:after="120" w:line="276"/>
        <w:jc w:val="both"/>
      </w:pPr>
      <w:r>
        <w:rPr>
          <w:rFonts w:ascii="Barlow Semi Condensed" w:cs="Barlow Semi Condensed" w:eastAsia="Barlow Semi Condensed" w:hAnsi="Barlow Semi Condensed"/>
          <w:sz w:val="24"/>
          <w:szCs w:val="24"/>
        </w:rPr>
        <w:t xml:space="preserve">Poi, e solo poi, si spedisce. La checklist di invio dice in che ordine.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Una avvertenza che vale la pena scrivere prima che serva: </w:t>
      </w:r>
      <w:r>
        <w:rPr>
          <w:rFonts w:ascii="Barlow Semi Condensed" w:cs="Barlow Semi Condensed" w:eastAsia="Barlow Semi Condensed" w:hAnsi="Barlow Semi Condensed"/>
          <w:sz w:val="24"/>
          <w:szCs w:val="24"/>
        </w:rPr>
        <w:t xml:space="preserve">*un deposito Zenodo</w:t>
      </w:r>
    </w:p>
    <w:p>
      <w:pPr>
        <w:spacing w:after="120" w:line="276"/>
        <w:jc w:val="both"/>
      </w:pPr>
      <w:r>
        <w:rPr>
          <w:rFonts w:ascii="Barlow Semi Condensed" w:cs="Barlow Semi Condensed" w:eastAsia="Barlow Semi Condensed" w:hAnsi="Barlow Semi Condensed"/>
          <w:sz w:val="24"/>
          <w:szCs w:val="24"/>
        </w:rPr>
        <w:t xml:space="preserve">non si cancella**. Si può ritirare dalla vista pubblica, ma il DOI resta e la</w:t>
      </w:r>
    </w:p>
    <w:p>
      <w:pPr>
        <w:spacing w:after="120" w:line="276"/>
        <w:jc w:val="both"/>
      </w:pPr>
      <w:r>
        <w:rPr>
          <w:rFonts w:ascii="Barlow Semi Condensed" w:cs="Barlow Semi Condensed" w:eastAsia="Barlow Semi Condensed" w:hAnsi="Barlow Semi Condensed"/>
          <w:sz w:val="24"/>
          <w:szCs w:val="24"/>
        </w:rPr>
        <w:t xml:space="preserve">pagina resta, con la dicitura di ritiro. Ciò che si carica oggi è definitivo. È</w:t>
      </w:r>
    </w:p>
    <w:p>
      <w:pPr>
        <w:spacing w:after="120" w:line="276"/>
        <w:jc w:val="both"/>
      </w:pPr>
      <w:r>
        <w:rPr>
          <w:rFonts w:ascii="Barlow Semi Condensed" w:cs="Barlow Semi Condensed" w:eastAsia="Barlow Semi Condensed" w:hAnsi="Barlow Semi Condensed"/>
          <w:sz w:val="24"/>
          <w:szCs w:val="24"/>
        </w:rPr>
        <w:t xml:space="preserve">il motivo per cui questo foglio insiste sul punto 3: rileggere prima di</w:t>
      </w:r>
    </w:p>
    <w:p>
      <w:pPr>
        <w:spacing w:after="120" w:line="276"/>
        <w:jc w:val="both"/>
      </w:pPr>
      <w:r>
        <w:rPr>
          <w:rFonts w:ascii="Barlow Semi Condensed" w:cs="Barlow Semi Condensed" w:eastAsia="Barlow Semi Condensed" w:hAnsi="Barlow Semi Condensed"/>
          <w:sz w:val="24"/>
          <w:szCs w:val="24"/>
        </w:rPr>
        <w:t xml:space="preserve">premere.*</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 Il deposito Zenodo, foglio operativo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 1.156 parole in 5 sezioni; la più ampia è §3 I metadati, pronti da incollare, con 641.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 30 paragrafi in 5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xvii. La richiesta all'Archivio storico della Camera</w:t>
      </w:r>
    </w:p>
    <w:p>
      <w:pPr>
        <w:pStyle w:val="Heading1"/>
        <w:spacing w:after="120" w:before="240"/>
      </w:pPr>
      <w:r>
        <w:rPr>
          <w:rFonts w:ascii="Barlow Semi Condensed" w:cs="Barlow Semi Condensed" w:eastAsia="Barlow Semi Condensed" w:hAnsi="Barlow Semi Condensed"/>
          <w:sz w:val="24"/>
          <w:szCs w:val="24"/>
        </w:rPr>
        <w:t xml:space="preserve">Richiesta 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Questa è la richiesta più importante che l'opera abbia da fare, ed è lunga una</w:t>
      </w:r>
    </w:p>
    <w:p>
      <w:pPr>
        <w:spacing w:after="120" w:line="276"/>
        <w:jc w:val="both"/>
      </w:pPr>
      <w:r>
        <w:rPr>
          <w:rFonts w:ascii="Barlow Semi Condensed" w:cs="Barlow Semi Condensed" w:eastAsia="Barlow Semi Condensed" w:hAnsi="Barlow Semi Condensed"/>
          <w:sz w:val="24"/>
          <w:szCs w:val="24"/>
        </w:rPr>
        <w:t xml:space="preserve">pagina. Chiede la riproduzione di </w:t>
      </w:r>
      <w:r>
        <w:rPr>
          <w:rFonts w:ascii="Barlow Semi Condensed" w:cs="Barlow Semi Condensed" w:eastAsia="Barlow Semi Condensed" w:hAnsi="Barlow Semi Condensed"/>
          <w:b/>
          <w:bCs/>
          <w:sz w:val="24"/>
          <w:szCs w:val="24"/>
        </w:rPr>
        <w:t xml:space="preserve">due allegati</w:t>
      </w:r>
      <w:r>
        <w:rPr>
          <w:rFonts w:ascii="Barlow Semi Condensed" w:cs="Barlow Semi Condensed" w:eastAsia="Barlow Semi Condensed" w:hAnsi="Barlow Semi Condensed"/>
          <w:sz w:val="24"/>
          <w:szCs w:val="24"/>
        </w:rPr>
        <w:t xml:space="preserve"> di un documento parlamentare</w:t>
      </w:r>
    </w:p>
    <w:p>
      <w:pPr>
        <w:spacing w:after="120" w:line="276"/>
        <w:jc w:val="both"/>
      </w:pPr>
      <w:r>
        <w:rPr>
          <w:rFonts w:ascii="Barlow Semi Condensed" w:cs="Barlow Semi Condensed" w:eastAsia="Barlow Semi Condensed" w:hAnsi="Barlow Semi Condensed"/>
          <w:sz w:val="24"/>
          <w:szCs w:val="24"/>
        </w:rPr>
        <w:t xml:space="preserve">del 1984. Se tornano indietro, una decina di righe del corpus passano dal grado</w:t>
      </w:r>
    </w:p>
    <w:p>
      <w:pPr>
        <w:spacing w:after="120" w:line="276"/>
        <w:jc w:val="both"/>
      </w:pPr>
      <w:r>
        <w:rPr>
          <w:rFonts w:ascii="Barlow Semi Condensed" w:cs="Barlow Semi Condensed" w:eastAsia="Barlow Semi Condensed" w:hAnsi="Barlow Semi Condensed"/>
          <w:sz w:val="24"/>
          <w:szCs w:val="24"/>
        </w:rPr>
        <w:t xml:space="preserve">della congettura a quello dell'accertamento; se non tornano, l'esito negativo si</w:t>
      </w:r>
    </w:p>
    <w:p>
      <w:pPr>
        <w:spacing w:after="120" w:line="276"/>
        <w:jc w:val="both"/>
      </w:pPr>
      <w:r>
        <w:rPr>
          <w:rFonts w:ascii="Barlow Semi Condensed" w:cs="Barlow Semi Condensed" w:eastAsia="Barlow Semi Condensed" w:hAnsi="Barlow Semi Condensed"/>
          <w:sz w:val="24"/>
          <w:szCs w:val="24"/>
        </w:rPr>
        <w:t xml:space="preserve">registra come Stato Zero con la sede nominata, e vale anch'esso.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queste due, e non altre</w:t>
      </w:r>
    </w:p>
    <w:p>
      <w:pPr>
        <w:spacing w:after="120" w:line="276"/>
        <w:jc w:val="both"/>
      </w:pPr>
      <w:r>
        <w:rPr>
          <w:rFonts w:ascii="Barlow Semi Condensed" w:cs="Barlow Semi Condensed" w:eastAsia="Barlow Semi Condensed" w:hAnsi="Barlow Semi Condensed"/>
          <w:sz w:val="24"/>
          <w:szCs w:val="24"/>
        </w:rPr>
        <w:t xml:space="preserve">La certificazione del 27 agosto 2026 sui numeri di tessera e di fascicolo P2</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si chiude con una risposta netta: </w:t>
      </w:r>
      <w:r>
        <w:rPr>
          <w:rFonts w:ascii="Barlow Semi Condensed" w:cs="Barlow Semi Condensed" w:eastAsia="Barlow Semi Condensed" w:hAnsi="Barlow Semi Condensed"/>
          <w:b/>
          <w:bCs/>
          <w:sz w:val="24"/>
          <w:szCs w:val="24"/>
        </w:rPr>
        <w:t xml:space="preserve">nessuno</w:t>
      </w:r>
      <w:r>
        <w:rPr>
          <w:rFonts w:ascii="Barlow Semi Condensed" w:cs="Barlow Semi Condensed" w:eastAsia="Barlow Semi Condensed" w:hAnsi="Barlow Semi Condensed"/>
          <w:sz w:val="24"/>
          <w:szCs w:val="24"/>
        </w:rPr>
        <w:t xml:space="preserve"> dei numeri contenuti nell'elenco</w:t>
      </w:r>
    </w:p>
    <w:p>
      <w:pPr>
        <w:spacing w:after="120" w:line="276"/>
        <w:jc w:val="both"/>
      </w:pPr>
      <w:r>
        <w:rPr>
          <w:rFonts w:ascii="Barlow Semi Condensed" w:cs="Barlow Semi Condensed" w:eastAsia="Barlow Semi Condensed" w:hAnsi="Barlow Semi Condensed"/>
          <w:sz w:val="24"/>
          <w:szCs w:val="24"/>
        </w:rPr>
        <w:t xml:space="preserve">verificato è certificabile allo stato degli atti. La ragione non è che i numeri</w:t>
      </w:r>
    </w:p>
    <w:p>
      <w:pPr>
        <w:spacing w:after="120" w:line="276"/>
        <w:jc w:val="both"/>
      </w:pPr>
      <w:r>
        <w:rPr>
          <w:rFonts w:ascii="Barlow Semi Condensed" w:cs="Barlow Semi Condensed" w:eastAsia="Barlow Semi Condensed" w:hAnsi="Barlow Semi Condensed"/>
          <w:sz w:val="24"/>
          <w:szCs w:val="24"/>
        </w:rPr>
        <w:t xml:space="preserve">siano falsi — è che nessuno li ha letti sulla fonte. Tutto ciò che l'opera ha</w:t>
      </w:r>
    </w:p>
    <w:p>
      <w:pPr>
        <w:spacing w:after="120" w:line="276"/>
        <w:jc w:val="both"/>
      </w:pPr>
      <w:r>
        <w:rPr>
          <w:rFonts w:ascii="Barlow Semi Condensed" w:cs="Barlow Semi Condensed" w:eastAsia="Barlow Semi Condensed" w:hAnsi="Barlow Semi Condensed"/>
          <w:sz w:val="24"/>
          <w:szCs w:val="24"/>
        </w:rPr>
        <w:t xml:space="preserve">sono trascrizioni di terza mano, e su di esse la calibrazione ha mostrato che il</w:t>
      </w:r>
    </w:p>
    <w:p>
      <w:pPr>
        <w:spacing w:after="120" w:line="276"/>
        <w:jc w:val="both"/>
      </w:pPr>
      <w:r>
        <w:rPr>
          <w:rFonts w:ascii="Barlow Semi Condensed" w:cs="Barlow Semi Condensed" w:eastAsia="Barlow Semi Condensed" w:hAnsi="Barlow Semi Condensed"/>
          <w:sz w:val="24"/>
          <w:szCs w:val="24"/>
        </w:rPr>
        <w:t xml:space="preserve">numero fra parentesi non è la tessera ma il </w:t>
      </w:r>
      <w:r>
        <w:rPr>
          <w:rFonts w:ascii="Barlow Semi Condensed" w:cs="Barlow Semi Condensed" w:eastAsia="Barlow Semi Condensed" w:hAnsi="Barlow Semi Condensed"/>
          <w:b/>
          <w:bCs/>
          <w:sz w:val="24"/>
          <w:szCs w:val="24"/>
        </w:rPr>
        <w:t xml:space="preserve">fascicolo</w:t>
      </w:r>
      <w:r>
        <w:rPr>
          <w:rFonts w:ascii="Barlow Semi Condensed" w:cs="Barlow Semi Condensed" w:eastAsia="Barlow Semi Condensed" w:hAnsi="Barlow Semi Condensed"/>
          <w:sz w:val="24"/>
          <w:szCs w:val="24"/>
        </w:rPr>
        <w:t xml:space="preserve">, e l'aritmetica ha</w:t>
      </w:r>
    </w:p>
    <w:p>
      <w:pPr>
        <w:spacing w:after="120" w:line="276"/>
        <w:jc w:val="both"/>
      </w:pPr>
      <w:r>
        <w:rPr>
          <w:rFonts w:ascii="Barlow Semi Condensed" w:cs="Barlow Semi Condensed" w:eastAsia="Barlow Semi Condensed" w:hAnsi="Barlow Semi Condensed"/>
          <w:sz w:val="24"/>
          <w:szCs w:val="24"/>
        </w:rPr>
        <w:t xml:space="preserve">mostrato che otto coppie su ventitré condividono uno scarto congelato di 1088</w:t>
      </w:r>
    </w:p>
    <w:p>
      <w:pPr>
        <w:spacing w:after="120" w:line="276"/>
        <w:jc w:val="both"/>
      </w:pPr>
      <w:r>
        <w:rPr>
          <w:rFonts w:ascii="Barlow Semi Condensed" w:cs="Barlow Semi Condensed" w:eastAsia="Barlow Semi Condensed" w:hAnsi="Barlow Semi Condensed"/>
          <w:sz w:val="24"/>
          <w:szCs w:val="24"/>
        </w:rPr>
        <w:t xml:space="preserve">mentre le due coppie attestate derivano.</w:t>
      </w:r>
    </w:p>
    <w:p>
      <w:pPr>
        <w:spacing w:after="120" w:line="276"/>
        <w:jc w:val="both"/>
      </w:pPr>
      <w:r>
        <w:rPr>
          <w:rFonts w:ascii="Barlow Semi Condensed" w:cs="Barlow Semi Condensed" w:eastAsia="Barlow Semi Condensed" w:hAnsi="Barlow Semi Condensed"/>
          <w:sz w:val="24"/>
          <w:szCs w:val="24"/>
        </w:rPr>
        <w:t xml:space="preserve">Il 27 agosto è arrivato l'inventario del volume che quei numeri li contiene:</w:t>
      </w:r>
    </w:p>
    <w:p>
      <w:pPr>
        <w:spacing w:after="120" w:line="276"/>
        <w:jc w:val="both"/>
      </w:pP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IX legislatura, Roma 1984 — «Allegati alla</w:t>
      </w:r>
    </w:p>
    <w:p>
      <w:pPr>
        <w:spacing w:after="120" w:line="276"/>
        <w:jc w:val="both"/>
      </w:pPr>
      <w:r>
        <w:rPr>
          <w:rFonts w:ascii="Barlow Semi Condensed" w:cs="Barlow Semi Condensed" w:eastAsia="Barlow Semi Condensed" w:hAnsi="Barlow Semi Condensed"/>
          <w:sz w:val="24"/>
          <w:szCs w:val="24"/>
        </w:rPr>
        <w:t xml:space="preserve">Relazione della Commissione parlamentare d'inchiesta sulla Loggia massonica P2,</w:t>
      </w:r>
    </w:p>
    <w:p>
      <w:pPr>
        <w:spacing w:after="120" w:line="276"/>
        <w:jc w:val="both"/>
      </w:pPr>
      <w:r>
        <w:rPr>
          <w:rFonts w:ascii="Barlow Semi Condensed" w:cs="Barlow Semi Condensed" w:eastAsia="Barlow Semi Condensed" w:hAnsi="Barlow Semi Condensed"/>
          <w:sz w:val="24"/>
          <w:szCs w:val="24"/>
        </w:rPr>
        <w:t xml:space="preserve">Serie II: Documentazione raccolta dalla Commissione, *Riscontri</w:t>
      </w:r>
    </w:p>
    <w:p>
      <w:pPr>
        <w:spacing w:after="120" w:line="276"/>
        <w:jc w:val="both"/>
      </w:pPr>
      <w:r>
        <w:rPr>
          <w:rFonts w:ascii="Barlow Semi Condensed" w:cs="Barlow Semi Condensed" w:eastAsia="Barlow Semi Condensed" w:hAnsi="Barlow Semi Condensed"/>
          <w:sz w:val="24"/>
          <w:szCs w:val="24"/>
        </w:rPr>
        <w:t xml:space="preserve">sull'attendibilità delle liste e sulle posizioni di affiliazione*», 638 pagine in</w:t>
      </w:r>
    </w:p>
    <w:p>
      <w:pPr>
        <w:spacing w:after="120" w:line="276"/>
        <w:jc w:val="both"/>
      </w:pPr>
      <w:r>
        <w:rPr>
          <w:rFonts w:ascii="Barlow Semi Condensed" w:cs="Barlow Semi Condensed" w:eastAsia="Barlow Semi Condensed" w:hAnsi="Barlow Semi Condensed"/>
          <w:sz w:val="24"/>
          <w:szCs w:val="24"/>
        </w:rPr>
        <w:t xml:space="preserve">venticinque allegati. Due allegati su venticinque portano numeri di tessera: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contiene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258-280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libro-matricola delle iniziazioni alla Loggia P2, 1952-1970</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474-507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schede personali massoniche sequestrate presso l'anagrafe del Grande Oriente d'Italia a Palazzo Giustiniani, ciascuna con dati anagrafici, loggia di appartenenza, loggia di iniziazione, </w:t>
            </w:r>
            <w:r>
              <w:rPr>
                <w:rFonts w:ascii="Barlow Semi Condensed" w:cs="Barlow Semi Condensed" w:eastAsia="Barlow Semi Condensed" w:hAnsi="Barlow Semi Condensed"/>
                <w:b/>
                <w:bCs/>
                <w:sz w:val="20"/>
                <w:szCs w:val="20"/>
              </w:rPr>
              <w:t xml:space="preserve">numero di tessera e data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L'allegato 21 è il riscontro più diretto che esista fra l'anagrafe ufficiale</w:t>
      </w:r>
    </w:p>
    <w:p>
      <w:pPr>
        <w:spacing w:after="120" w:line="276"/>
        <w:jc w:val="both"/>
      </w:pPr>
      <w:r>
        <w:rPr>
          <w:rFonts w:ascii="Barlow Semi Condensed" w:cs="Barlow Semi Condensed" w:eastAsia="Barlow Semi Condensed" w:hAnsi="Barlow Semi Condensed"/>
          <w:sz w:val="24"/>
          <w:szCs w:val="24"/>
        </w:rPr>
        <w:t xml:space="preserve">della massoneria e gli elenchi sequestrati a Castiglion Fibocchi: le schede sono</w:t>
      </w:r>
    </w:p>
    <w:p>
      <w:pPr>
        <w:spacing w:after="120" w:line="276"/>
        <w:jc w:val="both"/>
      </w:pPr>
      <w:r>
        <w:rPr>
          <w:rFonts w:ascii="Barlow Semi Condensed" w:cs="Barlow Semi Condensed" w:eastAsia="Barlow Semi Condensed" w:hAnsi="Barlow Semi Condensed"/>
          <w:sz w:val="24"/>
          <w:szCs w:val="24"/>
        </w:rPr>
        <w:t xml:space="preserve">intestate a persone destinatarie della raccomandata Battelli e comprese in quegli</w:t>
      </w:r>
    </w:p>
    <w:p>
      <w:pPr>
        <w:spacing w:after="120" w:line="276"/>
        <w:jc w:val="both"/>
      </w:pPr>
      <w:r>
        <w:rPr>
          <w:rFonts w:ascii="Barlow Semi Condensed" w:cs="Barlow Semi Condensed" w:eastAsia="Barlow Semi Condensed" w:hAnsi="Barlow Semi Condensed"/>
          <w:sz w:val="24"/>
          <w:szCs w:val="24"/>
        </w:rPr>
        <w:t xml:space="preserve">elenchi. Sono cinquantadue pagine in tutto, fra i due allegati.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spedire: il volume è probabilmente già in rete</w:t>
      </w:r>
    </w:p>
    <w:p>
      <w:pPr>
        <w:spacing w:after="120" w:line="276"/>
        <w:jc w:val="both"/>
      </w:pPr>
      <w:r>
        <w:rPr>
          <w:rFonts w:ascii="Barlow Semi Condensed" w:cs="Barlow Semi Condensed" w:eastAsia="Barlow Semi Condensed" w:hAnsi="Barlow Semi Condensed"/>
          <w:i/>
          <w:iCs/>
          <w:sz w:val="24"/>
          <w:szCs w:val="24"/>
        </w:rPr>
        <w:t xml:space="preserve">Accertamento del 27 agosto 2026.</w:t>
      </w:r>
      <w:r>
        <w:rPr>
          <w:rFonts w:ascii="Barlow Semi Condensed" w:cs="Barlow Semi Condensed" w:eastAsia="Barlow Semi Condensed" w:hAnsi="Barlow Semi Condensed"/>
          <w:sz w:val="24"/>
          <w:szCs w:val="24"/>
        </w:rPr>
        <w:t xml:space="preserve"> Questa richiesta è stata scritta prima di</w:t>
      </w:r>
    </w:p>
    <w:p>
      <w:pPr>
        <w:spacing w:after="120" w:line="276"/>
        <w:jc w:val="both"/>
      </w:pPr>
      <w:r>
        <w:rPr>
          <w:rFonts w:ascii="Barlow Semi Condensed" w:cs="Barlow Semi Condensed" w:eastAsia="Barlow Semi Condensed" w:hAnsi="Barlow Semi Condensed"/>
          <w:sz w:val="24"/>
          <w:szCs w:val="24"/>
        </w:rPr>
        <w:t xml:space="preserve">cercare, e la ricerca ha cambiato la prima mossa. **I volumi della Commissione P2</w:t>
      </w:r>
    </w:p>
    <w:p>
      <w:pPr>
        <w:spacing w:after="120" w:line="276"/>
        <w:jc w:val="both"/>
      </w:pPr>
      <w:r>
        <w:rPr>
          <w:rFonts w:ascii="Barlow Semi Condensed" w:cs="Barlow Semi Condensed" w:eastAsia="Barlow Semi Condensed" w:hAnsi="Barlow Semi Condensed"/>
          <w:sz w:val="24"/>
          <w:szCs w:val="24"/>
        </w:rPr>
        <w:t xml:space="preserve">risultano digitalizzati e pubblicati**, e ciò che si può aprire da un browser non</w:t>
      </w:r>
    </w:p>
    <w:p>
      <w:pPr>
        <w:spacing w:after="120" w:line="276"/>
        <w:jc w:val="both"/>
      </w:pPr>
      <w:r>
        <w:rPr>
          <w:rFonts w:ascii="Barlow Semi Condensed" w:cs="Barlow Semi Condensed" w:eastAsia="Barlow Semi Condensed" w:hAnsi="Barlow Semi Condensed"/>
          <w:sz w:val="24"/>
          <w:szCs w:val="24"/>
        </w:rPr>
        <w:t xml:space="preserve">si chiede per posta. Tre sedi, in ordine di probabilità: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sede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dovrebbe portare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inchieste.camera.it/p2/documenti.html?leg=09</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delle commissioni d'inchiesta della Camera, alla IX legislatura: i documenti della Commissione P2 con le loro segnature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archivioantimafia.org/p2/commissione_parlamentare/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 volumi e i tomi in PDF, scaricabili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memoria.san.beniculturali.it</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 Ministero della cultura, dove la digitalizzazione dell'Archivio Flamigni è consultabile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ricerca ha anche precisato la segnatura: i «Riscontri sull'attendibilità delle</w:t>
      </w:r>
    </w:p>
    <w:p>
      <w:pPr>
        <w:spacing w:after="120" w:line="276"/>
        <w:jc w:val="both"/>
      </w:pPr>
      <w:r>
        <w:rPr>
          <w:rFonts w:ascii="Barlow Semi Condensed" w:cs="Barlow Semi Condensed" w:eastAsia="Barlow Semi Condensed" w:hAnsi="Barlow Semi Condensed"/>
          <w:sz w:val="24"/>
          <w:szCs w:val="24"/>
        </w:rPr>
        <w:t xml:space="preserve">liste e sulle posizioni di affiliazione» non sono un volume unico ma una **serie</w:t>
      </w:r>
    </w:p>
    <w:p>
      <w:pPr>
        <w:spacing w:after="120" w:line="276"/>
        <w:jc w:val="both"/>
      </w:pPr>
      <w:r>
        <w:rPr>
          <w:rFonts w:ascii="Barlow Semi Condensed" w:cs="Barlow Semi Condensed" w:eastAsia="Barlow Semi Condensed" w:hAnsi="Barlow Semi Condensed"/>
          <w:sz w:val="24"/>
          <w:szCs w:val="24"/>
        </w:rPr>
        <w:t xml:space="preserve">di tomi</w:t>
      </w:r>
      <w:r>
        <w:rPr>
          <w:rFonts w:ascii="Barlow Semi Condensed" w:cs="Barlow Semi Condensed" w:eastAsia="Barlow Semi Condensed" w:hAnsi="Barlow Semi Condensed"/>
          <w:b/>
          <w:bCs/>
          <w:sz w:val="24"/>
          <w:szCs w:val="24"/>
        </w:rPr>
        <w:t xml:space="preserve">, da </w:t>
      </w:r>
      <w:r>
        <w:rPr>
          <w:rFonts w:ascii="Barlow Semi Condensed" w:cs="Barlow Semi Condensed" w:eastAsia="Barlow Semi Condensed" w:hAnsi="Barlow Semi Condensed"/>
          <w:sz w:val="24"/>
          <w:szCs w:val="24"/>
        </w:rPr>
        <w:t xml:space="preserve">Doc. XXIII n. 2-quater/2/I</w:t>
      </w:r>
      <w:r>
        <w:rPr>
          <w:rFonts w:ascii="Barlow Semi Condensed" w:cs="Barlow Semi Condensed" w:eastAsia="Barlow Semi Condensed" w:hAnsi="Barlow Semi Condensed"/>
          <w:b/>
          <w:bCs/>
          <w:sz w:val="24"/>
          <w:szCs w:val="24"/>
        </w:rPr>
        <w:t xml:space="preserve"> ad almeno </w:t>
      </w:r>
      <w:r>
        <w:rPr>
          <w:rFonts w:ascii="Barlow Semi Condensed" w:cs="Barlow Semi Condensed" w:eastAsia="Barlow Semi Condensed" w:hAnsi="Barlow Semi Condensed"/>
          <w:sz w:val="24"/>
          <w:szCs w:val="24"/>
        </w:rPr>
        <w:t xml:space="preserve">/2/V**. Il tomo</w:t>
      </w:r>
    </w:p>
    <w:p>
      <w:pPr>
        <w:spacing w:after="120" w:line="276"/>
        <w:jc w:val="both"/>
      </w:pPr>
      <w:r>
        <w:rPr>
          <w:rFonts w:ascii="Barlow Semi Condensed" w:cs="Barlow Semi Condensed" w:eastAsia="Barlow Semi Condensed" w:hAnsi="Barlow Semi Condensed"/>
          <w:sz w:val="24"/>
          <w:szCs w:val="24"/>
        </w:rPr>
        <w:t xml:space="preserve">inventariato dalla scheda in nostro possesso — 638 pagine, venticinque allegati —</w:t>
      </w:r>
    </w:p>
    <w:p>
      <w:pPr>
        <w:spacing w:after="120" w:line="276"/>
        <w:jc w:val="both"/>
      </w:pPr>
      <w:r>
        <w:rPr>
          <w:rFonts w:ascii="Barlow Semi Condensed" w:cs="Barlow Semi Condensed" w:eastAsia="Barlow Semi Condensed" w:hAnsi="Barlow Semi Condensed"/>
          <w:sz w:val="24"/>
          <w:szCs w:val="24"/>
        </w:rPr>
        <w:t xml:space="preserve">è il </w:t>
      </w:r>
      <w:r>
        <w:rPr>
          <w:rFonts w:ascii="Barlow Semi Condensed" w:cs="Barlow Semi Condensed" w:eastAsia="Barlow Semi Condensed" w:hAnsi="Barlow Semi Condensed"/>
          <w:b/>
          <w:bCs/>
          <w:sz w:val="24"/>
          <w:szCs w:val="24"/>
        </w:rPr>
        <w:t xml:space="preserve">primo dei cinque</w:t>
      </w:r>
      <w:r>
        <w:rPr>
          <w:rFonts w:ascii="Barlow Semi Condensed" w:cs="Barlow Semi Condensed" w:eastAsia="Barlow Semi Condensed" w:hAnsi="Barlow Semi Condensed"/>
          <w:sz w:val="24"/>
          <w:szCs w:val="24"/>
        </w:rPr>
        <w:t xml:space="preserve">. Gli allegati 13 e 21, che portano i numeri di tessera,</w:t>
      </w:r>
    </w:p>
    <w:p>
      <w:pPr>
        <w:spacing w:after="120" w:line="276"/>
        <w:jc w:val="both"/>
      </w:pPr>
      <w:r>
        <w:rPr>
          <w:rFonts w:ascii="Barlow Semi Condensed" w:cs="Barlow Semi Condensed" w:eastAsia="Barlow Semi Condensed" w:hAnsi="Barlow Semi Condensed"/>
          <w:sz w:val="24"/>
          <w:szCs w:val="24"/>
        </w:rPr>
        <w:t xml:space="preserve">stanno in quel primo tomo.</w:t>
      </w:r>
    </w:p>
    <w:p>
      <w:pPr>
        <w:spacing w:after="120" w:line="276"/>
        <w:jc w:val="both"/>
      </w:pPr>
      <w:r>
        <w:rPr>
          <w:rFonts w:ascii="Barlow Semi Condensed" w:cs="Barlow Semi Condensed" w:eastAsia="Barlow Semi Condensed" w:hAnsi="Barlow Semi Condensed"/>
          <w:b/>
          <w:bCs/>
          <w:sz w:val="24"/>
          <w:szCs w:val="24"/>
        </w:rPr>
        <w:t xml:space="preserve">Grado di questo accertamento: B.</w:t>
      </w:r>
      <w:r>
        <w:rPr>
          <w:rFonts w:ascii="Barlow Semi Condensed" w:cs="Barlow Semi Condensed" w:eastAsia="Barlow Semi Condensed" w:hAnsi="Barlow Semi Condensed"/>
          <w:sz w:val="24"/>
          <w:szCs w:val="24"/>
        </w:rPr>
        <w:t xml:space="preserve"> Le pagine istituzionali non sono state lette:</w:t>
      </w:r>
    </w:p>
    <w:p>
      <w:pPr>
        <w:spacing w:after="120" w:line="276"/>
        <w:jc w:val="both"/>
      </w:pPr>
      <w:r>
        <w:rPr>
          <w:rFonts w:ascii="Barlow Semi Condensed" w:cs="Barlow Semi Condensed" w:eastAsia="Barlow Semi Condensed" w:hAnsi="Barlow Semi Condensed"/>
          <w:sz w:val="24"/>
          <w:szCs w:val="24"/>
        </w:rPr>
        <w:t xml:space="preserve">sono state raggiunte per ricerca, e la ricerca riferisce ciò che vi si legge. La</w:t>
      </w:r>
    </w:p>
    <w:p>
      <w:pPr>
        <w:spacing w:after="120" w:line="276"/>
        <w:jc w:val="both"/>
      </w:pPr>
      <w:r>
        <w:rPr>
          <w:rFonts w:ascii="Barlow Semi Condensed" w:cs="Barlow Semi Condensed" w:eastAsia="Barlow Semi Condensed" w:hAnsi="Barlow Semi Condensed"/>
          <w:sz w:val="24"/>
          <w:szCs w:val="24"/>
        </w:rPr>
        <w:t xml:space="preserve">differenza conta, ed è la stessa che la certificazione applica a tutto il resto.</w:t>
      </w:r>
    </w:p>
    <w:p>
      <w:pPr>
        <w:pStyle w:val="Heading3"/>
        <w:spacing w:after="80" w:before="160"/>
      </w:pPr>
      <w:r>
        <w:rPr>
          <w:rFonts w:ascii="Barlow Semi Condensed" w:cs="Barlow Semi Condensed" w:eastAsia="Barlow Semi Condensed" w:hAnsi="Barlow Semi Condensed"/>
          <w:sz w:val="24"/>
          <w:szCs w:val="24"/>
        </w:rPr>
        <w:t xml:space="preserve">Stato Zero d'ambiente, del 27 agosto 2026</w:t>
      </w:r>
    </w:p>
    <w:p>
      <w:pPr>
        <w:spacing w:after="120" w:line="276"/>
        <w:jc w:val="both"/>
      </w:pPr>
      <w:r>
        <w:rPr>
          <w:rFonts w:ascii="Barlow Semi Condensed" w:cs="Barlow Semi Condensed" w:eastAsia="Barlow Semi Condensed" w:hAnsi="Barlow Semi Condensed"/>
          <w:sz w:val="24"/>
          <w:szCs w:val="24"/>
        </w:rPr>
        <w:t xml:space="preserve">Il tentativo di aprire quelle pagine da questa sessione **è fallito, e non per</w:t>
      </w:r>
    </w:p>
    <w:p>
      <w:pPr>
        <w:spacing w:after="120" w:line="276"/>
        <w:jc w:val="both"/>
      </w:pPr>
      <w:r>
        <w:rPr>
          <w:rFonts w:ascii="Barlow Semi Condensed" w:cs="Barlow Semi Condensed" w:eastAsia="Barlow Semi Condensed" w:hAnsi="Barlow Semi Condensed"/>
          <w:sz w:val="24"/>
          <w:szCs w:val="24"/>
        </w:rPr>
        <w:t xml:space="preserve">assenza della fonte**: il proxy di rete blocca l'uscita verso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e i suoi</w:t>
      </w:r>
    </w:p>
    <w:p>
      <w:pPr>
        <w:spacing w:after="120" w:line="276"/>
        <w:jc w:val="both"/>
      </w:pPr>
      <w:r>
        <w:rPr>
          <w:rFonts w:ascii="Barlow Semi Condensed" w:cs="Barlow Semi Condensed" w:eastAsia="Barlow Semi Condensed" w:hAnsi="Barlow Semi Condensed"/>
          <w:sz w:val="24"/>
          <w:szCs w:val="24"/>
        </w:rPr>
        <w:t xml:space="preserve">sottodomini,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e gli altri mirror provati. Le sedi sono nominate, la data è</w:t>
      </w:r>
    </w:p>
    <w:p>
      <w:pPr>
        <w:spacing w:after="120" w:line="276"/>
        <w:jc w:val="both"/>
      </w:pPr>
      <w:r>
        <w:rPr>
          <w:rFonts w:ascii="Barlow Semi Condensed" w:cs="Barlow Semi Condensed" w:eastAsia="Barlow Semi Condensed" w:hAnsi="Barlow Semi Condensed"/>
          <w:sz w:val="24"/>
          <w:szCs w:val="24"/>
        </w:rPr>
        <w:t xml:space="preserve">questa, e la causa è dichiarata: **è un limite dell'ambiente, non un esito sulla</w:t>
      </w:r>
    </w:p>
    <w:p>
      <w:pPr>
        <w:spacing w:after="120" w:line="276"/>
        <w:jc w:val="both"/>
      </w:pPr>
      <w:r>
        <w:rPr>
          <w:rFonts w:ascii="Barlow Semi Condensed" w:cs="Barlow Semi Condensed" w:eastAsia="Barlow Semi Condensed" w:hAnsi="Barlow Semi Condensed"/>
          <w:sz w:val="24"/>
          <w:szCs w:val="24"/>
        </w:rPr>
        <w:t xml:space="preserve">fonte**. Da un browser ordinario quelle pagine si aprono.</w:t>
      </w:r>
    </w:p>
    <w:p>
      <w:pPr>
        <w:spacing w:after="120" w:line="276"/>
        <w:jc w:val="both"/>
      </w:pPr>
      <w:r>
        <w:rPr>
          <w:rFonts w:ascii="Barlow Semi Condensed" w:cs="Barlow Semi Condensed" w:eastAsia="Barlow Semi Condensed" w:hAnsi="Barlow Semi Condensed"/>
          <w:b/>
          <w:bCs/>
          <w:sz w:val="24"/>
          <w:szCs w:val="24"/>
        </w:rPr>
        <w:t xml:space="preserve">Un indirizzo più corto di tutti gli altri.</w:t>
      </w:r>
      <w:r>
        <w:rPr>
          <w:rFonts w:ascii="Barlow Semi Condensed" w:cs="Barlow Semi Condensed" w:eastAsia="Barlow Semi Condensed" w:hAnsi="Barlow Semi Condensed"/>
          <w:sz w:val="24"/>
          <w:szCs w:val="24"/>
        </w:rPr>
        <w:t xml:space="preserve"> L'indice completo degli atti della</w:t>
      </w:r>
    </w:p>
    <w:p>
      <w:pPr>
        <w:spacing w:after="120" w:line="276"/>
        <w:jc w:val="both"/>
      </w:pPr>
      <w:r>
        <w:rPr>
          <w:rFonts w:ascii="Barlow Semi Condensed" w:cs="Barlow Semi Condensed" w:eastAsia="Barlow Semi Condensed" w:hAnsi="Barlow Semi Condensed"/>
          <w:sz w:val="24"/>
          <w:szCs w:val="24"/>
        </w:rPr>
        <w:t xml:space="preserve">Commissione risulta pubblicato in PDF dal **Centro documentazione Archivio</w:t>
      </w:r>
    </w:p>
    <w:p>
      <w:pPr>
        <w:spacing w:after="120" w:line="276"/>
        <w:jc w:val="both"/>
      </w:pPr>
      <w:r>
        <w:rPr>
          <w:rFonts w:ascii="Barlow Semi Condensed" w:cs="Barlow Semi Condensed" w:eastAsia="Barlow Semi Condensed" w:hAnsi="Barlow Semi Condensed"/>
          <w:sz w:val="24"/>
          <w:szCs w:val="24"/>
        </w:rPr>
        <w:t xml:space="preserve">Flamigni** — </w:t>
      </w:r>
      <w:r>
        <w:rPr>
          <w:rFonts w:ascii="Barlow Semi Condensed" w:cs="Barlow Semi Condensed" w:eastAsia="Barlow Semi Condensed" w:hAnsi="Barlow Semi Condensed"/>
          <w:i/>
          <w:iCs/>
          <w:sz w:val="24"/>
          <w:szCs w:val="24"/>
        </w:rPr>
        <w:t xml:space="preserve">archivioflamigni.org/doc/indice-atti-commissione-p2.pdf</w:t>
      </w:r>
      <w:r>
        <w:rPr>
          <w:rFonts w:ascii="Barlow Semi Condensed" w:cs="Barlow Semi Condensed" w:eastAsia="Barlow Semi Condensed" w:hAnsi="Barlow Semi Condensed"/>
          <w:sz w:val="24"/>
          <w:szCs w:val="24"/>
        </w:rPr>
        <w:t xml:space="preserve"> — e i</w:t>
      </w:r>
    </w:p>
    <w:p>
      <w:pPr>
        <w:spacing w:after="120" w:line="276"/>
        <w:jc w:val="both"/>
      </w:pPr>
      <w:r>
        <w:rPr>
          <w:rFonts w:ascii="Barlow Semi Condensed" w:cs="Barlow Semi Condensed" w:eastAsia="Barlow Semi Condensed" w:hAnsi="Barlow Semi Condensed"/>
          <w:sz w:val="24"/>
          <w:szCs w:val="24"/>
        </w:rPr>
        <w:t xml:space="preserve">volumi risultano digitalizzati dallo stesso Centro. È il </w:t>
      </w:r>
      <w:r>
        <w:rPr>
          <w:rFonts w:ascii="Barlow Semi Condensed" w:cs="Barlow Semi Condensed" w:eastAsia="Barlow Semi Condensed" w:hAnsi="Barlow Semi Condensed"/>
          <w:b/>
          <w:bCs/>
          <w:sz w:val="24"/>
          <w:szCs w:val="24"/>
        </w:rPr>
        <w:t xml:space="preserve">destinatario zero</w:t>
      </w:r>
      <w:r>
        <w:rPr>
          <w:rFonts w:ascii="Barlow Semi Condensed" w:cs="Barlow Semi Condensed" w:eastAsia="Barlow Semi Condensed" w:hAnsi="Barlow Semi Condensed"/>
          <w:sz w:val="24"/>
          <w:szCs w:val="24"/>
        </w:rPr>
        <w:t xml:space="preserve"> di</w:t>
      </w:r>
    </w:p>
    <w:p>
      <w:pPr>
        <w:spacing w:after="120" w:line="276"/>
        <w:jc w:val="both"/>
      </w:pPr>
      <w:r>
        <w:rPr>
          <w:rFonts w:ascii="Barlow Semi Condensed" w:cs="Barlow Semi Condensed" w:eastAsia="Barlow Semi Condensed" w:hAnsi="Barlow Semi Condensed"/>
          <w:sz w:val="24"/>
          <w:szCs w:val="24"/>
        </w:rPr>
        <w:t xml:space="preserve">questo dossier: alla stessa porta a cui va spedita l'opera si può chiedere la</w:t>
      </w:r>
    </w:p>
    <w:p>
      <w:pPr>
        <w:spacing w:after="120" w:line="276"/>
        <w:jc w:val="both"/>
      </w:pPr>
      <w:r>
        <w:rPr>
          <w:rFonts w:ascii="Barlow Semi Condensed" w:cs="Barlow Semi Condensed" w:eastAsia="Barlow Semi Condensed" w:hAnsi="Barlow Semi Condensed"/>
          <w:sz w:val="24"/>
          <w:szCs w:val="24"/>
        </w:rPr>
        <w:t xml:space="preserve">fonte. Conviene unire le due cose in una lettera sola.</w:t>
      </w:r>
    </w:p>
    <w:p>
      <w:pPr>
        <w:spacing w:after="120" w:line="276"/>
        <w:jc w:val="both"/>
      </w:pPr>
      <w:r>
        <w:rPr>
          <w:rFonts w:ascii="Barlow Semi Condensed" w:cs="Barlow Semi Condensed" w:eastAsia="Barlow Semi Condensed" w:hAnsi="Barlow Semi Condensed"/>
          <w:i/>
          <w:iCs/>
          <w:sz w:val="24"/>
          <w:szCs w:val="24"/>
        </w:rPr>
        <w:t xml:space="preserve">Che cosa fare per primo, dunque:</w:t>
      </w:r>
      <w:r>
        <w:rPr>
          <w:rFonts w:ascii="Barlow Semi Condensed" w:cs="Barlow Semi Condensed" w:eastAsia="Barlow Semi Condensed" w:hAnsi="Barlow Semi Condensed"/>
          <w:sz w:val="24"/>
          <w:szCs w:val="24"/>
        </w:rPr>
        <w:t xml:space="preserve"> aprire </w:t>
      </w:r>
      <w:r>
        <w:rPr>
          <w:rFonts w:ascii="Barlow Semi Condensed" w:cs="Barlow Semi Condensed" w:eastAsia="Barlow Semi Condensed" w:hAnsi="Barlow Semi Condensed"/>
          <w:i/>
          <w:iCs/>
          <w:sz w:val="24"/>
          <w:szCs w:val="24"/>
        </w:rPr>
        <w:t xml:space="preserve">inchieste.camera.it/p2/documenti.html?leg=09</w:t>
      </w:r>
    </w:p>
    <w:p>
      <w:pPr>
        <w:spacing w:after="120" w:line="276"/>
        <w:jc w:val="both"/>
      </w:pPr>
      <w:r>
        <w:rPr>
          <w:rFonts w:ascii="Barlow Semi Condensed" w:cs="Barlow Semi Condensed" w:eastAsia="Barlow Semi Condensed" w:hAnsi="Barlow Semi Condensed"/>
          <w:sz w:val="24"/>
          <w:szCs w:val="24"/>
        </w:rPr>
        <w:t xml:space="preserve">e cercare il tomo </w:t>
      </w:r>
      <w:r>
        <w:rPr>
          <w:rFonts w:ascii="Barlow Semi Condensed" w:cs="Barlow Semi Condensed" w:eastAsia="Barlow Semi Condensed" w:hAnsi="Barlow Semi Condensed"/>
          <w:i/>
          <w:iCs/>
          <w:sz w:val="24"/>
          <w:szCs w:val="24"/>
        </w:rPr>
        <w:t xml:space="preserve">2-quater/2/I</w:t>
      </w:r>
      <w:r>
        <w:rPr>
          <w:rFonts w:ascii="Barlow Semi Condensed" w:cs="Barlow Semi Condensed" w:eastAsia="Barlow Semi Condensed" w:hAnsi="Barlow Semi Condensed"/>
          <w:sz w:val="24"/>
          <w:szCs w:val="24"/>
        </w:rPr>
        <w:t xml:space="preserve">. Se il PDF c'è, gli allegati 13 e 21 si leggono</w:t>
      </w:r>
    </w:p>
    <w:p>
      <w:pPr>
        <w:spacing w:after="120" w:line="276"/>
        <w:jc w:val="both"/>
      </w:pPr>
      <w:r>
        <w:rPr>
          <w:rFonts w:ascii="Barlow Semi Condensed" w:cs="Barlow Semi Condensed" w:eastAsia="Barlow Semi Condensed" w:hAnsi="Barlow Semi Condensed"/>
          <w:sz w:val="24"/>
          <w:szCs w:val="24"/>
        </w:rPr>
        <w:t xml:space="preserve">oggi, gratis, senza chiedere niente a nessuno, e questa lettera non serve. Se non</w:t>
      </w:r>
    </w:p>
    <w:p>
      <w:pPr>
        <w:spacing w:after="120" w:line="276"/>
        <w:jc w:val="both"/>
      </w:pPr>
      <w:r>
        <w:rPr>
          <w:rFonts w:ascii="Barlow Semi Condensed" w:cs="Barlow Semi Condensed" w:eastAsia="Barlow Semi Condensed" w:hAnsi="Barlow Semi Condensed"/>
          <w:sz w:val="24"/>
          <w:szCs w:val="24"/>
        </w:rPr>
        <w:t xml:space="preserve">c'è, o se è illeggibile, la lettera resta pronta qui sotto.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canale, se la richiesta serve davvero</w:t>
      </w:r>
    </w:p>
    <w:p>
      <w:pPr>
        <w:spacing w:after="120" w:line="276"/>
        <w:jc w:val="both"/>
      </w:pPr>
      <w:r>
        <w:rPr>
          <w:rFonts w:ascii="Barlow Semi Condensed" w:cs="Barlow Semi Condensed" w:eastAsia="Barlow Semi Condensed" w:hAnsi="Barlow Semi Condensed"/>
          <w:b/>
          <w:bCs/>
          <w:sz w:val="24"/>
          <w:szCs w:val="24"/>
        </w:rPr>
        <w:t xml:space="preserve">Sede:</w:t>
      </w:r>
      <w:r>
        <w:rPr>
          <w:rFonts w:ascii="Barlow Semi Condensed" w:cs="Barlow Semi Condensed" w:eastAsia="Barlow Semi Condensed" w:hAnsi="Barlow Semi Condensed"/>
          <w:sz w:val="24"/>
          <w:szCs w:val="24"/>
        </w:rPr>
        <w:t xml:space="preserve"> Archivio storico della Camera dei deputati, **piazza San Macuto 57,</w:t>
      </w:r>
    </w:p>
    <w:p>
      <w:pPr>
        <w:spacing w:after="120" w:line="276"/>
        <w:jc w:val="both"/>
      </w:pPr>
      <w:r>
        <w:rPr>
          <w:rFonts w:ascii="Barlow Semi Condensed" w:cs="Barlow Semi Condensed" w:eastAsia="Barlow Semi Condensed" w:hAnsi="Barlow Semi Condensed"/>
          <w:sz w:val="24"/>
          <w:szCs w:val="24"/>
        </w:rPr>
        <w:t xml:space="preserve">00186 Roma** — primo piano di Palazzo del Seminario. Aperto dal lunedì al venerdì,</w:t>
      </w:r>
    </w:p>
    <w:p>
      <w:pPr>
        <w:spacing w:after="120" w:line="276"/>
        <w:jc w:val="both"/>
      </w:pPr>
      <w:r>
        <w:rPr>
          <w:rFonts w:ascii="Barlow Semi Condensed" w:cs="Barlow Semi Condensed" w:eastAsia="Barlow Semi Condensed" w:hAnsi="Barlow Semi Condensed"/>
          <w:b/>
          <w:bCs/>
          <w:sz w:val="24"/>
          <w:szCs w:val="24"/>
        </w:rPr>
        <w:t xml:space="preserve">9.30-16.30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Segreteria: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ars_segreteria@camera.it</w:t>
      </w:r>
      <w:r>
        <w:rPr>
          <w:rFonts w:ascii="Barlow Semi Condensed" w:cs="Barlow Semi Condensed" w:eastAsia="Barlow Semi Condensed" w:hAnsi="Barlow Semi Condensed"/>
          <w:sz w:val="24"/>
          <w:szCs w:val="24"/>
        </w:rPr>
        <w:t xml:space="preserve"> · telefono </w:t>
      </w:r>
      <w:r>
        <w:rPr>
          <w:rFonts w:ascii="Barlow Semi Condensed" w:cs="Barlow Semi Condensed" w:eastAsia="Barlow Semi Condensed" w:hAnsi="Barlow Semi Condensed"/>
          <w:b/>
          <w:bCs/>
          <w:sz w:val="24"/>
          <w:szCs w:val="24"/>
        </w:rPr>
        <w:t xml:space="preserve">06 6760 3880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Grado di questi recapiti: B.</w:t>
      </w:r>
      <w:r>
        <w:rPr>
          <w:rFonts w:ascii="Barlow Semi Condensed" w:cs="Barlow Semi Condensed" w:eastAsia="Barlow Semi Condensed" w:hAnsi="Barlow Semi Condensed"/>
          <w:sz w:val="24"/>
          <w:szCs w:val="24"/>
        </w:rPr>
        <w:t xml:space="preserve"> Convergono due ricerche indipendenti che</w:t>
      </w:r>
    </w:p>
    <w:p>
      <w:pPr>
        <w:spacing w:after="120" w:line="276"/>
        <w:jc w:val="both"/>
      </w:pPr>
      <w:r>
        <w:rPr>
          <w:rFonts w:ascii="Barlow Semi Condensed" w:cs="Barlow Semi Condensed" w:eastAsia="Barlow Semi Condensed" w:hAnsi="Barlow Semi Condensed"/>
          <w:sz w:val="24"/>
          <w:szCs w:val="24"/>
        </w:rPr>
        <w:t xml:space="preserve">riferiscono le pagine istituzionali della Camera; quelle pagine non sono state</w:t>
      </w:r>
    </w:p>
    <w:p>
      <w:pPr>
        <w:spacing w:after="120" w:line="276"/>
        <w:jc w:val="both"/>
      </w:pPr>
      <w:r>
        <w:rPr>
          <w:rFonts w:ascii="Barlow Semi Condensed" w:cs="Barlow Semi Condensed" w:eastAsia="Barlow Semi Condensed" w:hAnsi="Barlow Semi Condensed"/>
          <w:sz w:val="24"/>
          <w:szCs w:val="24"/>
        </w:rPr>
        <w:t xml:space="preserve">lette direttamente, per il blocco detto sopra. **Vanno confermati sul sito prima</w:t>
      </w:r>
    </w:p>
    <w:p>
      <w:pPr>
        <w:spacing w:after="120" w:line="276"/>
        <w:jc w:val="both"/>
      </w:pPr>
      <w:r>
        <w:rPr>
          <w:rFonts w:ascii="Barlow Semi Condensed" w:cs="Barlow Semi Condensed" w:eastAsia="Barlow Semi Condensed" w:hAnsi="Barlow Semi Condensed"/>
          <w:sz w:val="24"/>
          <w:szCs w:val="24"/>
        </w:rPr>
        <w:t xml:space="preserve">di spedire.** Il registro dei canali li porta con questo grado e non con un altro.</w:t>
      </w:r>
    </w:p>
    <w:p>
      <w:pPr>
        <w:spacing w:after="120" w:line="276"/>
        <w:jc w:val="both"/>
      </w:pPr>
      <w:r>
        <w:rPr>
          <w:rFonts w:ascii="Barlow Semi Condensed" w:cs="Barlow Semi Condensed" w:eastAsia="Barlow Semi Condensed" w:hAnsi="Barlow Semi Condensed"/>
          <w:b/>
          <w:bCs/>
          <w:sz w:val="24"/>
          <w:szCs w:val="24"/>
        </w:rPr>
        <w:t xml:space="preserve">La procedura è diversa da quella che questa lettera presupponeva.</w:t>
      </w:r>
      <w:r>
        <w:rPr>
          <w:rFonts w:ascii="Barlow Semi Condensed" w:cs="Barlow Semi Condensed" w:eastAsia="Barlow Semi Condensed" w:hAnsi="Barlow Semi Condensed"/>
          <w:sz w:val="24"/>
          <w:szCs w:val="24"/>
        </w:rPr>
        <w:t xml:space="preserve"> L'accesso</w:t>
      </w:r>
    </w:p>
    <w:p>
      <w:pPr>
        <w:spacing w:after="120" w:line="276"/>
        <w:jc w:val="both"/>
      </w:pPr>
      <w:r>
        <w:rPr>
          <w:rFonts w:ascii="Barlow Semi Condensed" w:cs="Barlow Semi Condensed" w:eastAsia="Barlow Semi Condensed" w:hAnsi="Barlow Semi Condensed"/>
          <w:sz w:val="24"/>
          <w:szCs w:val="24"/>
        </w:rPr>
        <w:t xml:space="preserve">alla sala studio si chiede **per posta elettronica alla segreteria, indicando</w:t>
      </w:r>
    </w:p>
    <w:p>
      <w:pPr>
        <w:spacing w:after="120" w:line="276"/>
        <w:jc w:val="both"/>
      </w:pPr>
      <w:r>
        <w:rPr>
          <w:rFonts w:ascii="Barlow Semi Condensed" w:cs="Barlow Semi Condensed" w:eastAsia="Barlow Semi Condensed" w:hAnsi="Barlow Semi Condensed"/>
          <w:sz w:val="24"/>
          <w:szCs w:val="24"/>
        </w:rPr>
        <w:t xml:space="preserve">l'argomento della ricerca e i documenti da consultare** — non con un'istanza</w:t>
      </w:r>
    </w:p>
    <w:p>
      <w:pPr>
        <w:spacing w:after="120" w:line="276"/>
        <w:jc w:val="both"/>
      </w:pPr>
      <w:r>
        <w:rPr>
          <w:rFonts w:ascii="Barlow Semi Condensed" w:cs="Barlow Semi Condensed" w:eastAsia="Barlow Semi Condensed" w:hAnsi="Barlow Semi Condensed"/>
          <w:sz w:val="24"/>
          <w:szCs w:val="24"/>
        </w:rPr>
        <w:t xml:space="preserve">formale. La lettera qui sotto va quindi usata come </w:t>
      </w:r>
      <w:r>
        <w:rPr>
          <w:rFonts w:ascii="Barlow Semi Condensed" w:cs="Barlow Semi Condensed" w:eastAsia="Barlow Semi Condensed" w:hAnsi="Barlow Semi Condensed"/>
          <w:b/>
          <w:bCs/>
          <w:sz w:val="24"/>
          <w:szCs w:val="24"/>
        </w:rPr>
        <w:t xml:space="preserve">corpo di quella email</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come atto a sé: il tono resta giusto, la busta cambia.</w:t>
      </w:r>
    </w:p>
    <w:p>
      <w:pPr>
        <w:spacing w:after="120" w:line="276"/>
        <w:jc w:val="both"/>
      </w:pPr>
      <w:r>
        <w:rPr>
          <w:rFonts w:ascii="Barlow Semi Condensed" w:cs="Barlow Semi Condensed" w:eastAsia="Barlow Semi Condensed" w:hAnsi="Barlow Semi Condensed"/>
          <w:b/>
          <w:bCs/>
          <w:sz w:val="24"/>
          <w:szCs w:val="24"/>
        </w:rPr>
        <w:t xml:space="preserve">Un'avvertenza sulla competenza.</w:t>
      </w:r>
      <w:r>
        <w:rPr>
          <w:rFonts w:ascii="Barlow Semi Condensed" w:cs="Barlow Semi Condensed" w:eastAsia="Barlow Semi Condensed" w:hAnsi="Barlow Semi Condensed"/>
          <w:sz w:val="24"/>
          <w:szCs w:val="24"/>
        </w:rPr>
        <w:t xml:space="preserve"> Doc. XXIII n. 2-quater è un **atto</w:t>
      </w:r>
    </w:p>
    <w:p>
      <w:pPr>
        <w:spacing w:after="120" w:line="276"/>
        <w:jc w:val="both"/>
      </w:pPr>
      <w:r>
        <w:rPr>
          <w:rFonts w:ascii="Barlow Semi Condensed" w:cs="Barlow Semi Condensed" w:eastAsia="Barlow Semi Condensed" w:hAnsi="Barlow Semi Condensed"/>
          <w:sz w:val="24"/>
          <w:szCs w:val="24"/>
        </w:rPr>
        <w:t xml:space="preserve">parlamentare a stampa**, non un documento d'archivio: la sede propria potrebbe</w:t>
      </w:r>
    </w:p>
    <w:p>
      <w:pPr>
        <w:spacing w:after="120" w:line="276"/>
        <w:jc w:val="both"/>
      </w:pPr>
      <w:r>
        <w:rPr>
          <w:rFonts w:ascii="Barlow Semi Condensed" w:cs="Barlow Semi Condensed" w:eastAsia="Barlow Semi Condensed" w:hAnsi="Barlow Semi Condensed"/>
          <w:sz w:val="24"/>
          <w:szCs w:val="24"/>
        </w:rPr>
        <w:t xml:space="preserve">essere la </w:t>
      </w:r>
      <w:r>
        <w:rPr>
          <w:rFonts w:ascii="Barlow Semi Condensed" w:cs="Barlow Semi Condensed" w:eastAsia="Barlow Semi Condensed" w:hAnsi="Barlow Semi Condensed"/>
          <w:b/>
          <w:bCs/>
          <w:sz w:val="24"/>
          <w:szCs w:val="24"/>
        </w:rPr>
        <w:t xml:space="preserve">Biblioteca della Camera</w:t>
      </w:r>
      <w:r>
        <w:rPr>
          <w:rFonts w:ascii="Barlow Semi Condensed" w:cs="Barlow Semi Condensed" w:eastAsia="Barlow Semi Condensed" w:hAnsi="Barlow Semi Condensed"/>
          <w:sz w:val="24"/>
          <w:szCs w:val="24"/>
        </w:rPr>
        <w:t xml:space="preserve"> anziché l'Archivio storico. Non è un</w:t>
      </w:r>
    </w:p>
    <w:p>
      <w:pPr>
        <w:spacing w:after="120" w:line="276"/>
        <w:jc w:val="both"/>
      </w:pPr>
      <w:r>
        <w:rPr>
          <w:rFonts w:ascii="Barlow Semi Condensed" w:cs="Barlow Semi Condensed" w:eastAsia="Barlow Semi Condensed" w:hAnsi="Barlow Semi Condensed"/>
          <w:sz w:val="24"/>
          <w:szCs w:val="24"/>
        </w:rPr>
        <w:t xml:space="preserve">ostacolo — si scrive alla segreteria e sarà lei a indirizzare — ma conviene dirlo</w:t>
      </w:r>
    </w:p>
    <w:p>
      <w:pPr>
        <w:spacing w:after="120" w:line="276"/>
        <w:jc w:val="both"/>
      </w:pPr>
      <w:r>
        <w:rPr>
          <w:rFonts w:ascii="Barlow Semi Condensed" w:cs="Barlow Semi Condensed" w:eastAsia="Barlow Semi Condensed" w:hAnsi="Barlow Semi Condensed"/>
          <w:sz w:val="24"/>
          <w:szCs w:val="24"/>
        </w:rPr>
        <w:t xml:space="preserve">nella prima riga, così che nessuno perda tempo.</w:t>
      </w:r>
    </w:p>
    <w:p>
      <w:pPr>
        <w:spacing w:after="120" w:line="276"/>
        <w:jc w:val="both"/>
      </w:pPr>
      <w:r>
        <w:rPr>
          <w:rFonts w:ascii="Barlow Semi Condensed" w:cs="Barlow Semi Condensed" w:eastAsia="Barlow Semi Condensed" w:hAnsi="Barlow Semi Condensed"/>
          <w:b/>
          <w:bCs/>
          <w:sz w:val="24"/>
          <w:szCs w:val="24"/>
        </w:rPr>
        <w:t xml:space="preserve">In subordine:</w:t>
      </w:r>
      <w:r>
        <w:rPr>
          <w:rFonts w:ascii="Barlow Semi Condensed" w:cs="Barlow Semi Condensed" w:eastAsia="Barlow Semi Condensed" w:hAnsi="Barlow Semi Condensed"/>
          <w:sz w:val="24"/>
          <w:szCs w:val="24"/>
        </w:rPr>
        <w:t xml:space="preserve"> Biblioteca della Camera; Archivio storico del Senato, che</w:t>
      </w:r>
    </w:p>
    <w:p>
      <w:pPr>
        <w:spacing w:after="120" w:line="276"/>
        <w:jc w:val="both"/>
      </w:pPr>
      <w:r>
        <w:rPr>
          <w:rFonts w:ascii="Barlow Semi Condensed" w:cs="Barlow Semi Condensed" w:eastAsia="Barlow Semi Condensed" w:hAnsi="Barlow Semi Condensed"/>
          <w:sz w:val="24"/>
          <w:szCs w:val="24"/>
        </w:rPr>
        <w:t xml:space="preserve">conserva già il Fondo Moro (IT-AFS-048); Biblioteca del Senato «Giovanni</w:t>
      </w:r>
    </w:p>
    <w:p>
      <w:pPr>
        <w:spacing w:after="120" w:line="276"/>
        <w:jc w:val="both"/>
      </w:pPr>
      <w:r>
        <w:rPr>
          <w:rFonts w:ascii="Barlow Semi Condensed" w:cs="Barlow Semi Condensed" w:eastAsia="Barlow Semi Condensed" w:hAnsi="Barlow Semi Condensed"/>
          <w:sz w:val="24"/>
          <w:szCs w:val="24"/>
        </w:rPr>
        <w:t xml:space="preserve">Spadolini». È un atto bicamerale, e più d'una di queste sedi lo possiede.</w:t>
      </w:r>
    </w:p>
    <w:p>
      <w:pPr>
        <w:pStyle w:val="Heading2"/>
        <w:spacing w:after="100" w:before="200"/>
      </w:pPr>
      <w:r>
        <w:rPr>
          <w:rFonts w:ascii="Barlow Semi Condensed" w:cs="Barlow Semi Condensed" w:eastAsia="Barlow Semi Condensed" w:hAnsi="Barlow Semi Condensed"/>
          <w:sz w:val="24"/>
          <w:szCs w:val="24"/>
        </w:rPr>
        <w:t xml:space="preserve">Il testo della richiesta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Oggetto: richiesta di riproduzione di due allegati del Doc. XXIII n. 2-quater/2/I, IX legislatura</w:t>
      </w:r>
      <w:r>
        <w:rPr>
          <w:rFonts w:ascii="Barlow Semi Condensed" w:cs="Barlow Semi Condensed" w:eastAsia="Barlow Semi Condensed" w:hAnsi="Barlow Semi Condensed"/>
          <w:i w:val="false"/>
          <w:iCs w:val="false"/>
          <w:sz w:val="24"/>
          <w:szCs w:val="24"/>
        </w:rPr>
        <w:t xml:space="preserve">  Spett.le Archivio storico della Camera dei deputati,  il sottoscritto Luigi De Michele, autore di una ricerca storico-documentale sul caso Moro e sul suo contesto, chiede di poter consultare, e ove possibile ottenere in riproduzione, due allegati del seguente atto parlamentare a stampa. Ove la competenza spetti alla Biblioteca della Camera anziché a codesto Archivio, sarò grato di esserne indirizzato.  </w:t>
      </w:r>
      <w:r>
        <w:rPr>
          <w:rFonts w:ascii="Barlow Semi Condensed" w:cs="Barlow Semi Condensed" w:eastAsia="Barlow Semi Condensed" w:hAnsi="Barlow Semi Condensed"/>
          <w:b/>
          <w:bCs/>
          <w:i w:val="false"/>
          <w:iCs w:val="false"/>
          <w:sz w:val="24"/>
          <w:szCs w:val="24"/>
        </w:rPr>
        <w:t xml:space="preserve">Doc. XXIII, n. 2-quater/2/I — IX legislatura — Roma, 1984.</w:t>
      </w:r>
      <w:r>
        <w:rPr>
          <w:rFonts w:ascii="Barlow Semi Condensed" w:cs="Barlow Semi Condensed" w:eastAsia="Barlow Semi Condensed" w:hAnsi="Barlow Semi Condensed"/>
          <w:i w:val="false"/>
          <w:iCs w:val="false"/>
          <w:sz w:val="24"/>
          <w:szCs w:val="24"/>
        </w:rPr>
        <w:t xml:space="preserve"> «Allegati alla Relazione della Commissione parlamentare d'inchiesta sulla Loggia massonica P2, Serie II: Documentazione raccolta dalla Commissione — Riscontri sull'attendibilità delle liste e sulle posizioni di affiliazione».  Gli allegati richiesti sono:  — </w:t>
      </w:r>
      <w:r>
        <w:rPr>
          <w:rFonts w:ascii="Barlow Semi Condensed" w:cs="Barlow Semi Condensed" w:eastAsia="Barlow Semi Condensed" w:hAnsi="Barlow Semi Condensed"/>
          <w:b/>
          <w:bCs/>
          <w:i w:val="false"/>
          <w:iCs w:val="false"/>
          <w:sz w:val="24"/>
          <w:szCs w:val="24"/>
        </w:rPr>
        <w:t xml:space="preserve">Allegato 13</w:t>
      </w:r>
      <w:r>
        <w:rPr>
          <w:rFonts w:ascii="Barlow Semi Condensed" w:cs="Barlow Semi Condensed" w:eastAsia="Barlow Semi Condensed" w:hAnsi="Barlow Semi Condensed"/>
          <w:i w:val="false"/>
          <w:iCs w:val="false"/>
          <w:sz w:val="24"/>
          <w:szCs w:val="24"/>
        </w:rPr>
        <w:t xml:space="preserve">, pagine I, 258-280: </w:t>
      </w:r>
      <w:r>
        <w:rPr>
          <w:rFonts w:ascii="Barlow Semi Condensed" w:cs="Barlow Semi Condensed" w:eastAsia="Barlow Semi Condensed" w:hAnsi="Barlow Semi Condensed"/>
          <w:i w:val="false"/>
          <w:iCs w:val="false"/>
          <w:sz w:val="24"/>
          <w:szCs w:val="24"/>
        </w:rPr>
        <w:t xml:space="preserve">Libro-matricola delle iniziazioni alla Loggia P2 (1952-1970)</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Allegato 21</w:t>
      </w:r>
      <w:r>
        <w:rPr>
          <w:rFonts w:ascii="Barlow Semi Condensed" w:cs="Barlow Semi Condensed" w:eastAsia="Barlow Semi Condensed" w:hAnsi="Barlow Semi Condensed"/>
          <w:i w:val="false"/>
          <w:iCs w:val="false"/>
          <w:sz w:val="24"/>
          <w:szCs w:val="24"/>
        </w:rPr>
        <w:t xml:space="preserve">, pagine I, 474-507: </w:t>
      </w:r>
      <w:r>
        <w:rPr>
          <w:rFonts w:ascii="Barlow Semi Condensed" w:cs="Barlow Semi Condensed" w:eastAsia="Barlow Semi Condensed" w:hAnsi="Barlow Semi Condensed"/>
          <w:i w:val="false"/>
          <w:iCs w:val="false"/>
          <w:sz w:val="24"/>
          <w:szCs w:val="24"/>
        </w:rPr>
        <w:t xml:space="preserve">Schede personali massoniche sequestrate presso Palazzo Giustiniani</w:t>
      </w:r>
      <w:r>
        <w:rPr>
          <w:rFonts w:ascii="Barlow Semi Condensed" w:cs="Barlow Semi Condensed" w:eastAsia="Barlow Semi Condensed" w:hAnsi="Barlow Semi Condensed"/>
          <w:i w:val="false"/>
          <w:iCs w:val="false"/>
          <w:sz w:val="24"/>
          <w:szCs w:val="24"/>
        </w:rPr>
        <w:t xml:space="preserve">.  Sono in tutto cinquantadue pagine. La richiesta ha finalità di studio e di verifica documentale, senza scopo di lucro.  Chiedo, ove possibile, che la riproduzione sia </w:t>
      </w:r>
      <w:r>
        <w:rPr>
          <w:rFonts w:ascii="Barlow Semi Condensed" w:cs="Barlow Semi Condensed" w:eastAsia="Barlow Semi Condensed" w:hAnsi="Barlow Semi Condensed"/>
          <w:b/>
          <w:bCs/>
          <w:i w:val="false"/>
          <w:iCs w:val="false"/>
          <w:sz w:val="24"/>
          <w:szCs w:val="24"/>
        </w:rPr>
        <w:t xml:space="preserve">integrale di ciascuna pagina, comprensiva delle intestazioni di colonna e di ogni numerazione presente</w:t>
      </w:r>
      <w:r>
        <w:rPr>
          <w:rFonts w:ascii="Barlow Semi Condensed" w:cs="Barlow Semi Condensed" w:eastAsia="Barlow Semi Condensed" w:hAnsi="Barlow Semi Condensed"/>
          <w:i w:val="false"/>
          <w:iCs w:val="false"/>
          <w:sz w:val="24"/>
          <w:szCs w:val="24"/>
        </w:rPr>
        <w:t xml:space="preserve">: la ricerca verte precisamente sulla distinzione fra il numero di tessera e il numero di fascicolo, e una trascrizione priva delle intestazioni non consente di operarla. Per la medesima ragione non è utile una trascrizione a cura di terzi: occorre la riproduzione dell'originale a stampa.  Sono disponibile a sostenere i costi di riproduzione previsti dal tariffario e a osservare ogni prescrizione codesto Archivio ritenga di impartire quanto all'uso dei materiali, ivi compresa la disciplina sulla protezione dei dati personali dei soggetti nominati negli atti.  Resto in attesa di indicazioni sulla procedura e sui tempi, e ringrazio per l'attenzione.  Luigi De Michele </w:t>
      </w:r>
      <w:r>
        <w:rPr>
          <w:rFonts w:ascii="Barlow Semi Condensed" w:cs="Barlow Semi Condensed" w:eastAsia="Barlow Semi Condensed" w:hAnsi="Barlow Semi Condensed"/>
          <w:i w:val="false"/>
          <w:iCs w:val="false"/>
          <w:sz w:val="24"/>
          <w:szCs w:val="24"/>
        </w:rPr>
        <w:t xml:space="preserve">(recapiti — indirizzo, telefono, posta elettronica ordinaria e certificata)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(luogo e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fare della risposta</w:t>
      </w:r>
    </w:p>
    <w:p>
      <w:pPr>
        <w:spacing w:after="120" w:line="276"/>
        <w:jc w:val="both"/>
      </w:pPr>
      <w:r>
        <w:rPr>
          <w:rFonts w:ascii="Barlow Semi Condensed" w:cs="Barlow Semi Condensed" w:eastAsia="Barlow Semi Condensed" w:hAnsi="Barlow Semi Condensed"/>
          <w:b/>
          <w:bCs/>
          <w:sz w:val="24"/>
          <w:szCs w:val="24"/>
        </w:rPr>
        <w:t xml:space="preserve">Se arrivano le riproduzioni.</w:t>
      </w:r>
      <w:r>
        <w:rPr>
          <w:rFonts w:ascii="Barlow Semi Condensed" w:cs="Barlow Semi Condensed" w:eastAsia="Barlow Semi Condensed" w:hAnsi="Barlow Semi Condensed"/>
          <w:sz w:val="24"/>
          <w:szCs w:val="24"/>
        </w:rPr>
        <w:t xml:space="preserve"> Ogni riga letta sulla fonte va iscritta nella</w:t>
      </w:r>
    </w:p>
    <w:p>
      <w:pPr>
        <w:spacing w:after="120" w:line="276"/>
        <w:jc w:val="both"/>
      </w:pPr>
      <w:r>
        <w:rPr>
          <w:rFonts w:ascii="Barlow Semi Condensed" w:cs="Barlow Semi Condensed" w:eastAsia="Barlow Semi Condensed" w:hAnsi="Barlow Semi Condensed"/>
          <w:sz w:val="24"/>
          <w:szCs w:val="24"/>
        </w:rPr>
        <w:t xml:space="preserve">certificazione con la propria collocazione — allegato, pagina, colonna — e il</w:t>
      </w:r>
    </w:p>
    <w:p>
      <w:pPr>
        <w:spacing w:after="120" w:line="276"/>
        <w:jc w:val="both"/>
      </w:pPr>
      <w:r>
        <w:rPr>
          <w:rFonts w:ascii="Barlow Semi Condensed" w:cs="Barlow Semi Condensed" w:eastAsia="Barlow Semi Condensed" w:hAnsi="Barlow Semi Condensed"/>
          <w:sz w:val="24"/>
          <w:szCs w:val="24"/>
        </w:rPr>
        <w:t xml:space="preserve">grado sale a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non ad A, perché A è il giudicato e qui non ce n'è. La</w:t>
      </w:r>
    </w:p>
    <w:p>
      <w:pPr>
        <w:spacing w:after="120" w:line="276"/>
        <w:jc w:val="both"/>
      </w:pPr>
      <w:r>
        <w:rPr>
          <w:rFonts w:ascii="Barlow Semi Condensed" w:cs="Barlow Semi Condensed" w:eastAsia="Barlow Semi Condensed" w:hAnsi="Barlow Semi Condensed"/>
          <w:sz w:val="24"/>
          <w:szCs w:val="24"/>
        </w:rPr>
        <w:t xml:space="preserve">domanda su cui la lettura decide è una sola e va posta prima di aprire i file,</w:t>
      </w:r>
    </w:p>
    <w:p>
      <w:pPr>
        <w:spacing w:after="120" w:line="276"/>
        <w:jc w:val="both"/>
      </w:pPr>
      <w:r>
        <w:rPr>
          <w:rFonts w:ascii="Barlow Semi Condensed" w:cs="Barlow Semi Condensed" w:eastAsia="Barlow Semi Condensed" w:hAnsi="Barlow Semi Condensed"/>
          <w:sz w:val="24"/>
          <w:szCs w:val="24"/>
        </w:rPr>
        <w:t xml:space="preserve">perché non la si aggiusti a posteriori: *l'intestazione di colonna dice</w:t>
      </w:r>
    </w:p>
    <w:p>
      <w:pPr>
        <w:spacing w:after="120" w:line="276"/>
        <w:jc w:val="both"/>
      </w:pPr>
      <w:r>
        <w:rPr>
          <w:rFonts w:ascii="Barlow Semi Condensed" w:cs="Barlow Semi Condensed" w:eastAsia="Barlow Semi Condensed" w:hAnsi="Barlow Semi Condensed"/>
          <w:sz w:val="24"/>
          <w:szCs w:val="24"/>
        </w:rPr>
        <w:t xml:space="preserve">«tessera» o dice «fascicolo»?* Da quella parola dipende se la calibrazione del</w:t>
      </w:r>
    </w:p>
    <w:p>
      <w:pPr>
        <w:spacing w:after="120" w:line="276"/>
        <w:jc w:val="both"/>
      </w:pPr>
      <w:r>
        <w:rPr>
          <w:rFonts w:ascii="Barlow Semi Condensed" w:cs="Barlow Semi Condensed" w:eastAsia="Barlow Semi Condensed" w:hAnsi="Barlow Semi Condensed"/>
          <w:sz w:val="24"/>
          <w:szCs w:val="24"/>
        </w:rPr>
        <w:t xml:space="preserve">27 agosto regge o cade, ed è giusto che possa cadere.</w:t>
      </w:r>
    </w:p>
    <w:p>
      <w:pPr>
        <w:spacing w:after="120" w:line="276"/>
        <w:jc w:val="both"/>
      </w:pPr>
      <w:r>
        <w:rPr>
          <w:rFonts w:ascii="Barlow Semi Condensed" w:cs="Barlow Semi Condensed" w:eastAsia="Barlow Semi Condensed" w:hAnsi="Barlow Semi Condensed"/>
          <w:b/>
          <w:bCs/>
          <w:sz w:val="24"/>
          <w:szCs w:val="24"/>
        </w:rPr>
        <w:t xml:space="preserve">Se la risposta è un diniego, o non arriva.</w:t>
      </w:r>
      <w:r>
        <w:rPr>
          <w:rFonts w:ascii="Barlow Semi Condensed" w:cs="Barlow Semi Condensed" w:eastAsia="Barlow Semi Condensed" w:hAnsi="Barlow Semi Condensed"/>
          <w:sz w:val="24"/>
          <w:szCs w:val="24"/>
        </w:rPr>
        <w:t xml:space="preserve"> L'esito si registra come **Stato</w:t>
      </w:r>
    </w:p>
    <w:p>
      <w:pPr>
        <w:spacing w:after="120" w:line="276"/>
        <w:jc w:val="both"/>
      </w:pPr>
      <w:r>
        <w:rPr>
          <w:rFonts w:ascii="Barlow Semi Condensed" w:cs="Barlow Semi Condensed" w:eastAsia="Barlow Semi Condensed" w:hAnsi="Barlow Semi Condensed"/>
          <w:sz w:val="24"/>
          <w:szCs w:val="24"/>
        </w:rPr>
        <w:t xml:space="preserve">Zero** con la sede nominata e la data, che è la forma in cui quest'opera</w:t>
      </w:r>
    </w:p>
    <w:p>
      <w:pPr>
        <w:spacing w:after="120" w:line="276"/>
        <w:jc w:val="both"/>
      </w:pPr>
      <w:r>
        <w:rPr>
          <w:rFonts w:ascii="Barlow Semi Condensed" w:cs="Barlow Semi Condensed" w:eastAsia="Barlow Semi Condensed" w:hAnsi="Barlow Semi Condensed"/>
          <w:sz w:val="24"/>
          <w:szCs w:val="24"/>
        </w:rPr>
        <w:t xml:space="preserve">conserva le ricerche fallite. Uno Stato Zero non è un vuoto: dice a chi verrà</w:t>
      </w:r>
    </w:p>
    <w:p>
      <w:pPr>
        <w:spacing w:after="120" w:line="276"/>
        <w:jc w:val="both"/>
      </w:pPr>
      <w:r>
        <w:rPr>
          <w:rFonts w:ascii="Barlow Semi Condensed" w:cs="Barlow Semi Condensed" w:eastAsia="Barlow Semi Condensed" w:hAnsi="Barlow Semi Condensed"/>
          <w:sz w:val="24"/>
          <w:szCs w:val="24"/>
        </w:rPr>
        <w:t xml:space="preserve">dopo dove si è già cercato, e gli risparmia il viaggio.</w:t>
      </w:r>
    </w:p>
    <w:p>
      <w:pPr>
        <w:spacing w:after="120" w:line="276"/>
        <w:jc w:val="both"/>
      </w:pPr>
      <w:r>
        <w:rPr>
          <w:rFonts w:ascii="Barlow Semi Condensed" w:cs="Barlow Semi Condensed" w:eastAsia="Barlow Semi Condensed" w:hAnsi="Barlow Semi Condensed"/>
          <w:b/>
          <w:bCs/>
          <w:sz w:val="24"/>
          <w:szCs w:val="24"/>
        </w:rPr>
        <w:t xml:space="preserve">Che cosa non fare in nessuno dei due casi.</w:t>
      </w:r>
      <w:r>
        <w:rPr>
          <w:rFonts w:ascii="Barlow Semi Condensed" w:cs="Barlow Semi Condensed" w:eastAsia="Barlow Semi Condensed" w:hAnsi="Barlow Semi Condensed"/>
          <w:sz w:val="24"/>
          <w:szCs w:val="24"/>
        </w:rPr>
        <w:t xml:space="preserve"> Non usare le riproduzioni per</w:t>
      </w:r>
    </w:p>
    <w:p>
      <w:pPr>
        <w:spacing w:after="120" w:line="276"/>
        <w:jc w:val="both"/>
      </w:pPr>
      <w:r>
        <w:rPr>
          <w:rFonts w:ascii="Barlow Semi Condensed" w:cs="Barlow Semi Condensed" w:eastAsia="Barlow Semi Condensed" w:hAnsi="Barlow Semi Condensed"/>
          <w:sz w:val="24"/>
          <w:szCs w:val="24"/>
        </w:rPr>
        <w:t xml:space="preserve">attribuire condotte. Un numero di tessera accerta un'iscrizione e nient'altro, e</w:t>
      </w:r>
    </w:p>
    <w:p>
      <w:pPr>
        <w:spacing w:after="120" w:line="276"/>
        <w:jc w:val="both"/>
      </w:pPr>
      <w:r>
        <w:rPr>
          <w:rFonts w:ascii="Barlow Semi Condensed" w:cs="Barlow Semi Condensed" w:eastAsia="Barlow Semi Condensed" w:hAnsi="Barlow Semi Condensed"/>
          <w:sz w:val="24"/>
          <w:szCs w:val="24"/>
        </w:rPr>
        <w:t xml:space="preserve">la regola che apre ogni documento di quest'opera vale intatta anche quando la</w:t>
      </w:r>
    </w:p>
    <w:p>
      <w:pPr>
        <w:spacing w:after="120" w:line="276"/>
        <w:jc w:val="both"/>
      </w:pPr>
      <w:r>
        <w:rPr>
          <w:rFonts w:ascii="Barlow Semi Condensed" w:cs="Barlow Semi Condensed" w:eastAsia="Barlow Semi Condensed" w:hAnsi="Barlow Semi Condensed"/>
          <w:sz w:val="24"/>
          <w:szCs w:val="24"/>
        </w:rPr>
        <w:t xml:space="preserve">fonte è finalmente in mano: **l'appartenenza a un'organizzazione non è prova di</w:t>
      </w:r>
    </w:p>
    <w:p>
      <w:pPr>
        <w:spacing w:after="120" w:line="276"/>
        <w:jc w:val="both"/>
      </w:pPr>
      <w:r>
        <w:rPr>
          <w:rFonts w:ascii="Barlow Semi Condensed" w:cs="Barlow Semi Condensed" w:eastAsia="Barlow Semi Condensed" w:hAnsi="Barlow Semi Condensed"/>
          <w:sz w:val="24"/>
          <w:szCs w:val="24"/>
        </w:rPr>
        <w:t xml:space="preserve">condotta**.</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xvii. La richiesta all'Archivio storico della Camera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 1.446 parole in 5 sezioni; la più ampia è §2 Prima di spedire: il volume è probabilmente g…, con 411.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 25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xviii. La PEC unica formale</w:t>
      </w:r>
    </w:p>
    <w:p>
      <w:pPr>
        <w:pStyle w:val="Heading1"/>
        <w:spacing w:after="120" w:before="240"/>
      </w:pPr>
      <w:r>
        <w:rPr>
          <w:rFonts w:ascii="Barlow Semi Condensed" w:cs="Barlow Semi Condensed" w:eastAsia="Barlow Semi Condensed" w:hAnsi="Barlow Semi Condensed"/>
          <w:sz w:val="24"/>
          <w:szCs w:val="24"/>
        </w:rPr>
        <w:t xml:space="preserve">PEC formale unica — un solo testo per tutti i destinatari</w:t>
      </w:r>
    </w:p>
    <w:p>
      <w:pPr>
        <w:spacing w:after="120" w:line="276"/>
        <w:jc w:val="both"/>
      </w:pPr>
      <w:r>
        <w:rPr>
          <w:rFonts w:ascii="Barlow Semi Condensed" w:cs="Barlow Semi Condensed" w:eastAsia="Barlow Semi Condensed" w:hAnsi="Barlow Semi Condensed"/>
          <w:sz w:val="24"/>
          <w:szCs w:val="24"/>
        </w:rPr>
        <w:t xml:space="preserve">*Redatta il 27 agosto 2026, cifre aggiornate alla sesta edizione dello stesso giorno. Prodotta con sistemi di intelligenza artificiale</w:t>
      </w:r>
    </w:p>
    <w:p>
      <w:pPr>
        <w:spacing w:after="120" w:line="276"/>
        <w:jc w:val="both"/>
      </w:pPr>
      <w:r>
        <w:rPr>
          <w:rFonts w:ascii="Barlow Semi Condensed" w:cs="Barlow Semi Condensed" w:eastAsia="Barlow Semi Condensed" w:hAnsi="Barlow Semi Condensed"/>
          <w:sz w:val="24"/>
          <w:szCs w:val="24"/>
        </w:rPr>
        <w:t xml:space="preserve">sotto direzione e responsabilità umana, come ogni documento di quest'opera.*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Avvertenza di fatto, da leggere prima di usarla</w:t>
      </w:r>
    </w:p>
    <w:p>
      <w:pPr>
        <w:spacing w:after="120" w:line="276"/>
        <w:jc w:val="both"/>
      </w:pPr>
      <w:r>
        <w:rPr>
          <w:rFonts w:ascii="Barlow Semi Condensed" w:cs="Barlow Semi Condensed" w:eastAsia="Barlow Semi Condensed" w:hAnsi="Barlow Semi Condensed"/>
          <w:b/>
          <w:bCs/>
          <w:sz w:val="24"/>
          <w:szCs w:val="24"/>
        </w:rPr>
        <w:t xml:space="preserve">Un solo destinatario su dodici ha un canale PEC.</w:t>
      </w:r>
      <w:r>
        <w:rPr>
          <w:rFonts w:ascii="Barlow Semi Condensed" w:cs="Barlow Semi Condensed" w:eastAsia="Barlow Semi Condensed" w:hAnsi="Barlow Semi Condensed"/>
          <w:sz w:val="24"/>
          <w:szCs w:val="24"/>
        </w:rPr>
        <w:t xml:space="preserve"> Il registro dei canali lo</w:t>
      </w:r>
    </w:p>
    <w:p>
      <w:pPr>
        <w:spacing w:after="120" w:line="276"/>
        <w:jc w:val="both"/>
      </w:pPr>
      <w:r>
        <w:rPr>
          <w:rFonts w:ascii="Barlow Semi Condensed" w:cs="Barlow Semi Condensed" w:eastAsia="Barlow Semi Condensed" w:hAnsi="Barlow Semi Condensed"/>
          <w:sz w:val="24"/>
          <w:szCs w:val="24"/>
        </w:rPr>
        <w:t xml:space="preserve">accerta: la PEC riguarda il Centro documentazione Archivio «Flamigni» ETS — e</w:t>
      </w:r>
    </w:p>
    <w:p>
      <w:pPr>
        <w:spacing w:after="120" w:line="276"/>
        <w:jc w:val="both"/>
      </w:pPr>
      <w:r>
        <w:rPr>
          <w:rFonts w:ascii="Barlow Semi Condensed" w:cs="Barlow Semi Condensed" w:eastAsia="Barlow Semi Condensed" w:hAnsi="Barlow Semi Condensed"/>
          <w:sz w:val="24"/>
          <w:szCs w:val="24"/>
        </w:rPr>
        <w:t xml:space="preserve">il suo indirizzo non è ancora stato reperito. Tutti gli altri ricevono per</w:t>
      </w:r>
    </w:p>
    <w:p>
      <w:pPr>
        <w:spacing w:after="120" w:line="276"/>
        <w:jc w:val="both"/>
      </w:pPr>
      <w:r>
        <w:rPr>
          <w:rFonts w:ascii="Barlow Semi Condensed" w:cs="Barlow Semi Condensed" w:eastAsia="Barlow Semi Condensed" w:hAnsi="Barlow Semi Condensed"/>
          <w:sz w:val="24"/>
          <w:szCs w:val="24"/>
        </w:rPr>
        <w:t xml:space="preserve">posta elettronica ordinaria, per modulo web o per posta cartacea.</w:t>
      </w:r>
    </w:p>
    <w:p>
      <w:pPr>
        <w:spacing w:after="120" w:line="276"/>
        <w:jc w:val="both"/>
      </w:pPr>
      <w:r>
        <w:rPr>
          <w:rFonts w:ascii="Barlow Semi Condensed" w:cs="Barlow Semi Condensed" w:eastAsia="Barlow Semi Condensed" w:hAnsi="Barlow Semi Condensed"/>
          <w:sz w:val="24"/>
          <w:szCs w:val="24"/>
        </w:rPr>
        <w:t xml:space="preserve">Questo testo è perciò </w:t>
      </w:r>
      <w:r>
        <w:rPr>
          <w:rFonts w:ascii="Barlow Semi Condensed" w:cs="Barlow Semi Condensed" w:eastAsia="Barlow Semi Condensed" w:hAnsi="Barlow Semi Condensed"/>
          <w:b/>
          <w:bCs/>
          <w:sz w:val="24"/>
          <w:szCs w:val="24"/>
        </w:rPr>
        <w:t xml:space="preserve">unico nel contenuto e adattabile nel canale</w:t>
      </w:r>
      <w:r>
        <w:rPr>
          <w:rFonts w:ascii="Barlow Semi Condensed" w:cs="Barlow Semi Condensed" w:eastAsia="Barlow Semi Condensed" w:hAnsi="Barlow Semi Condensed"/>
          <w:sz w:val="24"/>
          <w:szCs w:val="24"/>
        </w:rPr>
        <w:t xml:space="preserve">: si</w:t>
      </w:r>
    </w:p>
    <w:p>
      <w:pPr>
        <w:spacing w:after="120" w:line="276"/>
        <w:jc w:val="both"/>
      </w:pPr>
      <w:r>
        <w:rPr>
          <w:rFonts w:ascii="Barlow Semi Condensed" w:cs="Barlow Semi Condensed" w:eastAsia="Barlow Semi Condensed" w:hAnsi="Barlow Semi Condensed"/>
          <w:sz w:val="24"/>
          <w:szCs w:val="24"/>
        </w:rPr>
        <w:t xml:space="preserve">trasmette come PEC dove la PEC esiste, come email ordinaria dove è la via</w:t>
      </w:r>
    </w:p>
    <w:p>
      <w:pPr>
        <w:spacing w:after="120" w:line="276"/>
        <w:jc w:val="both"/>
      </w:pPr>
      <w:r>
        <w:rPr>
          <w:rFonts w:ascii="Barlow Semi Condensed" w:cs="Barlow Semi Condensed" w:eastAsia="Barlow Semi Condensed" w:hAnsi="Barlow Semi Condensed"/>
          <w:sz w:val="24"/>
          <w:szCs w:val="24"/>
        </w:rPr>
        <w:t xml:space="preserve">istituzionale, si incolla nei moduli dove il modulo è obbligatorio, si stampa</w:t>
      </w:r>
    </w:p>
    <w:p>
      <w:pPr>
        <w:spacing w:after="120" w:line="276"/>
        <w:jc w:val="both"/>
      </w:pPr>
      <w:r>
        <w:rPr>
          <w:rFonts w:ascii="Barlow Semi Condensed" w:cs="Barlow Semi Condensed" w:eastAsia="Barlow Semi Condensed" w:hAnsi="Barlow Semi Condensed"/>
          <w:sz w:val="24"/>
          <w:szCs w:val="24"/>
        </w:rPr>
        <w:t xml:space="preserve">su carta dove non c'è altro. Il contenuto non cambia.</w:t>
      </w:r>
    </w:p>
    <w:p>
      <w:pPr>
        <w:spacing w:after="120" w:line="276"/>
        <w:jc w:val="both"/>
      </w:pPr>
      <w:r>
        <w:rPr>
          <w:rFonts w:ascii="Barlow Semi Condensed" w:cs="Barlow Semi Condensed" w:eastAsia="Barlow Semi Condensed" w:hAnsi="Barlow Semi Condensed"/>
          <w:b/>
          <w:bCs/>
          <w:sz w:val="24"/>
          <w:szCs w:val="24"/>
        </w:rPr>
        <w:t xml:space="preserve">Non va inviato in un'unica trasmissione a tutti.</w:t>
      </w:r>
      <w:r>
        <w:rPr>
          <w:rFonts w:ascii="Barlow Semi Condensed" w:cs="Barlow Semi Condensed" w:eastAsia="Barlow Semi Condensed" w:hAnsi="Barlow Semi Condensed"/>
          <w:sz w:val="24"/>
          <w:szCs w:val="24"/>
        </w:rPr>
        <w:t xml:space="preserve"> Due ragioni, entrambe</w:t>
      </w:r>
    </w:p>
    <w:p>
      <w:pPr>
        <w:spacing w:after="120" w:line="276"/>
        <w:jc w:val="both"/>
      </w:pPr>
      <w:r>
        <w:rPr>
          <w:rFonts w:ascii="Barlow Semi Condensed" w:cs="Barlow Semi Condensed" w:eastAsia="Barlow Semi Condensed" w:hAnsi="Barlow Semi Condensed"/>
          <w:sz w:val="24"/>
          <w:szCs w:val="24"/>
        </w:rPr>
        <w:t xml:space="preserve">pratiche. La prima: una sola PEC con dodici destinatari espone a ciascuno il</w:t>
      </w:r>
    </w:p>
    <w:p>
      <w:pPr>
        <w:spacing w:after="120" w:line="276"/>
        <w:jc w:val="both"/>
      </w:pPr>
      <w:r>
        <w:rPr>
          <w:rFonts w:ascii="Barlow Semi Condensed" w:cs="Barlow Semi Condensed" w:eastAsia="Barlow Semi Condensed" w:hAnsi="Barlow Semi Condensed"/>
          <w:sz w:val="24"/>
          <w:szCs w:val="24"/>
        </w:rPr>
        <w:t xml:space="preserve">recapito degli altri undici. La seconda: fra i destinatari ci sono nove case</w:t>
      </w:r>
    </w:p>
    <w:p>
      <w:pPr>
        <w:spacing w:after="120" w:line="276"/>
        <w:jc w:val="both"/>
      </w:pPr>
      <w:r>
        <w:rPr>
          <w:rFonts w:ascii="Barlow Semi Condensed" w:cs="Barlow Semi Condensed" w:eastAsia="Barlow Semi Condensed" w:hAnsi="Barlow Semi Condensed"/>
          <w:sz w:val="24"/>
          <w:szCs w:val="24"/>
        </w:rPr>
        <w:t xml:space="preserve">editrici, e mostrare a ciascuna che la stessa proposta è partita</w:t>
      </w:r>
    </w:p>
    <w:p>
      <w:pPr>
        <w:spacing w:after="120" w:line="276"/>
        <w:jc w:val="both"/>
      </w:pPr>
      <w:r>
        <w:rPr>
          <w:rFonts w:ascii="Barlow Semi Condensed" w:cs="Barlow Semi Condensed" w:eastAsia="Barlow Semi Condensed" w:hAnsi="Barlow Semi Condensed"/>
          <w:sz w:val="24"/>
          <w:szCs w:val="24"/>
        </w:rPr>
        <w:t xml:space="preserve">simultaneamente per le altre otto è il modo più rapido di far chiudere il</w:t>
      </w:r>
    </w:p>
    <w:p>
      <w:pPr>
        <w:spacing w:after="120" w:line="276"/>
        <w:jc w:val="both"/>
      </w:pPr>
      <w:r>
        <w:rPr>
          <w:rFonts w:ascii="Barlow Semi Condensed" w:cs="Barlow Semi Condensed" w:eastAsia="Barlow Semi Condensed" w:hAnsi="Barlow Semi Condensed"/>
          <w:sz w:val="24"/>
          <w:szCs w:val="24"/>
        </w:rPr>
        <w:t xml:space="preserve">fascicolo a tutte. Il dossier di invio organizza apposta la spedizione in</w:t>
      </w:r>
    </w:p>
    <w:p>
      <w:pPr>
        <w:spacing w:after="120" w:line="276"/>
        <w:jc w:val="both"/>
      </w:pPr>
      <w:r>
        <w:rPr>
          <w:rFonts w:ascii="Barlow Semi Condensed" w:cs="Barlow Semi Condensed" w:eastAsia="Barlow Semi Condensed" w:hAnsi="Barlow Semi Condensed"/>
          <w:sz w:val="24"/>
          <w:szCs w:val="24"/>
        </w:rPr>
        <w:t xml:space="preserve">ondate non in concorrenza. </w:t>
      </w:r>
      <w:r>
        <w:rPr>
          <w:rFonts w:ascii="Barlow Semi Condensed" w:cs="Barlow Semi Condensed" w:eastAsia="Barlow Semi Condensed" w:hAnsi="Barlow Semi Condensed"/>
          <w:b/>
          <w:bCs/>
          <w:sz w:val="24"/>
          <w:szCs w:val="24"/>
        </w:rPr>
        <w:t xml:space="preserve">Stesso testo, invii separati.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Campi da compilare prima dell'invio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Mittente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e cognome]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Indirizzo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CAP, città]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PEC o email del mittente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Telefono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Destinatario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[denominazione dell'ente, per esteso]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Recapito del destinatario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email, modulo o indirizzo postale]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Luogo e data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[luogo], [data]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Indirizzo del deposito pubblico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[DOI Zenodo, da inserire a deposito avvenuto]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Trasmissione di opera documentale sul caso Moro, prodotta con sistemi di intelligenza artificiale sotto direzione umana — «Aldo Moro. Ottanta anni di Pace», oltre 2.500 pagine, con apparato di verifica e impronta crittografica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di [denominazione dell'ente]</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trasmetto in allegato un'opera documentale sul caso Moro e sul suo contesto</w:t>
      </w:r>
    </w:p>
    <w:p>
      <w:pPr>
        <w:spacing w:after="120" w:line="276"/>
        <w:jc w:val="both"/>
      </w:pPr>
      <w:r>
        <w:rPr>
          <w:rFonts w:ascii="Barlow Semi Condensed" w:cs="Barlow Semi Condensed" w:eastAsia="Barlow Semi Condensed" w:hAnsi="Barlow Semi Condensed"/>
          <w:sz w:val="24"/>
          <w:szCs w:val="24"/>
        </w:rPr>
        <w:t xml:space="preserve">internazionale, di cui sono autore e responsabile, perché codesto ente possa</w:t>
      </w:r>
    </w:p>
    <w:p>
      <w:pPr>
        <w:spacing w:after="120" w:line="276"/>
        <w:jc w:val="both"/>
      </w:pPr>
      <w:r>
        <w:rPr>
          <w:rFonts w:ascii="Barlow Semi Condensed" w:cs="Barlow Semi Condensed" w:eastAsia="Barlow Semi Condensed" w:hAnsi="Barlow Semi Condensed"/>
          <w:sz w:val="24"/>
          <w:szCs w:val="24"/>
        </w:rPr>
        <w:t xml:space="preserve">valutarla per quanto di sua competenza: la conservazione e il deposito, se è</w:t>
      </w:r>
    </w:p>
    <w:p>
      <w:pPr>
        <w:spacing w:after="120" w:line="276"/>
        <w:jc w:val="both"/>
      </w:pPr>
      <w:r>
        <w:rPr>
          <w:rFonts w:ascii="Barlow Semi Condensed" w:cs="Barlow Semi Condensed" w:eastAsia="Barlow Semi Condensed" w:hAnsi="Barlow Semi Condensed"/>
          <w:sz w:val="24"/>
          <w:szCs w:val="24"/>
        </w:rPr>
        <w:t xml:space="preserve">istituto d'archivio; la pubblicazione o la valutazione editoriale, se è casa</w:t>
      </w:r>
    </w:p>
    <w:p>
      <w:pPr>
        <w:spacing w:after="120" w:line="276"/>
        <w:jc w:val="both"/>
      </w:pPr>
      <w:r>
        <w:rPr>
          <w:rFonts w:ascii="Barlow Semi Condensed" w:cs="Barlow Semi Condensed" w:eastAsia="Barlow Semi Condensed" w:hAnsi="Barlow Semi Condensed"/>
          <w:sz w:val="24"/>
          <w:szCs w:val="24"/>
        </w:rPr>
        <w:t xml:space="preserve">editrice; la lettura e l'eventuale segnalazione, in ogni altro caso.</w:t>
      </w:r>
    </w:p>
    <w:p>
      <w:pPr>
        <w:spacing w:after="120" w:line="276"/>
        <w:jc w:val="both"/>
      </w:pPr>
      <w:r>
        <w:rPr>
          <w:rFonts w:ascii="Barlow Semi Condensed" w:cs="Barlow Semi Condensed" w:eastAsia="Barlow Semi Condensed" w:hAnsi="Barlow Semi Condensed"/>
          <w:sz w:val="24"/>
          <w:szCs w:val="24"/>
        </w:rPr>
        <w:t xml:space="preserve">**Dichiaro in apertura, e non in calce, che l'opera è stata prodotta con</w:t>
      </w:r>
    </w:p>
    <w:p>
      <w:pPr>
        <w:spacing w:after="120" w:line="276"/>
        <w:jc w:val="both"/>
      </w:pPr>
      <w:r>
        <w:rPr>
          <w:rFonts w:ascii="Barlow Semi Condensed" w:cs="Barlow Semi Condensed" w:eastAsia="Barlow Semi Condensed" w:hAnsi="Barlow Semi Condensed"/>
          <w:sz w:val="24"/>
          <w:szCs w:val="24"/>
        </w:rPr>
        <w:t xml:space="preserve">l'ausilio di sistemi di intelligenza artificiale, sotto la mia direzione e la</w:t>
      </w:r>
    </w:p>
    <w:p>
      <w:pPr>
        <w:spacing w:after="120" w:line="276"/>
        <w:jc w:val="both"/>
      </w:pPr>
      <w:r>
        <w:rPr>
          <w:rFonts w:ascii="Barlow Semi Condensed" w:cs="Barlow Semi Condensed" w:eastAsia="Barlow Semi Condensed" w:hAnsi="Barlow Semi Condensed"/>
          <w:sz w:val="24"/>
          <w:szCs w:val="24"/>
        </w:rPr>
        <w:t xml:space="preserve">mia responsabilità.** Lo dichiaro per primo perché è l'oggetto stesso del</w:t>
      </w:r>
    </w:p>
    <w:p>
      <w:pPr>
        <w:spacing w:after="120" w:line="276"/>
        <w:jc w:val="both"/>
      </w:pPr>
      <w:r>
        <w:rPr>
          <w:rFonts w:ascii="Barlow Semi Condensed" w:cs="Barlow Semi Condensed" w:eastAsia="Barlow Semi Condensed" w:hAnsi="Barlow Semi Condensed"/>
          <w:sz w:val="24"/>
          <w:szCs w:val="24"/>
        </w:rPr>
        <w:t xml:space="preserve">lavoro e non una circostanza accessoria della sua produzione: un'opera che</w:t>
      </w:r>
    </w:p>
    <w:p>
      <w:pPr>
        <w:spacing w:after="120" w:line="276"/>
        <w:jc w:val="both"/>
      </w:pPr>
      <w:r>
        <w:rPr>
          <w:rFonts w:ascii="Barlow Semi Condensed" w:cs="Barlow Semi Condensed" w:eastAsia="Barlow Semi Condensed" w:hAnsi="Barlow Semi Condensed"/>
          <w:sz w:val="24"/>
          <w:szCs w:val="24"/>
        </w:rPr>
        <w:t xml:space="preserve">indaga come si costruisce una fonte non può tacere come è stata costruita.</w:t>
      </w:r>
    </w:p>
    <w:p>
      <w:pPr>
        <w:pStyle w:val="Heading3"/>
        <w:spacing w:after="80" w:before="160"/>
      </w:pPr>
      <w:r>
        <w:rPr>
          <w:rFonts w:ascii="Barlow Semi Condensed" w:cs="Barlow Semi Condensed" w:eastAsia="Barlow Semi Condensed" w:hAnsi="Barlow Semi Condensed"/>
          <w:sz w:val="24"/>
          <w:szCs w:val="24"/>
        </w:rPr>
        <w:t xml:space="preserve">Che cosa è l'opera</w:t>
      </w:r>
    </w:p>
    <w:p>
      <w:pPr>
        <w:spacing w:after="120" w:line="276"/>
        <w:jc w:val="both"/>
      </w:pPr>
      <w:r>
        <w:rPr>
          <w:rFonts w:ascii="Barlow Semi Condensed" w:cs="Barlow Semi Condensed" w:eastAsia="Barlow Semi Condensed" w:hAnsi="Barlow Semi Condensed"/>
          <w:sz w:val="24"/>
          <w:szCs w:val="24"/>
        </w:rPr>
        <w:t xml:space="preserve">Un corpus di ricerca storica rilegato in un solo volume di oltre </w:t>
      </w:r>
      <w:r>
        <w:rPr>
          <w:rFonts w:ascii="Barlow Semi Condensed" w:cs="Barlow Semi Condensed" w:eastAsia="Barlow Semi Condensed" w:hAnsi="Barlow Semi Condensed"/>
          <w:b/>
          <w:bCs/>
          <w:sz w:val="24"/>
          <w:szCs w:val="24"/>
        </w:rPr>
        <w:t xml:space="preserve">2.500 pagine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in doppia edizione PDF e DOCX. Comprende il Portale, quattordici Libri e</w:t>
      </w:r>
    </w:p>
    <w:p>
      <w:pPr>
        <w:spacing w:after="120" w:line="276"/>
        <w:jc w:val="both"/>
      </w:pPr>
      <w:r>
        <w:rPr>
          <w:rFonts w:ascii="Barlow Semi Condensed" w:cs="Barlow Semi Condensed" w:eastAsia="Barlow Semi Condensed" w:hAnsi="Barlow Semi Condensed"/>
          <w:sz w:val="24"/>
          <w:szCs w:val="24"/>
        </w:rPr>
        <w:t xml:space="preserve">quattro Appendici, per </w:t>
      </w:r>
      <w:r>
        <w:rPr>
          <w:rFonts w:ascii="Barlow Semi Condensed" w:cs="Barlow Semi Condensed" w:eastAsia="Barlow Semi Condensed" w:hAnsi="Barlow Semi Condensed"/>
          <w:b/>
          <w:bCs/>
          <w:sz w:val="24"/>
          <w:szCs w:val="24"/>
        </w:rPr>
        <w:t xml:space="preserve">sessantaquattro documenti</w:t>
      </w:r>
      <w:r>
        <w:rPr>
          <w:rFonts w:ascii="Barlow Semi Condensed" w:cs="Barlow Semi Condensed" w:eastAsia="Barlow Semi Condensed" w:hAnsi="Barlow Semi Condensed"/>
          <w:sz w:val="24"/>
          <w:szCs w:val="24"/>
        </w:rPr>
        <w:t xml:space="preserve"> nell'ordine di lettura.</w:t>
      </w:r>
    </w:p>
    <w:p>
      <w:pPr>
        <w:spacing w:after="120" w:line="276"/>
        <w:jc w:val="both"/>
      </w:pPr>
      <w:r>
        <w:rPr>
          <w:rFonts w:ascii="Barlow Semi Condensed" w:cs="Barlow Semi Condensed" w:eastAsia="Barlow Semi Condensed" w:hAnsi="Barlow Semi Condensed"/>
          <w:sz w:val="24"/>
          <w:szCs w:val="24"/>
        </w:rPr>
        <w:t xml:space="preserve">Consta di </w:t>
      </w:r>
      <w:r>
        <w:rPr>
          <w:rFonts w:ascii="Barlow Semi Condensed" w:cs="Barlow Semi Condensed" w:eastAsia="Barlow Semi Condensed" w:hAnsi="Barlow Semi Condensed"/>
          <w:b/>
          <w:bCs/>
          <w:sz w:val="24"/>
          <w:szCs w:val="24"/>
        </w:rPr>
        <w:t xml:space="preserve">7.699 blocchi mirati di ricerca</w:t>
      </w:r>
      <w:r>
        <w:rPr>
          <w:rFonts w:ascii="Barlow Semi Condensed" w:cs="Barlow Semi Condensed" w:eastAsia="Barlow Semi Condensed" w:hAnsi="Barlow Semi Condensed"/>
          <w:sz w:val="24"/>
          <w:szCs w:val="24"/>
        </w:rPr>
        <w:t xml:space="preserve"> distribuiti in cinque opere e,</w:t>
      </w:r>
    </w:p>
    <w:p>
      <w:pPr>
        <w:spacing w:after="120" w:line="276"/>
        <w:jc w:val="both"/>
      </w:pPr>
      <w:r>
        <w:rPr>
          <w:rFonts w:ascii="Barlow Semi Condensed" w:cs="Barlow Semi Condensed" w:eastAsia="Barlow Semi Condensed" w:hAnsi="Barlow Semi Condensed"/>
          <w:sz w:val="24"/>
          <w:szCs w:val="24"/>
        </w:rPr>
        <w:t xml:space="preserve">a parte e non in somma, di </w:t>
      </w:r>
      <w:r>
        <w:rPr>
          <w:rFonts w:ascii="Barlow Semi Condensed" w:cs="Barlow Semi Condensed" w:eastAsia="Barlow Semi Condensed" w:hAnsi="Barlow Semi Condensed"/>
          <w:b/>
          <w:bCs/>
          <w:sz w:val="24"/>
          <w:szCs w:val="24"/>
        </w:rPr>
        <w:t xml:space="preserve">538 blocchi certificati di verifica</w:t>
      </w:r>
      <w:r>
        <w:rPr>
          <w:rFonts w:ascii="Barlow Semi Condensed" w:cs="Barlow Semi Condensed" w:eastAsia="Barlow Semi Condensed" w:hAnsi="Barlow Semi Condensed"/>
          <w:sz w:val="24"/>
          <w:szCs w:val="24"/>
        </w:rPr>
        <w:t xml:space="preserve">. Porta</w:t>
      </w:r>
    </w:p>
    <w:p>
      <w:pPr>
        <w:spacing w:after="120" w:line="276"/>
        <w:jc w:val="both"/>
      </w:pPr>
      <w:r>
        <w:rPr>
          <w:rFonts w:ascii="Barlow Semi Condensed" w:cs="Barlow Semi Condensed" w:eastAsia="Barlow Semi Condensed" w:hAnsi="Barlow Semi Condensed"/>
          <w:b/>
          <w:bCs/>
          <w:sz w:val="24"/>
          <w:szCs w:val="24"/>
        </w:rPr>
        <w:t xml:space="preserve">736 riferimenti bibliografici distinti</w:t>
      </w:r>
      <w:r>
        <w:rPr>
          <w:rFonts w:ascii="Barlow Semi Condensed" w:cs="Barlow Semi Condensed" w:eastAsia="Barlow Semi Condensed" w:hAnsi="Barlow Semi Condensed"/>
          <w:sz w:val="24"/>
          <w:szCs w:val="24"/>
        </w:rPr>
        <w:t xml:space="preserve"> per 1.332 citazioni su 390 domini,</w:t>
      </w:r>
    </w:p>
    <w:p>
      <w:pPr>
        <w:spacing w:after="120" w:line="276"/>
        <w:jc w:val="both"/>
      </w:pPr>
      <w:r>
        <w:rPr>
          <w:rFonts w:ascii="Barlow Semi Condensed" w:cs="Barlow Semi Condensed" w:eastAsia="Barlow Semi Condensed" w:hAnsi="Barlow Semi Condensed"/>
          <w:sz w:val="24"/>
          <w:szCs w:val="24"/>
        </w:rPr>
        <w:t xml:space="preserve">numerati in ordine di apparizione, e </w:t>
      </w:r>
      <w:r>
        <w:rPr>
          <w:rFonts w:ascii="Barlow Semi Condensed" w:cs="Barlow Semi Condensed" w:eastAsia="Barlow Semi Condensed" w:hAnsi="Barlow Semi Condensed"/>
          <w:b/>
          <w:bCs/>
          <w:sz w:val="24"/>
          <w:szCs w:val="24"/>
        </w:rPr>
        <w:t xml:space="preserve">247 grafici</w:t>
      </w:r>
      <w:r>
        <w:rPr>
          <w:rFonts w:ascii="Barlow Semi Condensed" w:cs="Barlow Semi Condensed" w:eastAsia="Barlow Semi Condensed" w:hAnsi="Barlow Semi Condensed"/>
          <w:sz w:val="24"/>
          <w:szCs w:val="24"/>
        </w:rPr>
        <w:t xml:space="preserve"> a corredo dei capitoli.</w:t>
      </w:r>
    </w:p>
    <w:p>
      <w:pPr>
        <w:spacing w:after="120" w:line="276"/>
        <w:jc w:val="both"/>
      </w:pPr>
      <w:r>
        <w:rPr>
          <w:rFonts w:ascii="Barlow Semi Condensed" w:cs="Barlow Semi Condensed" w:eastAsia="Barlow Semi Condensed" w:hAnsi="Barlow Semi Condensed"/>
          <w:sz w:val="24"/>
          <w:szCs w:val="24"/>
        </w:rPr>
        <w:t xml:space="preserve">Il titolo è la chiave interpretativa che ho scelto, ed è dichiarata in</w:t>
      </w:r>
    </w:p>
    <w:p>
      <w:pPr>
        <w:spacing w:after="120" w:line="276"/>
        <w:jc w:val="both"/>
      </w:pPr>
      <w:r>
        <w:rPr>
          <w:rFonts w:ascii="Barlow Semi Condensed" w:cs="Barlow Semi Condensed" w:eastAsia="Barlow Semi Condensed" w:hAnsi="Barlow Semi Condensed"/>
          <w:sz w:val="24"/>
          <w:szCs w:val="24"/>
        </w:rPr>
        <w:t xml:space="preserve">copertina come lente e non come sentenza. L'opera resta, nel suo nome proprio,</w:t>
      </w:r>
    </w:p>
    <w:p>
      <w:pPr>
        <w:spacing w:after="120" w:line="276"/>
        <w:jc w:val="both"/>
      </w:pPr>
      <w:r>
        <w:rPr>
          <w:rFonts w:ascii="Barlow Semi Condensed" w:cs="Barlow Semi Condensed" w:eastAsia="Barlow Semi Condensed" w:hAnsi="Barlow Semi Condensed"/>
          <w:sz w:val="24"/>
          <w:szCs w:val="24"/>
        </w:rPr>
        <w:t xml:space="preserve">«Una guerra senza fine».</w:t>
      </w:r>
    </w:p>
    <w:p>
      <w:pPr>
        <w:pStyle w:val="Heading3"/>
        <w:spacing w:after="80" w:before="160"/>
      </w:pPr>
      <w:r>
        <w:rPr>
          <w:rFonts w:ascii="Barlow Semi Condensed" w:cs="Barlow Semi Condensed" w:eastAsia="Barlow Semi Condensed" w:hAnsi="Barlow Semi Condensed"/>
          <w:sz w:val="24"/>
          <w:szCs w:val="24"/>
        </w:rPr>
        <w:t xml:space="preserve">La disciplina, che è la sola cosa che la distingue</w:t>
      </w:r>
    </w:p>
    <w:p>
      <w:pPr>
        <w:spacing w:after="120" w:line="276"/>
        <w:jc w:val="both"/>
      </w:pPr>
      <w:r>
        <w:rPr>
          <w:rFonts w:ascii="Barlow Semi Condensed" w:cs="Barlow Semi Condensed" w:eastAsia="Barlow Semi Condensed" w:hAnsi="Barlow Semi Condensed"/>
          <w:sz w:val="24"/>
          <w:szCs w:val="24"/>
        </w:rPr>
        <w:t xml:space="preserve">Sei regole valgono in ogni pagina, e ogni affermazione può essere misurata</w:t>
      </w:r>
    </w:p>
    <w:p>
      <w:pPr>
        <w:spacing w:after="120" w:line="276"/>
        <w:jc w:val="both"/>
      </w:pPr>
      <w:r>
        <w:rPr>
          <w:rFonts w:ascii="Barlow Semi Condensed" w:cs="Barlow Semi Condensed" w:eastAsia="Barlow Semi Condensed" w:hAnsi="Barlow Semi Condensed"/>
          <w:sz w:val="24"/>
          <w:szCs w:val="24"/>
        </w:rPr>
        <w:t xml:space="preserve">contro di esse.</w:t>
      </w:r>
    </w:p>
    <w:p>
      <w:pPr>
        <w:spacing w:after="40"/>
        <w:ind w:left="360"/>
        <w:jc w:val="both"/>
      </w:pPr>
      <w:r>
        <w:rPr>
          <w:rFonts w:ascii="Barlow Semi Condensed" w:cs="Barlow Semi Condensed" w:eastAsia="Barlow Semi Condensed" w:hAnsi="Barlow Semi Condensed"/>
          <w:sz w:val="24"/>
          <w:szCs w:val="24"/>
        </w:rPr>
        <w:t xml:space="preserve">1. Un legame è reale solo se un documento di provenienza nomina entrambe le</w:t>
      </w:r>
    </w:p>
    <w:p>
      <w:pPr>
        <w:spacing w:after="120" w:line="276"/>
        <w:jc w:val="both"/>
      </w:pPr>
      <w:r>
        <w:rPr>
          <w:rFonts w:ascii="Barlow Semi Condensed" w:cs="Barlow Semi Condensed" w:eastAsia="Barlow Semi Condensed" w:hAnsi="Barlow Semi Condensed"/>
          <w:sz w:val="24"/>
          <w:szCs w:val="24"/>
        </w:rPr>
        <w:t xml:space="preserve">   parti. La convergenza si registra come tale e non si promuove mai a nesso</w:t>
      </w:r>
    </w:p>
    <w:p>
      <w:pPr>
        <w:spacing w:after="120" w:line="276"/>
        <w:jc w:val="both"/>
      </w:pPr>
      <w:r>
        <w:rPr>
          <w:rFonts w:ascii="Barlow Semi Condensed" w:cs="Barlow Semi Condensed" w:eastAsia="Barlow Semi Condensed" w:hAnsi="Barlow Semi Condensed"/>
          <w:sz w:val="24"/>
          <w:szCs w:val="24"/>
        </w:rPr>
        <w:t xml:space="preserve">   causale.</w:t>
      </w:r>
    </w:p>
    <w:p>
      <w:pPr>
        <w:spacing w:after="40"/>
        <w:ind w:left="360"/>
        <w:jc w:val="both"/>
      </w:pPr>
      <w:r>
        <w:rPr>
          <w:rFonts w:ascii="Barlow Semi Condensed" w:cs="Barlow Semi Condensed" w:eastAsia="Barlow Semi Condensed" w:hAnsi="Barlow Semi Condensed"/>
          <w:sz w:val="24"/>
          <w:szCs w:val="24"/>
        </w:rPr>
        <w:t xml:space="preserve">2. La contemporaneità non è prova di nesso.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L'appartenenza a un'organizzazione non è prova di condotta.</w:t>
      </w:r>
    </w:p>
    <w:p>
      <w:pPr>
        <w:spacing w:after="40"/>
        <w:ind w:left="360"/>
        <w:jc w:val="both"/>
      </w:pPr>
      <w:r>
        <w:rPr>
          <w:rFonts w:ascii="Barlow Semi Condensed" w:cs="Barlow Semi Condensed" w:eastAsia="Barlow Semi Condensed" w:hAnsi="Barlow Semi Condensed"/>
          <w:sz w:val="24"/>
          <w:szCs w:val="24"/>
        </w:rPr>
        <w:t xml:space="preserve">4. Nessuna persona è indicata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   definitivo. Gli assolti restano assolti, e le assoluzioni sono riportate per</w:t>
      </w:r>
    </w:p>
    <w:p>
      <w:pPr>
        <w:spacing w:after="120" w:line="276"/>
        <w:jc w:val="both"/>
      </w:pPr>
      <w:r>
        <w:rPr>
          <w:rFonts w:ascii="Barlow Semi Condensed" w:cs="Barlow Semi Condensed" w:eastAsia="Barlow Semi Condensed" w:hAnsi="Barlow Semi Condensed"/>
          <w:sz w:val="24"/>
          <w:szCs w:val="24"/>
        </w:rPr>
        <w:t xml:space="preserve">   esteso anche quando contraddicono ipotesi care alla pubblicistica.</w:t>
      </w:r>
    </w:p>
    <w:p>
      <w:pPr>
        <w:spacing w:after="40"/>
        <w:ind w:left="360"/>
        <w:jc w:val="both"/>
      </w:pPr>
      <w:r>
        <w:rPr>
          <w:rFonts w:ascii="Barlow Semi Condensed" w:cs="Barlow Semi Condensed" w:eastAsia="Barlow Semi Condensed" w:hAnsi="Barlow Semi Condensed"/>
          <w:sz w:val="24"/>
          <w:szCs w:val="24"/>
        </w:rPr>
        <w:t xml:space="preserve">5. Le divergenze sono riportate, non scelte in silenzio: quando due fonti danno</w:t>
      </w:r>
    </w:p>
    <w:p>
      <w:pPr>
        <w:spacing w:after="120" w:line="276"/>
        <w:jc w:val="both"/>
      </w:pPr>
      <w:r>
        <w:rPr>
          <w:rFonts w:ascii="Barlow Semi Condensed" w:cs="Barlow Semi Condensed" w:eastAsia="Barlow Semi Condensed" w:hAnsi="Barlow Semi Condensed"/>
          <w:sz w:val="24"/>
          <w:szCs w:val="24"/>
        </w:rPr>
        <w:t xml:space="preserve">   date diverse, il testo dà due date.</w:t>
      </w:r>
    </w:p>
    <w:p>
      <w:pPr>
        <w:spacing w:after="40"/>
        <w:ind w:left="360"/>
        <w:jc w:val="both"/>
      </w:pPr>
      <w:r>
        <w:rPr>
          <w:rFonts w:ascii="Barlow Semi Condensed" w:cs="Barlow Semi Condensed" w:eastAsia="Barlow Semi Condensed" w:hAnsi="Barlow Semi Condensed"/>
          <w:sz w:val="24"/>
          <w:szCs w:val="24"/>
        </w:rPr>
        <w:t xml:space="preserve">6. Una ricerca che non trova nulla è un risultato. Lo Stato Zero — l'assenza</w:t>
      </w:r>
    </w:p>
    <w:p>
      <w:pPr>
        <w:spacing w:after="120" w:line="276"/>
        <w:jc w:val="both"/>
      </w:pPr>
      <w:r>
        <w:rPr>
          <w:rFonts w:ascii="Barlow Semi Condensed" w:cs="Barlow Semi Condensed" w:eastAsia="Barlow Semi Condensed" w:hAnsi="Barlow Semi Condensed"/>
          <w:sz w:val="24"/>
          <w:szCs w:val="24"/>
        </w:rPr>
        <w:t xml:space="preserve">   accertata di ciò che ci si attendeva — vale quanto un ritrovamento, purché</w:t>
      </w:r>
    </w:p>
    <w:p>
      <w:pPr>
        <w:spacing w:after="120" w:line="276"/>
        <w:jc w:val="both"/>
      </w:pPr>
      <w:r>
        <w:rPr>
          <w:rFonts w:ascii="Barlow Semi Condensed" w:cs="Barlow Semi Condensed" w:eastAsia="Barlow Semi Condensed" w:hAnsi="Barlow Semi Condensed"/>
          <w:sz w:val="24"/>
          <w:szCs w:val="24"/>
        </w:rPr>
        <w:t xml:space="preserve">   sia nominata la sede in cui si è cercato.</w:t>
      </w:r>
    </w:p>
    <w:p>
      <w:pPr>
        <w:spacing w:after="120" w:line="276"/>
        <w:jc w:val="both"/>
      </w:pPr>
      <w:r>
        <w:rPr>
          <w:rFonts w:ascii="Barlow Semi Condensed" w:cs="Barlow Semi Condensed" w:eastAsia="Barlow Semi Condensed" w:hAnsi="Barlow Semi Condensed"/>
          <w:sz w:val="24"/>
          <w:szCs w:val="24"/>
        </w:rPr>
        <w:t xml:space="preserve">Ogni affermazione porta un grado dichiarato: A per il giudicato, B per</w:t>
      </w:r>
    </w:p>
    <w:p>
      <w:pPr>
        <w:spacing w:after="120" w:line="276"/>
        <w:jc w:val="both"/>
      </w:pPr>
      <w:r>
        <w:rPr>
          <w:rFonts w:ascii="Barlow Semi Condensed" w:cs="Barlow Semi Condensed" w:eastAsia="Barlow Semi Condensed" w:hAnsi="Barlow Semi Condensed"/>
          <w:sz w:val="24"/>
          <w:szCs w:val="24"/>
        </w:rPr>
        <w:t xml:space="preserve">l'accertamento, C per la congettura ordinata, F per il fatto pubblico, Stato</w:t>
      </w:r>
    </w:p>
    <w:p>
      <w:pPr>
        <w:spacing w:after="120" w:line="276"/>
        <w:jc w:val="both"/>
      </w:pPr>
      <w:r>
        <w:rPr>
          <w:rFonts w:ascii="Barlow Semi Condensed" w:cs="Barlow Semi Condensed" w:eastAsia="Barlow Semi Condensed" w:hAnsi="Barlow Semi Condensed"/>
          <w:sz w:val="24"/>
          <w:szCs w:val="24"/>
        </w:rPr>
        <w:t xml:space="preserve">Zero per la ricerca negativa documentata.</w:t>
      </w:r>
    </w:p>
    <w:p>
      <w:pPr>
        <w:spacing w:after="120" w:line="276"/>
        <w:jc w:val="both"/>
      </w:pPr>
      <w:r>
        <w:rPr>
          <w:rFonts w:ascii="Barlow Semi Condensed" w:cs="Barlow Semi Condensed" w:eastAsia="Barlow Semi Condensed" w:hAnsi="Barlow Semi Condensed"/>
          <w:b/>
          <w:bCs/>
          <w:sz w:val="24"/>
          <w:szCs w:val="24"/>
        </w:rPr>
        <w:t xml:space="preserve">Una sola eccezione, dichiarata in copertina e limitata a un solo Libro.</w:t>
      </w:r>
      <w:r>
        <w:rPr>
          <w:rFonts w:ascii="Barlow Semi Condensed" w:cs="Barlow Semi Condensed" w:eastAsia="Barlow Semi Condensed" w:hAnsi="Barlow Semi Condensed"/>
          <w:sz w:val="24"/>
          <w:szCs w:val="24"/>
        </w:rPr>
        <w:t xml:space="preserve"> Il</w:t>
      </w:r>
    </w:p>
    <w:p>
      <w:pPr>
        <w:spacing w:after="120" w:line="276"/>
        <w:jc w:val="both"/>
      </w:pPr>
      <w:r>
        <w:rPr>
          <w:rFonts w:ascii="Barlow Semi Condensed" w:cs="Barlow Semi Condensed" w:eastAsia="Barlow Semi Condensed" w:hAnsi="Barlow Semi Condensed"/>
          <w:sz w:val="24"/>
          <w:szCs w:val="24"/>
        </w:rPr>
        <w:t xml:space="preserve">quarto è un dossier di cui sono autore, anteriore al corpus e conservato per</w:t>
      </w:r>
    </w:p>
    <w:p>
      <w:pPr>
        <w:spacing w:after="120" w:line="276"/>
        <w:jc w:val="both"/>
      </w:pPr>
      <w:r>
        <w:rPr>
          <w:rFonts w:ascii="Barlow Semi Condensed" w:cs="Barlow Semi Condensed" w:eastAsia="Barlow Semi Condensed" w:hAnsi="Barlow Semi Condensed"/>
          <w:sz w:val="24"/>
          <w:szCs w:val="24"/>
        </w:rPr>
        <w:t xml:space="preserve">intero anziché riscritto; nella seconda metà congeda dichiaratamente la</w:t>
      </w:r>
    </w:p>
    <w:p>
      <w:pPr>
        <w:spacing w:after="120" w:line="276"/>
        <w:jc w:val="both"/>
      </w:pPr>
      <w:r>
        <w:rPr>
          <w:rFonts w:ascii="Barlow Semi Condensed" w:cs="Barlow Semi Condensed" w:eastAsia="Barlow Semi Condensed" w:hAnsi="Barlow Semi Condensed"/>
          <w:sz w:val="24"/>
          <w:szCs w:val="24"/>
        </w:rPr>
        <w:t xml:space="preserve">sospensione del giudizio per ordinare secondo la plausibilità del</w:t>
      </w:r>
    </w:p>
    <w:p>
      <w:pPr>
        <w:spacing w:after="120" w:line="276"/>
        <w:jc w:val="both"/>
      </w:pPr>
      <w:r>
        <w:rPr>
          <w:rFonts w:ascii="Barlow Semi Condensed" w:cs="Barlow Semi Condensed" w:eastAsia="Barlow Semi Condensed" w:hAnsi="Barlow Semi Condensed"/>
          <w:sz w:val="24"/>
          <w:szCs w:val="24"/>
        </w:rPr>
        <w:t xml:space="preserve">coinvolgimento. Ne dico i limiti con la stessa precisione con cui ne dico</w:t>
      </w:r>
    </w:p>
    <w:p>
      <w:pPr>
        <w:spacing w:after="120" w:line="276"/>
        <w:jc w:val="both"/>
      </w:pPr>
      <w:r>
        <w:rPr>
          <w:rFonts w:ascii="Barlow Semi Condensed" w:cs="Barlow Semi Condensed" w:eastAsia="Barlow Semi Condensed" w:hAnsi="Barlow Semi Condensed"/>
          <w:sz w:val="24"/>
          <w:szCs w:val="24"/>
        </w:rPr>
        <w:t xml:space="preserve">l'esistenza: è graduatoria di plausibilità e non di colpa, ordina **categorie</w:t>
      </w:r>
    </w:p>
    <w:p>
      <w:pPr>
        <w:spacing w:after="120" w:line="276"/>
        <w:jc w:val="both"/>
      </w:pPr>
      <w:r>
        <w:rPr>
          <w:rFonts w:ascii="Barlow Semi Condensed" w:cs="Barlow Semi Condensed" w:eastAsia="Barlow Semi Condensed" w:hAnsi="Barlow Semi Condensed"/>
          <w:sz w:val="24"/>
          <w:szCs w:val="24"/>
        </w:rPr>
        <w:t xml:space="preserve">di soggetti e non nomi individuali**, muove dal giudicato e rifiuta di nominare</w:t>
      </w:r>
    </w:p>
    <w:p>
      <w:pPr>
        <w:spacing w:after="120" w:line="276"/>
        <w:jc w:val="both"/>
      </w:pPr>
      <w:r>
        <w:rPr>
          <w:rFonts w:ascii="Barlow Semi Condensed" w:cs="Barlow Semi Condensed" w:eastAsia="Barlow Semi Condensed" w:hAnsi="Barlow Semi Condensed"/>
          <w:sz w:val="24"/>
          <w:szCs w:val="24"/>
        </w:rPr>
        <w:t xml:space="preserve">un mandante esterno determinato. Ordinare per plausibilità non è condannare, e</w:t>
      </w:r>
    </w:p>
    <w:p>
      <w:pPr>
        <w:spacing w:after="120" w:line="276"/>
        <w:jc w:val="both"/>
      </w:pPr>
      <w:r>
        <w:rPr>
          <w:rFonts w:ascii="Barlow Semi Condensed" w:cs="Barlow Semi Condensed" w:eastAsia="Barlow Semi Condensed" w:hAnsi="Barlow Semi Condensed"/>
          <w:sz w:val="24"/>
          <w:szCs w:val="24"/>
        </w:rPr>
        <w:t xml:space="preserve">nessun altro Libro dell'opera contiene graduatorie.</w:t>
      </w:r>
    </w:p>
    <w:p>
      <w:pPr>
        <w:pStyle w:val="Heading3"/>
        <w:spacing w:after="80" w:before="160"/>
      </w:pPr>
      <w:r>
        <w:rPr>
          <w:rFonts w:ascii="Barlow Semi Condensed" w:cs="Barlow Semi Condensed" w:eastAsia="Barlow Semi Condensed" w:hAnsi="Barlow Semi Condensed"/>
          <w:sz w:val="24"/>
          <w:szCs w:val="24"/>
        </w:rPr>
        <w:t xml:space="preserve">Che cosa l'opera non è</w:t>
      </w:r>
    </w:p>
    <w:p>
      <w:pPr>
        <w:spacing w:after="120" w:line="276"/>
        <w:jc w:val="both"/>
      </w:pPr>
      <w:r>
        <w:rPr>
          <w:rFonts w:ascii="Barlow Semi Condensed" w:cs="Barlow Semi Condensed" w:eastAsia="Barlow Semi Condensed" w:hAnsi="Barlow Semi Condensed"/>
          <w:sz w:val="24"/>
          <w:szCs w:val="24"/>
        </w:rPr>
        <w:t xml:space="preserve">Non è ricerca d'archivio condotta in prima persona, e non lo pretende. Raccoglie,</w:t>
      </w:r>
    </w:p>
    <w:p>
      <w:pPr>
        <w:spacing w:after="120" w:line="276"/>
        <w:jc w:val="both"/>
      </w:pPr>
      <w:r>
        <w:rPr>
          <w:rFonts w:ascii="Barlow Semi Condensed" w:cs="Barlow Semi Condensed" w:eastAsia="Barlow Semi Condensed" w:hAnsi="Barlow Semi Condensed"/>
          <w:sz w:val="24"/>
          <w:szCs w:val="24"/>
        </w:rPr>
        <w:t xml:space="preserve">ordina e verifica materiale già pubblico, e produce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domande formulate perché qualcuno possa andare in archivio a rispondervi,</w:t>
      </w:r>
    </w:p>
    <w:p>
      <w:pPr>
        <w:spacing w:after="120" w:line="276"/>
        <w:jc w:val="both"/>
      </w:pPr>
      <w:r>
        <w:rPr>
          <w:rFonts w:ascii="Barlow Semi Condensed" w:cs="Barlow Semi Condensed" w:eastAsia="Barlow Semi Condensed" w:hAnsi="Barlow Semi Condensed"/>
          <w:sz w:val="24"/>
          <w:szCs w:val="24"/>
        </w:rPr>
        <w:t xml:space="preserve">ciascuna con l'indicazione della sede in cui si cercherebbe. **Non contiene</w:t>
      </w:r>
    </w:p>
    <w:p>
      <w:pPr>
        <w:spacing w:after="120" w:line="276"/>
        <w:jc w:val="both"/>
      </w:pPr>
      <w:r>
        <w:rPr>
          <w:rFonts w:ascii="Barlow Semi Condensed" w:cs="Barlow Semi Condensed" w:eastAsia="Barlow Semi Condensed" w:hAnsi="Barlow Semi Condensed"/>
          <w:sz w:val="24"/>
          <w:szCs w:val="24"/>
        </w:rPr>
        <w:t xml:space="preserve">rivelazioni e non aggiunge un fatto.** Chi cerca una tesi nuova sul 1978 non la</w:t>
      </w:r>
    </w:p>
    <w:p>
      <w:pPr>
        <w:spacing w:after="120" w:line="276"/>
        <w:jc w:val="both"/>
      </w:pPr>
      <w:r>
        <w:rPr>
          <w:rFonts w:ascii="Barlow Semi Condensed" w:cs="Barlow Semi Condensed" w:eastAsia="Barlow Semi Condensed" w:hAnsi="Barlow Semi Condensed"/>
          <w:sz w:val="24"/>
          <w:szCs w:val="24"/>
        </w:rPr>
        <w:t xml:space="preserve">troverà; chi cerca un criterio per giudicare le tesi altrui, forse sì.</w:t>
      </w:r>
    </w:p>
    <w:p>
      <w:pPr>
        <w:pStyle w:val="Heading3"/>
        <w:spacing w:after="80" w:before="160"/>
      </w:pPr>
      <w:r>
        <w:rPr>
          <w:rFonts w:ascii="Barlow Semi Condensed" w:cs="Barlow Semi Condensed" w:eastAsia="Barlow Semi Condensed" w:hAnsi="Barlow Semi Condensed"/>
          <w:sz w:val="24"/>
          <w:szCs w:val="24"/>
        </w:rPr>
        <w:t xml:space="preserve">L'integrità è verificabile</w:t>
      </w:r>
    </w:p>
    <w:p>
      <w:pPr>
        <w:spacing w:after="120" w:line="276"/>
        <w:jc w:val="both"/>
      </w:pPr>
      <w:r>
        <w:rPr>
          <w:rFonts w:ascii="Barlow Semi Condensed" w:cs="Barlow Semi Condensed" w:eastAsia="Barlow Semi Condensed" w:hAnsi="Barlow Semi Condensed"/>
          <w:sz w:val="24"/>
          <w:szCs w:val="24"/>
        </w:rPr>
        <w:t xml:space="preserve">L'opera è accompagnata da un registro delle impronte crittografiche. Le impronte</w:t>
      </w:r>
    </w:p>
    <w:p>
      <w:pPr>
        <w:spacing w:after="120" w:line="276"/>
        <w:jc w:val="both"/>
      </w:pPr>
      <w:r>
        <w:rPr>
          <w:rFonts w:ascii="Barlow Semi Condensed" w:cs="Barlow Semi Condensed" w:eastAsia="Barlow Semi Condensed" w:hAnsi="Barlow Semi Condensed"/>
          <w:sz w:val="24"/>
          <w:szCs w:val="24"/>
        </w:rPr>
        <w:t xml:space="preserve">SHA-256 dei due file allegati sono: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0e823528c4452ef9dafac53ebda8fb86d728739add5616f1ad2eb036bfa22b80</w:t>
      </w:r>
      <w:r>
        <w:rPr>
          <w:rFonts w:ascii="Barlow Semi Condensed" w:cs="Barlow Semi Condensed" w:eastAsia="Barlow Semi Condensed" w:hAnsi="Barlow Semi Condensed"/>
          <w:i w:val="false"/>
          <w:iCs w:val="false"/>
          <w:sz w:val="24"/>
          <w:szCs w:val="24"/>
        </w:rPr>
        <w:t xml:space="preserve"> il volume in PDF  </w:t>
      </w:r>
      <w:r>
        <w:rPr>
          <w:rFonts w:ascii="Barlow Semi Condensed" w:cs="Barlow Semi Condensed" w:eastAsia="Barlow Semi Condensed" w:hAnsi="Barlow Semi Condensed"/>
          <w:i w:val="false"/>
          <w:iCs w:val="false"/>
          <w:sz w:val="24"/>
          <w:szCs w:val="24"/>
        </w:rPr>
        <w:t xml:space="preserve">81ae4dc6986150192d808f60016ca2ea52912983ade435d55aafc0b2a19fbacb</w:t>
      </w:r>
      <w:r>
        <w:rPr>
          <w:rFonts w:ascii="Barlow Semi Condensed" w:cs="Barlow Semi Condensed" w:eastAsia="Barlow Semi Condensed" w:hAnsi="Barlow Semi Condensed"/>
          <w:i w:val="false"/>
          <w:iCs w:val="false"/>
          <w:sz w:val="24"/>
          <w:szCs w:val="24"/>
        </w:rPr>
        <w:t xml:space="preserve"> il volume in DOCX</w:t>
      </w:r>
    </w:p>
    <w:p>
      <w:pPr>
        <w:spacing w:after="120" w:line="276"/>
        <w:jc w:val="both"/>
      </w:pPr>
      <w:r>
        <w:rPr>
          <w:rFonts w:ascii="Barlow Semi Condensed" w:cs="Barlow Semi Condensed" w:eastAsia="Barlow Semi Condensed" w:hAnsi="Barlow Semi Condensed"/>
          <w:sz w:val="24"/>
          <w:szCs w:val="24"/>
        </w:rPr>
        <w:t xml:space="preserve">Si riproducono in un comando — </w:t>
      </w:r>
      <w:r>
        <w:rPr>
          <w:rFonts w:ascii="Barlow Semi Condensed" w:cs="Barlow Semi Condensed" w:eastAsia="Barlow Semi Condensed" w:hAnsi="Barlow Semi Condensed"/>
          <w:i/>
          <w:iCs/>
          <w:sz w:val="24"/>
          <w:szCs w:val="24"/>
        </w:rPr>
        <w:t xml:space="preserve">sha256sum</w:t>
      </w:r>
      <w:r>
        <w:rPr>
          <w:rFonts w:ascii="Barlow Semi Condensed" w:cs="Barlow Semi Condensed" w:eastAsia="Barlow Semi Condensed" w:hAnsi="Barlow Semi Condensed"/>
          <w:sz w:val="24"/>
          <w:szCs w:val="24"/>
        </w:rPr>
        <w:t xml:space="preserve"> su Linux, </w:t>
      </w:r>
      <w:r>
        <w:rPr>
          <w:rFonts w:ascii="Barlow Semi Condensed" w:cs="Barlow Semi Condensed" w:eastAsia="Barlow Semi Condensed" w:hAnsi="Barlow Semi Condensed"/>
          <w:i/>
          <w:iCs/>
          <w:sz w:val="24"/>
          <w:szCs w:val="24"/>
        </w:rPr>
        <w:t xml:space="preserve">shasum -a 256</w:t>
      </w:r>
      <w:r>
        <w:rPr>
          <w:rFonts w:ascii="Barlow Semi Condensed" w:cs="Barlow Semi Condensed" w:eastAsia="Barlow Semi Condensed" w:hAnsi="Barlow Semi Condensed"/>
          <w:sz w:val="24"/>
          <w:szCs w:val="24"/>
        </w:rPr>
        <w:t xml:space="preserve"> su macOS,</w:t>
      </w:r>
    </w:p>
    <w:p>
      <w:pPr>
        <w:spacing w:after="120" w:line="276"/>
        <w:jc w:val="both"/>
      </w:pPr>
      <w:r>
        <w:rPr>
          <w:rFonts w:ascii="Barlow Semi Condensed" w:cs="Barlow Semi Condensed" w:eastAsia="Barlow Semi Condensed" w:hAnsi="Barlow Semi Condensed"/>
          <w:i/>
          <w:iCs/>
          <w:sz w:val="24"/>
          <w:szCs w:val="24"/>
        </w:rPr>
        <w:t xml:space="preserve">Get-FileHash … -Algorithm SHA256</w:t>
      </w:r>
      <w:r>
        <w:rPr>
          <w:rFonts w:ascii="Barlow Semi Condensed" w:cs="Barlow Semi Condensed" w:eastAsia="Barlow Semi Condensed" w:hAnsi="Barlow Semi Condensed"/>
          <w:sz w:val="24"/>
          <w:szCs w:val="24"/>
        </w:rPr>
        <w:t xml:space="preserve"> su Windows — e certificano che ciò che avete ricevuto è **bit per</w:t>
      </w:r>
    </w:p>
    <w:p>
      <w:pPr>
        <w:spacing w:after="120" w:line="276"/>
        <w:jc w:val="both"/>
      </w:pPr>
      <w:r>
        <w:rPr>
          <w:rFonts w:ascii="Barlow Semi Condensed" w:cs="Barlow Semi Condensed" w:eastAsia="Barlow Semi Condensed" w:hAnsi="Barlow Semi Condensed"/>
          <w:sz w:val="24"/>
          <w:szCs w:val="24"/>
        </w:rPr>
        <w:t xml:space="preserve">bit** ciò che è stato depositato. Va detto con precisione che cosa quella</w:t>
      </w:r>
    </w:p>
    <w:p>
      <w:pPr>
        <w:spacing w:after="120" w:line="276"/>
        <w:jc w:val="both"/>
      </w:pPr>
      <w:r>
        <w:rPr>
          <w:rFonts w:ascii="Barlow Semi Condensed" w:cs="Barlow Semi Condensed" w:eastAsia="Barlow Semi Condensed" w:hAnsi="Barlow Semi Condensed"/>
          <w:sz w:val="24"/>
          <w:szCs w:val="24"/>
        </w:rPr>
        <w:t xml:space="preserve">stringa non certifica: **l'integrità è una proprietà del contenitore, non del</w:t>
      </w:r>
    </w:p>
    <w:p>
      <w:pPr>
        <w:spacing w:after="120" w:line="276"/>
        <w:jc w:val="both"/>
      </w:pPr>
      <w:r>
        <w:rPr>
          <w:rFonts w:ascii="Barlow Semi Condensed" w:cs="Barlow Semi Condensed" w:eastAsia="Barlow Semi Condensed" w:hAnsi="Barlow Semi Condensed"/>
          <w:sz w:val="24"/>
          <w:szCs w:val="24"/>
        </w:rPr>
        <w:t xml:space="preserve">contenuto**. Un documento falso conserva la propria impronta con la stessa</w:t>
      </w:r>
    </w:p>
    <w:p>
      <w:pPr>
        <w:spacing w:after="120" w:line="276"/>
        <w:jc w:val="both"/>
      </w:pPr>
      <w:r>
        <w:rPr>
          <w:rFonts w:ascii="Barlow Semi Condensed" w:cs="Barlow Semi Condensed" w:eastAsia="Barlow Semi Condensed" w:hAnsi="Barlow Semi Condensed"/>
          <w:sz w:val="24"/>
          <w:szCs w:val="24"/>
        </w:rPr>
        <w:t xml:space="preserve">fedeltà di uno esatto. Accertare di aver ricevuto integro è meccanico;</w:t>
      </w:r>
    </w:p>
    <w:p>
      <w:pPr>
        <w:spacing w:after="120" w:line="276"/>
        <w:jc w:val="both"/>
      </w:pPr>
      <w:r>
        <w:rPr>
          <w:rFonts w:ascii="Barlow Semi Condensed" w:cs="Barlow Semi Condensed" w:eastAsia="Barlow Semi Condensed" w:hAnsi="Barlow Semi Condensed"/>
          <w:sz w:val="24"/>
          <w:szCs w:val="24"/>
        </w:rPr>
        <w:t xml:space="preserve">verificare ciò che il testo afferma è il lavoro che i gradi dichiarati, le sedi</w:t>
      </w:r>
    </w:p>
    <w:p>
      <w:pPr>
        <w:spacing w:after="120" w:line="276"/>
        <w:jc w:val="both"/>
      </w:pPr>
      <w:r>
        <w:rPr>
          <w:rFonts w:ascii="Barlow Semi Condensed" w:cs="Barlow Semi Condensed" w:eastAsia="Barlow Semi Condensed" w:hAnsi="Barlow Semi Condensed"/>
          <w:sz w:val="24"/>
          <w:szCs w:val="24"/>
        </w:rPr>
        <w:t xml:space="preserve">d'archivio nominate e gli Stati Zero servono a rendere possibile.</w:t>
      </w:r>
    </w:p>
    <w:p>
      <w:pPr>
        <w:pStyle w:val="Heading3"/>
        <w:spacing w:after="80" w:before="160"/>
      </w:pPr>
      <w:r>
        <w:rPr>
          <w:rFonts w:ascii="Barlow Semi Condensed" w:cs="Barlow Semi Condensed" w:eastAsia="Barlow Semi Condensed" w:hAnsi="Barlow Semi Condensed"/>
          <w:sz w:val="24"/>
          <w:szCs w:val="24"/>
        </w:rPr>
        <w:t xml:space="preserve">Che cosa chiedo</w:t>
      </w:r>
    </w:p>
    <w:p>
      <w:pPr>
        <w:spacing w:after="120" w:line="276"/>
        <w:jc w:val="both"/>
      </w:pPr>
      <w:r>
        <w:rPr>
          <w:rFonts w:ascii="Barlow Semi Condensed" w:cs="Barlow Semi Condensed" w:eastAsia="Barlow Semi Condensed" w:hAnsi="Barlow Semi Condensed"/>
          <w:sz w:val="24"/>
          <w:szCs w:val="24"/>
        </w:rPr>
        <w:t xml:space="preserve">Nulla che comporti un impegno. Chiedo che l'opera sia letta da chi in codesto</w:t>
      </w:r>
    </w:p>
    <w:p>
      <w:pPr>
        <w:spacing w:after="120" w:line="276"/>
        <w:jc w:val="both"/>
      </w:pPr>
      <w:r>
        <w:rPr>
          <w:rFonts w:ascii="Barlow Semi Condensed" w:cs="Barlow Semi Condensed" w:eastAsia="Barlow Semi Condensed" w:hAnsi="Barlow Semi Condensed"/>
          <w:sz w:val="24"/>
          <w:szCs w:val="24"/>
        </w:rPr>
        <w:t xml:space="preserve">ente se ne occupa, e che mi sia detto, nei tempi che riterrete, se abbia</w:t>
      </w:r>
    </w:p>
    <w:p>
      <w:pPr>
        <w:spacing w:after="120" w:line="276"/>
        <w:jc w:val="both"/>
      </w:pPr>
      <w:r>
        <w:rPr>
          <w:rFonts w:ascii="Barlow Semi Condensed" w:cs="Barlow Semi Condensed" w:eastAsia="Barlow Semi Condensed" w:hAnsi="Barlow Semi Condensed"/>
          <w:sz w:val="24"/>
          <w:szCs w:val="24"/>
        </w:rPr>
        <w:t xml:space="preserve">interesse per le vostre finalità. Se la risposta è negativa non occorre</w:t>
      </w:r>
    </w:p>
    <w:p>
      <w:pPr>
        <w:spacing w:after="120" w:line="276"/>
        <w:jc w:val="both"/>
      </w:pPr>
      <w:r>
        <w:rPr>
          <w:rFonts w:ascii="Barlow Semi Condensed" w:cs="Barlow Semi Condensed" w:eastAsia="Barlow Semi Condensed" w:hAnsi="Barlow Semi Condensed"/>
          <w:sz w:val="24"/>
          <w:szCs w:val="24"/>
        </w:rPr>
        <w:t xml:space="preserve">motivarla. Resto a disposizione per qualunque chiarimento, per l'invio di</w:t>
      </w:r>
    </w:p>
    <w:p>
      <w:pPr>
        <w:spacing w:after="120" w:line="276"/>
        <w:jc w:val="both"/>
      </w:pPr>
      <w:r>
        <w:rPr>
          <w:rFonts w:ascii="Barlow Semi Condensed" w:cs="Barlow Semi Condensed" w:eastAsia="Barlow Semi Condensed" w:hAnsi="Barlow Semi Condensed"/>
          <w:sz w:val="24"/>
          <w:szCs w:val="24"/>
        </w:rPr>
        <w:t xml:space="preserve">estratti, e per fornire i materiali di lavorazione — i generatori, i registri</w:t>
      </w:r>
    </w:p>
    <w:p>
      <w:pPr>
        <w:spacing w:after="120" w:line="276"/>
        <w:jc w:val="both"/>
      </w:pPr>
      <w:r>
        <w:rPr>
          <w:rFonts w:ascii="Barlow Semi Condensed" w:cs="Barlow Semi Condensed" w:eastAsia="Barlow Semi Condensed" w:hAnsi="Barlow Semi Condensed"/>
          <w:sz w:val="24"/>
          <w:szCs w:val="24"/>
        </w:rPr>
        <w:t xml:space="preserve">di verifica, i manifesti delle impronte — a chi volesse controllare come</w:t>
      </w:r>
    </w:p>
    <w:p>
      <w:pPr>
        <w:spacing w:after="120" w:line="276"/>
        <w:jc w:val="both"/>
      </w:pPr>
      <w:r>
        <w:rPr>
          <w:rFonts w:ascii="Barlow Semi Condensed" w:cs="Barlow Semi Condensed" w:eastAsia="Barlow Semi Condensed" w:hAnsi="Barlow Semi Condensed"/>
          <w:sz w:val="24"/>
          <w:szCs w:val="24"/>
        </w:rPr>
        <w:t xml:space="preserve">l'opera è stata costruita.</w:t>
      </w:r>
    </w:p>
    <w:p>
      <w:pPr>
        <w:spacing w:after="120" w:line="276"/>
        <w:jc w:val="both"/>
      </w:pPr>
      <w:r>
        <w:rPr>
          <w:rFonts w:ascii="Barlow Semi Condensed" w:cs="Barlow Semi Condensed" w:eastAsia="Barlow Semi Condensed" w:hAnsi="Barlow Semi Condensed"/>
          <w:sz w:val="24"/>
          <w:szCs w:val="24"/>
        </w:rPr>
        <w:t xml:space="preserve">Le sei persone uccise a via Fani stanno in testa al corpus e non in fondo:</w:t>
      </w:r>
    </w:p>
    <w:p>
      <w:pPr>
        <w:spacing w:after="120" w:line="276"/>
        <w:jc w:val="both"/>
      </w:pPr>
      <w:r>
        <w:rPr>
          <w:rFonts w:ascii="Barlow Semi Condensed" w:cs="Barlow Semi Condensed" w:eastAsia="Barlow Semi Condensed" w:hAnsi="Barlow Semi Condensed"/>
          <w:sz w:val="24"/>
          <w:szCs w:val="24"/>
        </w:rPr>
        <w:t xml:space="preserve">Oreste Leonardi, Domenico Ricci, Giulio Rivera, Francesco Zizzi, Raffaele</w:t>
      </w:r>
    </w:p>
    <w:p>
      <w:pPr>
        <w:spacing w:after="120" w:line="276"/>
        <w:jc w:val="both"/>
      </w:pPr>
      <w:r>
        <w:rPr>
          <w:rFonts w:ascii="Barlow Semi Condensed" w:cs="Barlow Semi Condensed" w:eastAsia="Barlow Semi Condensed" w:hAnsi="Barlow Semi Condensed"/>
          <w:sz w:val="24"/>
          <w:szCs w:val="24"/>
        </w:rPr>
        <w:t xml:space="preserve">Iozzino, il 16 marzo 1978; e Aldo Moro, il 9 maggio.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[nome e cognome]</w:t>
      </w:r>
    </w:p>
    <w:p>
      <w:pPr>
        <w:spacing w:after="120" w:line="276"/>
        <w:jc w:val="both"/>
      </w:pPr>
      <w:r>
        <w:rPr>
          <w:rFonts w:ascii="Barlow Semi Condensed" w:cs="Barlow Semi Condensed" w:eastAsia="Barlow Semi Condensed" w:hAnsi="Barlow Semi Condensed"/>
          <w:sz w:val="24"/>
          <w:szCs w:val="24"/>
        </w:rPr>
        <w:t xml:space="preserve">[recapito]</w:t>
      </w:r>
    </w:p>
    <w:p>
      <w:pPr>
        <w:spacing w:after="120" w:line="276"/>
        <w:jc w:val="both"/>
      </w:pPr>
      <w:r>
        <w:rPr>
          <w:rFonts w:ascii="Barlow Semi Condensed" w:cs="Barlow Semi Condensed" w:eastAsia="Barlow Semi Condensed" w:hAnsi="Barlow Semi Condensed"/>
          <w:sz w:val="24"/>
          <w:szCs w:val="24"/>
        </w:rPr>
        <w:t xml:space="preserve">[luogo],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UNA_GUERRA_SENZA_FINE_OPERA_INTEGRALE.pdf</w:t>
            </w:r>
            <w:r>
              <w:rPr>
                <w:rFonts w:ascii="Barlow Semi Condensed" w:cs="Barlow Semi Condensed" w:eastAsia="Barlow Semi Condensed" w:hAnsi="Barlow Semi Condensed"/>
                <w:sz w:val="20"/>
                <w:szCs w:val="20"/>
              </w:rPr>
              <w:t xml:space="preserve"> — l'opera, oltre 2.500 pagine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UNA_GUERRA_SENZA_FINE_OPERA_INTEGRALE.docx</w:t>
            </w:r>
            <w:r>
              <w:rPr>
                <w:rFonts w:ascii="Barlow Semi Condensed" w:cs="Barlow Semi Condensed" w:eastAsia="Barlow Semi Condensed" w:hAnsi="Barlow Semi Condensed"/>
                <w:sz w:val="20"/>
                <w:szCs w:val="20"/>
              </w:rPr>
              <w:t xml:space="preserve"> — edizione modificabile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3</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IMPRONTE-SHA256.md</w:t>
            </w:r>
            <w:r>
              <w:rPr>
                <w:rFonts w:ascii="Barlow Semi Condensed" w:cs="Barlow Semi Condensed" w:eastAsia="Barlow Semi Condensed" w:hAnsi="Barlow Semi Condensed"/>
                <w:sz w:val="20"/>
                <w:szCs w:val="20"/>
              </w:rPr>
              <w:t xml:space="preserve"> — il registro delle impronte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4</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IMPRONTE-OPERA-MORO.txt</w:t>
            </w:r>
            <w:r>
              <w:rPr>
                <w:rFonts w:ascii="Barlow Semi Condensed" w:cs="Barlow Semi Condensed" w:eastAsia="Barlow Semi Condensed" w:hAnsi="Barlow Semi Condensed"/>
                <w:sz w:val="20"/>
                <w:szCs w:val="20"/>
              </w:rPr>
              <w:t xml:space="preserve"> — il manifesto per la verifica in blocco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5</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(agli editori)</w:t>
            </w:r>
            <w:r>
              <w:rPr>
                <w:rFonts w:ascii="Barlow Semi Condensed" w:cs="Barlow Semi Condensed" w:eastAsia="Barlow Semi Condensed" w:hAnsi="Barlow Semi Condensed"/>
                <w:sz w:val="20"/>
                <w:szCs w:val="20"/>
              </w:rPr>
              <w:t xml:space="preserve"> la scheda dell'opera e il capitolo campione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6</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 Einaudi)</w:t>
            </w:r>
            <w:r>
              <w:rPr>
                <w:rFonts w:ascii="Barlow Semi Condensed" w:cs="Barlow Semi Condensed" w:eastAsia="Barlow Semi Condensed" w:hAnsi="Barlow Semi Condensed"/>
                <w:sz w:val="20"/>
                <w:szCs w:val="20"/>
              </w:rPr>
              <w:t xml:space="preserve"> il curriculum, richiesto esplicitamente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Peso complessivo</w:t>
      </w:r>
      <w:r>
        <w:rPr>
          <w:rFonts w:ascii="Barlow Semi Condensed" w:cs="Barlow Semi Condensed" w:eastAsia="Barlow Semi Condensed" w:hAnsi="Barlow Semi Condensed"/>
          <w:sz w:val="24"/>
          <w:szCs w:val="24"/>
        </w:rPr>
        <w:t xml:space="preserve">: il solo volume in PDF supera i 29 MiB. Molti gestori di</w:t>
      </w:r>
    </w:p>
    <w:p>
      <w:pPr>
        <w:spacing w:after="120" w:line="276"/>
        <w:jc w:val="both"/>
      </w:pPr>
      <w:r>
        <w:rPr>
          <w:rFonts w:ascii="Barlow Semi Condensed" w:cs="Barlow Semi Condensed" w:eastAsia="Barlow Semi Condensed" w:hAnsi="Barlow Semi Condensed"/>
          <w:sz w:val="24"/>
          <w:szCs w:val="24"/>
        </w:rPr>
        <w:t xml:space="preserve">PEC si fermano fra i 30 e i 50 MB per messaggio: verificare il limite del</w:t>
      </w:r>
    </w:p>
    <w:p>
      <w:pPr>
        <w:spacing w:after="120" w:line="276"/>
        <w:jc w:val="both"/>
      </w:pPr>
      <w:r>
        <w:rPr>
          <w:rFonts w:ascii="Barlow Semi Condensed" w:cs="Barlow Semi Condensed" w:eastAsia="Barlow Semi Condensed" w:hAnsi="Barlow Semi Condensed"/>
          <w:sz w:val="24"/>
          <w:szCs w:val="24"/>
        </w:rPr>
        <w:t xml:space="preserve">proprio gestore prima dell'invio, e in caso di eccedenza trasmettere il DOCX</w:t>
      </w:r>
    </w:p>
    <w:p>
      <w:pPr>
        <w:spacing w:after="120" w:line="276"/>
        <w:jc w:val="both"/>
      </w:pPr>
      <w:r>
        <w:rPr>
          <w:rFonts w:ascii="Barlow Semi Condensed" w:cs="Barlow Semi Condensed" w:eastAsia="Barlow Semi Condensed" w:hAnsi="Barlow Semi Condensed"/>
          <w:sz w:val="24"/>
          <w:szCs w:val="24"/>
        </w:rPr>
        <w:t xml:space="preserve">con il link al deposito pubblico, indicando l'impronta perché il destinatario</w:t>
      </w:r>
    </w:p>
    <w:p>
      <w:pPr>
        <w:spacing w:after="120" w:line="276"/>
        <w:jc w:val="both"/>
      </w:pPr>
      <w:r>
        <w:rPr>
          <w:rFonts w:ascii="Barlow Semi Condensed" w:cs="Barlow Semi Condensed" w:eastAsia="Barlow Semi Condensed" w:hAnsi="Barlow Semi Condensed"/>
          <w:sz w:val="24"/>
          <w:szCs w:val="24"/>
        </w:rPr>
        <w:t xml:space="preserve">possa verificare ciò che scarica.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Adattamento per canale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cambia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PEC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Reperire l'indirizzo su RUNTS o INI-PEC. È l'unico invio in cui la PEC serve davvero: certifica data e contenuto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Nessuna modifica al testo. La lettera tocca la memoria di una persona uccisa e una famiglia vivente: si invii senza allegati pesanti, col solo link</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Aggiungere il curriculum e ripetere i dati anagrafici in testa al documento dell'opera, come l'editore richiede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Nessuna modifica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il Mulino · Carocci · Bompiani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testo si incolla nei campi del modulo, non si allega. Adattare i paragrafi alla lunghezza consentita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Posta cartacea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Stampare il testo e la scheda dell'opera; non spedire il volume intero su carta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Deposito HTTPS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Non è un destinatario: è la sede del deposito. Va fatto </w:t>
            </w:r>
            <w:r>
              <w:rPr>
                <w:rFonts w:ascii="Barlow Semi Condensed" w:cs="Barlow Semi Condensed" w:eastAsia="Barlow Semi Condensed" w:hAnsi="Barlow Semi Condensed"/>
                <w:b/>
                <w:bCs/>
                <w:sz w:val="20"/>
                <w:szCs w:val="20"/>
              </w:rPr>
              <w:t xml:space="preserve">per primo</w:t>
            </w:r>
            <w:r>
              <w:rPr>
                <w:rFonts w:ascii="Barlow Semi Condensed" w:cs="Barlow Semi Condensed" w:eastAsia="Barlow Semi Condensed" w:hAnsi="Barlow Semi Condensed"/>
                <w:sz w:val="20"/>
                <w:szCs w:val="20"/>
              </w:rPr>
              <w:t xml:space="preserve">, perché il DOI che genera va citato in tutte le lettere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premere invio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Il deposito Zenodo è stato fatto e il DOI è inserito nel testo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 campi fra parentesi quadre sono stati compilati e le parentesi tolte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Le due impronte nel testo coincidono con quelle dei file effettivamente allegati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L'indirizzo del destinatario è quello verificato, non quello presunto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L'invio è separato per ciascun destinatario, non unico per tutti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Il limite di peso del proprio gestore PEC è stato verificato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*Annotazione — Questa PEC unica fu redatta sulle cifre della quarta edizione:</w:t>
      </w:r>
    </w:p>
    <w:p>
      <w:pPr>
        <w:spacing w:after="120" w:line="276"/>
        <w:jc w:val="both"/>
      </w:pPr>
      <w:r>
        <w:rPr>
          <w:rFonts w:ascii="Barlow Semi Condensed" w:cs="Barlow Semi Condensed" w:eastAsia="Barlow Semi Condensed" w:hAnsi="Barlow Semi Condensed"/>
          <w:sz w:val="24"/>
          <w:szCs w:val="24"/>
        </w:rPr>
        <w:t xml:space="preserve">1.897 pagine, 687 riferimenti per 1.042 citazioni su 357 domini, 161 grafici.</w:t>
      </w:r>
    </w:p>
    <w:p>
      <w:pPr>
        <w:spacing w:after="120" w:line="276"/>
        <w:jc w:val="both"/>
      </w:pPr>
      <w:r>
        <w:rPr>
          <w:rFonts w:ascii="Barlow Semi Condensed" w:cs="Barlow Semi Condensed" w:eastAsia="Barlow Semi Condensed" w:hAnsi="Barlow Semi Condensed"/>
          <w:sz w:val="24"/>
          <w:szCs w:val="24"/>
        </w:rPr>
        <w:t xml:space="preserve">Sono state sostituite con quelle della sesta. Le vecchie restano scritte qui,</w:t>
      </w:r>
    </w:p>
    <w:p>
      <w:pPr>
        <w:spacing w:after="120" w:line="276"/>
        <w:jc w:val="both"/>
      </w:pPr>
      <w:r>
        <w:rPr>
          <w:rFonts w:ascii="Barlow Semi Condensed" w:cs="Barlow Semi Condensed" w:eastAsia="Barlow Semi Condensed" w:hAnsi="Barlow Semi Condensed"/>
          <w:sz w:val="24"/>
          <w:szCs w:val="24"/>
        </w:rPr>
        <w:t xml:space="preserve">perché chi avesse già trasmesso il testo nella redazione anteriore non ha</w:t>
      </w:r>
    </w:p>
    <w:p>
      <w:pPr>
        <w:spacing w:after="120" w:line="276"/>
        <w:jc w:val="both"/>
      </w:pPr>
      <w:r>
        <w:rPr>
          <w:rFonts w:ascii="Barlow Semi Condensed" w:cs="Barlow Semi Condensed" w:eastAsia="Barlow Semi Condensed" w:hAnsi="Barlow Semi Condensed"/>
          <w:sz w:val="24"/>
          <w:szCs w:val="24"/>
        </w:rPr>
        <w:t xml:space="preserve">scritto il falso: ha scritto una cosa vera alla propria data. Il conteggio delle</w:t>
      </w:r>
    </w:p>
    <w:p>
      <w:pPr>
        <w:spacing w:after="120" w:line="276"/>
        <w:jc w:val="both"/>
      </w:pPr>
      <w:r>
        <w:rPr>
          <w:rFonts w:ascii="Barlow Semi Condensed" w:cs="Barlow Semi Condensed" w:eastAsia="Barlow Semi Condensed" w:hAnsi="Barlow Semi Condensed"/>
          <w:sz w:val="24"/>
          <w:szCs w:val="24"/>
        </w:rPr>
        <w:t xml:space="preserve">pagine è dato in tondo perché questo documento è rilegato nel volume che conta,</w:t>
      </w:r>
    </w:p>
    <w:p>
      <w:pPr>
        <w:spacing w:after="120" w:line="276"/>
        <w:jc w:val="both"/>
      </w:pPr>
      <w:r>
        <w:rPr>
          <w:rFonts w:ascii="Barlow Semi Condensed" w:cs="Barlow Semi Condensed" w:eastAsia="Barlow Semi Condensed" w:hAnsi="Barlow Semi Condensed"/>
          <w:sz w:val="24"/>
          <w:szCs w:val="24"/>
        </w:rPr>
        <w:t xml:space="preserve">e la cifra esatta si legge sulla copertina.*</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xviii. La PEC unica formale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IV.xviii: 1.651 parole in 7 sezioni; la più ampia è §4 Corpo del messaggio, con 874.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IV.xviii: 41 paragrafi in 7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xix. La PEC di presentazione per le case editrici</w:t>
      </w:r>
    </w:p>
    <w:p>
      <w:pPr>
        <w:pStyle w:val="Heading1"/>
        <w:spacing w:after="120" w:before="240"/>
      </w:pPr>
      <w:r>
        <w:rPr>
          <w:rFonts w:ascii="Barlow Semi Condensed" w:cs="Barlow Semi Condensed" w:eastAsia="Barlow Semi Condensed" w:hAnsi="Barlow Semi Condensed"/>
          <w:sz w:val="24"/>
          <w:szCs w:val="24"/>
        </w:rPr>
        <w:t xml:space="preserve">PEC di presentazione dell'opera — testo unico per qualsiasi casa editrice</w:t>
      </w:r>
    </w:p>
    <w:p>
      <w:pPr>
        <w:spacing w:after="120" w:line="276"/>
        <w:jc w:val="both"/>
      </w:pPr>
      <w:r>
        <w:rPr>
          <w:rFonts w:ascii="Barlow Semi Condensed" w:cs="Barlow Semi Condensed" w:eastAsia="Barlow Semi Condensed" w:hAnsi="Barlow Semi Condensed"/>
          <w:sz w:val="24"/>
          <w:szCs w:val="24"/>
        </w:rPr>
        <w:t xml:space="preserve">*Redatta il 27 agosto 2026 sulle cifre della sesta edizione. Prodotta con sistemi</w:t>
      </w:r>
    </w:p>
    <w:p>
      <w:pPr>
        <w:spacing w:after="120" w:line="276"/>
        <w:jc w:val="both"/>
      </w:pPr>
      <w:r>
        <w:rPr>
          <w:rFonts w:ascii="Barlow Semi Condensed" w:cs="Barlow Semi Condensed" w:eastAsia="Barlow Semi Condensed" w:hAnsi="Barlow Semi Condensed"/>
          <w:sz w:val="24"/>
          <w:szCs w:val="24"/>
        </w:rPr>
        <w:t xml:space="preserve">di intelligenza artificiale sotto direzione e responsabilità umana, come ogni</w:t>
      </w:r>
    </w:p>
    <w:p>
      <w:pPr>
        <w:spacing w:after="120" w:line="276"/>
        <w:jc w:val="both"/>
      </w:pPr>
      <w:r>
        <w:rPr>
          <w:rFonts w:ascii="Barlow Semi Condensed" w:cs="Barlow Semi Condensed" w:eastAsia="Barlow Semi Condensed" w:hAnsi="Barlow Semi Condensed"/>
          <w:sz w:val="24"/>
          <w:szCs w:val="24"/>
        </w:rPr>
        <w:t xml:space="preserve">documento di quest'opera.*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Avvertenza di fatto, da leggere prima di usarla</w:t>
      </w:r>
    </w:p>
    <w:p>
      <w:pPr>
        <w:spacing w:after="120" w:line="276"/>
        <w:jc w:val="both"/>
      </w:pPr>
      <w:r>
        <w:rPr>
          <w:rFonts w:ascii="Barlow Semi Condensed" w:cs="Barlow Semi Condensed" w:eastAsia="Barlow Semi Condensed" w:hAnsi="Barlow Semi Condensed"/>
          <w:b/>
          <w:bCs/>
          <w:sz w:val="24"/>
          <w:szCs w:val="24"/>
        </w:rPr>
        <w:t xml:space="preserve">Nessuna casa editrice riceve proposte per PEC.</w:t>
      </w:r>
      <w:r>
        <w:rPr>
          <w:rFonts w:ascii="Barlow Semi Condensed" w:cs="Barlow Semi Condensed" w:eastAsia="Barlow Semi Condensed" w:hAnsi="Barlow Semi Condensed"/>
          <w:sz w:val="24"/>
          <w:szCs w:val="24"/>
        </w:rPr>
        <w:t xml:space="preserve"> Il registro dei canali lo</w:t>
      </w:r>
    </w:p>
    <w:p>
      <w:pPr>
        <w:spacing w:after="120" w:line="276"/>
        <w:jc w:val="both"/>
      </w:pPr>
      <w:r>
        <w:rPr>
          <w:rFonts w:ascii="Barlow Semi Condensed" w:cs="Barlow Semi Condensed" w:eastAsia="Barlow Semi Condensed" w:hAnsi="Barlow Semi Condensed"/>
          <w:sz w:val="24"/>
          <w:szCs w:val="24"/>
        </w:rPr>
        <w:t xml:space="preserve">accerta una per una: il Mulino, Carocci e Bompiani ricevono per </w:t>
      </w:r>
      <w:r>
        <w:rPr>
          <w:rFonts w:ascii="Barlow Semi Condensed" w:cs="Barlow Semi Condensed" w:eastAsia="Barlow Semi Condensed" w:hAnsi="Barlow Semi Condensed"/>
          <w:b/>
          <w:bCs/>
          <w:sz w:val="24"/>
          <w:szCs w:val="24"/>
        </w:rPr>
        <w:t xml:space="preserve">modulo web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Chiarelettere ed Einaudi per </w:t>
      </w:r>
      <w:r>
        <w:rPr>
          <w:rFonts w:ascii="Barlow Semi Condensed" w:cs="Barlow Semi Condensed" w:eastAsia="Barlow Semi Condensed" w:hAnsi="Barlow Semi Condensed"/>
          <w:b/>
          <w:bCs/>
          <w:sz w:val="24"/>
          <w:szCs w:val="24"/>
        </w:rPr>
        <w:t xml:space="preserve">email ordinaria</w:t>
      </w:r>
      <w:r>
        <w:rPr>
          <w:rFonts w:ascii="Barlow Semi Condensed" w:cs="Barlow Semi Condensed" w:eastAsia="Barlow Semi Condensed" w:hAnsi="Barlow Semi Condensed"/>
          <w:sz w:val="24"/>
          <w:szCs w:val="24"/>
        </w:rPr>
        <w:t xml:space="preserve">; Laterza per </w:t>
      </w:r>
      <w:r>
        <w:rPr>
          <w:rFonts w:ascii="Barlow Semi Condensed" w:cs="Barlow Semi Condensed" w:eastAsia="Barlow Semi Condensed" w:hAnsi="Barlow Semi Condensed"/>
          <w:b/>
          <w:bCs/>
          <w:sz w:val="24"/>
          <w:szCs w:val="24"/>
        </w:rPr>
        <w:t xml:space="preserve">posta cartacea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è una lacuna del registro: è come funziona l'editoria italiana, e una PEC a</w:t>
      </w:r>
    </w:p>
    <w:p>
      <w:pPr>
        <w:spacing w:after="120" w:line="276"/>
        <w:jc w:val="both"/>
      </w:pPr>
      <w:r>
        <w:rPr>
          <w:rFonts w:ascii="Barlow Semi Condensed" w:cs="Barlow Semi Condensed" w:eastAsia="Barlow Semi Condensed" w:hAnsi="Barlow Semi Condensed"/>
          <w:sz w:val="24"/>
          <w:szCs w:val="24"/>
        </w:rPr>
        <w:t xml:space="preserve">una casa editrice arriva a un ufficio amministrativo, non a un editor.</w:t>
      </w:r>
    </w:p>
    <w:p>
      <w:pPr>
        <w:spacing w:after="120" w:line="276"/>
        <w:jc w:val="both"/>
      </w:pPr>
      <w:r>
        <w:rPr>
          <w:rFonts w:ascii="Barlow Semi Condensed" w:cs="Barlow Semi Condensed" w:eastAsia="Barlow Semi Condensed" w:hAnsi="Barlow Semi Condensed"/>
          <w:sz w:val="24"/>
          <w:szCs w:val="24"/>
        </w:rPr>
        <w:t xml:space="preserve">Questo testo è perciò </w:t>
      </w:r>
      <w:r>
        <w:rPr>
          <w:rFonts w:ascii="Barlow Semi Condensed" w:cs="Barlow Semi Condensed" w:eastAsia="Barlow Semi Condensed" w:hAnsi="Barlow Semi Condensed"/>
          <w:b/>
          <w:bCs/>
          <w:sz w:val="24"/>
          <w:szCs w:val="24"/>
        </w:rPr>
        <w:t xml:space="preserve">unico nel contenuto e mobile nel canale</w:t>
      </w:r>
      <w:r>
        <w:rPr>
          <w:rFonts w:ascii="Barlow Semi Condensed" w:cs="Barlow Semi Condensed" w:eastAsia="Barlow Semi Condensed" w:hAnsi="Barlow Semi Condensed"/>
          <w:sz w:val="24"/>
          <w:szCs w:val="24"/>
        </w:rPr>
        <w:t xml:space="preserve">. Si trasmette</w:t>
      </w:r>
    </w:p>
    <w:p>
      <w:pPr>
        <w:spacing w:after="120" w:line="276"/>
        <w:jc w:val="both"/>
      </w:pPr>
      <w:r>
        <w:rPr>
          <w:rFonts w:ascii="Barlow Semi Condensed" w:cs="Barlow Semi Condensed" w:eastAsia="Barlow Semi Condensed" w:hAnsi="Barlow Semi Condensed"/>
          <w:sz w:val="24"/>
          <w:szCs w:val="24"/>
        </w:rPr>
        <w:t xml:space="preserve">come PEC dove una PEC esiste e si vuole certificare data e ora dell'invio; si</w:t>
      </w:r>
    </w:p>
    <w:p>
      <w:pPr>
        <w:spacing w:after="120" w:line="276"/>
        <w:jc w:val="both"/>
      </w:pPr>
      <w:r>
        <w:rPr>
          <w:rFonts w:ascii="Barlow Semi Condensed" w:cs="Barlow Semi Condensed" w:eastAsia="Barlow Semi Condensed" w:hAnsi="Barlow Semi Condensed"/>
          <w:sz w:val="24"/>
          <w:szCs w:val="24"/>
        </w:rPr>
        <w:t xml:space="preserve">incolla nel corpo di un'email dove l'email è la via; si versa nel modulo dove il</w:t>
      </w:r>
    </w:p>
    <w:p>
      <w:pPr>
        <w:spacing w:after="120" w:line="276"/>
        <w:jc w:val="both"/>
      </w:pPr>
      <w:r>
        <w:rPr>
          <w:rFonts w:ascii="Barlow Semi Condensed" w:cs="Barlow Semi Condensed" w:eastAsia="Barlow Semi Condensed" w:hAnsi="Barlow Semi Condensed"/>
          <w:sz w:val="24"/>
          <w:szCs w:val="24"/>
        </w:rPr>
        <w:t xml:space="preserve">modulo è obbligatorio; si stampa su carta dove non c'è altro. **Il contenuto non</w:t>
      </w:r>
    </w:p>
    <w:p>
      <w:pPr>
        <w:spacing w:after="120" w:line="276"/>
        <w:jc w:val="both"/>
      </w:pPr>
      <w:r>
        <w:rPr>
          <w:rFonts w:ascii="Barlow Semi Condensed" w:cs="Barlow Semi Condensed" w:eastAsia="Barlow Semi Condensed" w:hAnsi="Barlow Semi Condensed"/>
          <w:sz w:val="24"/>
          <w:szCs w:val="24"/>
        </w:rPr>
        <w:t xml:space="preserve">cambia**, e non deve cambiare: è ciò che rende confrontabili le risposte.</w:t>
      </w:r>
    </w:p>
    <w:p>
      <w:pPr>
        <w:spacing w:after="120" w:line="276"/>
        <w:jc w:val="both"/>
      </w:pPr>
      <w:r>
        <w:rPr>
          <w:rFonts w:ascii="Barlow Semi Condensed" w:cs="Barlow Semi Condensed" w:eastAsia="Barlow Semi Condensed" w:hAnsi="Barlow Semi Condensed"/>
          <w:sz w:val="24"/>
          <w:szCs w:val="24"/>
        </w:rPr>
        <w:t xml:space="preserve">**Non va inviato a più case editrici nella stessa trasmissione, né lo stesso</w:t>
      </w:r>
    </w:p>
    <w:p>
      <w:pPr>
        <w:spacing w:after="120" w:line="276"/>
        <w:jc w:val="both"/>
      </w:pPr>
      <w:r>
        <w:rPr>
          <w:rFonts w:ascii="Barlow Semi Condensed" w:cs="Barlow Semi Condensed" w:eastAsia="Barlow Semi Condensed" w:hAnsi="Barlow Semi Condensed"/>
          <w:sz w:val="24"/>
          <w:szCs w:val="24"/>
        </w:rPr>
        <w:t xml:space="preserve">giorno.** Mostrare a un editore che la medesima proposta è partita</w:t>
      </w:r>
    </w:p>
    <w:p>
      <w:pPr>
        <w:spacing w:after="120" w:line="276"/>
        <w:jc w:val="both"/>
      </w:pPr>
      <w:r>
        <w:rPr>
          <w:rFonts w:ascii="Barlow Semi Condensed" w:cs="Barlow Semi Condensed" w:eastAsia="Barlow Semi Condensed" w:hAnsi="Barlow Semi Condensed"/>
          <w:sz w:val="24"/>
          <w:szCs w:val="24"/>
        </w:rPr>
        <w:t xml:space="preserve">simultaneamente per altri otto è il modo più rapido di farsi archiviare da tutti.</w:t>
      </w:r>
    </w:p>
    <w:p>
      <w:pPr>
        <w:spacing w:after="120" w:line="276"/>
        <w:jc w:val="both"/>
      </w:pPr>
      <w:r>
        <w:rPr>
          <w:rFonts w:ascii="Barlow Semi Condensed" w:cs="Barlow Semi Condensed" w:eastAsia="Barlow Semi Condensed" w:hAnsi="Barlow Semi Condensed"/>
          <w:sz w:val="24"/>
          <w:szCs w:val="24"/>
        </w:rPr>
        <w:t xml:space="preserve">La checklist di invio organizza apposta le ondate.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Campi da compilare prima dell'invio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Mittente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e cognome]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Indirizzo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CAP, città]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Recapiti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PEC se posseduta, telefono]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 editrice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[denominazione per esteso]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Recapito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email, modulo o indirizzo postale]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Luogo e data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[luogo], [data]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DOI del deposito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[da inserire a deposito Zenodo avvenuto — </w:t>
            </w:r>
            <w:r>
              <w:rPr>
                <w:rFonts w:ascii="Barlow Semi Condensed" w:cs="Barlow Semi Condensed" w:eastAsia="Barlow Semi Condensed" w:hAnsi="Barlow Semi Condensed"/>
                <w:b/>
                <w:bCs/>
                <w:sz w:val="20"/>
                <w:szCs w:val="20"/>
              </w:rPr>
              <w:t xml:space="preserve">senza, non spedire</w:t>
            </w: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Proposta editoriale — «Aldo Moro. Ottanta anni di Pace»: corpus documentale prodotto con sistemi di intelligenza artificiale sotto direzione umana, con apparato di verifica, deposito pubblico e impronta crittografica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della Redazione di [denominazione]</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sottopongo alla vostra valutazione un progetto editoriale che nasce da un corpus</w:t>
      </w:r>
    </w:p>
    <w:p>
      <w:pPr>
        <w:spacing w:after="120" w:line="276"/>
        <w:jc w:val="both"/>
      </w:pPr>
      <w:r>
        <w:rPr>
          <w:rFonts w:ascii="Barlow Semi Condensed" w:cs="Barlow Semi Condensed" w:eastAsia="Barlow Semi Condensed" w:hAnsi="Barlow Semi Condensed"/>
          <w:sz w:val="24"/>
          <w:szCs w:val="24"/>
        </w:rPr>
        <w:t xml:space="preserve">di ricerca storica sul caso Moro e sul suo contesto internazionale, depositato</w:t>
      </w:r>
    </w:p>
    <w:p>
      <w:pPr>
        <w:spacing w:after="120" w:line="276"/>
        <w:jc w:val="both"/>
      </w:pPr>
      <w:r>
        <w:rPr>
          <w:rFonts w:ascii="Barlow Semi Condensed" w:cs="Barlow Semi Condensed" w:eastAsia="Barlow Semi Condensed" w:hAnsi="Barlow Semi Condensed"/>
          <w:sz w:val="24"/>
          <w:szCs w:val="24"/>
        </w:rPr>
        <w:t xml:space="preserve">pubblicamente e citabile all'indirizzo [DOI].</w:t>
      </w:r>
    </w:p>
    <w:p>
      <w:pPr>
        <w:spacing w:after="120" w:line="276"/>
        <w:jc w:val="both"/>
      </w:pPr>
      <w:r>
        <w:rPr>
          <w:rFonts w:ascii="Barlow Semi Condensed" w:cs="Barlow Semi Condensed" w:eastAsia="Barlow Semi Condensed" w:hAnsi="Barlow Semi Condensed"/>
          <w:sz w:val="24"/>
          <w:szCs w:val="24"/>
        </w:rPr>
        <w:t xml:space="preserve">**Comincio da ciò che dovete sapere per primo, perché condiziona ogni vostra</w:t>
      </w:r>
    </w:p>
    <w:p>
      <w:pPr>
        <w:spacing w:after="120" w:line="276"/>
        <w:jc w:val="both"/>
      </w:pPr>
      <w:r>
        <w:rPr>
          <w:rFonts w:ascii="Barlow Semi Condensed" w:cs="Barlow Semi Condensed" w:eastAsia="Barlow Semi Condensed" w:hAnsi="Barlow Semi Condensed"/>
          <w:sz w:val="24"/>
          <w:szCs w:val="24"/>
        </w:rPr>
        <w:t xml:space="preserve">valutazione successiva.</w:t>
      </w:r>
      <w:r>
        <w:rPr>
          <w:rFonts w:ascii="Barlow Semi Condensed" w:cs="Barlow Semi Condensed" w:eastAsia="Barlow Semi Condensed" w:hAnsi="Barlow Semi Condensed"/>
          <w:b/>
          <w:bCs/>
          <w:sz w:val="24"/>
          <w:szCs w:val="24"/>
        </w:rPr>
        <w:t xml:space="preserve"> Il corpus è stato prodotto fra il 2025 e il 2026 </w:t>
      </w:r>
      <w:r>
        <w:rPr>
          <w:rFonts w:ascii="Barlow Semi Condensed" w:cs="Barlow Semi Condensed" w:eastAsia="Barlow Semi Condensed" w:hAnsi="Barlow Semi Condensed"/>
          <w:sz w:val="24"/>
          <w:szCs w:val="24"/>
        </w:rPr>
        <w:t xml:space="preserve">con</w:t>
      </w:r>
    </w:p>
    <w:p>
      <w:pPr>
        <w:spacing w:after="120" w:line="276"/>
        <w:jc w:val="both"/>
      </w:pPr>
      <w:r>
        <w:rPr>
          <w:rFonts w:ascii="Barlow Semi Condensed" w:cs="Barlow Semi Condensed" w:eastAsia="Barlow Semi Condensed" w:hAnsi="Barlow Semi Condensed"/>
          <w:sz w:val="24"/>
          <w:szCs w:val="24"/>
        </w:rPr>
        <w:t xml:space="preserve">sistemi di intelligenza artificiale, sotto la mia direzione e la mia</w:t>
      </w:r>
    </w:p>
    <w:p>
      <w:pPr>
        <w:spacing w:after="120" w:line="276"/>
        <w:jc w:val="both"/>
      </w:pPr>
      <w:r>
        <w:rPr>
          <w:rFonts w:ascii="Barlow Semi Condensed" w:cs="Barlow Semi Condensed" w:eastAsia="Barlow Semi Condensed" w:hAnsi="Barlow Semi Condensed"/>
          <w:sz w:val="24"/>
          <w:szCs w:val="24"/>
        </w:rPr>
        <w:t xml:space="preserve">responsabilità**, e sotto una disciplina metodologica scritta prima del lavoro e</w:t>
      </w:r>
    </w:p>
    <w:p>
      <w:pPr>
        <w:spacing w:after="120" w:line="276"/>
        <w:jc w:val="both"/>
      </w:pPr>
      <w:r>
        <w:rPr>
          <w:rFonts w:ascii="Barlow Semi Condensed" w:cs="Barlow Semi Condensed" w:eastAsia="Barlow Semi Condensed" w:hAnsi="Barlow Semi Condensed"/>
          <w:sz w:val="24"/>
          <w:szCs w:val="24"/>
        </w:rPr>
        <w:t xml:space="preserve">resa vincolante. Questa dichiarazione apre ogni documento dell'opera e non ne</w:t>
      </w:r>
    </w:p>
    <w:p>
      <w:pPr>
        <w:spacing w:after="120" w:line="276"/>
        <w:jc w:val="both"/>
      </w:pPr>
      <w:r>
        <w:rPr>
          <w:rFonts w:ascii="Barlow Semi Condensed" w:cs="Barlow Semi Condensed" w:eastAsia="Barlow Semi Condensed" w:hAnsi="Barlow Semi Condensed"/>
          <w:sz w:val="24"/>
          <w:szCs w:val="24"/>
        </w:rPr>
        <w:t xml:space="preserve">chiude nessuno: non è una nota in calce, è la prima riga. Se la vostra casa non</w:t>
      </w:r>
    </w:p>
    <w:p>
      <w:pPr>
        <w:spacing w:after="120" w:line="276"/>
        <w:jc w:val="both"/>
      </w:pPr>
      <w:r>
        <w:rPr>
          <w:rFonts w:ascii="Barlow Semi Condensed" w:cs="Barlow Semi Condensed" w:eastAsia="Barlow Semi Condensed" w:hAnsi="Barlow Semi Condensed"/>
          <w:sz w:val="24"/>
          <w:szCs w:val="24"/>
        </w:rPr>
        <w:t xml:space="preserve">pubblica opere prodotte in questo modo, la risposta è no e vi ho fatto risparmiare</w:t>
      </w:r>
    </w:p>
    <w:p>
      <w:pPr>
        <w:spacing w:after="120" w:line="276"/>
        <w:jc w:val="both"/>
      </w:pPr>
      <w:r>
        <w:rPr>
          <w:rFonts w:ascii="Barlow Semi Condensed" w:cs="Barlow Semi Condensed" w:eastAsia="Barlow Semi Condensed" w:hAnsi="Barlow Semi Condensed"/>
          <w:sz w:val="24"/>
          <w:szCs w:val="24"/>
        </w:rPr>
        <w:t xml:space="preserve">un'istruttoria; se invece la questione vi interessa, è essa stessa parte di ciò</w:t>
      </w:r>
    </w:p>
    <w:p>
      <w:pPr>
        <w:spacing w:after="120" w:line="276"/>
        <w:jc w:val="both"/>
      </w:pPr>
      <w:r>
        <w:rPr>
          <w:rFonts w:ascii="Barlow Semi Condensed" w:cs="Barlow Semi Condensed" w:eastAsia="Barlow Semi Condensed" w:hAnsi="Barlow Semi Condensed"/>
          <w:sz w:val="24"/>
          <w:szCs w:val="24"/>
        </w:rPr>
        <w:t xml:space="preserve">che propongo.</w:t>
      </w:r>
    </w:p>
    <w:p>
      <w:pPr>
        <w:pStyle w:val="Heading3"/>
        <w:spacing w:after="80" w:before="160"/>
      </w:pPr>
      <w:r>
        <w:rPr>
          <w:rFonts w:ascii="Barlow Semi Condensed" w:cs="Barlow Semi Condensed" w:eastAsia="Barlow Semi Condensed" w:hAnsi="Barlow Semi Condensed"/>
          <w:sz w:val="24"/>
          <w:szCs w:val="24"/>
        </w:rPr>
        <w:t xml:space="preserve">Che cosa è il corpus, e che cosa non è</w:t>
      </w:r>
    </w:p>
    <w:p>
      <w:pPr>
        <w:spacing w:after="120" w:line="276"/>
        <w:jc w:val="both"/>
      </w:pPr>
      <w:r>
        <w:rPr>
          <w:rFonts w:ascii="Barlow Semi Condensed" w:cs="Barlow Semi Condensed" w:eastAsia="Barlow Semi Condensed" w:hAnsi="Barlow Semi Condensed"/>
          <w:sz w:val="24"/>
          <w:szCs w:val="24"/>
        </w:rPr>
        <w:t xml:space="preserve">Non è una ricostruzione dei fatti del 1978 e non propone una tesi sul sequestro.</w:t>
      </w:r>
    </w:p>
    <w:p>
      <w:pPr>
        <w:spacing w:after="120" w:line="276"/>
        <w:jc w:val="both"/>
      </w:pPr>
      <w:r>
        <w:rPr>
          <w:rFonts w:ascii="Barlow Semi Condensed" w:cs="Barlow Semi Condensed" w:eastAsia="Barlow Semi Condensed" w:hAnsi="Barlow Semi Condensed"/>
          <w:b/>
          <w:bCs/>
          <w:sz w:val="24"/>
          <w:szCs w:val="24"/>
        </w:rPr>
        <w:t xml:space="preserve">Non indica responsabili</w:t>
      </w:r>
      <w:r>
        <w:rPr>
          <w:rFonts w:ascii="Barlow Semi Condensed" w:cs="Barlow Semi Condensed" w:eastAsia="Barlow Semi Condensed" w:hAnsi="Barlow Semi Condensed"/>
          <w:sz w:val="24"/>
          <w:szCs w:val="24"/>
        </w:rPr>
        <w:t xml:space="preserve">: nessuna persona vi è indicata come responsabile di un</w:t>
      </w:r>
    </w:p>
    <w:p>
      <w:pPr>
        <w:spacing w:after="120" w:line="276"/>
        <w:jc w:val="both"/>
      </w:pPr>
      <w:r>
        <w:rPr>
          <w:rFonts w:ascii="Barlow Semi Condensed" w:cs="Barlow Semi Condensed" w:eastAsia="Barlow Semi Condensed" w:hAnsi="Barlow Semi Condensed"/>
          <w:sz w:val="24"/>
          <w:szCs w:val="24"/>
        </w:rPr>
        <w:t xml:space="preserve">reato al di fuori di un giudicato definitivo, e la regola che governa l'intero</w:t>
      </w:r>
    </w:p>
    <w:p>
      <w:pPr>
        <w:spacing w:after="120" w:line="276"/>
        <w:jc w:val="both"/>
      </w:pPr>
      <w:r>
        <w:rPr>
          <w:rFonts w:ascii="Barlow Semi Condensed" w:cs="Barlow Semi Condensed" w:eastAsia="Barlow Semi Condensed" w:hAnsi="Barlow Semi Condensed"/>
          <w:sz w:val="24"/>
          <w:szCs w:val="24"/>
        </w:rPr>
        <w:t xml:space="preserve">lavoro è che </w:t>
      </w:r>
      <w:r>
        <w:rPr>
          <w:rFonts w:ascii="Barlow Semi Condensed" w:cs="Barlow Semi Condensed" w:eastAsia="Barlow Semi Condensed" w:hAnsi="Barlow Semi Condensed"/>
          <w:b/>
          <w:bCs/>
          <w:sz w:val="24"/>
          <w:szCs w:val="24"/>
        </w:rPr>
        <w:t xml:space="preserve">l'appartenenza a un'organizzazione non è prova di condotta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Ciò che produce sono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 domande formulate in modo che un</w:t>
      </w:r>
    </w:p>
    <w:p>
      <w:pPr>
        <w:spacing w:after="120" w:line="276"/>
        <w:jc w:val="both"/>
      </w:pPr>
      <w:r>
        <w:rPr>
          <w:rFonts w:ascii="Barlow Semi Condensed" w:cs="Barlow Semi Condensed" w:eastAsia="Barlow Semi Condensed" w:hAnsi="Barlow Semi Condensed"/>
          <w:sz w:val="24"/>
          <w:szCs w:val="24"/>
        </w:rPr>
        <w:t xml:space="preserve">terzo possa andare in archivio a rispondervi, ciascuna col grado di ciò che già si</w:t>
      </w:r>
    </w:p>
    <w:p>
      <w:pPr>
        <w:spacing w:after="120" w:line="276"/>
        <w:jc w:val="both"/>
      </w:pPr>
      <w:r>
        <w:rPr>
          <w:rFonts w:ascii="Barlow Semi Condensed" w:cs="Barlow Semi Condensed" w:eastAsia="Barlow Semi Condensed" w:hAnsi="Barlow Semi Condensed"/>
          <w:sz w:val="24"/>
          <w:szCs w:val="24"/>
        </w:rPr>
        <w:t xml:space="preserve">sa e con la sede in cui si cercherebbe. Ogni proposizione porta un grado</w:t>
      </w:r>
    </w:p>
    <w:p>
      <w:pPr>
        <w:spacing w:after="120" w:line="276"/>
        <w:jc w:val="both"/>
      </w:pPr>
      <w:r>
        <w:rPr>
          <w:rFonts w:ascii="Barlow Semi Condensed" w:cs="Barlow Semi Condensed" w:eastAsia="Barlow Semi Condensed" w:hAnsi="Barlow Semi Condensed"/>
          <w:sz w:val="24"/>
          <w:szCs w:val="24"/>
        </w:rPr>
        <w:t xml:space="preserve">dichiarato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accertamento,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congettura,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fatto</w:t>
      </w:r>
    </w:p>
    <w:p>
      <w:pPr>
        <w:spacing w:after="120" w:line="276"/>
        <w:jc w:val="both"/>
      </w:pPr>
      <w:r>
        <w:rPr>
          <w:rFonts w:ascii="Barlow Semi Condensed" w:cs="Barlow Semi Condensed" w:eastAsia="Barlow Semi Condensed" w:hAnsi="Barlow Semi Condensed"/>
          <w:sz w:val="24"/>
          <w:szCs w:val="24"/>
        </w:rPr>
        <w:t xml:space="preserve">pubblico — e le ricerche condotte senza esito sono registrate come </w:t>
      </w:r>
      <w:r>
        <w:rPr>
          <w:rFonts w:ascii="Barlow Semi Condensed" w:cs="Barlow Semi Condensed" w:eastAsia="Barlow Semi Condensed" w:hAnsi="Barlow Semi Condensed"/>
          <w:b/>
          <w:bCs/>
          <w:sz w:val="24"/>
          <w:szCs w:val="24"/>
        </w:rPr>
        <w:t xml:space="preserve">Stati Zero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validi soltanto se la sede consultata è nominata. Le correzioni sono **annotate</w:t>
      </w:r>
    </w:p>
    <w:p>
      <w:pPr>
        <w:spacing w:after="120" w:line="276"/>
        <w:jc w:val="both"/>
      </w:pPr>
      <w:r>
        <w:rPr>
          <w:rFonts w:ascii="Barlow Semi Condensed" w:cs="Barlow Semi Condensed" w:eastAsia="Barlow Semi Condensed" w:hAnsi="Barlow Semi Condensed"/>
          <w:sz w:val="24"/>
          <w:szCs w:val="24"/>
        </w:rPr>
        <w:t xml:space="preserve">accanto all'errore** e mai applicate in silenzio; le divergenze fra fonti sono</w:t>
      </w:r>
    </w:p>
    <w:p>
      <w:pPr>
        <w:spacing w:after="120" w:line="276"/>
        <w:jc w:val="both"/>
      </w:pPr>
      <w:r>
        <w:rPr>
          <w:rFonts w:ascii="Barlow Semi Condensed" w:cs="Barlow Semi Condensed" w:eastAsia="Barlow Semi Condensed" w:hAnsi="Barlow Semi Condensed"/>
          <w:sz w:val="24"/>
          <w:szCs w:val="24"/>
        </w:rPr>
        <w:t xml:space="preserve">riportate e non risolte d'autorità.</w:t>
      </w:r>
    </w:p>
    <w:p>
      <w:pPr>
        <w:spacing w:after="120" w:line="276"/>
        <w:jc w:val="both"/>
      </w:pPr>
      <w:r>
        <w:rPr>
          <w:rFonts w:ascii="Barlow Semi Condensed" w:cs="Barlow Semi Condensed" w:eastAsia="Barlow Semi Condensed" w:hAnsi="Barlow Semi Condensed"/>
          <w:sz w:val="24"/>
          <w:szCs w:val="24"/>
        </w:rPr>
        <w:t xml:space="preserve">Un solo esempio di che cosa questo comporti, perché vale più di ogni</w:t>
      </w:r>
    </w:p>
    <w:p>
      <w:pPr>
        <w:spacing w:after="120" w:line="276"/>
        <w:jc w:val="both"/>
      </w:pPr>
      <w:r>
        <w:rPr>
          <w:rFonts w:ascii="Barlow Semi Condensed" w:cs="Barlow Semi Condensed" w:eastAsia="Barlow Semi Condensed" w:hAnsi="Barlow Semi Condensed"/>
          <w:sz w:val="24"/>
          <w:szCs w:val="24"/>
        </w:rPr>
        <w:t xml:space="preserve">dichiarazione di metodo. Il 27 agosto 2026 la verifica di un elenco esterno di</w:t>
      </w:r>
    </w:p>
    <w:p>
      <w:pPr>
        <w:spacing w:after="120" w:line="276"/>
        <w:jc w:val="both"/>
      </w:pPr>
      <w:r>
        <w:rPr>
          <w:rFonts w:ascii="Barlow Semi Condensed" w:cs="Barlow Semi Condensed" w:eastAsia="Barlow Semi Condensed" w:hAnsi="Barlow Semi Condensed"/>
          <w:sz w:val="24"/>
          <w:szCs w:val="24"/>
        </w:rPr>
        <w:t xml:space="preserve">trentatré nomi ha portato a </w:t>
      </w:r>
      <w:r>
        <w:rPr>
          <w:rFonts w:ascii="Barlow Semi Condensed" w:cs="Barlow Semi Condensed" w:eastAsia="Barlow Semi Condensed" w:hAnsi="Barlow Semi Condensed"/>
          <w:b/>
          <w:bCs/>
          <w:sz w:val="24"/>
          <w:szCs w:val="24"/>
        </w:rPr>
        <w:t xml:space="preserve">ritirare tre affermazioni mie</w:t>
      </w:r>
      <w:r>
        <w:rPr>
          <w:rFonts w:ascii="Barlow Semi Condensed" w:cs="Barlow Semi Condensed" w:eastAsia="Barlow Semi Condensed" w:hAnsi="Barlow Semi Condensed"/>
          <w:sz w:val="24"/>
          <w:szCs w:val="24"/>
        </w:rPr>
        <w:t xml:space="preserve">: una cifra di</w:t>
      </w:r>
    </w:p>
    <w:p>
      <w:pPr>
        <w:spacing w:after="120" w:line="276"/>
        <w:jc w:val="both"/>
      </w:pPr>
      <w:r>
        <w:rPr>
          <w:rFonts w:ascii="Barlow Semi Condensed" w:cs="Barlow Semi Condensed" w:eastAsia="Barlow Semi Condensed" w:hAnsi="Barlow Semi Condensed"/>
          <w:sz w:val="24"/>
          <w:szCs w:val="24"/>
        </w:rPr>
        <w:t xml:space="preserve">probabilità che dipendeva da un parametro non dichiarato, una regolarità dedotta</w:t>
      </w:r>
    </w:p>
    <w:p>
      <w:pPr>
        <w:spacing w:after="120" w:line="276"/>
        <w:jc w:val="both"/>
      </w:pPr>
      <w:r>
        <w:rPr>
          <w:rFonts w:ascii="Barlow Semi Condensed" w:cs="Barlow Semi Condensed" w:eastAsia="Barlow Semi Condensed" w:hAnsi="Barlow Semi Condensed"/>
          <w:sz w:val="24"/>
          <w:szCs w:val="24"/>
        </w:rPr>
        <w:t xml:space="preserve">da due soli punti, e un indizio che a un esame più attento era il primo indizio</w:t>
      </w:r>
    </w:p>
    <w:p>
      <w:pPr>
        <w:spacing w:after="120" w:line="276"/>
        <w:jc w:val="both"/>
      </w:pPr>
      <w:r>
        <w:rPr>
          <w:rFonts w:ascii="Barlow Semi Condensed" w:cs="Barlow Semi Condensed" w:eastAsia="Barlow Semi Condensed" w:hAnsi="Barlow Semi Condensed"/>
          <w:sz w:val="24"/>
          <w:szCs w:val="24"/>
        </w:rPr>
        <w:t xml:space="preserve">riformulato. Le tre ritrattazioni sono scritte nell'opera, accanto a ciò che</w:t>
      </w:r>
    </w:p>
    <w:p>
      <w:pPr>
        <w:spacing w:after="120" w:line="276"/>
        <w:jc w:val="both"/>
      </w:pPr>
      <w:r>
        <w:rPr>
          <w:rFonts w:ascii="Barlow Semi Condensed" w:cs="Barlow Semi Condensed" w:eastAsia="Barlow Semi Condensed" w:hAnsi="Barlow Semi Condensed"/>
          <w:sz w:val="24"/>
          <w:szCs w:val="24"/>
        </w:rPr>
        <w:t xml:space="preserve">correggono. Un apparato che non ritratta mai non è un apparato: è una tesi.</w:t>
      </w:r>
    </w:p>
    <w:p>
      <w:pPr>
        <w:pStyle w:val="Heading3"/>
        <w:spacing w:after="80" w:before="160"/>
      </w:pPr>
      <w:r>
        <w:rPr>
          <w:rFonts w:ascii="Barlow Semi Condensed" w:cs="Barlow Semi Condensed" w:eastAsia="Barlow Semi Condensed" w:hAnsi="Barlow Semi Condensed"/>
          <w:sz w:val="24"/>
          <w:szCs w:val="24"/>
        </w:rPr>
        <w:t xml:space="preserve">I numeri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Opera integrale rilegata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oltre </w:t>
            </w:r>
            <w:r>
              <w:rPr>
                <w:rFonts w:ascii="Barlow Semi Condensed" w:cs="Barlow Semi Condensed" w:eastAsia="Barlow Semi Condensed" w:hAnsi="Barlow Semi Condensed"/>
                <w:b/>
                <w:bCs/>
                <w:sz w:val="20"/>
                <w:szCs w:val="20"/>
              </w:rPr>
              <w:t xml:space="preserve">2.500 pagine</w:t>
            </w:r>
            <w:r>
              <w:rPr>
                <w:rFonts w:ascii="Barlow Semi Condensed" w:cs="Barlow Semi Condensed" w:eastAsia="Barlow Semi Condensed" w:hAnsi="Barlow Semi Condensed"/>
                <w:sz w:val="20"/>
                <w:szCs w:val="20"/>
              </w:rPr>
              <w:t xml:space="preserve">, quindici Libri e cinque Appendici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Documenti che la compongono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108</w:t>
            </w:r>
            <w:r>
              <w:rPr>
                <w:rFonts w:ascii="Barlow Semi Condensed" w:cs="Barlow Semi Condensed" w:eastAsia="Barlow Semi Condensed" w:hAnsi="Barlow Semi Condensed"/>
                <w:sz w:val="20"/>
                <w:szCs w:val="20"/>
              </w:rPr>
              <w:t xml:space="preserve"> rilegati sui </w:t>
            </w:r>
            <w:r>
              <w:rPr>
                <w:rFonts w:ascii="Barlow Semi Condensed" w:cs="Barlow Semi Condensed" w:eastAsia="Barlow Semi Condensed" w:hAnsi="Barlow Semi Condensed"/>
                <w:b/>
                <w:bCs/>
                <w:sz w:val="20"/>
                <w:szCs w:val="20"/>
              </w:rPr>
              <w:t xml:space="preserve">111</w:t>
            </w:r>
            <w:r>
              <w:rPr>
                <w:rFonts w:ascii="Barlow Semi Condensed" w:cs="Barlow Semi Condensed" w:eastAsia="Barlow Semi Condensed" w:hAnsi="Barlow Semi Condensed"/>
                <w:sz w:val="20"/>
                <w:szCs w:val="20"/>
              </w:rPr>
              <w:t xml:space="preserve"> del perimetro; i tre esclusi sono nominati in copertina con la ragione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Blocchi mirati di ricerca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7.699</w:t>
            </w:r>
            <w:r>
              <w:rPr>
                <w:rFonts w:ascii="Barlow Semi Condensed" w:cs="Barlow Semi Condensed" w:eastAsia="Barlow Semi Condensed" w:hAnsi="Barlow Semi Condensed"/>
                <w:sz w:val="20"/>
                <w:szCs w:val="20"/>
              </w:rPr>
              <w:t xml:space="preserve"> in cinque opere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Riferimenti bibliografici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736</w:t>
            </w:r>
            <w:r>
              <w:rPr>
                <w:rFonts w:ascii="Barlow Semi Condensed" w:cs="Barlow Semi Condensed" w:eastAsia="Barlow Semi Condensed" w:hAnsi="Barlow Semi Condensed"/>
                <w:sz w:val="20"/>
                <w:szCs w:val="20"/>
              </w:rPr>
              <w:t xml:space="preserve"> indirizzi distinti, </w:t>
            </w:r>
            <w:r>
              <w:rPr>
                <w:rFonts w:ascii="Barlow Semi Condensed" w:cs="Barlow Semi Condensed" w:eastAsia="Barlow Semi Condensed" w:hAnsi="Barlow Semi Condensed"/>
                <w:b/>
                <w:bCs/>
                <w:sz w:val="20"/>
                <w:szCs w:val="20"/>
              </w:rPr>
              <w:t xml:space="preserve">1.332</w:t>
            </w:r>
            <w:r>
              <w:rPr>
                <w:rFonts w:ascii="Barlow Semi Condensed" w:cs="Barlow Semi Condensed" w:eastAsia="Barlow Semi Condensed" w:hAnsi="Barlow Semi Condensed"/>
                <w:sz w:val="20"/>
                <w:szCs w:val="20"/>
              </w:rPr>
              <w:t xml:space="preserve"> citazioni, </w:t>
            </w:r>
            <w:r>
              <w:rPr>
                <w:rFonts w:ascii="Barlow Semi Condensed" w:cs="Barlow Semi Condensed" w:eastAsia="Barlow Semi Condensed" w:hAnsi="Barlow Semi Condensed"/>
                <w:b/>
                <w:bCs/>
                <w:sz w:val="20"/>
                <w:szCs w:val="20"/>
              </w:rPr>
              <w:t xml:space="preserve">390</w:t>
            </w:r>
            <w:r>
              <w:rPr>
                <w:rFonts w:ascii="Barlow Semi Condensed" w:cs="Barlow Semi Condensed" w:eastAsia="Barlow Semi Condensed" w:hAnsi="Barlow Semi Condensed"/>
                <w:sz w:val="20"/>
                <w:szCs w:val="20"/>
              </w:rPr>
              <w:t xml:space="preserve"> domini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Apparato grafico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247</w:t>
            </w:r>
            <w:r>
              <w:rPr>
                <w:rFonts w:ascii="Barlow Semi Condensed" w:cs="Barlow Semi Condensed" w:eastAsia="Barlow Semi Condensed" w:hAnsi="Barlow Semi Condensed"/>
                <w:sz w:val="20"/>
                <w:szCs w:val="20"/>
              </w:rPr>
              <w:t xml:space="preserve"> grafici su 108 capitoli, mai meno di due per capitolo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Verificabilità</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impronta SHA-256 per ogni file, con manifesto e istruzioni di controllo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Un'eccezione che dichiaro io, prima che la troviate voi</w:t>
      </w:r>
    </w:p>
    <w:p>
      <w:pPr>
        <w:spacing w:after="120" w:line="276"/>
        <w:jc w:val="both"/>
      </w:pPr>
      <w:r>
        <w:rPr>
          <w:rFonts w:ascii="Barlow Semi Condensed" w:cs="Barlow Semi Condensed" w:eastAsia="Barlow Semi Condensed" w:hAnsi="Barlow Semi Condensed"/>
          <w:sz w:val="24"/>
          <w:szCs w:val="24"/>
        </w:rPr>
        <w:t xml:space="preserve">Quattordici Libri su quindici si fermano al giudicato. </w:t>
      </w:r>
      <w:r>
        <w:rPr>
          <w:rFonts w:ascii="Barlow Semi Condensed" w:cs="Barlow Semi Condensed" w:eastAsia="Barlow Semi Condensed" w:hAnsi="Barlow Semi Condensed"/>
          <w:b/>
          <w:bCs/>
          <w:sz w:val="24"/>
          <w:szCs w:val="24"/>
        </w:rPr>
        <w:t xml:space="preserve">Il Libro quarto 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nella seconda metà ordina per plausibilità del coinvolgimento — e lo fa per</w:t>
      </w:r>
    </w:p>
    <w:p>
      <w:pPr>
        <w:spacing w:after="120" w:line="276"/>
        <w:jc w:val="both"/>
      </w:pPr>
      <w:r>
        <w:rPr>
          <w:rFonts w:ascii="Barlow Semi Condensed" w:cs="Barlow Semi Condensed" w:eastAsia="Barlow Semi Condensed" w:hAnsi="Barlow Semi Condensed"/>
          <w:b/>
          <w:bCs/>
          <w:sz w:val="24"/>
          <w:szCs w:val="24"/>
        </w:rPr>
        <w:t xml:space="preserve">categorie di soggetti, non per nomi individuali</w:t>
      </w:r>
      <w:r>
        <w:rPr>
          <w:rFonts w:ascii="Barlow Semi Condensed" w:cs="Barlow Semi Condensed" w:eastAsia="Barlow Semi Condensed" w:hAnsi="Barlow Semi Condensed"/>
          <w:sz w:val="24"/>
          <w:szCs w:val="24"/>
        </w:rPr>
        <w:t xml:space="preserve">, muovendo dai condannati in</w:t>
      </w:r>
    </w:p>
    <w:p>
      <w:pPr>
        <w:spacing w:after="120" w:line="276"/>
        <w:jc w:val="both"/>
      </w:pPr>
      <w:r>
        <w:rPr>
          <w:rFonts w:ascii="Barlow Semi Condensed" w:cs="Barlow Semi Condensed" w:eastAsia="Barlow Semi Condensed" w:hAnsi="Barlow Semi Condensed"/>
          <w:sz w:val="24"/>
          <w:szCs w:val="24"/>
        </w:rPr>
        <w:t xml:space="preserve">via definitiva e rifiutando di nominare un mandante esterno. L'eccezione è</w:t>
      </w:r>
    </w:p>
    <w:p>
      <w:pPr>
        <w:spacing w:after="120" w:line="276"/>
        <w:jc w:val="both"/>
      </w:pPr>
      <w:r>
        <w:rPr>
          <w:rFonts w:ascii="Barlow Semi Condensed" w:cs="Barlow Semi Condensed" w:eastAsia="Barlow Semi Condensed" w:hAnsi="Barlow Semi Condensed"/>
          <w:sz w:val="24"/>
          <w:szCs w:val="24"/>
        </w:rPr>
        <w:t xml:space="preserve">registrata nella disciplina in copertina, ripetuta nella nota che apre quel Libro,</w:t>
      </w:r>
    </w:p>
    <w:p>
      <w:pPr>
        <w:spacing w:after="120" w:line="276"/>
        <w:jc w:val="both"/>
      </w:pPr>
      <w:r>
        <w:rPr>
          <w:rFonts w:ascii="Barlow Semi Condensed" w:cs="Barlow Semi Condensed" w:eastAsia="Barlow Semi Condensed" w:hAnsi="Barlow Semi Condensed"/>
          <w:sz w:val="24"/>
          <w:szCs w:val="24"/>
        </w:rPr>
        <w:t xml:space="preserve">e vale per quel Libro soltanto. La segnalo qui perché un editore la deve sapere</w:t>
      </w:r>
    </w:p>
    <w:p>
      <w:pPr>
        <w:spacing w:after="120" w:line="276"/>
        <w:jc w:val="both"/>
      </w:pPr>
      <w:r>
        <w:rPr>
          <w:rFonts w:ascii="Barlow Semi Condensed" w:cs="Barlow Semi Condensed" w:eastAsia="Barlow Semi Condensed" w:hAnsi="Barlow Semi Condensed"/>
          <w:sz w:val="24"/>
          <w:szCs w:val="24"/>
        </w:rPr>
        <w:t xml:space="preserve">prima di leggere, non dopo.</w:t>
      </w:r>
    </w:p>
    <w:p>
      <w:pPr>
        <w:pStyle w:val="Heading3"/>
        <w:spacing w:after="80" w:before="160"/>
      </w:pPr>
      <w:r>
        <w:rPr>
          <w:rFonts w:ascii="Barlow Semi Condensed" w:cs="Barlow Semi Condensed" w:eastAsia="Barlow Semi Condensed" w:hAnsi="Barlow Semi Condensed"/>
          <w:sz w:val="24"/>
          <w:szCs w:val="24"/>
        </w:rPr>
        <w:t xml:space="preserve">Che cosa propongo, esattamente</w:t>
      </w:r>
    </w:p>
    <w:p>
      <w:pPr>
        <w:spacing w:after="120" w:line="276"/>
        <w:jc w:val="both"/>
      </w:pPr>
      <w:r>
        <w:rPr>
          <w:rFonts w:ascii="Barlow Semi Condensed" w:cs="Barlow Semi Condensed" w:eastAsia="Barlow Semi Condensed" w:hAnsi="Barlow Semi Condensed"/>
          <w:b/>
          <w:bCs/>
          <w:sz w:val="24"/>
          <w:szCs w:val="24"/>
        </w:rPr>
        <w:t xml:space="preserve">Non vi propongo di pubblicare 2.500 pagine.</w:t>
      </w:r>
      <w:r>
        <w:rPr>
          <w:rFonts w:ascii="Barlow Semi Condensed" w:cs="Barlow Semi Condensed" w:eastAsia="Barlow Semi Condensed" w:hAnsi="Barlow Semi Condensed"/>
          <w:sz w:val="24"/>
          <w:szCs w:val="24"/>
        </w:rPr>
        <w:t xml:space="preserve"> Nessun lettore le apre e nessun</w:t>
      </w:r>
    </w:p>
    <w:p>
      <w:pPr>
        <w:spacing w:after="120" w:line="276"/>
        <w:jc w:val="both"/>
      </w:pPr>
      <w:r>
        <w:rPr>
          <w:rFonts w:ascii="Barlow Semi Condensed" w:cs="Barlow Semi Condensed" w:eastAsia="Barlow Semi Condensed" w:hAnsi="Barlow Semi Condensed"/>
          <w:sz w:val="24"/>
          <w:szCs w:val="24"/>
        </w:rPr>
        <w:t xml:space="preserve">catalogo le ospita. Il corpus è il materiale; il libro è un'altra cosa, e va</w:t>
      </w:r>
    </w:p>
    <w:p>
      <w:pPr>
        <w:spacing w:after="120" w:line="276"/>
        <w:jc w:val="both"/>
      </w:pPr>
      <w:r>
        <w:rPr>
          <w:rFonts w:ascii="Barlow Semi Condensed" w:cs="Barlow Semi Condensed" w:eastAsia="Barlow Semi Condensed" w:hAnsi="Barlow Semi Condensed"/>
          <w:sz w:val="24"/>
          <w:szCs w:val="24"/>
        </w:rPr>
        <w:t xml:space="preserve">scritto.</w:t>
      </w:r>
    </w:p>
    <w:p>
      <w:pPr>
        <w:spacing w:after="120" w:line="276"/>
        <w:jc w:val="both"/>
      </w:pPr>
      <w:r>
        <w:rPr>
          <w:rFonts w:ascii="Barlow Semi Condensed" w:cs="Barlow Semi Condensed" w:eastAsia="Barlow Semi Condensed" w:hAnsi="Barlow Semi Condensed"/>
          <w:sz w:val="24"/>
          <w:szCs w:val="24"/>
        </w:rPr>
        <w:t xml:space="preserve">Propongo un </w:t>
      </w:r>
      <w:r>
        <w:rPr>
          <w:rFonts w:ascii="Barlow Semi Condensed" w:cs="Barlow Semi Condensed" w:eastAsia="Barlow Semi Condensed" w:hAnsi="Barlow Semi Condensed"/>
          <w:b/>
          <w:bCs/>
          <w:sz w:val="24"/>
          <w:szCs w:val="24"/>
        </w:rPr>
        <w:t xml:space="preserve">saggio civile di 140-200 pagine in sette capitoli</w:t>
      </w:r>
      <w:r>
        <w:rPr>
          <w:rFonts w:ascii="Barlow Semi Condensed" w:cs="Barlow Semi Condensed" w:eastAsia="Barlow Semi Condensed" w:hAnsi="Barlow Semi Condensed"/>
          <w:sz w:val="24"/>
          <w:szCs w:val="24"/>
        </w:rPr>
        <w:t xml:space="preserve">, che racconti al</w:t>
      </w:r>
    </w:p>
    <w:p>
      <w:pPr>
        <w:spacing w:after="120" w:line="276"/>
        <w:jc w:val="both"/>
      </w:pPr>
      <w:r>
        <w:rPr>
          <w:rFonts w:ascii="Barlow Semi Condensed" w:cs="Barlow Semi Condensed" w:eastAsia="Barlow Semi Condensed" w:hAnsi="Barlow Semi Condensed"/>
          <w:sz w:val="24"/>
          <w:szCs w:val="24"/>
        </w:rPr>
        <w:t xml:space="preserve">lettore generale che cosa significa oggi la distanza fra ciò che di quel caso è</w:t>
      </w:r>
    </w:p>
    <w:p>
      <w:pPr>
        <w:spacing w:after="120" w:line="276"/>
        <w:jc w:val="both"/>
      </w:pPr>
      <w:r>
        <w:rPr>
          <w:rFonts w:ascii="Barlow Semi Condensed" w:cs="Barlow Semi Condensed" w:eastAsia="Barlow Semi Condensed" w:hAnsi="Barlow Semi Condensed"/>
          <w:sz w:val="24"/>
          <w:szCs w:val="24"/>
        </w:rPr>
        <w:t xml:space="preserve">accertato e ciò che continua a circolare come se lo fosse — e che tenga insieme</w:t>
      </w:r>
    </w:p>
    <w:p>
      <w:pPr>
        <w:spacing w:after="120" w:line="276"/>
        <w:jc w:val="both"/>
      </w:pPr>
      <w:r>
        <w:rPr>
          <w:rFonts w:ascii="Barlow Semi Condensed" w:cs="Barlow Semi Condensed" w:eastAsia="Barlow Semi Condensed" w:hAnsi="Barlow Semi Condensed"/>
          <w:sz w:val="24"/>
          <w:szCs w:val="24"/>
        </w:rPr>
        <w:t xml:space="preserve">due fili: il caso Moro come oggetto, e il metodo di verifica come esperimento</w:t>
      </w:r>
    </w:p>
    <w:p>
      <w:pPr>
        <w:spacing w:after="120" w:line="276"/>
        <w:jc w:val="both"/>
      </w:pPr>
      <w:r>
        <w:rPr>
          <w:rFonts w:ascii="Barlow Semi Condensed" w:cs="Barlow Semi Condensed" w:eastAsia="Barlow Semi Condensed" w:hAnsi="Barlow Semi Condensed"/>
          <w:sz w:val="24"/>
          <w:szCs w:val="24"/>
        </w:rPr>
        <w:t xml:space="preserve">riproducibile. La struttura è definita,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ed è in</w:t>
      </w:r>
    </w:p>
    <w:p>
      <w:pPr>
        <w:spacing w:after="120" w:line="276"/>
        <w:jc w:val="both"/>
      </w:pPr>
      <w:r>
        <w:rPr>
          <w:rFonts w:ascii="Barlow Semi Condensed" w:cs="Barlow Semi Condensed" w:eastAsia="Barlow Semi Condensed" w:hAnsi="Barlow Semi Condensed"/>
          <w:sz w:val="24"/>
          <w:szCs w:val="24"/>
        </w:rPr>
        <w:t xml:space="preserve">allegato. Il resto è da scrivere, e lo dico chiaramente perché non voglio che sia</w:t>
      </w:r>
    </w:p>
    <w:p>
      <w:pPr>
        <w:spacing w:after="120" w:line="276"/>
        <w:jc w:val="both"/>
      </w:pPr>
      <w:r>
        <w:rPr>
          <w:rFonts w:ascii="Barlow Semi Condensed" w:cs="Barlow Semi Condensed" w:eastAsia="Barlow Semi Condensed" w:hAnsi="Barlow Semi Condensed"/>
          <w:sz w:val="24"/>
          <w:szCs w:val="24"/>
        </w:rPr>
        <w:t xml:space="preserve">scoperto poi.</w:t>
      </w:r>
    </w:p>
    <w:p>
      <w:pPr>
        <w:spacing w:after="120" w:line="276"/>
        <w:jc w:val="both"/>
      </w:pPr>
      <w:r>
        <w:rPr>
          <w:rFonts w:ascii="Barlow Semi Condensed" w:cs="Barlow Semi Condensed" w:eastAsia="Barlow Semi Condensed" w:hAnsi="Barlow Semi Condensed"/>
          <w:sz w:val="24"/>
          <w:szCs w:val="24"/>
        </w:rPr>
        <w:t xml:space="preserve">Resto naturalmente disponibile a una diversa forma, se la vostra lettura ne</w:t>
      </w:r>
    </w:p>
    <w:p>
      <w:pPr>
        <w:spacing w:after="120" w:line="276"/>
        <w:jc w:val="both"/>
      </w:pPr>
      <w:r>
        <w:rPr>
          <w:rFonts w:ascii="Barlow Semi Condensed" w:cs="Barlow Semi Condensed" w:eastAsia="Barlow Semi Condensed" w:hAnsi="Barlow Semi Condensed"/>
          <w:sz w:val="24"/>
          <w:szCs w:val="24"/>
        </w:rPr>
        <w:t xml:space="preserve">suggerisce una migliore.</w:t>
      </w:r>
    </w:p>
    <w:p>
      <w:pPr>
        <w:pStyle w:val="Heading3"/>
        <w:spacing w:after="80" w:before="160"/>
      </w:pPr>
      <w:r>
        <w:rPr>
          <w:rFonts w:ascii="Barlow Semi Condensed" w:cs="Barlow Semi Condensed" w:eastAsia="Barlow Semi Condensed" w:hAnsi="Barlow Semi Condensed"/>
          <w:sz w:val="24"/>
          <w:szCs w:val="24"/>
        </w:rPr>
        <w:t xml:space="preserve">Che cosa allego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1</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La scheda dell'opera</w:t>
            </w:r>
            <w:r>
              <w:rPr>
                <w:rFonts w:ascii="Barlow Semi Condensed" w:cs="Barlow Semi Condensed" w:eastAsia="Barlow Semi Condensed" w:hAnsi="Barlow Semi Condensed"/>
                <w:b/>
                <w:bCs/>
                <w:color w:val="FFFFFF"/>
                <w:sz w:val="20"/>
                <w:szCs w:val="20"/>
              </w:rPr>
              <w:t xml:space="preserve"> — una pagina, tutti i numeri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capitolo campione</w:t>
            </w:r>
            <w:r>
              <w:rPr>
                <w:rFonts w:ascii="Barlow Semi Condensed" w:cs="Barlow Semi Condensed" w:eastAsia="Barlow Semi Condensed" w:hAnsi="Barlow Semi Condensed"/>
                <w:sz w:val="20"/>
                <w:szCs w:val="20"/>
              </w:rPr>
              <w:t xml:space="preserve"> — è il pezzo su cui chiedo di essere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3</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 richiesta)</w:t>
            </w:r>
            <w:r>
              <w:rPr>
                <w:rFonts w:ascii="Barlow Semi Condensed" w:cs="Barlow Semi Condensed" w:eastAsia="Barlow Semi Condensed" w:hAnsi="Barlow Semi Condensed"/>
                <w:sz w:val="20"/>
                <w:szCs w:val="20"/>
              </w:rPr>
              <w:t xml:space="preserve"> l'opera integrale, in tre parti, e il registro delle impronte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Non allego il volume intero se non lo chiedete: pesa quaranta megabyte e non è ciò</w:t>
      </w:r>
    </w:p>
    <w:p>
      <w:pPr>
        <w:spacing w:after="120" w:line="276"/>
        <w:jc w:val="both"/>
      </w:pPr>
      <w:r>
        <w:rPr>
          <w:rFonts w:ascii="Barlow Semi Condensed" w:cs="Barlow Semi Condensed" w:eastAsia="Barlow Semi Condensed" w:hAnsi="Barlow Semi Condensed"/>
          <w:sz w:val="24"/>
          <w:szCs w:val="24"/>
        </w:rPr>
        <w:t xml:space="preserve">che vi serve per decidere.</w:t>
      </w:r>
    </w:p>
    <w:p>
      <w:pPr>
        <w:pStyle w:val="Heading3"/>
        <w:spacing w:after="80" w:before="160"/>
      </w:pPr>
      <w:r>
        <w:rPr>
          <w:rFonts w:ascii="Barlow Semi Condensed" w:cs="Barlow Semi Condensed" w:eastAsia="Barlow Semi Condensed" w:hAnsi="Barlow Semi Condensed"/>
          <w:sz w:val="24"/>
          <w:szCs w:val="24"/>
        </w:rPr>
        <w:t xml:space="preserve">In chiusura</w:t>
      </w:r>
    </w:p>
    <w:p>
      <w:pPr>
        <w:spacing w:after="120" w:line="276"/>
        <w:jc w:val="both"/>
      </w:pPr>
      <w:r>
        <w:rPr>
          <w:rFonts w:ascii="Barlow Semi Condensed" w:cs="Barlow Semi Condensed" w:eastAsia="Barlow Semi Condensed" w:hAnsi="Barlow Semi Condensed"/>
          <w:sz w:val="24"/>
          <w:szCs w:val="24"/>
        </w:rPr>
        <w:t xml:space="preserve">L'opera è già depositata e citabile: **non vi chiedo di pubblicare un inedito, ma</w:t>
      </w:r>
    </w:p>
    <w:p>
      <w:pPr>
        <w:spacing w:after="120" w:line="276"/>
        <w:jc w:val="both"/>
      </w:pPr>
      <w:r>
        <w:rPr>
          <w:rFonts w:ascii="Barlow Semi Condensed" w:cs="Barlow Semi Condensed" w:eastAsia="Barlow Semi Condensed" w:hAnsi="Barlow Semi Condensed"/>
          <w:sz w:val="24"/>
          <w:szCs w:val="24"/>
        </w:rPr>
        <w:t xml:space="preserve">di valutare se da un materiale già pubblico possa nascere un libro**. Se la</w:t>
      </w:r>
    </w:p>
    <w:p>
      <w:pPr>
        <w:spacing w:after="120" w:line="276"/>
        <w:jc w:val="both"/>
      </w:pPr>
      <w:r>
        <w:rPr>
          <w:rFonts w:ascii="Barlow Semi Condensed" w:cs="Barlow Semi Condensed" w:eastAsia="Barlow Semi Condensed" w:hAnsi="Barlow Semi Condensed"/>
          <w:sz w:val="24"/>
          <w:szCs w:val="24"/>
        </w:rPr>
        <w:t xml:space="preserve">risposta è no, vi sarei grato di una riga che me lo dica: la registro nel dossier</w:t>
      </w:r>
    </w:p>
    <w:p>
      <w:pPr>
        <w:spacing w:after="120" w:line="276"/>
        <w:jc w:val="both"/>
      </w:pPr>
      <w:r>
        <w:rPr>
          <w:rFonts w:ascii="Barlow Semi Condensed" w:cs="Barlow Semi Condensed" w:eastAsia="Barlow Semi Condensed" w:hAnsi="Barlow Semi Condensed"/>
          <w:sz w:val="24"/>
          <w:szCs w:val="24"/>
        </w:rPr>
        <w:t xml:space="preserve">di invio, che tiene conto anche dei no.</w:t>
      </w:r>
    </w:p>
    <w:p>
      <w:pPr>
        <w:spacing w:after="120" w:line="276"/>
        <w:jc w:val="both"/>
      </w:pPr>
      <w:r>
        <w:rPr>
          <w:rFonts w:ascii="Barlow Semi Condensed" w:cs="Barlow Semi Condensed" w:eastAsia="Barlow Semi Condensed" w:hAnsi="Barlow Semi Condensed"/>
          <w:sz w:val="24"/>
          <w:szCs w:val="24"/>
        </w:rPr>
        <w:t xml:space="preserve">Ringrazio per l'attenzione e resto a disposizione per qualsiasi chiarimento.</w:t>
      </w:r>
    </w:p>
    <w:p>
      <w:pPr>
        <w:spacing w:after="120" w:line="276"/>
        <w:jc w:val="both"/>
      </w:pPr>
      <w:r>
        <w:rPr>
          <w:rFonts w:ascii="Barlow Semi Condensed" w:cs="Barlow Semi Condensed" w:eastAsia="Barlow Semi Condensed" w:hAnsi="Barlow Semi Condensed"/>
          <w:sz w:val="24"/>
          <w:szCs w:val="24"/>
        </w:rPr>
        <w:t xml:space="preserve">Con i migliori saluti,</w:t>
      </w:r>
    </w:p>
    <w:p>
      <w:pPr>
        <w:spacing w:after="120" w:line="276"/>
        <w:jc w:val="both"/>
      </w:pPr>
      <w:r>
        <w:rPr>
          <w:rFonts w:ascii="Barlow Semi Condensed" w:cs="Barlow Semi Condensed" w:eastAsia="Barlow Semi Condensed" w:hAnsi="Barlow Semi Condensed"/>
          <w:sz w:val="24"/>
          <w:szCs w:val="24"/>
        </w:rPr>
        <w:t xml:space="preserve">[nome e cognome]</w:t>
      </w:r>
    </w:p>
    <w:p>
      <w:pPr>
        <w:spacing w:after="120" w:line="276"/>
        <w:jc w:val="both"/>
      </w:pPr>
      <w:r>
        <w:rPr>
          <w:rFonts w:ascii="Barlow Semi Condensed" w:cs="Barlow Semi Condensed" w:eastAsia="Barlow Semi Condensed" w:hAnsi="Barlow Semi Condensed"/>
          <w:sz w:val="24"/>
          <w:szCs w:val="24"/>
        </w:rPr>
        <w:t xml:space="preserve">[recapiti]</w:t>
      </w:r>
    </w:p>
    <w:p>
      <w:pPr>
        <w:spacing w:after="120" w:line="276"/>
        <w:jc w:val="both"/>
      </w:pPr>
      <w:r>
        <w:rPr>
          <w:rFonts w:ascii="Barlow Semi Condensed" w:cs="Barlow Semi Condensed" w:eastAsia="Barlow Semi Condensed" w:hAnsi="Barlow Semi Condensed"/>
          <w:sz w:val="24"/>
          <w:szCs w:val="24"/>
        </w:rPr>
        <w:t xml:space="preserve">[luogo e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premere invio — quattro controlli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DOI è inserito?</w:t>
      </w:r>
      <w:r>
        <w:rPr>
          <w:rFonts w:ascii="Barlow Semi Condensed" w:cs="Barlow Semi Condensed" w:eastAsia="Barlow Semi Condensed" w:hAnsi="Barlow Semi Condensed"/>
          <w:sz w:val="24"/>
          <w:szCs w:val="24"/>
        </w:rPr>
        <w:t xml:space="preserve"> Senza, l'opera non è citabile e la frase «già</w:t>
      </w:r>
    </w:p>
    <w:p>
      <w:pPr>
        <w:spacing w:after="120" w:line="276"/>
        <w:jc w:val="both"/>
      </w:pPr>
      <w:r>
        <w:rPr>
          <w:rFonts w:ascii="Barlow Semi Condensed" w:cs="Barlow Semi Condensed" w:eastAsia="Barlow Semi Condensed" w:hAnsi="Barlow Semi Condensed"/>
          <w:sz w:val="24"/>
          <w:szCs w:val="24"/>
        </w:rPr>
        <w:t xml:space="preserve">      depositata» è falsa. È l'unico campo che rende inutile tutto il resto.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canale è quello giusto per questa casa?</w:t>
      </w:r>
      <w:r>
        <w:rPr>
          <w:rFonts w:ascii="Barlow Semi Condensed" w:cs="Barlow Semi Condensed" w:eastAsia="Barlow Semi Condensed" w:hAnsi="Barlow Semi Condensed"/>
          <w:sz w:val="24"/>
          <w:szCs w:val="24"/>
        </w:rPr>
        <w:t xml:space="preserve"> Il registro dei canali dice</w:t>
      </w:r>
    </w:p>
    <w:p>
      <w:pPr>
        <w:spacing w:after="120" w:line="276"/>
        <w:jc w:val="both"/>
      </w:pPr>
      <w:r>
        <w:rPr>
          <w:rFonts w:ascii="Barlow Semi Condensed" w:cs="Barlow Semi Condensed" w:eastAsia="Barlow Semi Condensed" w:hAnsi="Barlow Semi Condensed"/>
          <w:sz w:val="24"/>
          <w:szCs w:val="24"/>
        </w:rPr>
        <w:t xml:space="preserve">      quale, ed è diverso per ognuna.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casa editrice è nominata per esteso</w:t>
      </w:r>
      <w:r>
        <w:rPr>
          <w:rFonts w:ascii="Barlow Semi Condensed" w:cs="Barlow Semi Condensed" w:eastAsia="Barlow Semi Condensed" w:hAnsi="Barlow Semi Condensed"/>
          <w:sz w:val="24"/>
          <w:szCs w:val="24"/>
        </w:rPr>
        <w:t xml:space="preserve">, e nessun'altra compare nel</w:t>
      </w:r>
    </w:p>
    <w:p>
      <w:pPr>
        <w:spacing w:after="120" w:line="276"/>
        <w:jc w:val="both"/>
      </w:pPr>
      <w:r>
        <w:rPr>
          <w:rFonts w:ascii="Barlow Semi Condensed" w:cs="Barlow Semi Condensed" w:eastAsia="Barlow Semi Condensed" w:hAnsi="Barlow Semi Condensed"/>
          <w:sz w:val="24"/>
          <w:szCs w:val="24"/>
        </w:rPr>
        <w:t xml:space="preserve">      testo o fra i destinatari.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Gli allegati sono due</w:t>
      </w:r>
      <w:r>
        <w:rPr>
          <w:rFonts w:ascii="Barlow Semi Condensed" w:cs="Barlow Semi Condensed" w:eastAsia="Barlow Semi Condensed" w:hAnsi="Barlow Semi Condensed"/>
          <w:sz w:val="24"/>
          <w:szCs w:val="24"/>
        </w:rPr>
        <w:t xml:space="preserve">, non tre e non dodici.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 testo non fa, e va saputo</w:t>
      </w:r>
    </w:p>
    <w:p>
      <w:pPr>
        <w:spacing w:after="120" w:line="276"/>
        <w:jc w:val="both"/>
      </w:pPr>
      <w:r>
        <w:rPr>
          <w:rFonts w:ascii="Barlow Semi Condensed" w:cs="Barlow Semi Condensed" w:eastAsia="Barlow Semi Condensed" w:hAnsi="Barlow Semi Condensed"/>
          <w:sz w:val="24"/>
          <w:szCs w:val="24"/>
        </w:rPr>
        <w:t xml:space="preserve">Non promette esclusiva, perché il corpus è depositato pubblicamente con licenza</w:t>
      </w:r>
    </w:p>
    <w:p>
      <w:pPr>
        <w:spacing w:after="120" w:line="276"/>
        <w:jc w:val="both"/>
      </w:pPr>
      <w:r>
        <w:rPr>
          <w:rFonts w:ascii="Barlow Semi Condensed" w:cs="Barlow Semi Condensed" w:eastAsia="Barlow Semi Condensed" w:hAnsi="Barlow Semi Condensed"/>
          <w:sz w:val="24"/>
          <w:szCs w:val="24"/>
        </w:rPr>
        <w:t xml:space="preserve">aperta e l'esclusiva riguarderebbe semmai il saggio da scrivere. Non dichiara un</w:t>
      </w:r>
    </w:p>
    <w:p>
      <w:pPr>
        <w:spacing w:after="120" w:line="276"/>
        <w:jc w:val="both"/>
      </w:pPr>
      <w:r>
        <w:rPr>
          <w:rFonts w:ascii="Barlow Semi Condensed" w:cs="Barlow Semi Condensed" w:eastAsia="Barlow Semi Condensed" w:hAnsi="Barlow Semi Condensed"/>
          <w:sz w:val="24"/>
          <w:szCs w:val="24"/>
        </w:rPr>
        <w:t xml:space="preserve">termine di consegna, perché non ne ho uno da mantenere. Non allega il curriculum,</w:t>
      </w:r>
    </w:p>
    <w:p>
      <w:pPr>
        <w:spacing w:after="120" w:line="276"/>
        <w:jc w:val="both"/>
      </w:pPr>
      <w:r>
        <w:rPr>
          <w:rFonts w:ascii="Barlow Semi Condensed" w:cs="Barlow Semi Condensed" w:eastAsia="Barlow Semi Condensed" w:hAnsi="Barlow Semi Condensed"/>
          <w:sz w:val="24"/>
          <w:szCs w:val="24"/>
        </w:rPr>
        <w:t xml:space="preserve">che alcune case chiedono e altre no: **la checklist di invio dice a quali va</w:t>
      </w:r>
    </w:p>
    <w:p>
      <w:pPr>
        <w:spacing w:after="120" w:line="276"/>
        <w:jc w:val="both"/>
      </w:pPr>
      <w:r>
        <w:rPr>
          <w:rFonts w:ascii="Barlow Semi Condensed" w:cs="Barlow Semi Condensed" w:eastAsia="Barlow Semi Condensed" w:hAnsi="Barlow Semi Condensed"/>
          <w:sz w:val="24"/>
          <w:szCs w:val="24"/>
        </w:rPr>
        <w:t xml:space="preserve">aggiunto**.</w:t>
      </w:r>
    </w:p>
    <w:p>
      <w:pPr>
        <w:spacing w:after="120" w:line="276"/>
        <w:jc w:val="both"/>
      </w:pPr>
      <w:r>
        <w:rPr>
          <w:rFonts w:ascii="Barlow Semi Condensed" w:cs="Barlow Semi Condensed" w:eastAsia="Barlow Semi Condensed" w:hAnsi="Barlow Semi Condensed"/>
          <w:sz w:val="24"/>
          <w:szCs w:val="24"/>
        </w:rPr>
        <w:t xml:space="preserve">E non nasconde la parte scomoda. Un editore che riceva questa proposta sa dalla</w:t>
      </w:r>
    </w:p>
    <w:p>
      <w:pPr>
        <w:spacing w:after="120" w:line="276"/>
        <w:jc w:val="both"/>
      </w:pPr>
      <w:r>
        <w:rPr>
          <w:rFonts w:ascii="Barlow Semi Condensed" w:cs="Barlow Semi Condensed" w:eastAsia="Barlow Semi Condensed" w:hAnsi="Barlow Semi Condensed"/>
          <w:sz w:val="24"/>
          <w:szCs w:val="24"/>
        </w:rPr>
        <w:t xml:space="preserve">prima riga che l'opera è stata prodotta con sistemi di intelligenza artificiale.</w:t>
      </w:r>
    </w:p>
    <w:p>
      <w:pPr>
        <w:spacing w:after="120" w:line="276"/>
        <w:jc w:val="both"/>
      </w:pPr>
      <w:r>
        <w:rPr>
          <w:rFonts w:ascii="Barlow Semi Condensed" w:cs="Barlow Semi Condensed" w:eastAsia="Barlow Semi Condensed" w:hAnsi="Barlow Semi Condensed"/>
          <w:sz w:val="24"/>
          <w:szCs w:val="24"/>
        </w:rPr>
        <w:t xml:space="preserve">Alcune case chiuderanno il fascicolo per questo. È un costo che ho scelto di</w:t>
      </w:r>
    </w:p>
    <w:p>
      <w:pPr>
        <w:spacing w:after="120" w:line="276"/>
        <w:jc w:val="both"/>
      </w:pPr>
      <w:r>
        <w:rPr>
          <w:rFonts w:ascii="Barlow Semi Condensed" w:cs="Barlow Semi Condensed" w:eastAsia="Barlow Semi Condensed" w:hAnsi="Barlow Semi Condensed"/>
          <w:sz w:val="24"/>
          <w:szCs w:val="24"/>
        </w:rPr>
        <w:t xml:space="preserve">pagare in apertura anziché al primo controllo, perché una proposta che lo taccia</w:t>
      </w:r>
    </w:p>
    <w:p>
      <w:pPr>
        <w:spacing w:after="120" w:line="276"/>
        <w:jc w:val="both"/>
      </w:pPr>
      <w:r>
        <w:rPr>
          <w:rFonts w:ascii="Barlow Semi Condensed" w:cs="Barlow Semi Condensed" w:eastAsia="Barlow Semi Condensed" w:hAnsi="Barlow Semi Condensed"/>
          <w:sz w:val="24"/>
          <w:szCs w:val="24"/>
        </w:rPr>
        <w:t xml:space="preserve">e venga scoperta dopo non perde una casa editrice: perde la credibilità del</w:t>
      </w:r>
    </w:p>
    <w:p>
      <w:pPr>
        <w:spacing w:after="120" w:line="276"/>
        <w:jc w:val="both"/>
      </w:pPr>
      <w:r>
        <w:rPr>
          <w:rFonts w:ascii="Barlow Semi Condensed" w:cs="Barlow Semi Condensed" w:eastAsia="Barlow Semi Condensed" w:hAnsi="Barlow Semi Condensed"/>
          <w:sz w:val="24"/>
          <w:szCs w:val="24"/>
        </w:rPr>
        <w:t xml:space="preserve">metodo, che è l'unica cosa che quest'opera abbia davvero da offrire.</w:t>
      </w:r>
    </w:p>
    <w:p>
      <w:pPr>
        <w:pStyle w:val="Heading3"/>
        <w:spacing w:after="80" w:before="240"/>
      </w:pPr>
      <w:r>
        <w:rPr>
          <w:rFonts w:ascii="Barlow Semi Condensed" w:cs="Barlow Semi Condensed" w:eastAsia="Barlow Semi Condensed" w:hAnsi="Barlow Semi Condensed"/>
          <w:sz w:val="24"/>
          <w:szCs w:val="24"/>
        </w:rPr>
        <w:t xml:space="preserve">Apparato grafico — Appendici · xix. La PEC di presentazione per le case editrici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IV.xix: 1.367 parole in 6 sezioni; la più ampia è §4 Corpo del messaggio, con 871.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IV.xix: 37 paragrafi in 6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V. i. La certificazione dei numeri P2</w:t>
      </w:r>
    </w:p>
    <w:p>
      <w:pPr>
        <w:pStyle w:val="Heading1"/>
        <w:spacing w:after="120" w:before="240"/>
      </w:pPr>
      <w:r>
        <w:rPr>
          <w:rFonts w:ascii="Barlow Semi Condensed" w:cs="Barlow Semi Condensed" w:eastAsia="Barlow Semi Condensed" w:hAnsi="Barlow Semi Condensed"/>
          <w:sz w:val="24"/>
          <w:szCs w:val="24"/>
        </w:rPr>
        <w:t xml:space="preserve">Certificazione dei numeri di tessera e di fascicolo — esito</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Verifica condotta il 27 agosto 2026 su richiesta</w:t>
      </w:r>
    </w:p>
    <w:p>
      <w:pPr>
        <w:spacing w:after="120" w:line="276"/>
        <w:jc w:val="both"/>
      </w:pPr>
      <w:r>
        <w:rPr>
          <w:rFonts w:ascii="Barlow Semi Condensed" w:cs="Barlow Semi Condensed" w:eastAsia="Barlow Semi Condensed" w:hAnsi="Barlow Semi Condensed"/>
          <w:sz w:val="24"/>
          <w:szCs w:val="24"/>
        </w:rPr>
        <w:t xml:space="preserve">dell'autore, con diciassette agenti di ricerca indipendenti.*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risposta, in una riga</w:t>
      </w:r>
    </w:p>
    <w:p>
      <w:pPr>
        <w:spacing w:after="120" w:line="276"/>
        <w:jc w:val="both"/>
      </w:pPr>
      <w:r>
        <w:rPr>
          <w:rFonts w:ascii="Barlow Semi Condensed" w:cs="Barlow Semi Condensed" w:eastAsia="Barlow Semi Condensed" w:hAnsi="Barlow Semi Condensed"/>
          <w:b/>
          <w:bCs/>
          <w:sz w:val="24"/>
          <w:szCs w:val="24"/>
        </w:rPr>
        <w:t xml:space="preserve">Nessuno dei trentatré numeri è certificabile. Non uno.</w:t>
      </w:r>
    </w:p>
    <w:p>
      <w:pPr>
        <w:spacing w:after="120" w:line="276"/>
        <w:jc w:val="both"/>
      </w:pPr>
      <w:r>
        <w:rPr>
          <w:rFonts w:ascii="Barlow Semi Condensed" w:cs="Barlow Semi Condensed" w:eastAsia="Barlow Semi Condensed" w:hAnsi="Barlow Semi Condensed"/>
          <w:sz w:val="24"/>
          <w:szCs w:val="24"/>
        </w:rPr>
        <w:t xml:space="preserve">Il no non dipende da una difficoltà contingente. Dipende dal fatto che</w:t>
      </w:r>
    </w:p>
    <w:p>
      <w:pPr>
        <w:spacing w:after="120" w:line="276"/>
        <w:jc w:val="both"/>
      </w:pPr>
      <w:r>
        <w:rPr>
          <w:rFonts w:ascii="Barlow Semi Condensed" w:cs="Barlow Semi Condensed" w:eastAsia="Barlow Semi Condensed" w:hAnsi="Barlow Semi Condensed"/>
          <w:sz w:val="24"/>
          <w:szCs w:val="24"/>
        </w:rPr>
        <w:t xml:space="preserve">certificare è un atto diverso dal verificare, e richiede una cosa che nessuna</w:t>
      </w:r>
    </w:p>
    <w:p>
      <w:pPr>
        <w:spacing w:after="120" w:line="276"/>
        <w:jc w:val="both"/>
      </w:pPr>
      <w:r>
        <w:rPr>
          <w:rFonts w:ascii="Barlow Semi Condensed" w:cs="Barlow Semi Condensed" w:eastAsia="Barlow Semi Condensed" w:hAnsi="Barlow Semi Condensed"/>
          <w:sz w:val="24"/>
          <w:szCs w:val="24"/>
        </w:rPr>
        <w:t xml:space="preserve">quantità di fonti secondarie può surrogare: il documento aperto, la colonna</w:t>
      </w:r>
    </w:p>
    <w:p>
      <w:pPr>
        <w:spacing w:after="120" w:line="276"/>
        <w:jc w:val="both"/>
      </w:pPr>
      <w:r>
        <w:rPr>
          <w:rFonts w:ascii="Barlow Semi Condensed" w:cs="Barlow Semi Condensed" w:eastAsia="Barlow Semi Condensed" w:hAnsi="Barlow Semi Condensed"/>
          <w:sz w:val="24"/>
          <w:szCs w:val="24"/>
        </w:rPr>
        <w:t xml:space="preserve">con la sua intestazione, la riga letta per intero.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limite di questa verifica, dichiarato per primo</w:t>
      </w:r>
    </w:p>
    <w:p>
      <w:pPr>
        <w:spacing w:after="120" w:line="276"/>
        <w:jc w:val="both"/>
      </w:pPr>
      <w:r>
        <w:rPr>
          <w:rFonts w:ascii="Barlow Semi Condensed" w:cs="Barlow Semi Condensed" w:eastAsia="Barlow Semi Condensed" w:hAnsi="Barlow Semi Condensed"/>
          <w:sz w:val="24"/>
          <w:szCs w:val="24"/>
        </w:rPr>
        <w:t xml:space="preserve">Va detto prima dei risultati, perché ne cambia il peso.</w:t>
      </w:r>
    </w:p>
    <w:p>
      <w:pPr>
        <w:spacing w:after="120" w:line="276"/>
        <w:jc w:val="both"/>
      </w:pPr>
      <w:r>
        <w:rPr>
          <w:rFonts w:ascii="Barlow Semi Condensed" w:cs="Barlow Semi Condensed" w:eastAsia="Barlow Semi Condensed" w:hAnsi="Barlow Semi Condensed"/>
          <w:sz w:val="24"/>
          <w:szCs w:val="24"/>
        </w:rPr>
        <w:t xml:space="preserve">La ricerca ha esaurito il proprio budget di interrogazioni </w:t>
      </w:r>
      <w:r>
        <w:rPr>
          <w:rFonts w:ascii="Barlow Semi Condensed" w:cs="Barlow Semi Condensed" w:eastAsia="Barlow Semi Condensed" w:hAnsi="Barlow Semi Condensed"/>
          <w:b/>
          <w:bCs/>
          <w:sz w:val="24"/>
          <w:szCs w:val="24"/>
        </w:rPr>
        <w:t xml:space="preserve">a metà corsa</w:t>
      </w:r>
      <w:r>
        <w:rPr>
          <w:rFonts w:ascii="Barlow Semi Condensed" w:cs="Barlow Semi Condensed" w:eastAsia="Barlow Semi Condensed" w:hAnsi="Barlow Semi Condensed"/>
          <w:sz w:val="24"/>
          <w:szCs w:val="24"/>
        </w:rPr>
        <w:t xml:space="preserve">. I</w:t>
      </w:r>
    </w:p>
    <w:p>
      <w:pPr>
        <w:spacing w:after="120" w:line="276"/>
        <w:jc w:val="both"/>
      </w:pPr>
      <w:r>
        <w:rPr>
          <w:rFonts w:ascii="Barlow Semi Condensed" w:cs="Barlow Semi Condensed" w:eastAsia="Barlow Semi Condensed" w:hAnsi="Barlow Semi Condensed"/>
          <w:sz w:val="24"/>
          <w:szCs w:val="24"/>
        </w:rPr>
        <w:t xml:space="preserve">primi sei gruppi di nomi sono stati verificati con accesso alla rete; i due</w:t>
      </w:r>
    </w:p>
    <w:p>
      <w:pPr>
        <w:spacing w:after="120" w:line="276"/>
        <w:jc w:val="both"/>
      </w:pPr>
      <w:r>
        <w:rPr>
          <w:rFonts w:ascii="Barlow Semi Condensed" w:cs="Barlow Semi Condensed" w:eastAsia="Barlow Semi Condensed" w:hAnsi="Barlow Semi Condensed"/>
          <w:sz w:val="24"/>
          <w:szCs w:val="24"/>
        </w:rPr>
        <w:t xml:space="preserve">approfondimenti finali e </w:t>
      </w:r>
      <w:r>
        <w:rPr>
          <w:rFonts w:ascii="Barlow Semi Condensed" w:cs="Barlow Semi Condensed" w:eastAsia="Barlow Semi Condensed" w:hAnsi="Barlow Semi Condensed"/>
          <w:b/>
          <w:bCs/>
          <w:sz w:val="24"/>
          <w:szCs w:val="24"/>
        </w:rPr>
        <w:t xml:space="preserve">l'intera fase di refutazione</w:t>
      </w:r>
      <w:r>
        <w:rPr>
          <w:rFonts w:ascii="Barlow Semi Condensed" w:cs="Barlow Semi Condensed" w:eastAsia="Barlow Semi Condensed" w:hAnsi="Barlow Semi Condensed"/>
          <w:sz w:val="24"/>
          <w:szCs w:val="24"/>
        </w:rPr>
        <w:t xml:space="preserve"> si sono svolti senza</w:t>
      </w:r>
    </w:p>
    <w:p>
      <w:pPr>
        <w:spacing w:after="120" w:line="276"/>
        <w:jc w:val="both"/>
      </w:pPr>
      <w:r>
        <w:rPr>
          <w:rFonts w:ascii="Barlow Semi Condensed" w:cs="Barlow Semi Condensed" w:eastAsia="Barlow Semi Condensed" w:hAnsi="Barlow Semi Condensed"/>
          <w:sz w:val="24"/>
          <w:szCs w:val="24"/>
        </w:rPr>
        <w:t xml:space="preserve">poter aprire una sola fonte. I refutatori hanno restituito «refutato» per</w:t>
      </w:r>
    </w:p>
    <w:p>
      <w:pPr>
        <w:spacing w:after="120" w:line="276"/>
        <w:jc w:val="both"/>
      </w:pPr>
      <w:r>
        <w:rPr>
          <w:rFonts w:ascii="Barlow Semi Condensed" w:cs="Barlow Semi Condensed" w:eastAsia="Barlow Semi Condensed" w:hAnsi="Barlow Semi Condensed"/>
          <w:sz w:val="24"/>
          <w:szCs w:val="24"/>
        </w:rPr>
        <w:t xml:space="preserve">ciascun numero, ma il motivo che adducono è sempre lo stesso: *nessuna fonte</w:t>
      </w:r>
    </w:p>
    <w:p>
      <w:pPr>
        <w:spacing w:after="120" w:line="276"/>
        <w:jc w:val="both"/>
      </w:pPr>
      <w:r>
        <w:rPr>
          <w:rFonts w:ascii="Barlow Semi Condensed" w:cs="Barlow Semi Condensed" w:eastAsia="Barlow Semi Condensed" w:hAnsi="Barlow Semi Condensed"/>
          <w:sz w:val="24"/>
          <w:szCs w:val="24"/>
        </w:rPr>
        <w:t xml:space="preserve">consultata, nessuna consultabile*.</w:t>
      </w:r>
    </w:p>
    <w:p>
      <w:pPr>
        <w:spacing w:after="120" w:line="276"/>
        <w:jc w:val="both"/>
      </w:pPr>
      <w:r>
        <w:rPr>
          <w:rFonts w:ascii="Barlow Semi Condensed" w:cs="Barlow Semi Condensed" w:eastAsia="Barlow Semi Condensed" w:hAnsi="Barlow Semi Condensed"/>
          <w:sz w:val="24"/>
          <w:szCs w:val="24"/>
        </w:rPr>
        <w:t xml:space="preserve">**Quelle refutazioni non sono prove contrarie: sono impossibilità di</w:t>
      </w:r>
    </w:p>
    <w:p>
      <w:pPr>
        <w:spacing w:after="120" w:line="276"/>
        <w:jc w:val="both"/>
      </w:pPr>
      <w:r>
        <w:rPr>
          <w:rFonts w:ascii="Barlow Semi Condensed" w:cs="Barlow Semi Condensed" w:eastAsia="Barlow Semi Condensed" w:hAnsi="Barlow Semi Condensed"/>
          <w:sz w:val="24"/>
          <w:szCs w:val="24"/>
        </w:rPr>
        <w:t xml:space="preserve">verificare.** Le registro come tali e non le conteggio come riscontri</w:t>
      </w:r>
    </w:p>
    <w:p>
      <w:pPr>
        <w:spacing w:after="120" w:line="276"/>
        <w:jc w:val="both"/>
      </w:pPr>
      <w:r>
        <w:rPr>
          <w:rFonts w:ascii="Barlow Semi Condensed" w:cs="Barlow Semi Condensed" w:eastAsia="Barlow Semi Condensed" w:hAnsi="Barlow Semi Condensed"/>
          <w:sz w:val="24"/>
          <w:szCs w:val="24"/>
        </w:rPr>
        <w:t xml:space="preserve">negativi. Presentarle altrimenti sarebbe esattamente l'errore che quest'opera</w:t>
      </w:r>
    </w:p>
    <w:p>
      <w:pPr>
        <w:spacing w:after="120" w:line="276"/>
        <w:jc w:val="both"/>
      </w:pPr>
      <w:r>
        <w:rPr>
          <w:rFonts w:ascii="Barlow Semi Condensed" w:cs="Barlow Semi Condensed" w:eastAsia="Barlow Semi Condensed" w:hAnsi="Barlow Semi Condensed"/>
          <w:sz w:val="24"/>
          <w:szCs w:val="24"/>
        </w:rPr>
        <w:t xml:space="preserve">esiste per non commettere.</w:t>
      </w:r>
    </w:p>
    <w:p>
      <w:pPr>
        <w:spacing w:after="120" w:line="276"/>
        <w:jc w:val="both"/>
      </w:pPr>
      <w:r>
        <w:rPr>
          <w:rFonts w:ascii="Barlow Semi Condensed" w:cs="Barlow Semi Condensed" w:eastAsia="Barlow Semi Condensed" w:hAnsi="Barlow Semi Condensed"/>
          <w:sz w:val="24"/>
          <w:szCs w:val="24"/>
        </w:rPr>
        <w:t xml:space="preserve">Il grado massimo attribuibile a qualunque affermazione di questo documento è</w:t>
      </w:r>
    </w:p>
    <w:p>
      <w:pPr>
        <w:spacing w:after="120" w:line="276"/>
        <w:jc w:val="both"/>
      </w:pPr>
      <w:r>
        <w:rPr>
          <w:rFonts w:ascii="Barlow Semi Condensed" w:cs="Barlow Semi Condensed" w:eastAsia="Barlow Semi Condensed" w:hAnsi="Barlow Semi Condensed"/>
          <w:sz w:val="24"/>
          <w:szCs w:val="24"/>
        </w:rPr>
        <w:t xml:space="preserve">perciò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salvo dove indicato.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L'appartenenza: che cosa regge</w:t>
      </w:r>
    </w:p>
    <w:p>
      <w:pPr>
        <w:spacing w:after="120" w:line="276"/>
        <w:jc w:val="both"/>
      </w:pPr>
      <w:r>
        <w:rPr>
          <w:rFonts w:ascii="Barlow Semi Condensed" w:cs="Barlow Semi Condensed" w:eastAsia="Barlow Semi Condensed" w:hAnsi="Barlow Semi Condensed"/>
          <w:sz w:val="24"/>
          <w:szCs w:val="24"/>
        </w:rPr>
        <w:t xml:space="preserve">Su trentatré nomi, la ricerca indipendente ha trovato: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appartenenza </w:t>
            </w:r>
            <w:r>
              <w:rPr>
                <w:rFonts w:ascii="Barlow Semi Condensed" w:cs="Barlow Semi Condensed" w:eastAsia="Barlow Semi Condensed" w:hAnsi="Barlow Semi Condensed"/>
                <w:b/>
                <w:bCs/>
                <w:sz w:val="20"/>
                <w:szCs w:val="20"/>
              </w:rPr>
              <w:t xml:space="preserve">documentata</w:t>
            </w:r>
            <w:r>
              <w:rPr>
                <w:rFonts w:ascii="Barlow Semi Condensed" w:cs="Barlow Semi Condensed" w:eastAsia="Barlow Semi Condensed" w:hAnsi="Barlow Semi Condensed"/>
                <w:sz w:val="20"/>
                <w:szCs w:val="20"/>
              </w:rPr>
              <w:t xml:space="preserve"> da fonti indipendenti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posizione </w:t>
            </w:r>
            <w:r>
              <w:rPr>
                <w:rFonts w:ascii="Barlow Semi Condensed" w:cs="Barlow Semi Condensed" w:eastAsia="Barlow Semi Condensed" w:hAnsi="Barlow Semi Condensed"/>
                <w:b/>
                <w:bCs/>
                <w:sz w:val="20"/>
                <w:szCs w:val="20"/>
              </w:rPr>
              <w:t xml:space="preserve">contestata in sede giudiziaria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appartenenza </w:t>
            </w:r>
            <w:r>
              <w:rPr>
                <w:rFonts w:ascii="Barlow Semi Condensed" w:cs="Barlow Semi Condensed" w:eastAsia="Barlow Semi Condensed" w:hAnsi="Barlow Semi Condensed"/>
                <w:b/>
                <w:bCs/>
                <w:sz w:val="20"/>
                <w:szCs w:val="20"/>
              </w:rPr>
              <w:t xml:space="preserve">non trovata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Contestata (1):</w:t>
      </w:r>
      <w:r>
        <w:rPr>
          <w:rFonts w:ascii="Barlow Semi Condensed" w:cs="Barlow Semi Condensed" w:eastAsia="Barlow Semi Condensed" w:hAnsi="Barlow Semi Condensed"/>
          <w:sz w:val="24"/>
          <w:szCs w:val="24"/>
        </w:rPr>
        <w:t xml:space="preserve"> Vito Miceli.</w:t>
      </w:r>
    </w:p>
    <w:p>
      <w:pPr>
        <w:spacing w:after="120" w:line="276"/>
        <w:jc w:val="both"/>
      </w:pPr>
      <w:r>
        <w:rPr>
          <w:rFonts w:ascii="Barlow Semi Condensed" w:cs="Barlow Semi Condensed" w:eastAsia="Barlow Semi Condensed" w:hAnsi="Barlow Semi Condensed"/>
          <w:b/>
          <w:bCs/>
          <w:sz w:val="24"/>
          <w:szCs w:val="24"/>
        </w:rPr>
        <w:t xml:space="preserve">Non trovata (4):</w:t>
      </w:r>
      <w:r>
        <w:rPr>
          <w:rFonts w:ascii="Barlow Semi Condensed" w:cs="Barlow Semi Condensed" w:eastAsia="Barlow Semi Condensed" w:hAnsi="Barlow Semi Condensed"/>
          <w:sz w:val="24"/>
          <w:szCs w:val="24"/>
        </w:rPr>
        <w:t xml:space="preserve"> Stefano Giovannone, Camillo Guglielmi, Antonio Varisco,</w:t>
      </w:r>
    </w:p>
    <w:p>
      <w:pPr>
        <w:spacing w:after="120" w:line="276"/>
        <w:jc w:val="both"/>
      </w:pPr>
      <w:r>
        <w:rPr>
          <w:rFonts w:ascii="Barlow Semi Condensed" w:cs="Barlow Semi Condensed" w:eastAsia="Barlow Semi Condensed" w:hAnsi="Barlow Semi Condensed"/>
          <w:sz w:val="24"/>
          <w:szCs w:val="24"/>
        </w:rPr>
        <w:t xml:space="preserve">Achille Gallucci. Per questi quattro la ricerca non ha reperito conferma</w:t>
      </w:r>
    </w:p>
    <w:p>
      <w:pPr>
        <w:spacing w:after="120" w:line="276"/>
        <w:jc w:val="both"/>
      </w:pPr>
      <w:r>
        <w:rPr>
          <w:rFonts w:ascii="Barlow Semi Condensed" w:cs="Barlow Semi Condensed" w:eastAsia="Barlow Semi Condensed" w:hAnsi="Barlow Semi Condensed"/>
          <w:sz w:val="24"/>
          <w:szCs w:val="24"/>
        </w:rPr>
        <w:t xml:space="preserve">dell'appartenenza. Su Guglielmi va ribadita la distinzione che il testo</w:t>
      </w:r>
    </w:p>
    <w:p>
      <w:pPr>
        <w:spacing w:after="120" w:line="276"/>
        <w:jc w:val="both"/>
      </w:pPr>
      <w:r>
        <w:rPr>
          <w:rFonts w:ascii="Barlow Semi Condensed" w:cs="Barlow Semi Condensed" w:eastAsia="Barlow Semi Condensed" w:hAnsi="Barlow Semi Condensed"/>
          <w:sz w:val="24"/>
          <w:szCs w:val="24"/>
        </w:rPr>
        <w:t xml:space="preserve">esaminato non fa: **la presenza in via Fani il 16 marzo è oggetto di</w:t>
      </w:r>
    </w:p>
    <w:p>
      <w:pPr>
        <w:spacing w:after="120" w:line="276"/>
        <w:jc w:val="both"/>
      </w:pPr>
      <w:r>
        <w:rPr>
          <w:rFonts w:ascii="Barlow Semi Condensed" w:cs="Barlow Semi Condensed" w:eastAsia="Barlow Semi Condensed" w:hAnsi="Barlow Semi Condensed"/>
          <w:sz w:val="24"/>
          <w:szCs w:val="24"/>
        </w:rPr>
        <w:t xml:space="preserve">accertamento documentato, l'appartenenza alla loggia non lo è.** Sono due</w:t>
      </w:r>
    </w:p>
    <w:p>
      <w:pPr>
        <w:spacing w:after="120" w:line="276"/>
        <w:jc w:val="both"/>
      </w:pPr>
      <w:r>
        <w:rPr>
          <w:rFonts w:ascii="Barlow Semi Condensed" w:cs="Barlow Semi Condensed" w:eastAsia="Barlow Semi Condensed" w:hAnsi="Barlow Semi Condensed"/>
          <w:sz w:val="24"/>
          <w:szCs w:val="24"/>
        </w:rPr>
        <w:t xml:space="preserve">affermazioni di rango diverso.</w:t>
      </w:r>
    </w:p>
    <w:p>
      <w:pPr>
        <w:spacing w:after="120" w:line="276"/>
        <w:jc w:val="both"/>
      </w:pPr>
      <w:r>
        <w:rPr>
          <w:rFonts w:ascii="Barlow Semi Condensed" w:cs="Barlow Semi Condensed" w:eastAsia="Barlow Semi Condensed" w:hAnsi="Barlow Semi Condensed"/>
          <w:sz w:val="24"/>
          <w:szCs w:val="24"/>
        </w:rPr>
        <w:t xml:space="preserve">L'appartenenza, dunque, in larga parte regge. È il campo dei numeri che cede.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Il risultato più solido: la calibrazione</w:t>
      </w:r>
    </w:p>
    <w:p>
      <w:pPr>
        <w:spacing w:after="120" w:line="276"/>
        <w:jc w:val="both"/>
      </w:pPr>
      <w:r>
        <w:rPr>
          <w:rFonts w:ascii="Barlow Semi Condensed" w:cs="Barlow Semi Condensed" w:eastAsia="Barlow Semi Condensed" w:hAnsi="Barlow Semi Condensed"/>
          <w:sz w:val="24"/>
          <w:szCs w:val="24"/>
        </w:rPr>
        <w:t xml:space="preserve">È l'unico accertamento di rango documentale prodotto da questo lotto, e vale</w:t>
      </w:r>
    </w:p>
    <w:p>
      <w:pPr>
        <w:spacing w:after="120" w:line="276"/>
        <w:jc w:val="both"/>
      </w:pPr>
      <w:r>
        <w:rPr>
          <w:rFonts w:ascii="Barlow Semi Condensed" w:cs="Barlow Semi Condensed" w:eastAsia="Barlow Semi Condensed" w:hAnsi="Barlow Semi Condensed"/>
          <w:sz w:val="24"/>
          <w:szCs w:val="24"/>
        </w:rPr>
        <w:t xml:space="preserve">per tutti i nomi.</w:t>
      </w:r>
    </w:p>
    <w:p>
      <w:pPr>
        <w:spacing w:after="120" w:line="276"/>
        <w:jc w:val="both"/>
      </w:pPr>
      <w:r>
        <w:rPr>
          <w:rFonts w:ascii="Barlow Semi Condensed" w:cs="Barlow Semi Condensed" w:eastAsia="Barlow Semi Condensed" w:hAnsi="Barlow Semi Condensed"/>
          <w:sz w:val="24"/>
          <w:szCs w:val="24"/>
        </w:rPr>
        <w:t xml:space="preserve">Nelle trascrizioni dell'elenco sequestrato i nomi compaiono nella forma</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b/>
          <w:bCs/>
          <w:sz w:val="24"/>
          <w:szCs w:val="24"/>
        </w:rPr>
        <w:t xml:space="preserve">gen. Giuseppe Santovito (Roma, 527)</w:t>
      </w:r>
      <w:r>
        <w:rPr>
          <w:rFonts w:ascii="Barlow Semi Condensed" w:cs="Barlow Semi Condensed" w:eastAsia="Barlow Semi Condensed" w:hAnsi="Barlow Semi Condensed"/>
          <w:sz w:val="24"/>
          <w:szCs w:val="24"/>
        </w:rPr>
        <w:t xml:space="preserve">», e la voce di lista descrive quella</w:t>
      </w:r>
    </w:p>
    <w:p>
      <w:pPr>
        <w:spacing w:after="120" w:line="276"/>
        <w:jc w:val="both"/>
      </w:pPr>
      <w:r>
        <w:rPr>
          <w:rFonts w:ascii="Barlow Semi Condensed" w:cs="Barlow Semi Condensed" w:eastAsia="Barlow Semi Condensed" w:hAnsi="Barlow Semi Condensed"/>
          <w:sz w:val="24"/>
          <w:szCs w:val="24"/>
        </w:rPr>
        <w:t xml:space="preserve">colonna come </w:t>
      </w:r>
      <w:r>
        <w:rPr>
          <w:rFonts w:ascii="Barlow Semi Condensed" w:cs="Barlow Semi Condensed" w:eastAsia="Barlow Semi Condensed" w:hAnsi="Barlow Semi Condensed"/>
          <w:b/>
          <w:bCs/>
          <w:sz w:val="24"/>
          <w:szCs w:val="24"/>
        </w:rPr>
        <w:t xml:space="preserve">numero di fascicolo</w:t>
      </w:r>
      <w:r>
        <w:rPr>
          <w:rFonts w:ascii="Barlow Semi Condensed" w:cs="Barlow Semi Condensed" w:eastAsia="Barlow Semi Condensed" w:hAnsi="Barlow Semi Condensed"/>
          <w:sz w:val="24"/>
          <w:szCs w:val="24"/>
        </w:rPr>
        <w:t xml:space="preserve"> — lo conferma una riga contigua che lo</w:t>
      </w:r>
    </w:p>
    <w:p>
      <w:pPr>
        <w:spacing w:after="120" w:line="276"/>
        <w:jc w:val="both"/>
      </w:pPr>
      <w:r>
        <w:rPr>
          <w:rFonts w:ascii="Barlow Semi Condensed" w:cs="Barlow Semi Condensed" w:eastAsia="Barlow Semi Condensed" w:hAnsi="Barlow Semi Condensed"/>
          <w:sz w:val="24"/>
          <w:szCs w:val="24"/>
        </w:rPr>
        <w:t xml:space="preserve">scrive per esteso: «ten. col. Sergio Acciai (Firenze, in sonno, fascicolo 113)».</w:t>
      </w:r>
    </w:p>
    <w:p>
      <w:pPr>
        <w:spacing w:after="120" w:line="276"/>
        <w:jc w:val="both"/>
      </w:pPr>
      <w:r>
        <w:rPr>
          <w:rFonts w:ascii="Barlow Semi Condensed" w:cs="Barlow Semi Condensed" w:eastAsia="Barlow Semi Condensed" w:hAnsi="Barlow Semi Condensed"/>
          <w:sz w:val="24"/>
          <w:szCs w:val="24"/>
        </w:rPr>
        <w:t xml:space="preserve">Due coppie pubblicate e concordanti lo dimostrano: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nell'elenco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tessera documentata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Silvio Berlusconi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(Milano, </w:t>
            </w:r>
            <w:r>
              <w:rPr>
                <w:rFonts w:ascii="Barlow Semi Condensed" w:cs="Barlow Semi Condensed" w:eastAsia="Barlow Semi Condensed" w:hAnsi="Barlow Semi Condensed"/>
                <w:b/>
                <w:bCs/>
                <w:sz w:val="20"/>
                <w:szCs w:val="20"/>
              </w:rPr>
              <w:t xml:space="preserve">625</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1816</w:t>
            </w:r>
            <w:r>
              <w:rPr>
                <w:rFonts w:ascii="Barlow Semi Condensed" w:cs="Barlow Semi Condensed" w:eastAsia="Barlow Semi Condensed" w:hAnsi="Barlow Semi Condensed"/>
                <w:sz w:val="20"/>
                <w:szCs w:val="20"/>
              </w:rPr>
              <w:t xml:space="preserve"> — scheda: gruppo 17, fascicolo 0625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Maurizio Costanzo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(Roma, </w:t>
            </w:r>
            <w:r>
              <w:rPr>
                <w:rFonts w:ascii="Barlow Semi Condensed" w:cs="Barlow Semi Condensed" w:eastAsia="Barlow Semi Condensed" w:hAnsi="Barlow Semi Condensed"/>
                <w:b/>
                <w:bCs/>
                <w:sz w:val="20"/>
                <w:szCs w:val="20"/>
              </w:rPr>
              <w:t xml:space="preserve">626</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1819</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cifra fra parentesi non è il numero di tessera. È il fascicolo.</w:t>
      </w:r>
    </w:p>
    <w:p>
      <w:pPr>
        <w:spacing w:after="120" w:line="276"/>
        <w:jc w:val="both"/>
      </w:pPr>
      <w:r>
        <w:rPr>
          <w:rFonts w:ascii="Barlow Semi Condensed" w:cs="Barlow Semi Condensed" w:eastAsia="Barlow Semi Condensed" w:hAnsi="Barlow Semi Condensed"/>
          <w:sz w:val="24"/>
          <w:szCs w:val="24"/>
        </w:rPr>
        <w:t xml:space="preserve">Ne segue, meccanicamente, che ogni valore sotto il migliaio che il testo</w:t>
      </w:r>
    </w:p>
    <w:p>
      <w:pPr>
        <w:spacing w:after="120" w:line="276"/>
        <w:jc w:val="both"/>
      </w:pPr>
      <w:r>
        <w:rPr>
          <w:rFonts w:ascii="Barlow Semi Condensed" w:cs="Barlow Semi Condensed" w:eastAsia="Barlow Semi Condensed" w:hAnsi="Barlow Semi Condensed"/>
          <w:sz w:val="24"/>
          <w:szCs w:val="24"/>
        </w:rPr>
        <w:t xml:space="preserve">esaminato chiama «tessera» è un numero di fascicolo con l'etichetta sbagliata.</w:t>
      </w:r>
    </w:p>
    <w:p>
      <w:pPr>
        <w:spacing w:after="120" w:line="276"/>
        <w:jc w:val="both"/>
      </w:pPr>
      <w:r>
        <w:rPr>
          <w:rFonts w:ascii="Barlow Semi Condensed" w:cs="Barlow Semi Condensed" w:eastAsia="Barlow Semi Condensed" w:hAnsi="Barlow Semi Condensed"/>
          <w:sz w:val="24"/>
          <w:szCs w:val="24"/>
        </w:rPr>
        <w:t xml:space="preserve">Non è un errore di trascrizione: è una confusione di campo, e si propaga a</w:t>
      </w:r>
    </w:p>
    <w:p>
      <w:pPr>
        <w:spacing w:after="120" w:line="276"/>
        <w:jc w:val="both"/>
      </w:pPr>
      <w:r>
        <w:rPr>
          <w:rFonts w:ascii="Barlow Semi Condensed" w:cs="Barlow Semi Condensed" w:eastAsia="Barlow Semi Condensed" w:hAnsi="Barlow Semi Condensed"/>
          <w:sz w:val="24"/>
          <w:szCs w:val="24"/>
        </w:rPr>
        <w:t xml:space="preserve">tutta la tabella.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L'aritmetica: uno scarto che non deriva</w:t>
      </w:r>
    </w:p>
    <w:p>
      <w:pPr>
        <w:spacing w:after="120" w:line="276"/>
        <w:jc w:val="both"/>
      </w:pPr>
      <w:r>
        <w:rPr>
          <w:rFonts w:ascii="Barlow Semi Condensed" w:cs="Barlow Semi Condensed" w:eastAsia="Barlow Semi Condensed" w:hAnsi="Barlow Semi Condensed"/>
          <w:sz w:val="24"/>
          <w:szCs w:val="24"/>
        </w:rPr>
        <w:t xml:space="preserve">Questa parte non dipende da alcuna fonte. È il testo contro sé stesso.</w:t>
      </w:r>
    </w:p>
    <w:p>
      <w:pPr>
        <w:spacing w:after="120" w:line="276"/>
        <w:jc w:val="both"/>
      </w:pPr>
      <w:r>
        <w:rPr>
          <w:rFonts w:ascii="Barlow Semi Condensed" w:cs="Barlow Semi Condensed" w:eastAsia="Barlow Semi Condensed" w:hAnsi="Barlow Semi Condensed"/>
          <w:sz w:val="24"/>
          <w:szCs w:val="24"/>
        </w:rPr>
        <w:t xml:space="preserve">Delle trentatré righe, venti danno sia una tessera sia un fascicolo. **Otto di</w:t>
      </w:r>
    </w:p>
    <w:p>
      <w:pPr>
        <w:spacing w:after="120" w:line="276"/>
        <w:jc w:val="both"/>
      </w:pPr>
      <w:r>
        <w:rPr>
          <w:rFonts w:ascii="Barlow Semi Condensed" w:cs="Barlow Semi Condensed" w:eastAsia="Barlow Semi Condensed" w:hAnsi="Barlow Semi Condensed"/>
          <w:sz w:val="24"/>
          <w:szCs w:val="24"/>
        </w:rPr>
        <w:t xml:space="preserve">esse hanno lo scarto identico: esattamente 1.088.**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tessera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fascicolo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scarto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Giudice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1.592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 Prete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1.600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Guglielmi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1.602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Pelosi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1.607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Siracusano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1.608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Torrisi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Giovannone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Se due numerazioni progressive corrono in parallelo su un blocco contiguo,</w:t>
      </w:r>
    </w:p>
    <w:p>
      <w:pPr>
        <w:spacing w:after="120" w:line="276"/>
        <w:jc w:val="both"/>
      </w:pPr>
      <w:r>
        <w:rPr>
          <w:rFonts w:ascii="Barlow Semi Condensed" w:cs="Barlow Semi Condensed" w:eastAsia="Barlow Semi Condensed" w:hAnsi="Barlow Semi Condensed"/>
          <w:sz w:val="24"/>
          <w:szCs w:val="24"/>
        </w:rPr>
        <w:t xml:space="preserve">ogni altra coppia del blocco deve stare sulla stessa retta: **se il 1.602 è il</w:t>
      </w:r>
    </w:p>
    <w:p>
      <w:pPr>
        <w:spacing w:after="120" w:line="276"/>
        <w:jc w:val="both"/>
      </w:pPr>
      <w:r>
        <w:rPr>
          <w:rFonts w:ascii="Barlow Semi Condensed" w:cs="Barlow Semi Condensed" w:eastAsia="Barlow Semi Condensed" w:hAnsi="Barlow Semi Condensed"/>
          <w:sz w:val="24"/>
          <w:szCs w:val="24"/>
        </w:rPr>
        <w:t xml:space="preserve">514 e il 1.607 è il 519, il 1.605 non può che essere il 517.** Il testo lo dà</w:t>
      </w:r>
    </w:p>
    <w:p>
      <w:pPr>
        <w:spacing w:after="120" w:line="276"/>
        <w:jc w:val="both"/>
      </w:pPr>
      <w:r>
        <w:rPr>
          <w:rFonts w:ascii="Barlow Semi Condensed" w:cs="Barlow Semi Condensed" w:eastAsia="Barlow Semi Condensed" w:hAnsi="Barlow Semi Condensed"/>
          <w:sz w:val="24"/>
          <w:szCs w:val="24"/>
        </w:rPr>
        <w:t xml:space="preserve">per 491. Dodici coppie su venti deviano, da una a trecentoventotto posizioni.</w:t>
      </w:r>
    </w:p>
    <w:p>
      <w:pPr>
        <w:spacing w:after="120" w:line="276"/>
        <w:jc w:val="both"/>
      </w:pPr>
      <w:r>
        <w:rPr>
          <w:rFonts w:ascii="Barlow Semi Condensed" w:cs="Barlow Semi Condensed" w:eastAsia="Barlow Semi Condensed" w:hAnsi="Barlow Semi Condensed"/>
          <w:b/>
          <w:bCs/>
          <w:sz w:val="24"/>
          <w:szCs w:val="24"/>
        </w:rPr>
        <w:t xml:space="preserve">Il controllo di calibrazione chiude la questione.</w:t>
      </w:r>
      <w:r>
        <w:rPr>
          <w:rFonts w:ascii="Barlow Semi Condensed" w:cs="Barlow Semi Condensed" w:eastAsia="Barlow Semi Condensed" w:hAnsi="Barlow Semi Condensed"/>
          <w:sz w:val="24"/>
          <w:szCs w:val="24"/>
        </w:rPr>
        <w:t xml:space="preserve"> Nelle due coppie</w:t>
      </w:r>
    </w:p>
    <w:p>
      <w:pPr>
        <w:spacing w:after="120" w:line="276"/>
        <w:jc w:val="both"/>
      </w:pPr>
      <w:r>
        <w:rPr>
          <w:rFonts w:ascii="Barlow Semi Condensed" w:cs="Barlow Semi Condensed" w:eastAsia="Barlow Semi Condensed" w:hAnsi="Barlow Semi Condensed"/>
          <w:sz w:val="24"/>
          <w:szCs w:val="24"/>
        </w:rPr>
        <w:t xml:space="preserve">attestate lo scarto </w:t>
      </w:r>
      <w:r>
        <w:rPr>
          <w:rFonts w:ascii="Barlow Semi Condensed" w:cs="Barlow Semi Condensed" w:eastAsia="Barlow Semi Condensed" w:hAnsi="Barlow Semi Condensed"/>
          <w:i/>
          <w:iCs/>
          <w:sz w:val="24"/>
          <w:szCs w:val="24"/>
        </w:rPr>
        <w:t xml:space="preserve">deriva</w:t>
      </w:r>
      <w:r>
        <w:rPr>
          <w:rFonts w:ascii="Barlow Semi Condensed" w:cs="Barlow Semi Condensed" w:eastAsia="Barlow Semi Condensed" w:hAnsi="Barlow Semi Condensed"/>
          <w:sz w:val="24"/>
          <w:szCs w:val="24"/>
        </w:rPr>
        <w:t xml:space="preserve">: Berlusconi 1.816 − 625 = 1.191, Costanzo</w:t>
      </w:r>
    </w:p>
    <w:p>
      <w:pPr>
        <w:spacing w:after="120" w:line="276"/>
        <w:jc w:val="both"/>
      </w:pPr>
      <w:r>
        <w:rPr>
          <w:rFonts w:ascii="Barlow Semi Condensed" w:cs="Barlow Semi Condensed" w:eastAsia="Barlow Semi Condensed" w:hAnsi="Barlow Semi Condensed"/>
          <w:sz w:val="24"/>
          <w:szCs w:val="24"/>
        </w:rPr>
        <w:t xml:space="preserve">1.819 − 626 = 1.193. Tre posizioni di tessera, due di scarto. È così che si</w:t>
      </w:r>
    </w:p>
    <w:p>
      <w:pPr>
        <w:spacing w:after="120" w:line="276"/>
        <w:jc w:val="both"/>
      </w:pPr>
      <w:r>
        <w:rPr>
          <w:rFonts w:ascii="Barlow Semi Condensed" w:cs="Barlow Semi Condensed" w:eastAsia="Barlow Semi Condensed" w:hAnsi="Barlow Semi Condensed"/>
          <w:sz w:val="24"/>
          <w:szCs w:val="24"/>
        </w:rPr>
        <w:t xml:space="preserve">comporta un archivio con due registri, ciascuno coi propri vuoti.</w:t>
      </w:r>
    </w:p>
    <w:p>
      <w:pPr>
        <w:spacing w:after="120" w:line="276"/>
        <w:jc w:val="both"/>
      </w:pPr>
      <w:r>
        <w:rPr>
          <w:rFonts w:ascii="Barlow Semi Condensed" w:cs="Barlow Semi Condensed" w:eastAsia="Barlow Semi Condensed" w:hAnsi="Barlow Semi Condensed"/>
          <w:sz w:val="24"/>
          <w:szCs w:val="24"/>
        </w:rPr>
        <w:t xml:space="preserve">Nelle otto coppie del testo lo scarto **non cambia di uno in quarantadue</w:t>
      </w:r>
    </w:p>
    <w:p>
      <w:pPr>
        <w:spacing w:after="120" w:line="276"/>
        <w:jc w:val="both"/>
      </w:pPr>
      <w:r>
        <w:rPr>
          <w:rFonts w:ascii="Barlow Semi Condensed" w:cs="Barlow Semi Condensed" w:eastAsia="Barlow Semi Condensed" w:hAnsi="Barlow Semi Condensed"/>
          <w:sz w:val="24"/>
          <w:szCs w:val="24"/>
        </w:rPr>
        <w:t xml:space="preserve">posizioni**. Uno scarto congelato non è un secondo registro: è una</w:t>
      </w:r>
    </w:p>
    <w:p>
      <w:pPr>
        <w:spacing w:after="120" w:line="276"/>
        <w:jc w:val="both"/>
      </w:pPr>
      <w:r>
        <w:rPr>
          <w:rFonts w:ascii="Barlow Semi Condensed" w:cs="Barlow Semi Condensed" w:eastAsia="Barlow Semi Condensed" w:hAnsi="Barlow Semi Condensed"/>
          <w:sz w:val="24"/>
          <w:szCs w:val="24"/>
        </w:rPr>
        <w:t xml:space="preserve">sottrazione. Su ventitré coppie, la probabilità che otto condividano lo stesso</w:t>
      </w:r>
    </w:p>
    <w:p>
      <w:pPr>
        <w:spacing w:after="120" w:line="276"/>
        <w:jc w:val="both"/>
      </w:pPr>
      <w:r>
        <w:rPr>
          <w:rFonts w:ascii="Barlow Semi Condensed" w:cs="Barlow Semi Condensed" w:eastAsia="Barlow Semi Condensed" w:hAnsi="Barlow Semi Condensed"/>
          <w:sz w:val="24"/>
          <w:szCs w:val="24"/>
        </w:rPr>
        <w:t xml:space="preserve">scarto per caso è dell'ordine di </w:t>
      </w:r>
      <w:r>
        <w:rPr>
          <w:rFonts w:ascii="Barlow Semi Condensed" w:cs="Barlow Semi Condensed" w:eastAsia="Barlow Semi Condensed" w:hAnsi="Barlow Semi Condensed"/>
          <w:b/>
          <w:bCs/>
          <w:sz w:val="24"/>
          <w:szCs w:val="24"/>
        </w:rPr>
        <w:t xml:space="preserve">cinque su mille miliardi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Che cosa ritiro</w:t>
      </w:r>
    </w:p>
    <w:p>
      <w:pPr>
        <w:spacing w:after="120" w:line="276"/>
        <w:jc w:val="both"/>
      </w:pPr>
      <w:r>
        <w:rPr>
          <w:rFonts w:ascii="Barlow Semi Condensed" w:cs="Barlow Semi Condensed" w:eastAsia="Barlow Semi Condensed" w:hAnsi="Barlow Semi Condensed"/>
          <w:sz w:val="24"/>
          <w:szCs w:val="24"/>
        </w:rPr>
        <w:t xml:space="preserve">La disciplina impone di annotare accanto, non di cancellare. Ecco che cosa</w:t>
      </w:r>
    </w:p>
    <w:p>
      <w:pPr>
        <w:spacing w:after="120" w:line="276"/>
        <w:jc w:val="both"/>
      </w:pPr>
      <w:r>
        <w:rPr>
          <w:rFonts w:ascii="Barlow Semi Condensed" w:cs="Barlow Semi Condensed" w:eastAsia="Barlow Semi Condensed" w:hAnsi="Barlow Semi Condensed"/>
          <w:sz w:val="24"/>
          <w:szCs w:val="24"/>
        </w:rPr>
        <w:t xml:space="preserve">questa verifica toglie a due affermazioni che avevo scritto io.</w:t>
      </w:r>
    </w:p>
    <w:p>
      <w:pPr>
        <w:pStyle w:val="Heading3"/>
        <w:spacing w:after="80" w:before="160"/>
      </w:pPr>
      <w:r>
        <w:rPr>
          <w:rFonts w:ascii="Barlow Semi Condensed" w:cs="Barlow Semi Condensed" w:eastAsia="Barlow Semi Condensed" w:hAnsi="Barlow Semi Condensed"/>
          <w:sz w:val="24"/>
          <w:szCs w:val="24"/>
        </w:rPr>
        <w:t xml:space="preserve">La soglia del 1.600 non è un'esclusione</w:t>
      </w:r>
    </w:p>
    <w:p>
      <w:pPr>
        <w:spacing w:after="120" w:line="276"/>
        <w:jc w:val="both"/>
      </w:pPr>
      <w:r>
        <w:rPr>
          <w:rFonts w:ascii="Barlow Semi Condensed" w:cs="Barlow Semi Condensed" w:eastAsia="Barlow Semi Condensed" w:hAnsi="Barlow Semi Condensed"/>
          <w:sz w:val="24"/>
          <w:szCs w:val="24"/>
        </w:rPr>
        <w:t xml:space="preserve">Il 26 agosto avevo scritto che «nessuna tessera aveva numero inferiore al</w:t>
      </w:r>
    </w:p>
    <w:p>
      <w:pPr>
        <w:spacing w:after="120" w:line="276"/>
        <w:jc w:val="both"/>
      </w:pPr>
      <w:r>
        <w:rPr>
          <w:rFonts w:ascii="Barlow Semi Condensed" w:cs="Barlow Semi Condensed" w:eastAsia="Barlow Semi Condensed" w:hAnsi="Barlow Semi Condensed"/>
          <w:sz w:val="24"/>
          <w:szCs w:val="24"/>
        </w:rPr>
        <w:t xml:space="preserve">1.600» e ne avevo tratto che quattro valori del testo sono impossibili. **La</w:t>
      </w:r>
    </w:p>
    <w:p>
      <w:pPr>
        <w:spacing w:after="120" w:line="276"/>
        <w:jc w:val="both"/>
      </w:pPr>
      <w:r>
        <w:rPr>
          <w:rFonts w:ascii="Barlow Semi Condensed" w:cs="Barlow Semi Condensed" w:eastAsia="Barlow Semi Condensed" w:hAnsi="Barlow Semi Condensed"/>
          <w:sz w:val="24"/>
          <w:szCs w:val="24"/>
        </w:rPr>
        <w:t xml:space="preserve">formulazione era troppo forte.** La stessa fonte che riporta la soglia cita,</w:t>
      </w:r>
    </w:p>
    <w:p>
      <w:pPr>
        <w:spacing w:after="120" w:line="276"/>
        <w:jc w:val="both"/>
      </w:pPr>
      <w:r>
        <w:rPr>
          <w:rFonts w:ascii="Barlow Semi Condensed" w:cs="Barlow Semi Condensed" w:eastAsia="Barlow Semi Condensed" w:hAnsi="Barlow Semi Condensed"/>
          <w:sz w:val="24"/>
          <w:szCs w:val="24"/>
        </w:rPr>
        <w:t xml:space="preserve">poche righe dopo, la tessera </w:t>
      </w: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di Mario Marsili e la </w:t>
      </w:r>
      <w:r>
        <w:rPr>
          <w:rFonts w:ascii="Barlow Semi Condensed" w:cs="Barlow Semi Condensed" w:eastAsia="Barlow Semi Condensed" w:hAnsi="Barlow Semi Condensed"/>
          <w:b/>
          <w:bCs/>
          <w:sz w:val="24"/>
          <w:szCs w:val="24"/>
        </w:rPr>
        <w:t xml:space="preserve">1508</w:t>
      </w:r>
      <w:r>
        <w:rPr>
          <w:rFonts w:ascii="Barlow Semi Condensed" w:cs="Barlow Semi Condensed" w:eastAsia="Barlow Semi Condensed" w:hAnsi="Barlow Semi Condensed"/>
          <w:sz w:val="24"/>
          <w:szCs w:val="24"/>
        </w:rPr>
        <w:t xml:space="preserve"> di Ezio</w:t>
      </w:r>
    </w:p>
    <w:p>
      <w:pPr>
        <w:spacing w:after="120" w:line="276"/>
        <w:jc w:val="both"/>
      </w:pPr>
      <w:r>
        <w:rPr>
          <w:rFonts w:ascii="Barlow Semi Condensed" w:cs="Barlow Semi Condensed" w:eastAsia="Barlow Semi Condensed" w:hAnsi="Barlow Semi Condensed"/>
          <w:sz w:val="24"/>
          <w:szCs w:val="24"/>
        </w:rPr>
        <w:t xml:space="preserve">Giunchiglia: due valori sotto.</w:t>
      </w:r>
    </w:p>
    <w:p>
      <w:pPr>
        <w:spacing w:after="120" w:line="276"/>
        <w:jc w:val="both"/>
      </w:pPr>
      <w:r>
        <w:rPr>
          <w:rFonts w:ascii="Barlow Semi Condensed" w:cs="Barlow Semi Condensed" w:eastAsia="Barlow Semi Condensed" w:hAnsi="Barlow Semi Condensed"/>
          <w:sz w:val="24"/>
          <w:szCs w:val="24"/>
        </w:rPr>
        <w:t xml:space="preserve">La formulazione difendibile è: *la numerazione degli elenchi sequestrati</w:t>
      </w:r>
    </w:p>
    <w:p>
      <w:pPr>
        <w:spacing w:after="120" w:line="276"/>
        <w:jc w:val="both"/>
      </w:pPr>
      <w:r>
        <w:rPr>
          <w:rFonts w:ascii="Barlow Semi Condensed" w:cs="Barlow Semi Condensed" w:eastAsia="Barlow Semi Condensed" w:hAnsi="Barlow Semi Condensed"/>
          <w:sz w:val="24"/>
          <w:szCs w:val="24"/>
        </w:rPr>
        <w:t xml:space="preserve">comincia intorno a 1.600*, da cui l'inferenza che l'archivio recuperato sia</w:t>
      </w:r>
    </w:p>
    <w:p>
      <w:pPr>
        <w:spacing w:after="120" w:line="276"/>
        <w:jc w:val="both"/>
      </w:pPr>
      <w:r>
        <w:rPr>
          <w:rFonts w:ascii="Barlow Semi Condensed" w:cs="Barlow Semi Condensed" w:eastAsia="Barlow Semi Condensed" w:hAnsi="Barlow Semi Condensed"/>
          <w:sz w:val="24"/>
          <w:szCs w:val="24"/>
        </w:rPr>
        <w:t xml:space="preserve">una piramide inferiore. Resta un indizio forte, **non un test di esclusione</w:t>
      </w:r>
    </w:p>
    <w:p>
      <w:pPr>
        <w:spacing w:after="120" w:line="276"/>
        <w:jc w:val="both"/>
      </w:pPr>
      <w:r>
        <w:rPr>
          <w:rFonts w:ascii="Barlow Semi Condensed" w:cs="Barlow Semi Condensed" w:eastAsia="Barlow Semi Condensed" w:hAnsi="Barlow Semi Condensed"/>
          <w:sz w:val="24"/>
          <w:szCs w:val="24"/>
        </w:rPr>
        <w:t xml:space="preserve">automatica**. Il §2 della verifica del 26 agosto va letto con questa</w:t>
      </w:r>
    </w:p>
    <w:p>
      <w:pPr>
        <w:spacing w:after="120" w:line="276"/>
        <w:jc w:val="both"/>
      </w:pPr>
      <w:r>
        <w:rPr>
          <w:rFonts w:ascii="Barlow Semi Condensed" w:cs="Barlow Semi Condensed" w:eastAsia="Barlow Semi Condensed" w:hAnsi="Barlow Semi Condensed"/>
          <w:sz w:val="24"/>
          <w:szCs w:val="24"/>
        </w:rPr>
        <w:t xml:space="preserve">annotazione accanto.</w:t>
      </w:r>
    </w:p>
    <w:p>
      <w:pPr>
        <w:pStyle w:val="Heading3"/>
        <w:spacing w:after="80" w:before="160"/>
      </w:pPr>
      <w:r>
        <w:rPr>
          <w:rFonts w:ascii="Barlow Semi Condensed" w:cs="Barlow Semi Condensed" w:eastAsia="Barlow Semi Condensed" w:hAnsi="Barlow Semi Condensed"/>
          <w:sz w:val="24"/>
          <w:szCs w:val="24"/>
        </w:rPr>
        <w:t xml:space="preserve">I parlamentari: 44, non 59</w:t>
      </w:r>
    </w:p>
    <w:p>
      <w:pPr>
        <w:spacing w:after="120" w:line="276"/>
        <w:jc w:val="both"/>
      </w:pPr>
      <w:r>
        <w:rPr>
          <w:rFonts w:ascii="Barlow Semi Condensed" w:cs="Barlow Semi Condensed" w:eastAsia="Barlow Semi Condensed" w:hAnsi="Barlow Semi Condensed"/>
          <w:sz w:val="24"/>
          <w:szCs w:val="24"/>
        </w:rPr>
        <w:t xml:space="preserve">Il 27 agosto avevo corretto la cifra del Libro quarto da 44 a 59 sulla base di</w:t>
      </w:r>
    </w:p>
    <w:p>
      <w:pPr>
        <w:spacing w:after="120" w:line="276"/>
        <w:jc w:val="both"/>
      </w:pPr>
      <w:r>
        <w:rPr>
          <w:rFonts w:ascii="Barlow Semi Condensed" w:cs="Barlow Semi Condensed" w:eastAsia="Barlow Semi Condensed" w:hAnsi="Barlow Semi Condensed"/>
          <w:sz w:val="24"/>
          <w:szCs w:val="24"/>
        </w:rPr>
        <w:t xml:space="preserve">una sola ricerca. </w:t>
      </w:r>
      <w:r>
        <w:rPr>
          <w:rFonts w:ascii="Barlow Semi Condensed" w:cs="Barlow Semi Condensed" w:eastAsia="Barlow Semi Condensed" w:hAnsi="Barlow Semi Condensed"/>
          <w:b/>
          <w:bCs/>
          <w:sz w:val="24"/>
          <w:szCs w:val="24"/>
        </w:rPr>
        <w:t xml:space="preserve">La correzione era sbagliata e la ritiro.</w:t>
      </w:r>
      <w:r>
        <w:rPr>
          <w:rFonts w:ascii="Barlow Semi Condensed" w:cs="Barlow Semi Condensed" w:eastAsia="Barlow Semi Condensed" w:hAnsi="Barlow Semi Condensed"/>
          <w:sz w:val="24"/>
          <w:szCs w:val="24"/>
        </w:rPr>
        <w:t xml:space="preserve"> La ricerca</w:t>
      </w:r>
    </w:p>
    <w:p>
      <w:pPr>
        <w:spacing w:after="120" w:line="276"/>
        <w:jc w:val="both"/>
      </w:pPr>
      <w:r>
        <w:rPr>
          <w:rFonts w:ascii="Barlow Semi Condensed" w:cs="Barlow Semi Condensed" w:eastAsia="Barlow Semi Condensed" w:hAnsi="Barlow Semi Condensed"/>
          <w:sz w:val="24"/>
          <w:szCs w:val="24"/>
        </w:rPr>
        <w:t xml:space="preserve">approfondita corrobora **44 parlamentari, 3 ministri e 1 segretario di</w:t>
      </w:r>
    </w:p>
    <w:p>
      <w:pPr>
        <w:spacing w:after="120" w:line="276"/>
        <w:jc w:val="both"/>
      </w:pPr>
      <w:r>
        <w:rPr>
          <w:rFonts w:ascii="Barlow Semi Condensed" w:cs="Barlow Semi Condensed" w:eastAsia="Barlow Semi Condensed" w:hAnsi="Barlow Semi Condensed"/>
          <w:sz w:val="24"/>
          <w:szCs w:val="24"/>
        </w:rPr>
        <w:t xml:space="preserve">partito**, dentro un conteggio di 195 ufficiali (12 generali dei Carabinieri,</w:t>
      </w:r>
    </w:p>
    <w:p>
      <w:pPr>
        <w:spacing w:after="120" w:line="276"/>
        <w:jc w:val="both"/>
      </w:pPr>
      <w:r>
        <w:rPr>
          <w:rFonts w:ascii="Barlow Semi Condensed" w:cs="Barlow Semi Condensed" w:eastAsia="Barlow Semi Condensed" w:hAnsi="Barlow Semi Condensed"/>
          <w:sz w:val="24"/>
          <w:szCs w:val="24"/>
        </w:rPr>
        <w:t xml:space="preserve">5 della Guardia di Finanza, 22 dell'Esercito, 4 dell'Aeronautica, 8</w:t>
      </w:r>
    </w:p>
    <w:p>
      <w:pPr>
        <w:spacing w:after="120" w:line="276"/>
        <w:jc w:val="both"/>
      </w:pPr>
      <w:r>
        <w:rPr>
          <w:rFonts w:ascii="Barlow Semi Condensed" w:cs="Barlow Semi Condensed" w:eastAsia="Barlow Semi Condensed" w:hAnsi="Barlow Semi Condensed"/>
          <w:sz w:val="24"/>
          <w:szCs w:val="24"/>
        </w:rPr>
        <w:t xml:space="preserve">ammiragli). Il set alternativo con 59 parlamentari e 119 ufficiali non ha</w:t>
      </w:r>
    </w:p>
    <w:p>
      <w:pPr>
        <w:spacing w:after="120" w:line="276"/>
        <w:jc w:val="both"/>
      </w:pPr>
      <w:r>
        <w:rPr>
          <w:rFonts w:ascii="Barlow Semi Condensed" w:cs="Barlow Semi Condensed" w:eastAsia="Barlow Semi Condensed" w:hAnsi="Barlow Semi Condensed"/>
          <w:sz w:val="24"/>
          <w:szCs w:val="24"/>
        </w:rPr>
        <w:t xml:space="preserve">trovato fonte esterna e </w:t>
      </w:r>
      <w:r>
        <w:rPr>
          <w:rFonts w:ascii="Barlow Semi Condensed" w:cs="Barlow Semi Condensed" w:eastAsia="Barlow Semi Condensed" w:hAnsi="Barlow Semi Condensed"/>
          <w:b/>
          <w:bCs/>
          <w:sz w:val="24"/>
          <w:szCs w:val="24"/>
        </w:rPr>
        <w:t xml:space="preserve">omette del tutto Marina e Aeronautica</w:t>
      </w:r>
      <w:r>
        <w:rPr>
          <w:rFonts w:ascii="Barlow Semi Condensed" w:cs="Barlow Semi Condensed" w:eastAsia="Barlow Semi Condensed" w:hAnsi="Barlow Semi Condensed"/>
          <w:sz w:val="24"/>
          <w:szCs w:val="24"/>
        </w:rPr>
        <w:t xml:space="preserve">: è un'altra</w:t>
      </w:r>
    </w:p>
    <w:p>
      <w:pPr>
        <w:spacing w:after="120" w:line="276"/>
        <w:jc w:val="both"/>
      </w:pPr>
      <w:r>
        <w:rPr>
          <w:rFonts w:ascii="Barlow Semi Condensed" w:cs="Barlow Semi Condensed" w:eastAsia="Barlow Semi Condensed" w:hAnsi="Barlow Semi Condensed"/>
          <w:sz w:val="24"/>
          <w:szCs w:val="24"/>
        </w:rPr>
        <w:t xml:space="preserve">tassonomia, non un altro conteggio dello stesso campo.</w:t>
      </w:r>
    </w:p>
    <w:p>
      <w:pPr>
        <w:spacing w:after="120" w:line="276"/>
        <w:jc w:val="both"/>
      </w:pPr>
      <w:r>
        <w:rPr>
          <w:rFonts w:ascii="Barlow Semi Condensed" w:cs="Barlow Semi Condensed" w:eastAsia="Barlow Semi Condensed" w:hAnsi="Barlow Semi Condensed"/>
          <w:sz w:val="24"/>
          <w:szCs w:val="24"/>
        </w:rPr>
        <w:t xml:space="preserve">La cifra del corpus era giusta. L'annotazione che le avevo messo accanto va a</w:t>
      </w:r>
    </w:p>
    <w:p>
      <w:pPr>
        <w:spacing w:after="120" w:line="276"/>
        <w:jc w:val="both"/>
      </w:pPr>
      <w:r>
        <w:rPr>
          <w:rFonts w:ascii="Barlow Semi Condensed" w:cs="Barlow Semi Condensed" w:eastAsia="Barlow Semi Condensed" w:hAnsi="Barlow Semi Condensed"/>
          <w:sz w:val="24"/>
          <w:szCs w:val="24"/>
        </w:rPr>
        <w:t xml:space="preserve">sua volta annotata.</w:t>
      </w:r>
    </w:p>
    <w:p>
      <w:pPr>
        <w:pStyle w:val="Heading3"/>
        <w:spacing w:after="80" w:before="160"/>
      </w:pPr>
      <w:r>
        <w:rPr>
          <w:rFonts w:ascii="Barlow Semi Condensed" w:cs="Barlow Semi Condensed" w:eastAsia="Barlow Semi Condensed" w:hAnsi="Barlow Semi Condensed"/>
          <w:sz w:val="24"/>
          <w:szCs w:val="24"/>
        </w:rPr>
        <w:t xml:space="preserve">La corsa di dieci consecutivi non è un indizio</w:t>
      </w:r>
    </w:p>
    <w:p>
      <w:pPr>
        <w:spacing w:after="120" w:line="276"/>
        <w:jc w:val="both"/>
      </w:pPr>
      <w:r>
        <w:rPr>
          <w:rFonts w:ascii="Barlow Semi Condensed" w:cs="Barlow Semi Condensed" w:eastAsia="Barlow Semi Condensed" w:hAnsi="Barlow Semi Condensed"/>
          <w:sz w:val="24"/>
          <w:szCs w:val="24"/>
        </w:rPr>
        <w:t xml:space="preserve">La sintesi della ricerca segnalava come anomala la corsa ininterrotta da 1.630</w:t>
      </w:r>
    </w:p>
    <w:p>
      <w:pPr>
        <w:spacing w:after="120" w:line="276"/>
        <w:jc w:val="both"/>
      </w:pPr>
      <w:r>
        <w:rPr>
          <w:rFonts w:ascii="Barlow Semi Condensed" w:cs="Barlow Semi Condensed" w:eastAsia="Barlow Semi Condensed" w:hAnsi="Barlow Semi Condensed"/>
          <w:sz w:val="24"/>
          <w:szCs w:val="24"/>
        </w:rPr>
        <w:t xml:space="preserve">a 1.639 assegnata a dieci persone. </w:t>
      </w:r>
      <w:r>
        <w:rPr>
          <w:rFonts w:ascii="Barlow Semi Condensed" w:cs="Barlow Semi Condensed" w:eastAsia="Barlow Semi Condensed" w:hAnsi="Barlow Semi Condensed"/>
          <w:b/>
          <w:bCs/>
          <w:sz w:val="24"/>
          <w:szCs w:val="24"/>
        </w:rPr>
        <w:t xml:space="preserve">L'aritmetica non la sostiene.</w:t>
      </w:r>
      <w:r>
        <w:rPr>
          <w:rFonts w:ascii="Barlow Semi Condensed" w:cs="Barlow Semi Condensed" w:eastAsia="Barlow Semi Condensed" w:hAnsi="Barlow Semi Condensed"/>
          <w:sz w:val="24"/>
          <w:szCs w:val="24"/>
        </w:rPr>
        <w:t xml:space="preserve"> In un</w:t>
      </w:r>
    </w:p>
    <w:p>
      <w:pPr>
        <w:spacing w:after="120" w:line="276"/>
        <w:jc w:val="both"/>
      </w:pPr>
      <w:r>
        <w:rPr>
          <w:rFonts w:ascii="Barlow Semi Condensed" w:cs="Barlow Semi Condensed" w:eastAsia="Barlow Semi Condensed" w:hAnsi="Barlow Semi Condensed"/>
          <w:sz w:val="24"/>
          <w:szCs w:val="24"/>
        </w:rPr>
        <w:t xml:space="preserve">elenco di 962 nomi distribuiti su circa 1.600 posizioni la densità è di 0,60</w:t>
      </w:r>
    </w:p>
    <w:p>
      <w:pPr>
        <w:spacing w:after="120" w:line="276"/>
        <w:jc w:val="both"/>
      </w:pPr>
      <w:r>
        <w:rPr>
          <w:rFonts w:ascii="Barlow Semi Condensed" w:cs="Barlow Semi Condensed" w:eastAsia="Barlow Semi Condensed" w:hAnsi="Barlow Semi Condensed"/>
          <w:sz w:val="24"/>
          <w:szCs w:val="24"/>
        </w:rPr>
        <w:t xml:space="preserve">nomi per posizione, e corse di dieci consecutivi se ne attendono **circa</w:t>
      </w:r>
    </w:p>
    <w:p>
      <w:pPr>
        <w:spacing w:after="120" w:line="276"/>
        <w:jc w:val="both"/>
      </w:pPr>
      <w:r>
        <w:rPr>
          <w:rFonts w:ascii="Barlow Semi Condensed" w:cs="Barlow Semi Condensed" w:eastAsia="Barlow Semi Condensed" w:hAnsi="Barlow Semi Condensed"/>
          <w:sz w:val="24"/>
          <w:szCs w:val="24"/>
        </w:rPr>
        <w:t xml:space="preserve">quattro** nell'elenco intero. Trovarne una è normale. Ritiro l'argomento.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Le divergenze, riportate e non scelte</w:t>
      </w:r>
    </w:p>
    <w:p>
      <w:pPr>
        <w:spacing w:after="120" w:line="276"/>
        <w:jc w:val="both"/>
      </w:pPr>
      <w:r>
        <w:rPr>
          <w:rFonts w:ascii="Barlow Semi Condensed" w:cs="Barlow Semi Condensed" w:eastAsia="Barlow Semi Condensed" w:hAnsi="Barlow Semi Condensed"/>
          <w:b/>
          <w:bCs/>
          <w:sz w:val="24"/>
          <w:szCs w:val="24"/>
        </w:rPr>
        <w:t xml:space="preserve">Quattordici persone portano almeno due valori mutuamente incompatibili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sommando quelli del testo esaminato e quelli che la ricerca ha reperito: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valori in circolazione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Santovito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163 · 527 · 1.630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Grassini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515 · 1.629 · 1.620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Pelosi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519 · 754 · 1.607</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Miceli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491 · 1.605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504 · 535 · 1.592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 Prete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482 · 512 · 1.600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Siracusano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496 · 520 · 1.608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Cioppa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658 · 1.628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Cornacchia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871 · 1.631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Spagnuolo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543 · 545 · 1.632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Malfatti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540 · 812 · 1.636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Torrisi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531 · 631 · 1.619</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D'Amato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554 · 1.643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Selva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1.803 · 1.814</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A queste si aggiungono le cinque collisioni interne già censite il 26 agosto:</w:t>
      </w:r>
    </w:p>
    <w:p>
      <w:pPr>
        <w:spacing w:after="120" w:line="276"/>
        <w:jc w:val="both"/>
      </w:pPr>
      <w:r>
        <w:rPr>
          <w:rFonts w:ascii="Barlow Semi Condensed" w:cs="Barlow Semi Condensed" w:eastAsia="Barlow Semi Condensed" w:hAnsi="Barlow Semi Condensed"/>
          <w:sz w:val="24"/>
          <w:szCs w:val="24"/>
        </w:rPr>
        <w:t xml:space="preserve">il 1.612 dato a Sindona come tessera e a Gelli come fascicolo; il 519 dato a</w:t>
      </w:r>
    </w:p>
    <w:p>
      <w:pPr>
        <w:spacing w:after="120" w:line="276"/>
        <w:jc w:val="both"/>
      </w:pPr>
      <w:r>
        <w:rPr>
          <w:rFonts w:ascii="Barlow Semi Condensed" w:cs="Barlow Semi Condensed" w:eastAsia="Barlow Semi Condensed" w:hAnsi="Barlow Semi Condensed"/>
          <w:sz w:val="24"/>
          <w:szCs w:val="24"/>
        </w:rPr>
        <w:t xml:space="preserve">Calvi e dentro il «519/1607» di Pelosi; il 527 dato allo stesso Santovito con</w:t>
      </w:r>
    </w:p>
    <w:p>
      <w:pPr>
        <w:spacing w:after="120" w:line="276"/>
        <w:jc w:val="both"/>
      </w:pPr>
      <w:r>
        <w:rPr>
          <w:rFonts w:ascii="Barlow Semi Condensed" w:cs="Barlow Semi Condensed" w:eastAsia="Barlow Semi Condensed" w:hAnsi="Barlow Semi Condensed"/>
          <w:sz w:val="24"/>
          <w:szCs w:val="24"/>
        </w:rPr>
        <w:t xml:space="preserve">entrambe le etichette; Calvi con fascicolo 530 e 519; Gelli con 1.612 e 1.711.</w:t>
      </w:r>
    </w:p>
    <w:p>
      <w:pPr>
        <w:spacing w:after="120" w:line="276"/>
        <w:jc w:val="both"/>
      </w:pPr>
      <w:r>
        <w:rPr>
          <w:rFonts w:ascii="Barlow Semi Condensed" w:cs="Barlow Semi Condensed" w:eastAsia="Barlow Semi Condensed" w:hAnsi="Barlow Semi Condensed"/>
          <w:b/>
          <w:bCs/>
          <w:sz w:val="24"/>
          <w:szCs w:val="24"/>
        </w:rPr>
        <w:t xml:space="preserve">Nessuna di queste divergenze viene risolta qui.</w:t>
      </w:r>
      <w:r>
        <w:rPr>
          <w:rFonts w:ascii="Barlow Semi Condensed" w:cs="Barlow Semi Condensed" w:eastAsia="Barlow Semi Condensed" w:hAnsi="Barlow Semi Condensed"/>
          <w:sz w:val="24"/>
          <w:szCs w:val="24"/>
        </w:rPr>
        <w:t xml:space="preserve"> Si registrano.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Un rilievo che tocca la cronologia</w:t>
      </w:r>
    </w:p>
    <w:p>
      <w:pPr>
        <w:spacing w:after="120" w:line="276"/>
        <w:jc w:val="both"/>
      </w:pPr>
      <w:r>
        <w:rPr>
          <w:rFonts w:ascii="Barlow Semi Condensed" w:cs="Barlow Semi Condensed" w:eastAsia="Barlow Semi Condensed" w:hAnsi="Barlow Semi Condensed"/>
          <w:sz w:val="24"/>
          <w:szCs w:val="24"/>
        </w:rPr>
        <w:t xml:space="preserve">Le fonti reperite indicano per </w:t>
      </w:r>
      <w:r>
        <w:rPr>
          <w:rFonts w:ascii="Barlow Semi Condensed" w:cs="Barlow Semi Condensed" w:eastAsia="Barlow Semi Condensed" w:hAnsi="Barlow Semi Condensed"/>
          <w:b/>
          <w:bCs/>
          <w:sz w:val="24"/>
          <w:szCs w:val="24"/>
        </w:rPr>
        <w:t xml:space="preserve">Francesco Malfatti di Montetretto</w:t>
      </w:r>
      <w:r>
        <w:rPr>
          <w:rFonts w:ascii="Barlow Semi Condensed" w:cs="Barlow Semi Condensed" w:eastAsia="Barlow Semi Condensed" w:hAnsi="Barlow Semi Condensed"/>
          <w:sz w:val="24"/>
          <w:szCs w:val="24"/>
        </w:rPr>
        <w:t xml:space="preserve"> una data</w:t>
      </w:r>
    </w:p>
    <w:p>
      <w:pPr>
        <w:spacing w:after="120" w:line="276"/>
        <w:jc w:val="both"/>
      </w:pPr>
      <w:r>
        <w:rPr>
          <w:rFonts w:ascii="Barlow Semi Condensed" w:cs="Barlow Semi Condensed" w:eastAsia="Barlow Semi Condensed" w:hAnsi="Barlow Semi Condensed"/>
          <w:sz w:val="24"/>
          <w:szCs w:val="24"/>
        </w:rPr>
        <w:t xml:space="preserve">di iscrizione al </w:t>
      </w:r>
      <w:r>
        <w:rPr>
          <w:rFonts w:ascii="Barlow Semi Condensed" w:cs="Barlow Semi Condensed" w:eastAsia="Barlow Semi Condensed" w:hAnsi="Barlow Semi Condensed"/>
          <w:b/>
          <w:bCs/>
          <w:sz w:val="24"/>
          <w:szCs w:val="24"/>
        </w:rPr>
        <w:t xml:space="preserve">luglio 1979</w:t>
      </w:r>
      <w:r>
        <w:rPr>
          <w:rFonts w:ascii="Barlow Semi Condensed" w:cs="Barlow Semi Condensed" w:eastAsia="Barlow Semi Condensed" w:hAnsi="Barlow Semi Condensed"/>
          <w:sz w:val="24"/>
          <w:szCs w:val="24"/>
        </w:rPr>
        <w:t xml:space="preserve">: oltre un anno dopo la primavera del 1978.</w:t>
      </w:r>
    </w:p>
    <w:p>
      <w:pPr>
        <w:spacing w:after="120" w:line="276"/>
        <w:jc w:val="both"/>
      </w:pPr>
      <w:r>
        <w:rPr>
          <w:rFonts w:ascii="Barlow Semi Condensed" w:cs="Barlow Semi Condensed" w:eastAsia="Barlow Semi Condensed" w:hAnsi="Barlow Semi Condensed"/>
          <w:sz w:val="24"/>
          <w:szCs w:val="24"/>
        </w:rPr>
        <w:t xml:space="preserve">Se il dato è esatto — ed è grado C, non verificato su documento — nei</w:t>
      </w:r>
    </w:p>
    <w:p>
      <w:pPr>
        <w:spacing w:after="120" w:line="276"/>
        <w:jc w:val="both"/>
      </w:pPr>
      <w:r>
        <w:rPr>
          <w:rFonts w:ascii="Barlow Semi Condensed" w:cs="Barlow Semi Condensed" w:eastAsia="Barlow Semi Condensed" w:hAnsi="Barlow Semi Condensed"/>
          <w:sz w:val="24"/>
          <w:szCs w:val="24"/>
        </w:rPr>
        <w:t xml:space="preserve">cinquantacinque giorni Malfatti </w:t>
      </w:r>
      <w:r>
        <w:rPr>
          <w:rFonts w:ascii="Barlow Semi Condensed" w:cs="Barlow Semi Condensed" w:eastAsia="Barlow Semi Condensed" w:hAnsi="Barlow Semi Condensed"/>
          <w:b/>
          <w:bCs/>
          <w:sz w:val="24"/>
          <w:szCs w:val="24"/>
        </w:rPr>
        <w:t xml:space="preserve">non era ancora iscritto</w:t>
      </w:r>
      <w:r>
        <w:rPr>
          <w:rFonts w:ascii="Barlow Semi Condensed" w:cs="Barlow Semi Condensed" w:eastAsia="Barlow Semi Condensed" w:hAnsi="Barlow Semi Condensed"/>
          <w:sz w:val="24"/>
          <w:szCs w:val="24"/>
        </w:rPr>
        <w:t xml:space="preserve">. Il testo</w:t>
      </w:r>
    </w:p>
    <w:p>
      <w:pPr>
        <w:spacing w:after="120" w:line="276"/>
        <w:jc w:val="both"/>
      </w:pPr>
      <w:r>
        <w:rPr>
          <w:rFonts w:ascii="Barlow Semi Condensed" w:cs="Barlow Semi Condensed" w:eastAsia="Barlow Semi Condensed" w:hAnsi="Barlow Semi Condensed"/>
          <w:sz w:val="24"/>
          <w:szCs w:val="24"/>
        </w:rPr>
        <w:t xml:space="preserve">esaminato lo colloca fra chi controllava lo Stato in quei giorni. Sono due</w:t>
      </w:r>
    </w:p>
    <w:p>
      <w:pPr>
        <w:spacing w:after="120" w:line="276"/>
        <w:jc w:val="both"/>
      </w:pPr>
      <w:r>
        <w:rPr>
          <w:rFonts w:ascii="Barlow Semi Condensed" w:cs="Barlow Semi Condensed" w:eastAsia="Barlow Semi Condensed" w:hAnsi="Barlow Semi Condensed"/>
          <w:sz w:val="24"/>
          <w:szCs w:val="24"/>
        </w:rPr>
        <w:t xml:space="preserve">affermazioni che non possono stare insieme, e la seconda dipende dalla prima.</w:t>
      </w:r>
    </w:p>
    <w:p>
      <w:pPr>
        <w:spacing w:after="120" w:line="276"/>
        <w:jc w:val="both"/>
      </w:pPr>
      <w:r>
        <w:rPr>
          <w:rFonts w:ascii="Barlow Semi Condensed" w:cs="Barlow Semi Condensed" w:eastAsia="Barlow Semi Condensed" w:hAnsi="Barlow Semi Condensed"/>
          <w:sz w:val="24"/>
          <w:szCs w:val="24"/>
        </w:rPr>
        <w:t xml:space="preserve">È lo stesso campo — </w:t>
      </w:r>
      <w:r>
        <w:rPr>
          <w:rFonts w:ascii="Barlow Semi Condensed" w:cs="Barlow Semi Condensed" w:eastAsia="Barlow Semi Condensed" w:hAnsi="Barlow Semi Condensed"/>
          <w:b/>
          <w:bCs/>
          <w:sz w:val="24"/>
          <w:szCs w:val="24"/>
        </w:rPr>
        <w:t xml:space="preserve">la data di affiliazione</w:t>
      </w:r>
      <w:r>
        <w:rPr>
          <w:rFonts w:ascii="Barlow Semi Condensed" w:cs="Barlow Semi Condensed" w:eastAsia="Barlow Semi Condensed" w:hAnsi="Barlow Semi Condensed"/>
          <w:sz w:val="24"/>
          <w:szCs w:val="24"/>
        </w:rPr>
        <w:t xml:space="preserve"> — la cui assenza rende</w:t>
      </w:r>
    </w:p>
    <w:p>
      <w:pPr>
        <w:spacing w:after="120" w:line="276"/>
        <w:jc w:val="both"/>
      </w:pPr>
      <w:r>
        <w:rPr>
          <w:rFonts w:ascii="Barlow Semi Condensed" w:cs="Barlow Semi Condensed" w:eastAsia="Barlow Semi Condensed" w:hAnsi="Barlow Semi Condensed"/>
          <w:sz w:val="24"/>
          <w:szCs w:val="24"/>
        </w:rPr>
        <w:t xml:space="preserve">incalcolabile la percentuale per finestra temporale. Qui compare per un nome</w:t>
      </w:r>
    </w:p>
    <w:p>
      <w:pPr>
        <w:spacing w:after="120" w:line="276"/>
        <w:jc w:val="both"/>
      </w:pPr>
      <w:r>
        <w:rPr>
          <w:rFonts w:ascii="Barlow Semi Condensed" w:cs="Barlow Semi Condensed" w:eastAsia="Barlow Semi Condensed" w:hAnsi="Barlow Semi Condensed"/>
          <w:sz w:val="24"/>
          <w:szCs w:val="24"/>
        </w:rPr>
        <w:t xml:space="preserve">solo, e per quel nome cambia la conclusione.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Che cosa servirebbe, materialmente</w:t>
      </w:r>
    </w:p>
    <w:p>
      <w:pPr>
        <w:spacing w:after="120" w:line="276"/>
        <w:jc w:val="both"/>
      </w:pPr>
      <w:r>
        <w:rPr>
          <w:rFonts w:ascii="Barlow Semi Condensed" w:cs="Barlow Semi Condensed" w:eastAsia="Barlow Semi Condensed" w:hAnsi="Barlow Semi Condensed"/>
          <w:sz w:val="24"/>
          <w:szCs w:val="24"/>
        </w:rPr>
        <w:t xml:space="preserve">La ricerca ha prodotto un indirizzo d'archivio che prima non avevamo.</w:t>
      </w:r>
    </w:p>
    <w:p>
      <w:pPr>
        <w:spacing w:after="120" w:line="276"/>
        <w:jc w:val="both"/>
      </w:pPr>
      <w:r>
        <w:rPr>
          <w:rFonts w:ascii="Barlow Semi Condensed" w:cs="Barlow Semi Condensed" w:eastAsia="Barlow Semi Condensed" w:hAnsi="Barlow Semi Condensed"/>
          <w:b/>
          <w:bCs/>
          <w:sz w:val="24"/>
          <w:szCs w:val="24"/>
        </w:rPr>
        <w:t xml:space="preserve">Doc. XXIII n. 2, IX legislatura</w:t>
      </w:r>
      <w:r>
        <w:rPr>
          <w:rFonts w:ascii="Barlow Semi Condensed" w:cs="Barlow Semi Condensed" w:eastAsia="Barlow Semi Condensed" w:hAnsi="Barlow Semi Condensed"/>
          <w:sz w:val="24"/>
          <w:szCs w:val="24"/>
        </w:rPr>
        <w:t xml:space="preserve"> — Relazione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sulla Loggia P2, relatrice Tina Anselmi, 12 luglio 1984.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libro I, tomo I, pp. </w:t>
            </w:r>
            <w:r>
              <w:rPr>
                <w:rFonts w:ascii="Barlow Semi Condensed" w:cs="Barlow Semi Condensed" w:eastAsia="Barlow Semi Condensed" w:hAnsi="Barlow Semi Condensed"/>
                <w:b/>
                <w:bCs/>
                <w:sz w:val="20"/>
                <w:szCs w:val="20"/>
              </w:rPr>
              <w:t xml:space="preserve">803-874</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885-942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l'elenco nominativo — due sequenze separate, forse due elenchi distinti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libro I, tomo II, p. </w:t>
            </w:r>
            <w:r>
              <w:rPr>
                <w:rFonts w:ascii="Barlow Semi Condensed" w:cs="Barlow Semi Condensed" w:eastAsia="Barlow Semi Condensed" w:hAnsi="Barlow Semi Condensed"/>
                <w:b/>
                <w:bCs/>
                <w:sz w:val="20"/>
                <w:szCs w:val="20"/>
              </w:rPr>
              <w:t xml:space="preserve">213 ss.</w:t>
            </w:r>
            <w:r>
              <w:rPr>
                <w:rFonts w:ascii="Barlow Semi Condensed" w:cs="Barlow Semi Condensed" w:eastAsia="Barlow Semi Condensed" w:hAnsi="Barlow Semi Condensed"/>
                <w:sz w:val="20"/>
                <w:szCs w:val="20"/>
              </w:rPr>
              <w:t xml:space="preserve"> e p. </w:t>
            </w:r>
            <w:r>
              <w:rPr>
                <w:rFonts w:ascii="Barlow Semi Condensed" w:cs="Barlow Semi Condensed" w:eastAsia="Barlow Semi Condensed" w:hAnsi="Barlow Semi Condensed"/>
                <w:b/>
                <w:bCs/>
                <w:sz w:val="20"/>
                <w:szCs w:val="20"/>
              </w:rPr>
              <w:t xml:space="preserve">1126 ss.</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le altre sezioni della lista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volume in tomi I-IX, </w:t>
            </w:r>
            <w:r>
              <w:rPr>
                <w:rFonts w:ascii="Barlow Semi Condensed" w:cs="Barlow Semi Condensed" w:eastAsia="Barlow Semi Condensed" w:hAnsi="Barlow Semi Condensed"/>
                <w:i/>
                <w:iCs/>
                <w:sz w:val="20"/>
                <w:szCs w:val="20"/>
              </w:rPr>
              <w:t xml:space="preserve">Riscontri sull'attendibilità delle liste e sulle posizioni di affiliazione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posizione di affiliazione e, per una parte degli iscritti, la data di adesione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volume in quattro tomi, </w:t>
            </w:r>
            <w:r>
              <w:rPr>
                <w:rFonts w:ascii="Barlow Semi Condensed" w:cs="Barlow Semi Condensed" w:eastAsia="Barlow Semi Condensed" w:hAnsi="Barlow Semi Condensed"/>
                <w:i/>
                <w:iCs/>
                <w:sz w:val="20"/>
                <w:szCs w:val="20"/>
              </w:rPr>
              <w:t xml:space="preserve">Sequestro del 17.3.1981 a Castiglion Fibocchi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gli atti del sequestro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 cinque relazioni di minoranza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qui che una ripartizione per categoria dei 962 ha più probabilità di stare</w:t>
            </w:r>
          </w:p>
        </w:tc>
      </w:tr>
    </w:tbl>
    <w:p>
      <w:pPr>
        <w:spacing w:after="80"/>
      </w:pPr>
    </w:p>
    <w:p>
      <w:pPr>
        <w:spacing w:after="120" w:line="276"/>
        <w:jc w:val="both"/>
      </w:pPr>
      <w:r>
        <w:rPr>
          <w:rFonts w:ascii="Barlow Semi Condensed" w:cs="Barlow Semi Condensed" w:eastAsia="Barlow Semi Condensed" w:hAnsi="Barlow Semi Condensed"/>
          <w:i/>
          <w:iCs/>
          <w:sz w:val="24"/>
          <w:szCs w:val="24"/>
        </w:rPr>
        <w:t xml:space="preserve">(Collocazione riferita da fonte di terza mano: va confermata sul volume.)</w:t>
      </w:r>
    </w:p>
    <w:p>
      <w:pPr>
        <w:spacing w:after="120" w:line="276"/>
        <w:jc w:val="both"/>
      </w:pPr>
      <w:r>
        <w:rPr>
          <w:rFonts w:ascii="Barlow Semi Condensed" w:cs="Barlow Semi Condensed" w:eastAsia="Barlow Semi Condensed" w:hAnsi="Barlow Semi Condensed"/>
          <w:i/>
          <w:iCs/>
          <w:sz w:val="24"/>
          <w:szCs w:val="24"/>
        </w:rPr>
        <w:t xml:space="preserve">Annotazione del 27 agosto 2026 — l'indirizzo si è stretto.</w:t>
      </w:r>
      <w:r>
        <w:rPr>
          <w:rFonts w:ascii="Barlow Semi Condensed" w:cs="Barlow Semi Condensed" w:eastAsia="Barlow Semi Condensed" w:hAnsi="Barlow Semi Condensed"/>
          <w:sz w:val="24"/>
          <w:szCs w:val="24"/>
        </w:rPr>
        <w:t xml:space="preserve"> Fra il materiale</w:t>
      </w:r>
    </w:p>
    <w:p>
      <w:pPr>
        <w:spacing w:after="120" w:line="276"/>
        <w:jc w:val="both"/>
      </w:pPr>
      <w:r>
        <w:rPr>
          <w:rFonts w:ascii="Barlow Semi Condensed" w:cs="Barlow Semi Condensed" w:eastAsia="Barlow Semi Condensed" w:hAnsi="Barlow Semi Condensed"/>
          <w:sz w:val="24"/>
          <w:szCs w:val="24"/>
        </w:rPr>
        <w:t xml:space="preserve">conferito quel giorno c'è la </w:t>
      </w:r>
      <w:r>
        <w:rPr>
          <w:rFonts w:ascii="Barlow Semi Condensed" w:cs="Barlow Semi Condensed" w:eastAsia="Barlow Semi Condensed" w:hAnsi="Barlow Semi Condensed"/>
          <w:b/>
          <w:bCs/>
          <w:sz w:val="24"/>
          <w:szCs w:val="24"/>
        </w:rPr>
        <w:t xml:space="preserve">scheda di presa in consegna del Volume 02, Tomo I</w:t>
      </w:r>
    </w:p>
    <w:p>
      <w:pPr>
        <w:spacing w:after="120" w:line="276"/>
        <w:jc w:val="both"/>
      </w:pPr>
      <w:r>
        <w:rPr>
          <w:rFonts w:ascii="Barlow Semi Condensed" w:cs="Barlow Semi Condensed" w:eastAsia="Barlow Semi Condensed" w:hAnsi="Barlow Semi Condensed"/>
          <w:sz w:val="24"/>
          <w:szCs w:val="24"/>
        </w:rPr>
        <w:t xml:space="preserve">di quel documento parlamentare, con la sua segnatura per esteso: **Doc. XXIII,</w:t>
      </w:r>
    </w:p>
    <w:p>
      <w:pPr>
        <w:spacing w:after="120" w:line="276"/>
        <w:jc w:val="both"/>
      </w:pPr>
      <w:r>
        <w:rPr>
          <w:rFonts w:ascii="Barlow Semi Condensed" w:cs="Barlow Semi Condensed" w:eastAsia="Barlow Semi Condensed" w:hAnsi="Barlow Semi Condensed"/>
          <w:sz w:val="24"/>
          <w:szCs w:val="24"/>
        </w:rPr>
        <w:t xml:space="preserve">n. 2-quater/2/I, IX legislatura, Roma 1984** — «Allegati alla Relazione della</w:t>
      </w:r>
    </w:p>
    <w:p>
      <w:pPr>
        <w:spacing w:after="120" w:line="276"/>
        <w:jc w:val="both"/>
      </w:pPr>
      <w:r>
        <w:rPr>
          <w:rFonts w:ascii="Barlow Semi Condensed" w:cs="Barlow Semi Condensed" w:eastAsia="Barlow Semi Condensed" w:hAnsi="Barlow Semi Condensed"/>
          <w:sz w:val="24"/>
          <w:szCs w:val="24"/>
        </w:rPr>
        <w:t xml:space="preserve">Commissione parlamentare d'inchiesta sulla Loggia massonica P2, Serie II:</w:t>
      </w:r>
    </w:p>
    <w:p>
      <w:pPr>
        <w:spacing w:after="120" w:line="276"/>
        <w:jc w:val="both"/>
      </w:pPr>
      <w:r>
        <w:rPr>
          <w:rFonts w:ascii="Barlow Semi Condensed" w:cs="Barlow Semi Condensed" w:eastAsia="Barlow Semi Condensed" w:hAnsi="Barlow Semi Condensed"/>
          <w:sz w:val="24"/>
          <w:szCs w:val="24"/>
        </w:rPr>
        <w:t xml:space="preserve">Documentazione raccolta dalla Commissione, *Riscontri sull'attendibilità delle</w:t>
      </w:r>
    </w:p>
    <w:p>
      <w:pPr>
        <w:spacing w:after="120" w:line="276"/>
        <w:jc w:val="both"/>
      </w:pPr>
      <w:r>
        <w:rPr>
          <w:rFonts w:ascii="Barlow Semi Condensed" w:cs="Barlow Semi Condensed" w:eastAsia="Barlow Semi Condensed" w:hAnsi="Barlow Semi Condensed"/>
          <w:sz w:val="24"/>
          <w:szCs w:val="24"/>
        </w:rPr>
        <w:t xml:space="preserve">liste e sulle posizioni di affiliazione</w:t>
      </w:r>
      <w:r>
        <w:rPr>
          <w:rFonts w:ascii="Barlow Semi Condensed" w:cs="Barlow Semi Condensed" w:eastAsia="Barlow Semi Condensed" w:hAnsi="Barlow Semi Condensed"/>
          <w:i/>
          <w:iCs/>
          <w:sz w:val="24"/>
          <w:szCs w:val="24"/>
        </w:rPr>
        <w:t xml:space="preserve">», </w:t>
      </w:r>
      <w:r>
        <w:rPr>
          <w:rFonts w:ascii="Barlow Semi Condensed" w:cs="Barlow Semi Condensed" w:eastAsia="Barlow Semi Condensed" w:hAnsi="Barlow Semi Condensed"/>
          <w:i/>
          <w:iCs/>
          <w:sz w:val="24"/>
          <w:szCs w:val="24"/>
        </w:rPr>
        <w:t xml:space="preserve">638 pagine in 25 allegati</w:t>
      </w:r>
      <w:r>
        <w:rPr>
          <w:rFonts w:ascii="Barlow Semi Condensed" w:cs="Barlow Semi Condensed" w:eastAsia="Barlow Semi Condensed" w:hAnsi="Barlow Semi Condensed"/>
          <w:sz w:val="24"/>
          <w:szCs w:val="24"/>
        </w:rPr>
        <w:t xml:space="preserve">*. È lo</w:t>
      </w:r>
    </w:p>
    <w:p>
      <w:pPr>
        <w:spacing w:after="120" w:line="276"/>
        <w:jc w:val="both"/>
      </w:pPr>
      <w:r>
        <w:rPr>
          <w:rFonts w:ascii="Barlow Semi Condensed" w:cs="Barlow Semi Condensed" w:eastAsia="Barlow Semi Condensed" w:hAnsi="Barlow Semi Condensed"/>
          <w:sz w:val="24"/>
          <w:szCs w:val="24"/>
        </w:rPr>
        <w:t xml:space="preserve">stesso volume che la riga precedente indicava per titolo, e ora se ne conosce la</w:t>
      </w:r>
    </w:p>
    <w:p>
      <w:pPr>
        <w:spacing w:after="120" w:line="276"/>
        <w:jc w:val="both"/>
      </w:pPr>
      <w:r>
        <w:rPr>
          <w:rFonts w:ascii="Barlow Semi Condensed" w:cs="Barlow Semi Condensed" w:eastAsia="Barlow Semi Condensed" w:hAnsi="Barlow Semi Condensed"/>
          <w:sz w:val="24"/>
          <w:szCs w:val="24"/>
        </w:rPr>
        <w:t xml:space="preserve">segnatura e l'articolazione interna. Due allegati su venticinque portano numeri</w:t>
      </w:r>
    </w:p>
    <w:p>
      <w:pPr>
        <w:spacing w:after="120" w:line="276"/>
        <w:jc w:val="both"/>
      </w:pPr>
      <w:r>
        <w:rPr>
          <w:rFonts w:ascii="Barlow Semi Condensed" w:cs="Barlow Semi Condensed" w:eastAsia="Barlow Semi Condensed" w:hAnsi="Barlow Semi Condensed"/>
          <w:sz w:val="24"/>
          <w:szCs w:val="24"/>
        </w:rPr>
        <w:t xml:space="preserve">di tessera, e sono questi: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porta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258-280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w:t>
            </w:r>
            <w:r>
              <w:rPr>
                <w:rFonts w:ascii="Barlow Semi Condensed" w:cs="Barlow Semi Condensed" w:eastAsia="Barlow Semi Condensed" w:hAnsi="Barlow Semi Condensed"/>
                <w:b/>
                <w:bCs/>
                <w:sz w:val="20"/>
                <w:szCs w:val="20"/>
              </w:rPr>
              <w:t xml:space="preserve">libro-matricola delle iniziazioni alla Loggia P2, 1952-1970</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474-507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w:t>
            </w:r>
            <w:r>
              <w:rPr>
                <w:rFonts w:ascii="Barlow Semi Condensed" w:cs="Barlow Semi Condensed" w:eastAsia="Barlow Semi Condensed" w:hAnsi="Barlow Semi Condensed"/>
                <w:b/>
                <w:bCs/>
                <w:sz w:val="20"/>
                <w:szCs w:val="20"/>
              </w:rPr>
              <w:t xml:space="preserve">schede personali massoniche sequestrate a Palazzo Giustiniani</w:t>
            </w:r>
            <w:r>
              <w:rPr>
                <w:rFonts w:ascii="Barlow Semi Condensed" w:cs="Barlow Semi Condensed" w:eastAsia="Barlow Semi Condensed" w:hAnsi="Barlow Semi Condensed"/>
                <w:sz w:val="20"/>
                <w:szCs w:val="20"/>
              </w:rPr>
              <w:t xml:space="preserve"> — ciascuna con dati anagrafici, loggia di appartenenza, loggia di iniziazione, </w:t>
            </w:r>
            <w:r>
              <w:rPr>
                <w:rFonts w:ascii="Barlow Semi Condensed" w:cs="Barlow Semi Condensed" w:eastAsia="Barlow Semi Condensed" w:hAnsi="Barlow Semi Condensed"/>
                <w:b/>
                <w:bCs/>
                <w:sz w:val="20"/>
                <w:szCs w:val="20"/>
              </w:rPr>
              <w:t xml:space="preserve">numero di tessera e data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L'allegato 21 è il riscontro più diretto che esista fra l'anagrafe ufficiale del</w:t>
      </w:r>
    </w:p>
    <w:p>
      <w:pPr>
        <w:spacing w:after="120" w:line="276"/>
        <w:jc w:val="both"/>
      </w:pPr>
      <w:r>
        <w:rPr>
          <w:rFonts w:ascii="Barlow Semi Condensed" w:cs="Barlow Semi Condensed" w:eastAsia="Barlow Semi Condensed" w:hAnsi="Barlow Semi Condensed"/>
          <w:sz w:val="24"/>
          <w:szCs w:val="24"/>
        </w:rPr>
        <w:t xml:space="preserve">Grande Oriente e gli elenchi di Castiglion Fibocchi: le schede sono intestate a</w:t>
      </w:r>
    </w:p>
    <w:p>
      <w:pPr>
        <w:spacing w:after="120" w:line="276"/>
        <w:jc w:val="both"/>
      </w:pPr>
      <w:r>
        <w:rPr>
          <w:rFonts w:ascii="Barlow Semi Condensed" w:cs="Barlow Semi Condensed" w:eastAsia="Barlow Semi Condensed" w:hAnsi="Barlow Semi Condensed"/>
          <w:sz w:val="24"/>
          <w:szCs w:val="24"/>
        </w:rPr>
        <w:t xml:space="preserve">persone destinatarie della raccomandata Battelli e comprese in quegli elenchi.</w:t>
      </w:r>
    </w:p>
    <w:p>
      <w:pPr>
        <w:spacing w:after="120" w:line="276"/>
        <w:jc w:val="both"/>
      </w:pPr>
      <w:r>
        <w:rPr>
          <w:rFonts w:ascii="Barlow Semi Condensed" w:cs="Barlow Semi Condensed" w:eastAsia="Barlow Semi Condensed" w:hAnsi="Barlow Semi Condensed"/>
          <w:sz w:val="24"/>
          <w:szCs w:val="24"/>
        </w:rPr>
        <w:t xml:space="preserve">*Seconda annotazione, stessa data — la fonte potrebbe non richiedere un</w:t>
      </w:r>
    </w:p>
    <w:p>
      <w:pPr>
        <w:spacing w:after="120" w:line="276"/>
        <w:jc w:val="both"/>
      </w:pPr>
      <w:r>
        <w:rPr>
          <w:rFonts w:ascii="Barlow Semi Condensed" w:cs="Barlow Semi Condensed" w:eastAsia="Barlow Semi Condensed" w:hAnsi="Barlow Semi Condensed"/>
          <w:sz w:val="24"/>
          <w:szCs w:val="24"/>
        </w:rPr>
        <w:t xml:space="preserve">viaggio.</w:t>
      </w:r>
      <w:r>
        <w:rPr>
          <w:rFonts w:ascii="Barlow Semi Condensed" w:cs="Barlow Semi Condensed" w:eastAsia="Barlow Semi Condensed" w:hAnsi="Barlow Semi Condensed"/>
          <w:i/>
          <w:iCs/>
          <w:sz w:val="24"/>
          <w:szCs w:val="24"/>
        </w:rPr>
        <w:t xml:space="preserve"> Cercando il recapito dell'archivio è emerso che </w:t>
      </w:r>
      <w:r>
        <w:rPr>
          <w:rFonts w:ascii="Barlow Semi Condensed" w:cs="Barlow Semi Condensed" w:eastAsia="Barlow Semi Condensed" w:hAnsi="Barlow Semi Condensed"/>
          <w:sz w:val="24"/>
          <w:szCs w:val="24"/>
        </w:rPr>
        <w:t xml:space="preserve">*i volumi della</w:t>
      </w:r>
    </w:p>
    <w:p>
      <w:pPr>
        <w:spacing w:after="120" w:line="276"/>
        <w:jc w:val="both"/>
      </w:pPr>
      <w:r>
        <w:rPr>
          <w:rFonts w:ascii="Barlow Semi Condensed" w:cs="Barlow Semi Condensed" w:eastAsia="Barlow Semi Condensed" w:hAnsi="Barlow Semi Condensed"/>
          <w:sz w:val="24"/>
          <w:szCs w:val="24"/>
        </w:rPr>
        <w:t xml:space="preserve">Commissione P2 risultano digitalizzati e pubblicati**: sul portale delle</w:t>
      </w:r>
    </w:p>
    <w:p>
      <w:pPr>
        <w:spacing w:after="120" w:line="276"/>
        <w:jc w:val="both"/>
      </w:pPr>
      <w:r>
        <w:rPr>
          <w:rFonts w:ascii="Barlow Semi Condensed" w:cs="Barlow Semi Condensed" w:eastAsia="Barlow Semi Condensed" w:hAnsi="Barlow Semi Condensed"/>
          <w:sz w:val="24"/>
          <w:szCs w:val="24"/>
        </w:rPr>
        <w:t xml:space="preserve">commissioni d'inchiesta della Camera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in PDF su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e sul portale del Ministero della cultura</w:t>
      </w:r>
    </w:p>
    <w:p>
      <w:pPr>
        <w:spacing w:after="120" w:line="276"/>
        <w:jc w:val="both"/>
      </w:pPr>
      <w:r>
        <w:rPr>
          <w:rFonts w:ascii="Barlow Semi Condensed" w:cs="Barlow Semi Condensed" w:eastAsia="Barlow Semi Condensed" w:hAnsi="Barlow Semi Condensed"/>
          <w:i/>
          <w:iCs/>
          <w:sz w:val="24"/>
          <w:szCs w:val="24"/>
        </w:rPr>
        <w:t xml:space="preserve">memoria.san.beniculturali.it</w:t>
      </w:r>
      <w:r>
        <w:rPr>
          <w:rFonts w:ascii="Barlow Semi Condensed" w:cs="Barlow Semi Condensed" w:eastAsia="Barlow Semi Condensed" w:hAnsi="Barlow Semi Condensed"/>
          <w:sz w:val="24"/>
          <w:szCs w:val="24"/>
        </w:rPr>
        <w:t xml:space="preserve">, dove è consultabile la digitalizzazione</w:t>
      </w:r>
    </w:p>
    <w:p>
      <w:pPr>
        <w:spacing w:after="120" w:line="276"/>
        <w:jc w:val="both"/>
      </w:pPr>
      <w:r>
        <w:rPr>
          <w:rFonts w:ascii="Barlow Semi Condensed" w:cs="Barlow Semi Condensed" w:eastAsia="Barlow Semi Condensed" w:hAnsi="Barlow Semi Condensed"/>
          <w:sz w:val="24"/>
          <w:szCs w:val="24"/>
        </w:rPr>
        <w:t xml:space="preserve">dell'Archivio Flamigni. La ricerca ha inoltre precisato che i «Riscontri» sono</w:t>
      </w:r>
    </w:p>
    <w:p>
      <w:pPr>
        <w:spacing w:after="120" w:line="276"/>
        <w:jc w:val="both"/>
      </w:pPr>
      <w:r>
        <w:rPr>
          <w:rFonts w:ascii="Barlow Semi Condensed" w:cs="Barlow Semi Condensed" w:eastAsia="Barlow Semi Condensed" w:hAnsi="Barlow Semi Condensed"/>
          <w:sz w:val="24"/>
          <w:szCs w:val="24"/>
        </w:rPr>
        <w:t xml:space="preserve">una </w:t>
      </w:r>
      <w:r>
        <w:rPr>
          <w:rFonts w:ascii="Barlow Semi Condensed" w:cs="Barlow Semi Condensed" w:eastAsia="Barlow Semi Condensed" w:hAnsi="Barlow Semi Condensed"/>
          <w:b/>
          <w:bCs/>
          <w:sz w:val="24"/>
          <w:szCs w:val="24"/>
        </w:rPr>
        <w:t xml:space="preserve">serie di tomi</w:t>
      </w:r>
      <w:r>
        <w:rPr>
          <w:rFonts w:ascii="Barlow Semi Condensed" w:cs="Barlow Semi Condensed" w:eastAsia="Barlow Semi Condensed" w:hAnsi="Barlow Semi Condensed"/>
          <w:sz w:val="24"/>
          <w:szCs w:val="24"/>
        </w:rPr>
        <w:t xml:space="preserve">, da </w:t>
      </w:r>
      <w:r>
        <w:rPr>
          <w:rFonts w:ascii="Barlow Semi Condensed" w:cs="Barlow Semi Condensed" w:eastAsia="Barlow Semi Condensed" w:hAnsi="Barlow Semi Condensed"/>
          <w:i/>
          <w:iCs/>
          <w:sz w:val="24"/>
          <w:szCs w:val="24"/>
        </w:rPr>
        <w:t xml:space="preserve">2-quater/2/I</w:t>
      </w:r>
      <w:r>
        <w:rPr>
          <w:rFonts w:ascii="Barlow Semi Condensed" w:cs="Barlow Semi Condensed" w:eastAsia="Barlow Semi Condensed" w:hAnsi="Barlow Semi Condensed"/>
          <w:sz w:val="24"/>
          <w:szCs w:val="24"/>
        </w:rPr>
        <w:t xml:space="preserve"> ad almeno </w:t>
      </w:r>
      <w:r>
        <w:rPr>
          <w:rFonts w:ascii="Barlow Semi Condensed" w:cs="Barlow Semi Condensed" w:eastAsia="Barlow Semi Condensed" w:hAnsi="Barlow Semi Condensed"/>
          <w:i/>
          <w:iCs/>
          <w:sz w:val="24"/>
          <w:szCs w:val="24"/>
        </w:rPr>
        <w:t xml:space="preserve">/2/V</w:t>
      </w:r>
      <w:r>
        <w:rPr>
          <w:rFonts w:ascii="Barlow Semi Condensed" w:cs="Barlow Semi Condensed" w:eastAsia="Barlow Semi Condensed" w:hAnsi="Barlow Semi Condensed"/>
          <w:sz w:val="24"/>
          <w:szCs w:val="24"/>
        </w:rPr>
        <w:t xml:space="preserve">: il tomo inventariato è</w:t>
      </w:r>
    </w:p>
    <w:p>
      <w:pPr>
        <w:spacing w:after="120" w:line="276"/>
        <w:jc w:val="both"/>
      </w:pPr>
      <w:r>
        <w:rPr>
          <w:rFonts w:ascii="Barlow Semi Condensed" w:cs="Barlow Semi Condensed" w:eastAsia="Barlow Semi Condensed" w:hAnsi="Barlow Semi Condensed"/>
          <w:sz w:val="24"/>
          <w:szCs w:val="24"/>
        </w:rPr>
        <w:t xml:space="preserve">il primo, ed è quello che porta gli allegati 13 e 21.</w:t>
      </w:r>
    </w:p>
    <w:p>
      <w:pPr>
        <w:spacing w:after="120" w:line="276"/>
        <w:jc w:val="both"/>
      </w:pPr>
      <w:r>
        <w:rPr>
          <w:rFonts w:ascii="Barlow Semi Condensed" w:cs="Barlow Semi Condensed" w:eastAsia="Barlow Semi Condensed" w:hAnsi="Barlow Semi Condensed"/>
          <w:b/>
          <w:bCs/>
          <w:sz w:val="24"/>
          <w:szCs w:val="24"/>
        </w:rPr>
        <w:t xml:space="preserve">Il grado di questo accertamento è B, e il tentativo di alzarlo è fallito.</w:t>
      </w:r>
      <w:r>
        <w:rPr>
          <w:rFonts w:ascii="Barlow Semi Condensed" w:cs="Barlow Semi Condensed" w:eastAsia="Barlow Semi Condensed" w:hAnsi="Barlow Semi Condensed"/>
          <w:sz w:val="24"/>
          <w:szCs w:val="24"/>
        </w:rPr>
        <w:t xml:space="preserve"> Le</w:t>
      </w:r>
    </w:p>
    <w:p>
      <w:pPr>
        <w:spacing w:after="120" w:line="276"/>
        <w:jc w:val="both"/>
      </w:pPr>
      <w:r>
        <w:rPr>
          <w:rFonts w:ascii="Barlow Semi Condensed" w:cs="Barlow Semi Condensed" w:eastAsia="Barlow Semi Condensed" w:hAnsi="Barlow Semi Condensed"/>
          <w:sz w:val="24"/>
          <w:szCs w:val="24"/>
        </w:rPr>
        <w:t xml:space="preserve">pagine non sono state aperte: il proxy di rete di questa sessione blocca l'uscita</w:t>
      </w:r>
    </w:p>
    <w:p>
      <w:pPr>
        <w:spacing w:after="120" w:line="276"/>
        <w:jc w:val="both"/>
      </w:pPr>
      <w:r>
        <w:rPr>
          <w:rFonts w:ascii="Barlow Semi Condensed" w:cs="Barlow Semi Condensed" w:eastAsia="Barlow Semi Condensed" w:hAnsi="Barlow Semi Condensed"/>
          <w:sz w:val="24"/>
          <w:szCs w:val="24"/>
        </w:rPr>
        <w:t xml:space="preserve">verso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e i suoi sottodomini,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Si registra come **Stato Zero</w:t>
      </w:r>
    </w:p>
    <w:p>
      <w:pPr>
        <w:spacing w:after="120" w:line="276"/>
        <w:jc w:val="both"/>
      </w:pPr>
      <w:r>
        <w:rPr>
          <w:rFonts w:ascii="Barlow Semi Condensed" w:cs="Barlow Semi Condensed" w:eastAsia="Barlow Semi Condensed" w:hAnsi="Barlow Semi Condensed"/>
          <w:sz w:val="24"/>
          <w:szCs w:val="24"/>
        </w:rPr>
        <w:t xml:space="preserve">d'ambiente**, con le sedi nominate e la causa dichiarata: è un limite di questa</w:t>
      </w:r>
    </w:p>
    <w:p>
      <w:pPr>
        <w:spacing w:after="120" w:line="276"/>
        <w:jc w:val="both"/>
      </w:pPr>
      <w:r>
        <w:rPr>
          <w:rFonts w:ascii="Barlow Semi Condensed" w:cs="Barlow Semi Condensed" w:eastAsia="Barlow Semi Condensed" w:hAnsi="Barlow Semi Condensed"/>
          <w:sz w:val="24"/>
          <w:szCs w:val="24"/>
        </w:rPr>
        <w:t xml:space="preserve">sessione, non un esito sulla fonte. Da un browser ordinario quelle pagine si</w:t>
      </w:r>
    </w:p>
    <w:p>
      <w:pPr>
        <w:spacing w:after="120" w:line="276"/>
        <w:jc w:val="both"/>
      </w:pPr>
      <w:r>
        <w:rPr>
          <w:rFonts w:ascii="Barlow Semi Condensed" w:cs="Barlow Semi Condensed" w:eastAsia="Barlow Semi Condensed" w:hAnsi="Barlow Semi Condensed"/>
          <w:sz w:val="24"/>
          <w:szCs w:val="24"/>
        </w:rPr>
        <w:t xml:space="preserve">aprono, e chi le apre legge ciò che qui non è stato possibile leggere.</w:t>
      </w:r>
    </w:p>
    <w:p>
      <w:pPr>
        <w:spacing w:after="120" w:line="276"/>
        <w:jc w:val="both"/>
      </w:pPr>
      <w:r>
        <w:rPr>
          <w:rFonts w:ascii="Barlow Semi Condensed" w:cs="Barlow Semi Condensed" w:eastAsia="Barlow Semi Condensed" w:hAnsi="Barlow Semi Condensed"/>
          <w:sz w:val="24"/>
          <w:szCs w:val="24"/>
        </w:rPr>
        <w:t xml:space="preserve">*Sesta annotazione, stessa data — la campagna di ricerca chiude, e toglie a</w:t>
      </w:r>
    </w:p>
    <w:p>
      <w:pPr>
        <w:spacing w:after="120" w:line="276"/>
        <w:jc w:val="both"/>
      </w:pPr>
      <w:r>
        <w:rPr>
          <w:rFonts w:ascii="Barlow Semi Condensed" w:cs="Barlow Semi Condensed" w:eastAsia="Barlow Semi Condensed" w:hAnsi="Barlow Semi Condensed"/>
          <w:sz w:val="24"/>
          <w:szCs w:val="24"/>
        </w:rPr>
        <w:t xml:space="preserve">questo argomento la sua forma assoluta.* Diciassette agenti hanno cercato in</w:t>
      </w:r>
    </w:p>
    <w:p>
      <w:pPr>
        <w:spacing w:after="120" w:line="276"/>
        <w:jc w:val="both"/>
      </w:pPr>
      <w:r>
        <w:rPr>
          <w:rFonts w:ascii="Barlow Semi Condensed" w:cs="Barlow Semi Condensed" w:eastAsia="Barlow Semi Condensed" w:hAnsi="Barlow Semi Condensed"/>
          <w:sz w:val="24"/>
          <w:szCs w:val="24"/>
        </w:rPr>
        <w:t xml:space="preserve">parallelo i numeri dei nomi in causa e ne hanno messo alla prova ciascuno. Il</w:t>
      </w:r>
    </w:p>
    <w:p>
      <w:pPr>
        <w:spacing w:after="120" w:line="276"/>
        <w:jc w:val="both"/>
      </w:pPr>
      <w:r>
        <w:rPr>
          <w:rFonts w:ascii="Barlow Semi Condensed" w:cs="Barlow Semi Condensed" w:eastAsia="Barlow Semi Condensed" w:hAnsi="Barlow Semi Condensed"/>
          <w:sz w:val="24"/>
          <w:szCs w:val="24"/>
        </w:rPr>
        <w:t xml:space="preserve">risultato più utile è </w:t>
      </w:r>
      <w:r>
        <w:rPr>
          <w:rFonts w:ascii="Barlow Semi Condensed" w:cs="Barlow Semi Condensed" w:eastAsia="Barlow Semi Condensed" w:hAnsi="Barlow Semi Condensed"/>
          <w:b/>
          <w:bCs/>
          <w:sz w:val="24"/>
          <w:szCs w:val="24"/>
        </w:rPr>
        <w:t xml:space="preserve">contro</w:t>
      </w:r>
      <w:r>
        <w:rPr>
          <w:rFonts w:ascii="Barlow Semi Condensed" w:cs="Barlow Semi Condensed" w:eastAsia="Barlow Semi Condensed" w:hAnsi="Barlow Semi Condensed"/>
          <w:sz w:val="24"/>
          <w:szCs w:val="24"/>
        </w:rPr>
        <w:t xml:space="preserve"> la formulazione che avevo dato.</w:t>
      </w:r>
    </w:p>
    <w:p>
      <w:pPr>
        <w:spacing w:after="120" w:line="276"/>
        <w:jc w:val="both"/>
      </w:pPr>
      <w:r>
        <w:rPr>
          <w:rFonts w:ascii="Barlow Semi Condensed" w:cs="Barlow Semi Condensed" w:eastAsia="Barlow Semi Condensed" w:hAnsi="Barlow Semi Condensed"/>
          <w:b/>
          <w:bCs/>
          <w:sz w:val="24"/>
          <w:szCs w:val="24"/>
        </w:rPr>
        <w:t xml:space="preserve">Una terza coppia attestata, e smentisce che lo scarto «derivi sempre».</w:t>
      </w:r>
      <w:r>
        <w:rPr>
          <w:rFonts w:ascii="Barlow Semi Condensed" w:cs="Barlow Semi Condensed" w:eastAsia="Barlow Semi Condensed" w:hAnsi="Barlow Semi Condensed"/>
          <w:sz w:val="24"/>
          <w:szCs w:val="24"/>
        </w:rPr>
        <w:t xml:space="preserve"> La</w:t>
      </w:r>
    </w:p>
    <w:p>
      <w:pPr>
        <w:spacing w:after="120" w:line="276"/>
        <w:jc w:val="both"/>
      </w:pPr>
      <w:r>
        <w:rPr>
          <w:rFonts w:ascii="Barlow Semi Condensed" w:cs="Barlow Semi Condensed" w:eastAsia="Barlow Semi Condensed" w:hAnsi="Barlow Semi Condensed"/>
          <w:sz w:val="24"/>
          <w:szCs w:val="24"/>
        </w:rPr>
        <w:t xml:space="preserve">campagna ha trovato </w:t>
      </w:r>
      <w:r>
        <w:rPr>
          <w:rFonts w:ascii="Barlow Semi Condensed" w:cs="Barlow Semi Condensed" w:eastAsia="Barlow Semi Condensed" w:hAnsi="Barlow Semi Condensed"/>
          <w:b/>
          <w:bCs/>
          <w:sz w:val="24"/>
          <w:szCs w:val="24"/>
        </w:rPr>
        <w:t xml:space="preserve">Gustavo Selva: tessera 1814, fascicolo 623</w:t>
      </w:r>
      <w:r>
        <w:rPr>
          <w:rFonts w:ascii="Barlow Semi Condensed" w:cs="Barlow Semi Condensed" w:eastAsia="Barlow Semi Condensed" w:hAnsi="Barlow Semi Condensed"/>
          <w:sz w:val="24"/>
          <w:szCs w:val="24"/>
        </w:rPr>
        <w:t xml:space="preserve">. Con questa,</w:t>
      </w:r>
    </w:p>
    <w:p>
      <w:pPr>
        <w:spacing w:after="120" w:line="276"/>
        <w:jc w:val="both"/>
      </w:pPr>
      <w:r>
        <w:rPr>
          <w:rFonts w:ascii="Barlow Semi Condensed" w:cs="Barlow Semi Condensed" w:eastAsia="Barlow Semi Condensed" w:hAnsi="Barlow Semi Condensed"/>
          <w:sz w:val="24"/>
          <w:szCs w:val="24"/>
        </w:rPr>
        <w:t xml:space="preserve">le coppie attestate sono tre: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tessera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fascicolo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scarto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Selva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1814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623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1191</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Berlusconi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1816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625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1191</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Costanzo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1819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626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1193</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Fra Selva e Berlusconi le due serie avanzano </w:t>
      </w:r>
      <w:r>
        <w:rPr>
          <w:rFonts w:ascii="Barlow Semi Condensed" w:cs="Barlow Semi Condensed" w:eastAsia="Barlow Semi Condensed" w:hAnsi="Barlow Semi Condensed"/>
          <w:b/>
          <w:bCs/>
          <w:sz w:val="24"/>
          <w:szCs w:val="24"/>
        </w:rPr>
        <w:t xml:space="preserve">all'unisono</w:t>
      </w:r>
      <w:r>
        <w:rPr>
          <w:rFonts w:ascii="Barlow Semi Condensed" w:cs="Barlow Semi Condensed" w:eastAsia="Barlow Semi Condensed" w:hAnsi="Barlow Semi Condensed"/>
          <w:sz w:val="24"/>
          <w:szCs w:val="24"/>
        </w:rPr>
        <w:t xml:space="preserve"> — due posizioni di</w:t>
      </w:r>
    </w:p>
    <w:p>
      <w:pPr>
        <w:spacing w:after="120" w:line="276"/>
        <w:jc w:val="both"/>
      </w:pPr>
      <w:r>
        <w:rPr>
          <w:rFonts w:ascii="Barlow Semi Condensed" w:cs="Barlow Semi Condensed" w:eastAsia="Barlow Semi Condensed" w:hAnsi="Barlow Semi Condensed"/>
          <w:sz w:val="24"/>
          <w:szCs w:val="24"/>
        </w:rPr>
        <w:t xml:space="preserve">tessera, due di fascicolo — e lo scarto </w:t>
      </w:r>
      <w:r>
        <w:rPr>
          <w:rFonts w:ascii="Barlow Semi Condensed" w:cs="Barlow Semi Condensed" w:eastAsia="Barlow Semi Condensed" w:hAnsi="Barlow Semi Condensed"/>
          <w:b/>
          <w:bCs/>
          <w:sz w:val="24"/>
          <w:szCs w:val="24"/>
        </w:rPr>
        <w:t xml:space="preserve">resta identico</w:t>
      </w:r>
      <w:r>
        <w:rPr>
          <w:rFonts w:ascii="Barlow Semi Condensed" w:cs="Barlow Semi Condensed" w:eastAsia="Barlow Semi Condensed" w:hAnsi="Barlow Semi Condensed"/>
          <w:sz w:val="24"/>
          <w:szCs w:val="24"/>
        </w:rPr>
        <w:t xml:space="preserve">. Solo fra Berlusconi e</w:t>
      </w:r>
    </w:p>
    <w:p>
      <w:pPr>
        <w:spacing w:after="120" w:line="276"/>
        <w:jc w:val="both"/>
      </w:pPr>
      <w:r>
        <w:rPr>
          <w:rFonts w:ascii="Barlow Semi Condensed" w:cs="Barlow Semi Condensed" w:eastAsia="Barlow Semi Condensed" w:hAnsi="Barlow Semi Condensed"/>
          <w:sz w:val="24"/>
          <w:szCs w:val="24"/>
        </w:rPr>
        <w:t xml:space="preserve">Costanzo si muove. Dunque </w:t>
      </w:r>
      <w:r>
        <w:rPr>
          <w:rFonts w:ascii="Barlow Semi Condensed" w:cs="Barlow Semi Condensed" w:eastAsia="Barlow Semi Condensed" w:hAnsi="Barlow Semi Condensed"/>
          <w:b/>
          <w:bCs/>
          <w:sz w:val="24"/>
          <w:szCs w:val="24"/>
        </w:rPr>
        <w:t xml:space="preserve">uno scarto fermo non è, di per sé, impossibile</w:t>
      </w:r>
      <w:r>
        <w:rPr>
          <w:rFonts w:ascii="Barlow Semi Condensed" w:cs="Barlow Semi Condensed" w:eastAsia="Barlow Semi Condensed" w:hAnsi="Barlow Semi Condensed"/>
          <w:sz w:val="24"/>
          <w:szCs w:val="24"/>
        </w:rPr>
        <w:t xml:space="preserve">: il</w:t>
      </w:r>
    </w:p>
    <w:p>
      <w:pPr>
        <w:spacing w:after="120" w:line="276"/>
        <w:jc w:val="both"/>
      </w:pPr>
      <w:r>
        <w:rPr>
          <w:rFonts w:ascii="Barlow Semi Condensed" w:cs="Barlow Semi Condensed" w:eastAsia="Barlow Semi Condensed" w:hAnsi="Barlow Semi Condensed"/>
          <w:sz w:val="24"/>
          <w:szCs w:val="24"/>
        </w:rPr>
        <w:t xml:space="preserve">registro alterna tratti di sincronia a tratti di scivolamento, e la mia frase</w:t>
      </w:r>
    </w:p>
    <w:p>
      <w:pPr>
        <w:spacing w:after="120" w:line="276"/>
        <w:jc w:val="both"/>
      </w:pPr>
      <w:r>
        <w:rPr>
          <w:rFonts w:ascii="Barlow Semi Condensed" w:cs="Barlow Semi Condensed" w:eastAsia="Barlow Semi Condensed" w:hAnsi="Barlow Semi Condensed"/>
          <w:sz w:val="24"/>
          <w:szCs w:val="24"/>
        </w:rPr>
        <w:t xml:space="preserve">«le due coppie attestate derivano» era una generalizzazione da due punti che il</w:t>
      </w:r>
    </w:p>
    <w:p>
      <w:pPr>
        <w:spacing w:after="120" w:line="276"/>
        <w:jc w:val="both"/>
      </w:pPr>
      <w:r>
        <w:rPr>
          <w:rFonts w:ascii="Barlow Semi Condensed" w:cs="Barlow Semi Condensed" w:eastAsia="Barlow Semi Condensed" w:hAnsi="Barlow Semi Condensed"/>
          <w:sz w:val="24"/>
          <w:szCs w:val="24"/>
        </w:rPr>
        <w:t xml:space="preserve">terzo punto smentisce.</w:t>
      </w:r>
    </w:p>
    <w:p>
      <w:pPr>
        <w:spacing w:after="120" w:line="276"/>
        <w:jc w:val="both"/>
      </w:pPr>
      <w:r>
        <w:rPr>
          <w:rFonts w:ascii="Barlow Semi Condensed" w:cs="Barlow Semi Condensed" w:eastAsia="Barlow Semi Condensed" w:hAnsi="Barlow Semi Condensed"/>
          <w:b/>
          <w:bCs/>
          <w:sz w:val="24"/>
          <w:szCs w:val="24"/>
        </w:rPr>
        <w:t xml:space="preserve">E 1088 non è un livello assurdo.</w:t>
      </w:r>
      <w:r>
        <w:rPr>
          <w:rFonts w:ascii="Barlow Semi Condensed" w:cs="Barlow Semi Condensed" w:eastAsia="Barlow Semi Condensed" w:hAnsi="Barlow Semi Condensed"/>
          <w:sz w:val="24"/>
          <w:szCs w:val="24"/>
        </w:rPr>
        <w:t xml:space="preserve"> La deriva media misurata sulle tre coppie è</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0,4 unità per posizione</w:t>
      </w:r>
      <w:r>
        <w:rPr>
          <w:rFonts w:ascii="Barlow Semi Condensed" w:cs="Barlow Semi Condensed" w:eastAsia="Barlow Semi Condensed" w:hAnsi="Barlow Semi Condensed"/>
          <w:sz w:val="24"/>
          <w:szCs w:val="24"/>
        </w:rPr>
        <w:t xml:space="preserve">. Estrapolata a ritroso dalle 180 posizioni che</w:t>
      </w:r>
    </w:p>
    <w:p>
      <w:pPr>
        <w:spacing w:after="120" w:line="276"/>
        <w:jc w:val="both"/>
      </w:pPr>
      <w:r>
        <w:rPr>
          <w:rFonts w:ascii="Barlow Semi Condensed" w:cs="Barlow Semi Condensed" w:eastAsia="Barlow Semi Condensed" w:hAnsi="Barlow Semi Condensed"/>
          <w:sz w:val="24"/>
          <w:szCs w:val="24"/>
        </w:rPr>
        <w:t xml:space="preserve">separano 1814 da 1634, darebbe uno scarto intorno a </w:t>
      </w:r>
      <w:r>
        <w:rPr>
          <w:rFonts w:ascii="Barlow Semi Condensed" w:cs="Barlow Semi Condensed" w:eastAsia="Barlow Semi Condensed" w:hAnsi="Barlow Semi Condensed"/>
          <w:b/>
          <w:bCs/>
          <w:sz w:val="24"/>
          <w:szCs w:val="24"/>
        </w:rPr>
        <w:t xml:space="preserve">1119</w:t>
      </w:r>
      <w:r>
        <w:rPr>
          <w:rFonts w:ascii="Barlow Semi Condensed" w:cs="Barlow Semi Condensed" w:eastAsia="Barlow Semi Condensed" w:hAnsi="Barlow Semi Condensed"/>
          <w:sz w:val="24"/>
          <w:szCs w:val="24"/>
        </w:rPr>
        <w:t xml:space="preserve">; col tasso locale</w:t>
      </w:r>
    </w:p>
    <w:p>
      <w:pPr>
        <w:spacing w:after="120" w:line="276"/>
        <w:jc w:val="both"/>
      </w:pPr>
      <w:r>
        <w:rPr>
          <w:rFonts w:ascii="Barlow Semi Condensed" w:cs="Barlow Semi Condensed" w:eastAsia="Barlow Semi Condensed" w:hAnsi="Barlow Semi Condensed"/>
          <w:sz w:val="24"/>
          <w:szCs w:val="24"/>
        </w:rPr>
        <w:t xml:space="preserve">più alto osservato (0,667) darebbe </w:t>
      </w:r>
      <w:r>
        <w:rPr>
          <w:rFonts w:ascii="Barlow Semi Condensed" w:cs="Barlow Semi Condensed" w:eastAsia="Barlow Semi Condensed" w:hAnsi="Barlow Semi Condensed"/>
          <w:b/>
          <w:bCs/>
          <w:sz w:val="24"/>
          <w:szCs w:val="24"/>
        </w:rPr>
        <w:t xml:space="preserve">1071</w:t>
      </w:r>
      <w:r>
        <w:rPr>
          <w:rFonts w:ascii="Barlow Semi Condensed" w:cs="Barlow Semi Condensed" w:eastAsia="Barlow Semi Condensed" w:hAnsi="Barlow Semi Condensed"/>
          <w:sz w:val="24"/>
          <w:szCs w:val="24"/>
        </w:rPr>
        <w:t xml:space="preserve">. Il valore 1088 **cade dentro</w:t>
      </w:r>
    </w:p>
    <w:p>
      <w:pPr>
        <w:spacing w:after="120" w:line="276"/>
        <w:jc w:val="both"/>
      </w:pPr>
      <w:r>
        <w:rPr>
          <w:rFonts w:ascii="Barlow Semi Condensed" w:cs="Barlow Semi Condensed" w:eastAsia="Barlow Semi Condensed" w:hAnsi="Barlow Semi Condensed"/>
          <w:sz w:val="24"/>
          <w:szCs w:val="24"/>
        </w:rPr>
        <w:t xml:space="preserve">quell'intervallo**. Chi volesse difendere il testo pervenuto potrebbe dire, con</w:t>
      </w:r>
    </w:p>
    <w:p>
      <w:pPr>
        <w:spacing w:after="120" w:line="276"/>
        <w:jc w:val="both"/>
      </w:pPr>
      <w:r>
        <w:rPr>
          <w:rFonts w:ascii="Barlow Semi Condensed" w:cs="Barlow Semi Condensed" w:eastAsia="Barlow Semi Condensed" w:hAnsi="Barlow Semi Condensed"/>
          <w:sz w:val="24"/>
          <w:szCs w:val="24"/>
        </w:rPr>
        <w:t xml:space="preserve">qualche ragione, che 1088 è plausibile per quella zona del registro — e avrebbe</w:t>
      </w:r>
    </w:p>
    <w:p>
      <w:pPr>
        <w:spacing w:after="120" w:line="276"/>
        <w:jc w:val="both"/>
      </w:pPr>
      <w:r>
        <w:rPr>
          <w:rFonts w:ascii="Barlow Semi Condensed" w:cs="Barlow Semi Condensed" w:eastAsia="Barlow Semi Condensed" w:hAnsi="Barlow Semi Condensed"/>
          <w:sz w:val="24"/>
          <w:szCs w:val="24"/>
        </w:rPr>
        <w:t xml:space="preserve">ragione sul livello.</w:t>
      </w:r>
    </w:p>
    <w:p>
      <w:pPr>
        <w:spacing w:after="120" w:line="276"/>
        <w:jc w:val="both"/>
      </w:pPr>
      <w:r>
        <w:rPr>
          <w:rFonts w:ascii="Barlow Semi Condensed" w:cs="Barlow Semi Condensed" w:eastAsia="Barlow Semi Condensed" w:hAnsi="Barlow Semi Condensed"/>
          <w:b/>
          <w:bCs/>
          <w:sz w:val="24"/>
          <w:szCs w:val="24"/>
        </w:rPr>
        <w:t xml:space="preserve">Ciò che resta anomalo non è il valore: è l'immobilità.</w:t>
      </w:r>
      <w:r>
        <w:rPr>
          <w:rFonts w:ascii="Barlow Semi Condensed" w:cs="Barlow Semi Condensed" w:eastAsia="Barlow Semi Condensed" w:hAnsi="Barlow Semi Condensed"/>
          <w:sz w:val="24"/>
          <w:szCs w:val="24"/>
        </w:rPr>
        <w:t xml:space="preserve"> Con la deriva</w:t>
      </w:r>
    </w:p>
    <w:p>
      <w:pPr>
        <w:spacing w:after="120" w:line="276"/>
        <w:jc w:val="both"/>
      </w:pPr>
      <w:r>
        <w:rPr>
          <w:rFonts w:ascii="Barlow Semi Condensed" w:cs="Barlow Semi Condensed" w:eastAsia="Barlow Semi Condensed" w:hAnsi="Barlow Semi Condensed"/>
          <w:sz w:val="24"/>
          <w:szCs w:val="24"/>
        </w:rPr>
        <w:t xml:space="preserve">misurata, quarantadue posizioni dovrebbero produrre uno slittamento dell'ordine</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diciassette unità</w:t>
      </w:r>
      <w:r>
        <w:rPr>
          <w:rFonts w:ascii="Barlow Semi Condensed" w:cs="Barlow Semi Condensed" w:eastAsia="Barlow Semi Condensed" w:hAnsi="Barlow Semi Condensed"/>
          <w:sz w:val="24"/>
          <w:szCs w:val="24"/>
        </w:rPr>
        <w:t xml:space="preserve"> — fra zero e ventotto, prendendo i due tassi locali</w:t>
      </w:r>
    </w:p>
    <w:p>
      <w:pPr>
        <w:spacing w:after="120" w:line="276"/>
        <w:jc w:val="both"/>
      </w:pPr>
      <w:r>
        <w:rPr>
          <w:rFonts w:ascii="Barlow Semi Condensed" w:cs="Barlow Semi Condensed" w:eastAsia="Barlow Semi Condensed" w:hAnsi="Barlow Semi Condensed"/>
          <w:sz w:val="24"/>
          <w:szCs w:val="24"/>
        </w:rPr>
        <w:t xml:space="preserve">estremi. Il testo pervenuto ne mostra </w:t>
      </w:r>
      <w:r>
        <w:rPr>
          <w:rFonts w:ascii="Barlow Semi Condensed" w:cs="Barlow Semi Condensed" w:eastAsia="Barlow Semi Condensed" w:hAnsi="Barlow Semi Condensed"/>
          <w:b/>
          <w:bCs/>
          <w:sz w:val="24"/>
          <w:szCs w:val="24"/>
        </w:rPr>
        <w:t xml:space="preserve">zero</w:t>
      </w:r>
      <w:r>
        <w:rPr>
          <w:rFonts w:ascii="Barlow Semi Condensed" w:cs="Barlow Semi Condensed" w:eastAsia="Barlow Semi Condensed" w:hAnsi="Barlow Semi Condensed"/>
          <w:sz w:val="24"/>
          <w:szCs w:val="24"/>
        </w:rPr>
        <w:t xml:space="preserve">, e lo mostra otto volte di fila.</w:t>
      </w:r>
    </w:p>
    <w:p>
      <w:pPr>
        <w:spacing w:after="120" w:line="276"/>
        <w:jc w:val="both"/>
      </w:pPr>
      <w:r>
        <w:rPr>
          <w:rFonts w:ascii="Barlow Semi Condensed" w:cs="Barlow Semi Condensed" w:eastAsia="Barlow Semi Condensed" w:hAnsi="Barlow Semi Condensed"/>
          <w:b/>
          <w:bCs/>
          <w:sz w:val="24"/>
          <w:szCs w:val="24"/>
        </w:rPr>
        <w:t xml:space="preserve">Una corroborazione che va rifiutata perché è una tautologia.</w:t>
      </w:r>
      <w:r>
        <w:rPr>
          <w:rFonts w:ascii="Barlow Semi Condensed" w:cs="Barlow Semi Condensed" w:eastAsia="Barlow Semi Condensed" w:hAnsi="Barlow Semi Condensed"/>
          <w:sz w:val="24"/>
          <w:szCs w:val="24"/>
        </w:rPr>
        <w:t xml:space="preserve"> La campagna</w:t>
      </w:r>
    </w:p>
    <w:p>
      <w:pPr>
        <w:spacing w:after="120" w:line="276"/>
        <w:jc w:val="both"/>
      </w:pPr>
      <w:r>
        <w:rPr>
          <w:rFonts w:ascii="Barlow Semi Condensed" w:cs="Barlow Semi Condensed" w:eastAsia="Barlow Semi Condensed" w:hAnsi="Barlow Semi Condensed"/>
          <w:sz w:val="24"/>
          <w:szCs w:val="24"/>
        </w:rPr>
        <w:t xml:space="preserve">osserva che nelle otto coppie le differenze fra tessere consecutive coincidono</w:t>
      </w:r>
    </w:p>
    <w:p>
      <w:pPr>
        <w:spacing w:after="120" w:line="276"/>
        <w:jc w:val="both"/>
      </w:pPr>
      <w:r>
        <w:rPr>
          <w:rFonts w:ascii="Barlow Semi Condensed" w:cs="Barlow Semi Condensed" w:eastAsia="Barlow Semi Condensed" w:hAnsi="Barlow Semi Condensed"/>
          <w:sz w:val="24"/>
          <w:szCs w:val="24"/>
        </w:rPr>
        <w:t xml:space="preserve">una a una con quelle fra fascicoli — 8, 2, 5, 1, 11, 1, 14 — e la presenta come</w:t>
      </w:r>
    </w:p>
    <w:p>
      <w:pPr>
        <w:spacing w:after="120" w:line="276"/>
        <w:jc w:val="both"/>
      </w:pPr>
      <w:r>
        <w:rPr>
          <w:rFonts w:ascii="Barlow Semi Condensed" w:cs="Barlow Semi Condensed" w:eastAsia="Barlow Semi Condensed" w:hAnsi="Barlow Semi Condensed"/>
          <w:sz w:val="24"/>
          <w:szCs w:val="24"/>
        </w:rPr>
        <w:t xml:space="preserve">impronta di una serie sola replicata. È vero che coincidono; ma **scarto costante</w:t>
      </w:r>
    </w:p>
    <w:p>
      <w:pPr>
        <w:spacing w:after="120" w:line="276"/>
        <w:jc w:val="both"/>
      </w:pPr>
      <w:r>
        <w:rPr>
          <w:rFonts w:ascii="Barlow Semi Condensed" w:cs="Barlow Semi Condensed" w:eastAsia="Barlow Semi Condensed" w:hAnsi="Barlow Semi Condensed"/>
          <w:sz w:val="24"/>
          <w:szCs w:val="24"/>
        </w:rPr>
        <w:t xml:space="preserve">e differenze consecutive uguali sono la stessa proposizione detta due volte**. Non</w:t>
      </w:r>
    </w:p>
    <w:p>
      <w:pPr>
        <w:spacing w:after="120" w:line="276"/>
        <w:jc w:val="both"/>
      </w:pPr>
      <w:r>
        <w:rPr>
          <w:rFonts w:ascii="Barlow Semi Condensed" w:cs="Barlow Semi Condensed" w:eastAsia="Barlow Semi Condensed" w:hAnsi="Barlow Semi Condensed"/>
          <w:sz w:val="24"/>
          <w:szCs w:val="24"/>
        </w:rPr>
        <w:t xml:space="preserve">è un secondo indizio, è il primo riformulato, e contarlo due volte gonfierebbe</w:t>
      </w:r>
    </w:p>
    <w:p>
      <w:pPr>
        <w:spacing w:after="120" w:line="276"/>
        <w:jc w:val="both"/>
      </w:pPr>
      <w:r>
        <w:rPr>
          <w:rFonts w:ascii="Barlow Semi Condensed" w:cs="Barlow Semi Condensed" w:eastAsia="Barlow Semi Condensed" w:hAnsi="Barlow Semi Condensed"/>
          <w:sz w:val="24"/>
          <w:szCs w:val="24"/>
        </w:rPr>
        <w:t xml:space="preserve">l'argomento. Lo registro e non lo uso.</w:t>
      </w:r>
    </w:p>
    <w:p>
      <w:pPr>
        <w:spacing w:after="120" w:line="276"/>
        <w:jc w:val="both"/>
      </w:pPr>
      <w:r>
        <w:rPr>
          <w:rFonts w:ascii="Barlow Semi Condensed" w:cs="Barlow Semi Condensed" w:eastAsia="Barlow Semi Condensed" w:hAnsi="Barlow Semi Condensed"/>
          <w:b/>
          <w:bCs/>
          <w:sz w:val="24"/>
          <w:szCs w:val="24"/>
        </w:rPr>
        <w:t xml:space="preserve">I quattro riscontri che invece contano.</w:t>
      </w:r>
      <w:r>
        <w:rPr>
          <w:rFonts w:ascii="Barlow Semi Condensed" w:cs="Barlow Semi Condensed" w:eastAsia="Barlow Semi Condensed" w:hAnsi="Barlow Semi Condensed"/>
          <w:sz w:val="24"/>
          <w:szCs w:val="24"/>
        </w:rPr>
        <w:t xml:space="preserve"> Per quattro degli otto nomi contestati</w:t>
      </w:r>
    </w:p>
    <w:p>
      <w:pPr>
        <w:spacing w:after="120" w:line="276"/>
        <w:jc w:val="both"/>
      </w:pPr>
      <w:r>
        <w:rPr>
          <w:rFonts w:ascii="Barlow Semi Condensed" w:cs="Barlow Semi Condensed" w:eastAsia="Barlow Semi Condensed" w:hAnsi="Barlow Semi Condensed"/>
          <w:sz w:val="24"/>
          <w:szCs w:val="24"/>
        </w:rPr>
        <w:t xml:space="preserve">esiste un numero circolante, e **nessuno dei quattro coincide con la cifra del</w:t>
      </w:r>
    </w:p>
    <w:p>
      <w:pPr>
        <w:spacing w:after="120" w:line="276"/>
        <w:jc w:val="both"/>
      </w:pPr>
      <w:r>
        <w:rPr>
          <w:rFonts w:ascii="Barlow Semi Condensed" w:cs="Barlow Semi Condensed" w:eastAsia="Barlow Semi Condensed" w:hAnsi="Barlow Semi Condensed"/>
          <w:sz w:val="24"/>
          <w:szCs w:val="24"/>
        </w:rPr>
        <w:t xml:space="preserve">testo**: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nelle fonti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nel testo pervenuto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Giudice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535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504</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Lo Prete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512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Pelosi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519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Torrisi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631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Quattro su quattro verificabili, quattro esiti negativi, e per nessuno dei</w:t>
      </w:r>
    </w:p>
    <w:p>
      <w:pPr>
        <w:spacing w:after="120" w:line="276"/>
        <w:jc w:val="both"/>
      </w:pPr>
      <w:r>
        <w:rPr>
          <w:rFonts w:ascii="Barlow Semi Condensed" w:cs="Barlow Semi Condensed" w:eastAsia="Barlow Semi Condensed" w:hAnsi="Barlow Semi Condensed"/>
          <w:sz w:val="24"/>
          <w:szCs w:val="24"/>
        </w:rPr>
        <w:t xml:space="preserve">quattro una fonte che proponga la cifra del testo. Converge con l'elenco dei 962</w:t>
      </w:r>
    </w:p>
    <w:p>
      <w:pPr>
        <w:spacing w:after="120" w:line="276"/>
        <w:jc w:val="both"/>
      </w:pPr>
      <w:r>
        <w:rPr>
          <w:rFonts w:ascii="Barlow Semi Condensed" w:cs="Barlow Semi Condensed" w:eastAsia="Barlow Semi Condensed" w:hAnsi="Barlow Semi Condensed"/>
          <w:sz w:val="24"/>
          <w:szCs w:val="24"/>
        </w:rPr>
        <w:t xml:space="preserve">della quinta annotazione, ed è la parte dell'argomento che regge davvero.</w:t>
      </w:r>
    </w:p>
    <w:p>
      <w:pPr>
        <w:spacing w:after="120" w:line="276"/>
        <w:jc w:val="both"/>
      </w:pPr>
      <w:r>
        <w:rPr>
          <w:rFonts w:ascii="Barlow Semi Condensed" w:cs="Barlow Semi Condensed" w:eastAsia="Barlow Semi Condensed" w:hAnsi="Barlow Semi Condensed"/>
          <w:b/>
          <w:bCs/>
          <w:sz w:val="24"/>
          <w:szCs w:val="24"/>
        </w:rPr>
        <w:t xml:space="preserve">Una cautela finale, contro me stesso.</w:t>
      </w:r>
      <w:r>
        <w:rPr>
          <w:rFonts w:ascii="Barlow Semi Condensed" w:cs="Barlow Semi Condensed" w:eastAsia="Barlow Semi Condensed" w:hAnsi="Barlow Semi Condensed"/>
          <w:sz w:val="24"/>
          <w:szCs w:val="24"/>
        </w:rPr>
        <w:t xml:space="preserve"> Fra i valori che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reggono alla</w:t>
      </w:r>
    </w:p>
    <w:p>
      <w:pPr>
        <w:spacing w:after="120" w:line="276"/>
        <w:jc w:val="both"/>
      </w:pPr>
      <w:r>
        <w:rPr>
          <w:rFonts w:ascii="Barlow Semi Condensed" w:cs="Barlow Semi Condensed" w:eastAsia="Barlow Semi Condensed" w:hAnsi="Barlow Semi Condensed"/>
          <w:sz w:val="24"/>
          <w:szCs w:val="24"/>
        </w:rPr>
        <w:t xml:space="preserve">confutazione, la coppia D'Amato (fascicolo 554, tessera 1643) darebbe scarto</w:t>
      </w:r>
    </w:p>
    <w:p>
      <w:pPr>
        <w:spacing w:after="120" w:line="276"/>
        <w:jc w:val="both"/>
      </w:pPr>
      <w:r>
        <w:rPr>
          <w:rFonts w:ascii="Barlow Semi Condensed" w:cs="Barlow Semi Condensed" w:eastAsia="Barlow Semi Condensed" w:hAnsi="Barlow Semi Condensed"/>
          <w:b/>
          <w:bCs/>
          <w:sz w:val="24"/>
          <w:szCs w:val="24"/>
        </w:rPr>
        <w:t xml:space="preserve">1089</w:t>
      </w:r>
      <w:r>
        <w:rPr>
          <w:rFonts w:ascii="Barlow Semi Condensed" w:cs="Barlow Semi Condensed" w:eastAsia="Barlow Semi Condensed" w:hAnsi="Barlow Semi Condensed"/>
          <w:sz w:val="24"/>
          <w:szCs w:val="24"/>
        </w:rPr>
        <w:t xml:space="preserve"> — a una sola unità da 1088. Non prova nulla, perché non regge; ma</w:t>
      </w:r>
    </w:p>
    <w:p>
      <w:pPr>
        <w:spacing w:after="120" w:line="276"/>
        <w:jc w:val="both"/>
      </w:pPr>
      <w:r>
        <w:rPr>
          <w:rFonts w:ascii="Barlow Semi Condensed" w:cs="Barlow Semi Condensed" w:eastAsia="Barlow Semi Condensed" w:hAnsi="Barlow Semi Condensed"/>
          <w:sz w:val="24"/>
          <w:szCs w:val="24"/>
        </w:rPr>
        <w:t xml:space="preserve">ricorda che scarti prossimi a 1088 esistono altrove nel registro, e che il peso</w:t>
      </w:r>
    </w:p>
    <w:p>
      <w:pPr>
        <w:spacing w:after="120" w:line="276"/>
        <w:jc w:val="both"/>
      </w:pPr>
      <w:r>
        <w:rPr>
          <w:rFonts w:ascii="Barlow Semi Condensed" w:cs="Barlow Semi Condensed" w:eastAsia="Barlow Semi Condensed" w:hAnsi="Barlow Semi Condensed"/>
          <w:sz w:val="24"/>
          <w:szCs w:val="24"/>
        </w:rPr>
        <w:t xml:space="preserve">di tutto questo argomento sta sulla </w:t>
      </w:r>
      <w:r>
        <w:rPr>
          <w:rFonts w:ascii="Barlow Semi Condensed" w:cs="Barlow Semi Condensed" w:eastAsia="Barlow Semi Condensed" w:hAnsi="Barlow Semi Condensed"/>
          <w:b/>
          <w:bCs/>
          <w:sz w:val="24"/>
          <w:szCs w:val="24"/>
        </w:rPr>
        <w:t xml:space="preserve">costanza</w:t>
      </w:r>
      <w:r>
        <w:rPr>
          <w:rFonts w:ascii="Barlow Semi Condensed" w:cs="Barlow Semi Condensed" w:eastAsia="Barlow Semi Condensed" w:hAnsi="Barlow Semi Condensed"/>
          <w:sz w:val="24"/>
          <w:szCs w:val="24"/>
        </w:rPr>
        <w:t xml:space="preserve">, non sul livello.</w:t>
      </w:r>
    </w:p>
    <w:p>
      <w:pPr>
        <w:spacing w:after="120" w:line="276"/>
        <w:jc w:val="both"/>
      </w:pPr>
      <w:r>
        <w:rPr>
          <w:rFonts w:ascii="Barlow Semi Condensed" w:cs="Barlow Semi Condensed" w:eastAsia="Barlow Semi Condensed" w:hAnsi="Barlow Semi Condensed"/>
          <w:b/>
          <w:bCs/>
          <w:sz w:val="24"/>
          <w:szCs w:val="24"/>
        </w:rPr>
        <w:t xml:space="preserve">Il saldo delle sei annotazioni.</w:t>
      </w:r>
      <w:r>
        <w:rPr>
          <w:rFonts w:ascii="Barlow Semi Condensed" w:cs="Barlow Semi Condensed" w:eastAsia="Barlow Semi Condensed" w:hAnsi="Barlow Semi Condensed"/>
          <w:sz w:val="24"/>
          <w:szCs w:val="24"/>
        </w:rPr>
        <w:t xml:space="preserve"> La risposta della certificazione non è</w:t>
      </w:r>
    </w:p>
    <w:p>
      <w:pPr>
        <w:spacing w:after="120" w:line="276"/>
        <w:jc w:val="both"/>
      </w:pPr>
      <w:r>
        <w:rPr>
          <w:rFonts w:ascii="Barlow Semi Condensed" w:cs="Barlow Semi Condensed" w:eastAsia="Barlow Semi Condensed" w:hAnsi="Barlow Semi Condensed"/>
          <w:sz w:val="24"/>
          <w:szCs w:val="24"/>
        </w:rPr>
        <w:t xml:space="preserve">cambiata: nessuno dei trentatré numeri è certificabile. Ciò che è cambiato è la</w:t>
      </w:r>
    </w:p>
    <w:p>
      <w:pPr>
        <w:spacing w:after="120" w:line="276"/>
        <w:jc w:val="both"/>
      </w:pPr>
      <w:r>
        <w:rPr>
          <w:rFonts w:ascii="Barlow Semi Condensed" w:cs="Barlow Semi Condensed" w:eastAsia="Barlow Semi Condensed" w:hAnsi="Barlow Semi Condensed"/>
          <w:sz w:val="24"/>
          <w:szCs w:val="24"/>
        </w:rPr>
        <w:t xml:space="preserve">qualità dell'argomento che la sostiene — tre affermazioni ritirate (la cifra di</w:t>
      </w:r>
    </w:p>
    <w:p>
      <w:pPr>
        <w:spacing w:after="120" w:line="276"/>
        <w:jc w:val="both"/>
      </w:pPr>
      <w:r>
        <w:rPr>
          <w:rFonts w:ascii="Barlow Semi Condensed" w:cs="Barlow Semi Condensed" w:eastAsia="Barlow Semi Condensed" w:hAnsi="Barlow Semi Condensed"/>
          <w:sz w:val="24"/>
          <w:szCs w:val="24"/>
        </w:rPr>
        <w:t xml:space="preserve">probabilità, la deriva come regola, la coincidenza delle differenze come secondo</w:t>
      </w:r>
    </w:p>
    <w:p>
      <w:pPr>
        <w:spacing w:after="120" w:line="276"/>
        <w:jc w:val="both"/>
      </w:pPr>
      <w:r>
        <w:rPr>
          <w:rFonts w:ascii="Barlow Semi Condensed" w:cs="Barlow Semi Condensed" w:eastAsia="Barlow Semi Condensed" w:hAnsi="Barlow Semi Condensed"/>
          <w:sz w:val="24"/>
          <w:szCs w:val="24"/>
        </w:rPr>
        <w:t xml:space="preserve">indizio) e due acquisite alla fonte (l'elenco dei 962, i quattro riscontri</w:t>
      </w:r>
    </w:p>
    <w:p>
      <w:pPr>
        <w:spacing w:after="120" w:line="276"/>
        <w:jc w:val="both"/>
      </w:pPr>
      <w:r>
        <w:rPr>
          <w:rFonts w:ascii="Barlow Semi Condensed" w:cs="Barlow Semi Condensed" w:eastAsia="Barlow Semi Condensed" w:hAnsi="Barlow Semi Condensed"/>
          <w:sz w:val="24"/>
          <w:szCs w:val="24"/>
        </w:rPr>
        <w:t xml:space="preserve">negativi). Un argomento con meno passaggi e più riscontri.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Quinta annotazione, stessa data — l'elenco arriva, e decide tre cose.</w:t>
      </w:r>
    </w:p>
    <w:p>
      <w:pPr>
        <w:spacing w:after="120" w:line="276"/>
        <w:jc w:val="both"/>
      </w:pPr>
      <w:r>
        <w:rPr>
          <w:rFonts w:ascii="Barlow Semi Condensed" w:cs="Barlow Semi Condensed" w:eastAsia="Barlow Semi Condensed" w:hAnsi="Barlow Semi Condensed"/>
          <w:sz w:val="24"/>
          <w:szCs w:val="24"/>
        </w:rPr>
        <w:t xml:space="preserve">Nel versamento del 27 agosto è entrato un documento che questa certificazione</w:t>
      </w:r>
    </w:p>
    <w:p>
      <w:pPr>
        <w:spacing w:after="120" w:line="276"/>
        <w:jc w:val="both"/>
      </w:pPr>
      <w:r>
        <w:rPr>
          <w:rFonts w:ascii="Barlow Semi Condensed" w:cs="Barlow Semi Condensed" w:eastAsia="Barlow Semi Condensed" w:hAnsi="Barlow Semi Condensed"/>
          <w:sz w:val="24"/>
          <w:szCs w:val="24"/>
        </w:rPr>
        <w:t xml:space="preserve">aveva cercato invano: l'</w:t>
      </w:r>
      <w:r>
        <w:rPr>
          <w:rFonts w:ascii="Barlow Semi Condensed" w:cs="Barlow Semi Condensed" w:eastAsia="Barlow Semi Condensed" w:hAnsi="Barlow Semi Condensed"/>
          <w:b/>
          <w:bCs/>
          <w:sz w:val="24"/>
          <w:szCs w:val="24"/>
        </w:rPr>
        <w:t xml:space="preserve">elenco dei 962 riordinato per numero di fascicolo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estratto da una copia digitalizzata dell'allegato alla Relazione Anselmi</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../italia-nera/registri-analitici/elenco-p2-per-fascicolo-v61.md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è la copia autoptica — è una copia in rete, estratta automaticamente, e il</w:t>
      </w:r>
    </w:p>
    <w:p>
      <w:pPr>
        <w:spacing w:after="120" w:line="276"/>
        <w:jc w:val="both"/>
      </w:pPr>
      <w:r>
        <w:rPr>
          <w:rFonts w:ascii="Barlow Semi Condensed" w:cs="Barlow Semi Condensed" w:eastAsia="Barlow Semi Condensed" w:hAnsi="Barlow Semi Condensed"/>
          <w:sz w:val="24"/>
          <w:szCs w:val="24"/>
        </w:rPr>
        <w:t xml:space="preserve">documento stesso si dichiara di </w:t>
      </w:r>
      <w:r>
        <w:rPr>
          <w:rFonts w:ascii="Barlow Semi Condensed" w:cs="Barlow Semi Condensed" w:eastAsia="Barlow Semi Condensed" w:hAnsi="Barlow Semi Condensed"/>
          <w:b/>
          <w:bCs/>
          <w:sz w:val="24"/>
          <w:szCs w:val="24"/>
        </w:rPr>
        <w:t xml:space="preserve">Livello B</w:t>
      </w:r>
      <w:r>
        <w:rPr>
          <w:rFonts w:ascii="Barlow Semi Condensed" w:cs="Barlow Semi Condensed" w:eastAsia="Barlow Semi Condensed" w:hAnsi="Barlow Semi Condensed"/>
          <w:sz w:val="24"/>
          <w:szCs w:val="24"/>
        </w:rPr>
        <w:t xml:space="preserve"> per unicità della catena</w:t>
      </w:r>
    </w:p>
    <w:p>
      <w:pPr>
        <w:spacing w:after="120" w:line="276"/>
        <w:jc w:val="both"/>
      </w:pPr>
      <w:r>
        <w:rPr>
          <w:rFonts w:ascii="Barlow Semi Condensed" w:cs="Barlow Semi Condensed" w:eastAsia="Barlow Semi Condensed" w:hAnsi="Barlow Semi Condensed"/>
          <w:sz w:val="24"/>
          <w:szCs w:val="24"/>
        </w:rPr>
        <w:t xml:space="preserve">documentale. Ma è la prima volta che ai numeri si può opporre una lista.</w:t>
      </w:r>
    </w:p>
    <w:p>
      <w:pPr>
        <w:spacing w:after="120" w:line="276"/>
        <w:jc w:val="both"/>
      </w:pPr>
      <w:r>
        <w:rPr>
          <w:rFonts w:ascii="Barlow Semi Condensed" w:cs="Barlow Semi Condensed" w:eastAsia="Barlow Semi Condensed" w:hAnsi="Barlow Semi Condensed"/>
          <w:b/>
          <w:bCs/>
          <w:sz w:val="24"/>
          <w:szCs w:val="24"/>
        </w:rPr>
        <w:t xml:space="preserve">Decide la prima cosa: il massimo dei fascicoli è 962.</w:t>
      </w:r>
      <w:r>
        <w:rPr>
          <w:rFonts w:ascii="Barlow Semi Condensed" w:cs="Barlow Semi Condensed" w:eastAsia="Barlow Semi Condensed" w:hAnsi="Barlow Semi Condensed"/>
          <w:sz w:val="24"/>
          <w:szCs w:val="24"/>
        </w:rPr>
        <w:t xml:space="preserve"> Nessun numero superiore</w:t>
      </w:r>
    </w:p>
    <w:p>
      <w:pPr>
        <w:spacing w:after="120" w:line="276"/>
        <w:jc w:val="both"/>
      </w:pPr>
      <w:r>
        <w:rPr>
          <w:rFonts w:ascii="Barlow Semi Condensed" w:cs="Barlow Semi Condensed" w:eastAsia="Barlow Semi Condensed" w:hAnsi="Barlow Semi Condensed"/>
          <w:sz w:val="24"/>
          <w:szCs w:val="24"/>
        </w:rPr>
        <w:t xml:space="preserve">può essere un fascicolo. I valori fra 1.592 e 1.887 che il testo pervenuto</w:t>
      </w:r>
    </w:p>
    <w:p>
      <w:pPr>
        <w:spacing w:after="120" w:line="276"/>
        <w:jc w:val="both"/>
      </w:pPr>
      <w:r>
        <w:rPr>
          <w:rFonts w:ascii="Barlow Semi Condensed" w:cs="Barlow Semi Condensed" w:eastAsia="Barlow Semi Condensed" w:hAnsi="Barlow Semi Condensed"/>
          <w:sz w:val="24"/>
          <w:szCs w:val="24"/>
        </w:rPr>
        <w:t xml:space="preserve">dichiara come tessere appartengono dunque a un </w:t>
      </w:r>
      <w:r>
        <w:rPr>
          <w:rFonts w:ascii="Barlow Semi Condensed" w:cs="Barlow Semi Condensed" w:eastAsia="Barlow Semi Condensed" w:hAnsi="Barlow Semi Condensed"/>
          <w:b/>
          <w:bCs/>
          <w:sz w:val="24"/>
          <w:szCs w:val="24"/>
        </w:rPr>
        <w:t xml:space="preserve">secondo sistema di numerazione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distinto e non documentato da questa fonte. La calibrazione regge.</w:t>
      </w:r>
    </w:p>
    <w:p>
      <w:pPr>
        <w:spacing w:after="120" w:line="276"/>
        <w:jc w:val="both"/>
      </w:pPr>
      <w:r>
        <w:rPr>
          <w:rFonts w:ascii="Barlow Semi Condensed" w:cs="Barlow Semi Condensed" w:eastAsia="Barlow Semi Condensed" w:hAnsi="Barlow Semi Condensed"/>
          <w:b/>
          <w:bCs/>
          <w:sz w:val="24"/>
          <w:szCs w:val="24"/>
        </w:rPr>
        <w:t xml:space="preserve">Decide la seconda: il fascicolo non è la posizione alfabetica.</w:t>
      </w:r>
      <w:r>
        <w:rPr>
          <w:rFonts w:ascii="Barlow Semi Condensed" w:cs="Barlow Semi Condensed" w:eastAsia="Barlow Semi Condensed" w:hAnsi="Barlow Semi Condensed"/>
          <w:sz w:val="24"/>
          <w:szCs w:val="24"/>
        </w:rPr>
        <w:t xml:space="preserve"> La correlazione</w:t>
      </w:r>
    </w:p>
    <w:p>
      <w:pPr>
        <w:spacing w:after="120" w:line="276"/>
        <w:jc w:val="both"/>
      </w:pPr>
      <w:r>
        <w:rPr>
          <w:rFonts w:ascii="Barlow Semi Condensed" w:cs="Barlow Semi Condensed" w:eastAsia="Barlow Semi Condensed" w:hAnsi="Barlow Semi Condensed"/>
          <w:sz w:val="24"/>
          <w:szCs w:val="24"/>
        </w:rPr>
        <w:t xml:space="preserve">di Spearman fra numero di fascicolo e posizione nell'ordinamento alfabetico è</w:t>
      </w:r>
    </w:p>
    <w:p>
      <w:pPr>
        <w:spacing w:after="120" w:line="276"/>
        <w:jc w:val="both"/>
      </w:pPr>
      <w:r>
        <w:rPr>
          <w:rFonts w:ascii="Barlow Semi Condensed" w:cs="Barlow Semi Condensed" w:eastAsia="Barlow Semi Condensed" w:hAnsi="Barlow Semi Condensed"/>
          <w:b/>
          <w:bCs/>
          <w:sz w:val="24"/>
          <w:szCs w:val="24"/>
        </w:rPr>
        <w:t xml:space="preserve">0,024</w:t>
      </w:r>
      <w:r>
        <w:rPr>
          <w:rFonts w:ascii="Barlow Semi Condensed" w:cs="Barlow Semi Condensed" w:eastAsia="Barlow Semi Condensed" w:hAnsi="Barlow Semi Condensed"/>
          <w:sz w:val="24"/>
          <w:szCs w:val="24"/>
        </w:rPr>
        <w:t xml:space="preserve">, indistinguibile da zero. Cade così la terza ipotesi emersa dalla</w:t>
      </w:r>
    </w:p>
    <w:p>
      <w:pPr>
        <w:spacing w:after="120" w:line="276"/>
        <w:jc w:val="both"/>
      </w:pPr>
      <w:r>
        <w:rPr>
          <w:rFonts w:ascii="Barlow Semi Condensed" w:cs="Barlow Semi Condensed" w:eastAsia="Barlow Semi Condensed" w:hAnsi="Barlow Semi Condensed"/>
          <w:sz w:val="24"/>
          <w:szCs w:val="24"/>
        </w:rPr>
        <w:t xml:space="preserve">ricerca in rete — che il numero fra parentesi fosse un numero d'ordine</w:t>
      </w:r>
    </w:p>
    <w:p>
      <w:pPr>
        <w:spacing w:after="120" w:line="276"/>
        <w:jc w:val="both"/>
      </w:pPr>
      <w:r>
        <w:rPr>
          <w:rFonts w:ascii="Barlow Semi Condensed" w:cs="Barlow Semi Condensed" w:eastAsia="Barlow Semi Condensed" w:hAnsi="Barlow Semi Condensed"/>
          <w:sz w:val="24"/>
          <w:szCs w:val="24"/>
        </w:rPr>
        <w:t xml:space="preserve">dell'elenco. Non lo è.</w:t>
      </w:r>
    </w:p>
    <w:p>
      <w:pPr>
        <w:spacing w:after="120" w:line="276"/>
        <w:jc w:val="both"/>
      </w:pPr>
      <w:r>
        <w:rPr>
          <w:rFonts w:ascii="Barlow Semi Condensed" w:cs="Barlow Semi Condensed" w:eastAsia="Barlow Semi Condensed" w:hAnsi="Barlow Semi Condensed"/>
          <w:b/>
          <w:bCs/>
          <w:sz w:val="24"/>
          <w:szCs w:val="24"/>
        </w:rPr>
        <w:t xml:space="preserve">E decide la terza, che è la più pesante.</w:t>
      </w:r>
      <w:r>
        <w:rPr>
          <w:rFonts w:ascii="Barlow Semi Condensed" w:cs="Barlow Semi Condensed" w:eastAsia="Barlow Semi Condensed" w:hAnsi="Barlow Semi Condensed"/>
          <w:sz w:val="24"/>
          <w:szCs w:val="24"/>
        </w:rPr>
        <w:t xml:space="preserve"> Confrontando riga per riga, il testo</w:t>
      </w:r>
    </w:p>
    <w:p>
      <w:pPr>
        <w:spacing w:after="120" w:line="276"/>
        <w:jc w:val="both"/>
      </w:pPr>
      <w:r>
        <w:rPr>
          <w:rFonts w:ascii="Barlow Semi Condensed" w:cs="Barlow Semi Condensed" w:eastAsia="Barlow Semi Condensed" w:hAnsi="Barlow Semi Condensed"/>
          <w:sz w:val="24"/>
          <w:szCs w:val="24"/>
        </w:rPr>
        <w:t xml:space="preserve">pervenuto porta per gli stessi nomi </w:t>
      </w:r>
      <w:r>
        <w:rPr>
          <w:rFonts w:ascii="Barlow Semi Condensed" w:cs="Barlow Semi Condensed" w:eastAsia="Barlow Semi Condensed" w:hAnsi="Barlow Semi Condensed"/>
          <w:b/>
          <w:bCs/>
          <w:sz w:val="24"/>
          <w:szCs w:val="24"/>
        </w:rPr>
        <w:t xml:space="preserve">due numeri diversi</w:t>
      </w:r>
      <w:r>
        <w:rPr>
          <w:rFonts w:ascii="Barlow Semi Condensed" w:cs="Barlow Semi Condensed" w:eastAsia="Barlow Semi Condensed" w:hAnsi="Barlow Semi Condensed"/>
          <w:sz w:val="24"/>
          <w:szCs w:val="24"/>
        </w:rPr>
        <w:t xml:space="preserve">: uno che l'elenco</w:t>
      </w:r>
    </w:p>
    <w:p>
      <w:pPr>
        <w:spacing w:after="120" w:line="276"/>
        <w:jc w:val="both"/>
      </w:pPr>
      <w:r>
        <w:rPr>
          <w:rFonts w:ascii="Barlow Semi Condensed" w:cs="Barlow Semi Condensed" w:eastAsia="Barlow Semi Condensed" w:hAnsi="Barlow Semi Condensed"/>
          <w:sz w:val="24"/>
          <w:szCs w:val="24"/>
        </w:rPr>
        <w:t xml:space="preserve">conferma, e uno che l'elenco contraddice — ed è quest'ultimo a produrre lo scarto</w:t>
      </w:r>
    </w:p>
    <w:p>
      <w:pPr>
        <w:spacing w:after="120" w:line="276"/>
        <w:jc w:val="both"/>
      </w:pPr>
      <w:r>
        <w:rPr>
          <w:rFonts w:ascii="Barlow Semi Condensed" w:cs="Barlow Semi Condensed" w:eastAsia="Barlow Semi Condensed" w:hAnsi="Barlow Semi Condensed"/>
          <w:sz w:val="24"/>
          <w:szCs w:val="24"/>
        </w:rPr>
        <w:t xml:space="preserve">1088.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fascicolo nell'elenco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nel testo pervenuto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Lo Prete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482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«482 · 512 · 1600» — il 482 c'è, e il 512 è quello che dà 1088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Miceli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491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«491 · 1605»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Ortolani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494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fascicolo 494</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Siracusano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496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«496 · 520 · 1608» — il 496 c'è, il 520 dà 1088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Grassini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«515 · 1629 · 1620»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Calvi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fascicolo 530 — </w:t>
            </w:r>
            <w:r>
              <w:rPr>
                <w:rFonts w:ascii="Barlow Semi Condensed" w:cs="Barlow Semi Condensed" w:eastAsia="Barlow Semi Condensed" w:hAnsi="Barlow Semi Condensed"/>
                <w:b/>
                <w:bCs/>
                <w:sz w:val="20"/>
                <w:szCs w:val="20"/>
              </w:rPr>
              <w:t xml:space="preserve">il 519 non compare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Santovito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527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 · 527 · 1630»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Giudice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535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«504 · 535 · 1592» — il 535 c'è, il 504 dà 1088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Spagnuolo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«543 · 545 · 1632»</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testo conosce i fascicoli veri e li scrive. Accanto vi affianca **una seconda</w:t>
      </w:r>
    </w:p>
    <w:p>
      <w:pPr>
        <w:spacing w:after="120" w:line="276"/>
        <w:jc w:val="both"/>
      </w:pPr>
      <w:r>
        <w:rPr>
          <w:rFonts w:ascii="Barlow Semi Condensed" w:cs="Barlow Semi Condensed" w:eastAsia="Barlow Semi Condensed" w:hAnsi="Barlow Semi Condensed"/>
          <w:sz w:val="24"/>
          <w:szCs w:val="24"/>
        </w:rPr>
        <w:t xml:space="preserve">cifra che non è il fascicolo di nessuno** — o che è il fascicolo di qualcun</w:t>
      </w:r>
    </w:p>
    <w:p>
      <w:pPr>
        <w:spacing w:after="120" w:line="276"/>
        <w:jc w:val="both"/>
      </w:pPr>
      <w:r>
        <w:rPr>
          <w:rFonts w:ascii="Barlow Semi Condensed" w:cs="Barlow Semi Condensed" w:eastAsia="Barlow Semi Condensed" w:hAnsi="Barlow Semi Condensed"/>
          <w:sz w:val="24"/>
          <w:szCs w:val="24"/>
        </w:rPr>
        <w:t xml:space="preserve">altro: il </w:t>
      </w: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che assegna a Pelosi è di </w:t>
      </w:r>
      <w:r>
        <w:rPr>
          <w:rFonts w:ascii="Barlow Semi Condensed" w:cs="Barlow Semi Condensed" w:eastAsia="Barlow Semi Condensed" w:hAnsi="Barlow Semi Condensed"/>
          <w:b/>
          <w:bCs/>
          <w:sz w:val="24"/>
          <w:szCs w:val="24"/>
        </w:rPr>
        <w:t xml:space="preserve">Calvi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che assegna a</w:t>
      </w:r>
    </w:p>
    <w:p>
      <w:pPr>
        <w:spacing w:after="120" w:line="276"/>
        <w:jc w:val="both"/>
      </w:pPr>
      <w:r>
        <w:rPr>
          <w:rFonts w:ascii="Barlow Semi Condensed" w:cs="Barlow Semi Condensed" w:eastAsia="Barlow Semi Condensed" w:hAnsi="Barlow Semi Condensed"/>
          <w:sz w:val="24"/>
          <w:szCs w:val="24"/>
        </w:rPr>
        <w:t xml:space="preserve">Giovannone è di </w:t>
      </w:r>
      <w:r>
        <w:rPr>
          <w:rFonts w:ascii="Barlow Semi Condensed" w:cs="Barlow Semi Condensed" w:eastAsia="Barlow Semi Condensed" w:hAnsi="Barlow Semi Condensed"/>
          <w:b/>
          <w:bCs/>
          <w:sz w:val="24"/>
          <w:szCs w:val="24"/>
        </w:rPr>
        <w:t xml:space="preserve">Angelo Rizzoli</w:t>
      </w:r>
      <w:r>
        <w:rPr>
          <w:rFonts w:ascii="Barlow Semi Condensed" w:cs="Barlow Semi Condensed" w:eastAsia="Barlow Semi Condensed" w:hAnsi="Barlow Semi Condensed"/>
          <w:sz w:val="24"/>
          <w:szCs w:val="24"/>
        </w:rPr>
        <w:t xml:space="preserve">. E ognuna di quelle seconde cifre è</w:t>
      </w:r>
    </w:p>
    <w:p>
      <w:pPr>
        <w:spacing w:after="120" w:line="276"/>
        <w:jc w:val="both"/>
      </w:pPr>
      <w:r>
        <w:rPr>
          <w:rFonts w:ascii="Barlow Semi Condensed" w:cs="Barlow Semi Condensed" w:eastAsia="Barlow Semi Condensed" w:hAnsi="Barlow Semi Condensed"/>
          <w:sz w:val="24"/>
          <w:szCs w:val="24"/>
        </w:rPr>
        <w:t xml:space="preserve">esattamente la tessera dichiarata meno 1088.</w:t>
      </w:r>
    </w:p>
    <w:p>
      <w:pPr>
        <w:spacing w:after="120" w:line="276"/>
        <w:jc w:val="both"/>
      </w:pPr>
      <w:r>
        <w:rPr>
          <w:rFonts w:ascii="Barlow Semi Condensed" w:cs="Barlow Semi Condensed" w:eastAsia="Barlow Semi Condensed" w:hAnsi="Barlow Semi Condensed"/>
          <w:b/>
          <w:bCs/>
          <w:sz w:val="24"/>
          <w:szCs w:val="24"/>
        </w:rPr>
        <w:t xml:space="preserve">Che cosa se ne conclude, e con quale grado.</w:t>
      </w:r>
      <w:r>
        <w:rPr>
          <w:rFonts w:ascii="Barlow Semi Condensed" w:cs="Barlow Semi Condensed" w:eastAsia="Barlow Semi Condensed" w:hAnsi="Barlow Semi Condensed"/>
          <w:sz w:val="24"/>
          <w:szCs w:val="24"/>
        </w:rPr>
        <w:t xml:space="preserve"> Non più soltanto che otto scarti</w:t>
      </w:r>
    </w:p>
    <w:p>
      <w:pPr>
        <w:spacing w:after="120" w:line="276"/>
        <w:jc w:val="both"/>
      </w:pPr>
      <w:r>
        <w:rPr>
          <w:rFonts w:ascii="Barlow Semi Condensed" w:cs="Barlow Semi Condensed" w:eastAsia="Barlow Semi Condensed" w:hAnsi="Barlow Semi Condensed"/>
          <w:sz w:val="24"/>
          <w:szCs w:val="24"/>
        </w:rPr>
        <w:t xml:space="preserve">identici sono improbabili — questo lo diceva l'aritmetica — ma che i numeri che li</w:t>
      </w:r>
    </w:p>
    <w:p>
      <w:pPr>
        <w:spacing w:after="120" w:line="276"/>
        <w:jc w:val="both"/>
      </w:pPr>
      <w:r>
        <w:rPr>
          <w:rFonts w:ascii="Barlow Semi Condensed" w:cs="Barlow Semi Condensed" w:eastAsia="Barlow Semi Condensed" w:hAnsi="Barlow Semi Condensed"/>
          <w:sz w:val="24"/>
          <w:szCs w:val="24"/>
        </w:rPr>
        <w:t xml:space="preserve">producono </w:t>
      </w:r>
      <w:r>
        <w:rPr>
          <w:rFonts w:ascii="Barlow Semi Condensed" w:cs="Barlow Semi Condensed" w:eastAsia="Barlow Semi Condensed" w:hAnsi="Barlow Semi Condensed"/>
          <w:b/>
          <w:bCs/>
          <w:sz w:val="24"/>
          <w:szCs w:val="24"/>
        </w:rPr>
        <w:t xml:space="preserve">non corrispondono all'elenco</w:t>
      </w:r>
      <w:r>
        <w:rPr>
          <w:rFonts w:ascii="Barlow Semi Condensed" w:cs="Barlow Semi Condensed" w:eastAsia="Barlow Semi Condensed" w:hAnsi="Barlow Semi Condensed"/>
          <w:sz w:val="24"/>
          <w:szCs w:val="24"/>
        </w:rPr>
        <w:t xml:space="preserve">, mentre gli altri numeri dello stesso</w:t>
      </w:r>
    </w:p>
    <w:p>
      <w:pPr>
        <w:spacing w:after="120" w:line="276"/>
        <w:jc w:val="both"/>
      </w:pPr>
      <w:r>
        <w:rPr>
          <w:rFonts w:ascii="Barlow Semi Condensed" w:cs="Barlow Semi Condensed" w:eastAsia="Barlow Semi Condensed" w:hAnsi="Barlow Semi Condensed"/>
          <w:sz w:val="24"/>
          <w:szCs w:val="24"/>
        </w:rPr>
        <w:t xml:space="preserve">testo vi corrispondono. È una dimostrazione contro una fonte, non un'inferenza da</w:t>
      </w:r>
    </w:p>
    <w:p>
      <w:pPr>
        <w:spacing w:after="120" w:line="276"/>
        <w:jc w:val="both"/>
      </w:pPr>
      <w:r>
        <w:rPr>
          <w:rFonts w:ascii="Barlow Semi Condensed" w:cs="Barlow Semi Condensed" w:eastAsia="Barlow Semi Condensed" w:hAnsi="Barlow Semi Condensed"/>
          <w:sz w:val="24"/>
          <w:szCs w:val="24"/>
        </w:rPr>
        <w:t xml:space="preserve">una regolarità. Il grado resta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 fonte è una copia digitale a catena</w:t>
      </w:r>
    </w:p>
    <w:p>
      <w:pPr>
        <w:spacing w:after="120" w:line="276"/>
        <w:jc w:val="both"/>
      </w:pPr>
      <w:r>
        <w:rPr>
          <w:rFonts w:ascii="Barlow Semi Condensed" w:cs="Barlow Semi Condensed" w:eastAsia="Barlow Semi Condensed" w:hAnsi="Barlow Semi Condensed"/>
          <w:sz w:val="24"/>
          <w:szCs w:val="24"/>
        </w:rPr>
        <w:t xml:space="preserve">unica, non l'originale a stampa. Ma </w:t>
      </w:r>
      <w:r>
        <w:rPr>
          <w:rFonts w:ascii="Barlow Semi Condensed" w:cs="Barlow Semi Condensed" w:eastAsia="Barlow Semi Condensed" w:hAnsi="Barlow Semi Condensed"/>
          <w:b/>
          <w:bCs/>
          <w:sz w:val="24"/>
          <w:szCs w:val="24"/>
        </w:rPr>
        <w:t xml:space="preserve">converge con la campagna di ricerca</w:t>
      </w:r>
    </w:p>
    <w:p>
      <w:pPr>
        <w:spacing w:after="120" w:line="276"/>
        <w:jc w:val="both"/>
      </w:pPr>
      <w:r>
        <w:rPr>
          <w:rFonts w:ascii="Barlow Semi Condensed" w:cs="Barlow Semi Condensed" w:eastAsia="Barlow Semi Condensed" w:hAnsi="Barlow Semi Condensed"/>
          <w:sz w:val="24"/>
          <w:szCs w:val="24"/>
        </w:rPr>
        <w:t xml:space="preserve">condotta indipendentemente lo stesso giorno, che aveva trovato 482, 491, 494,</w:t>
      </w:r>
    </w:p>
    <w:p>
      <w:pPr>
        <w:spacing w:after="120" w:line="276"/>
        <w:jc w:val="both"/>
      </w:pPr>
      <w:r>
        <w:rPr>
          <w:rFonts w:ascii="Barlow Semi Condensed" w:cs="Barlow Semi Condensed" w:eastAsia="Barlow Semi Condensed" w:hAnsi="Barlow Semi Condensed"/>
          <w:sz w:val="24"/>
          <w:szCs w:val="24"/>
        </w:rPr>
        <w:t xml:space="preserve">515, 519, 527 e 535 su siti diversi e senza conoscere questo documento. Due</w:t>
      </w:r>
    </w:p>
    <w:p>
      <w:pPr>
        <w:spacing w:after="120" w:line="276"/>
        <w:jc w:val="both"/>
      </w:pPr>
      <w:r>
        <w:rPr>
          <w:rFonts w:ascii="Barlow Semi Condensed" w:cs="Barlow Semi Condensed" w:eastAsia="Barlow Semi Condensed" w:hAnsi="Barlow Semi Condensed"/>
          <w:sz w:val="24"/>
          <w:szCs w:val="24"/>
        </w:rPr>
        <w:t xml:space="preserve">catene che si incontrano non fanno un giudicato; fanno molto più di una.</w:t>
      </w:r>
    </w:p>
    <w:p>
      <w:pPr>
        <w:spacing w:after="120" w:line="276"/>
        <w:jc w:val="both"/>
      </w:pPr>
      <w:r>
        <w:rPr>
          <w:rFonts w:ascii="Barlow Semi Condensed" w:cs="Barlow Semi Condensed" w:eastAsia="Barlow Semi Condensed" w:hAnsi="Barlow Semi Condensed"/>
          <w:b/>
          <w:bCs/>
          <w:sz w:val="24"/>
          <w:szCs w:val="24"/>
        </w:rPr>
        <w:t xml:space="preserve">Che cosa resta da verificare sull'originale</w:t>
      </w:r>
      <w:r>
        <w:rPr>
          <w:rFonts w:ascii="Barlow Semi Condensed" w:cs="Barlow Semi Condensed" w:eastAsia="Barlow Semi Condensed" w:hAnsi="Barlow Semi Condensed"/>
          <w:sz w:val="24"/>
          <w:szCs w:val="24"/>
        </w:rPr>
        <w:t xml:space="preserve">, e il documento lo prescrive da</w:t>
      </w:r>
    </w:p>
    <w:p>
      <w:pPr>
        <w:spacing w:after="120" w:line="276"/>
        <w:jc w:val="both"/>
      </w:pPr>
      <w:r>
        <w:rPr>
          <w:rFonts w:ascii="Barlow Semi Condensed" w:cs="Barlow Semi Condensed" w:eastAsia="Barlow Semi Condensed" w:hAnsi="Barlow Semi Condensed"/>
          <w:sz w:val="24"/>
          <w:szCs w:val="24"/>
        </w:rPr>
        <w:t xml:space="preserve">sé: il nominativo di </w:t>
      </w:r>
      <w:r>
        <w:rPr>
          <w:rFonts w:ascii="Barlow Semi Condensed" w:cs="Barlow Semi Condensed" w:eastAsia="Barlow Semi Condensed" w:hAnsi="Barlow Semi Condensed"/>
          <w:b/>
          <w:bCs/>
          <w:sz w:val="24"/>
          <w:szCs w:val="24"/>
        </w:rPr>
        <w:t xml:space="preserve">Antonio Varisco</w:t>
      </w:r>
      <w:r>
        <w:rPr>
          <w:rFonts w:ascii="Barlow Semi Condensed" w:cs="Barlow Semi Condensed" w:eastAsia="Barlow Semi Condensed" w:hAnsi="Barlow Semi Condensed"/>
          <w:sz w:val="24"/>
          <w:szCs w:val="24"/>
        </w:rPr>
        <w:t xml:space="preserve">, che nell'elenco </w:t>
      </w:r>
      <w:r>
        <w:rPr>
          <w:rFonts w:ascii="Barlow Semi Condensed" w:cs="Barlow Semi Condensed" w:eastAsia="Barlow Semi Condensed" w:hAnsi="Barlow Semi Condensed"/>
          <w:b/>
          <w:bCs/>
          <w:sz w:val="24"/>
          <w:szCs w:val="24"/>
        </w:rPr>
        <w:t xml:space="preserve">non compare</w:t>
      </w:r>
      <w:r>
        <w:rPr>
          <w:rFonts w:ascii="Barlow Semi Condensed" w:cs="Barlow Semi Condensed" w:eastAsia="Barlow Semi Condensed" w:hAnsi="Barlow Semi Condensed"/>
          <w:sz w:val="24"/>
          <w:szCs w:val="24"/>
        </w:rPr>
        <w:t xml:space="preserve"> — la</w:t>
      </w:r>
    </w:p>
    <w:p>
      <w:pPr>
        <w:spacing w:after="120" w:line="276"/>
        <w:jc w:val="both"/>
      </w:pPr>
      <w:r>
        <w:rPr>
          <w:rFonts w:ascii="Barlow Semi Condensed" w:cs="Barlow Semi Condensed" w:eastAsia="Barlow Semi Condensed" w:hAnsi="Barlow Semi Condensed"/>
          <w:sz w:val="24"/>
          <w:szCs w:val="24"/>
        </w:rPr>
        <w:t xml:space="preserve">certificazione lo aveva già iscritto fra le quattro appartenenze non trovate, e</w:t>
      </w:r>
    </w:p>
    <w:p>
      <w:pPr>
        <w:spacing w:after="120" w:line="276"/>
        <w:jc w:val="both"/>
      </w:pPr>
      <w:r>
        <w:rPr>
          <w:rFonts w:ascii="Barlow Semi Condensed" w:cs="Barlow Semi Condensed" w:eastAsia="Barlow Semi Condensed" w:hAnsi="Barlow Semi Condensed"/>
          <w:sz w:val="24"/>
          <w:szCs w:val="24"/>
        </w:rPr>
        <w:t xml:space="preserve">ora si sa dove non è; e il </w:t>
      </w:r>
      <w:r>
        <w:rPr>
          <w:rFonts w:ascii="Barlow Semi Condensed" w:cs="Barlow Semi Condensed" w:eastAsia="Barlow Semi Condensed" w:hAnsi="Barlow Semi Condensed"/>
          <w:b/>
          <w:bCs/>
          <w:sz w:val="24"/>
          <w:szCs w:val="24"/>
        </w:rPr>
        <w:t xml:space="preserve">fascicolo 397</w:t>
      </w:r>
      <w:r>
        <w:rPr>
          <w:rFonts w:ascii="Barlow Semi Condensed" w:cs="Barlow Semi Condensed" w:eastAsia="Barlow Semi Condensed" w:hAnsi="Barlow Semi Condensed"/>
          <w:sz w:val="24"/>
          <w:szCs w:val="24"/>
        </w:rPr>
        <w:t xml:space="preserve">, che nella copia risulta assegnato a</w:t>
      </w:r>
    </w:p>
    <w:p>
      <w:pPr>
        <w:spacing w:after="120" w:line="276"/>
        <w:jc w:val="both"/>
      </w:pPr>
      <w:r>
        <w:rPr>
          <w:rFonts w:ascii="Barlow Semi Condensed" w:cs="Barlow Semi Condensed" w:eastAsia="Barlow Semi Condensed" w:hAnsi="Barlow Semi Condensed"/>
          <w:sz w:val="24"/>
          <w:szCs w:val="24"/>
        </w:rPr>
        <w:t xml:space="preserve">due nomi.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Quarta annotazione, stessa data — l'aritmetica riscritta, e due debolezze mie.</w:t>
      </w:r>
    </w:p>
    <w:p>
      <w:pPr>
        <w:spacing w:after="120" w:line="276"/>
        <w:jc w:val="both"/>
      </w:pPr>
      <w:r>
        <w:rPr>
          <w:rFonts w:ascii="Barlow Semi Condensed" w:cs="Barlow Semi Condensed" w:eastAsia="Barlow Semi Condensed" w:hAnsi="Barlow Semi Condensed"/>
          <w:sz w:val="24"/>
          <w:szCs w:val="24"/>
        </w:rPr>
        <w:t xml:space="preserve">Rifacendo i conti sono emerse **due fragilità nell'argomento che questa</w:t>
      </w:r>
    </w:p>
    <w:p>
      <w:pPr>
        <w:spacing w:after="120" w:line="276"/>
        <w:jc w:val="both"/>
      </w:pPr>
      <w:r>
        <w:rPr>
          <w:rFonts w:ascii="Barlow Semi Condensed" w:cs="Barlow Semi Condensed" w:eastAsia="Barlow Semi Condensed" w:hAnsi="Barlow Semi Condensed"/>
          <w:sz w:val="24"/>
          <w:szCs w:val="24"/>
        </w:rPr>
        <w:t xml:space="preserve">certificazione aveva usato**, e vanno dette prima di ogni altra cosa perché</w:t>
      </w:r>
    </w:p>
    <w:p>
      <w:pPr>
        <w:spacing w:after="120" w:line="276"/>
        <w:jc w:val="both"/>
      </w:pPr>
      <w:r>
        <w:rPr>
          <w:rFonts w:ascii="Barlow Semi Condensed" w:cs="Barlow Semi Condensed" w:eastAsia="Barlow Semi Condensed" w:hAnsi="Barlow Semi Condensed"/>
          <w:sz w:val="24"/>
          <w:szCs w:val="24"/>
        </w:rPr>
        <w:t xml:space="preserve">riguardano il mio ragionamento, non le fonti.</w:t>
      </w:r>
    </w:p>
    <w:p>
      <w:pPr>
        <w:spacing w:after="120" w:line="276"/>
        <w:jc w:val="both"/>
      </w:pPr>
      <w:r>
        <w:rPr>
          <w:rFonts w:ascii="Barlow Semi Condensed" w:cs="Barlow Semi Condensed" w:eastAsia="Barlow Semi Condensed" w:hAnsi="Barlow Semi Condensed"/>
          <w:b/>
          <w:bCs/>
          <w:sz w:val="24"/>
          <w:szCs w:val="24"/>
        </w:rPr>
        <w:t xml:space="preserve">La prima: la cifra 5×10⁻¹⁵ dipende da un assunto che non avevo dichiarato.</w:t>
      </w:r>
    </w:p>
    <w:p>
      <w:pPr>
        <w:spacing w:after="120" w:line="276"/>
        <w:jc w:val="both"/>
      </w:pPr>
      <w:r>
        <w:rPr>
          <w:rFonts w:ascii="Barlow Semi Condensed" w:cs="Barlow Semi Condensed" w:eastAsia="Barlow Semi Condensed" w:hAnsi="Barlow Semi Condensed"/>
          <w:sz w:val="24"/>
          <w:szCs w:val="24"/>
        </w:rPr>
        <w:t xml:space="preserve">Quel numero si ottiene solo fissando l'ampiezza entro cui gli scarti potrebbero</w:t>
      </w:r>
    </w:p>
    <w:p>
      <w:pPr>
        <w:spacing w:after="120" w:line="276"/>
        <w:jc w:val="both"/>
      </w:pPr>
      <w:r>
        <w:rPr>
          <w:rFonts w:ascii="Barlow Semi Condensed" w:cs="Barlow Semi Condensed" w:eastAsia="Barlow Semi Condensed" w:hAnsi="Barlow Semi Condensed"/>
          <w:sz w:val="24"/>
          <w:szCs w:val="24"/>
        </w:rPr>
        <w:t xml:space="preserve">variare, e quell'ampiezza non era scritta da nessuna parte. Cambiandola, la</w:t>
      </w:r>
    </w:p>
    <w:p>
      <w:pPr>
        <w:spacing w:after="120" w:line="276"/>
        <w:jc w:val="both"/>
      </w:pPr>
      <w:r>
        <w:rPr>
          <w:rFonts w:ascii="Barlow Semi Condensed" w:cs="Barlow Semi Condensed" w:eastAsia="Barlow Semi Condensed" w:hAnsi="Barlow Semi Condensed"/>
          <w:sz w:val="24"/>
          <w:szCs w:val="24"/>
        </w:rPr>
        <w:t xml:space="preserve">probabilità si muove di sei ordini di grandezza: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ampiezza assunta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probabilità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50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6×10⁻⁷</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100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5×10⁻⁹</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500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6×10⁻¹⁴</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1.000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5×10⁻¹⁶</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Una cifra che oscilla così a seconda di un parametro taciuto non è un risultato:</w:t>
      </w:r>
    </w:p>
    <w:p>
      <w:pPr>
        <w:spacing w:after="120" w:line="276"/>
        <w:jc w:val="both"/>
      </w:pPr>
      <w:r>
        <w:rPr>
          <w:rFonts w:ascii="Barlow Semi Condensed" w:cs="Barlow Semi Condensed" w:eastAsia="Barlow Semi Condensed" w:hAnsi="Barlow Semi Condensed"/>
          <w:sz w:val="24"/>
          <w:szCs w:val="24"/>
        </w:rPr>
        <w:t xml:space="preserve">è un'impressione con l'aria di un calcolo. </w:t>
      </w:r>
      <w:r>
        <w:rPr>
          <w:rFonts w:ascii="Barlow Semi Condensed" w:cs="Barlow Semi Condensed" w:eastAsia="Barlow Semi Condensed" w:hAnsi="Barlow Semi Condensed"/>
          <w:b/>
          <w:bCs/>
          <w:sz w:val="24"/>
          <w:szCs w:val="24"/>
        </w:rPr>
        <w:t xml:space="preserve">La ritiro.</w:t>
      </w:r>
    </w:p>
    <w:p>
      <w:pPr>
        <w:spacing w:after="120" w:line="276"/>
        <w:jc w:val="both"/>
      </w:pPr>
      <w:r>
        <w:rPr>
          <w:rFonts w:ascii="Barlow Semi Condensed" w:cs="Barlow Semi Condensed" w:eastAsia="Barlow Semi Condensed" w:hAnsi="Barlow Semi Condensed"/>
          <w:b/>
          <w:bCs/>
          <w:sz w:val="24"/>
          <w:szCs w:val="24"/>
        </w:rPr>
        <w:t xml:space="preserve">La seconda: la deriva 1191 → 1193 poggia su due punti.</w:t>
      </w:r>
      <w:r>
        <w:rPr>
          <w:rFonts w:ascii="Barlow Semi Condensed" w:cs="Barlow Semi Condensed" w:eastAsia="Barlow Semi Condensed" w:hAnsi="Barlow Semi Condensed"/>
          <w:sz w:val="24"/>
          <w:szCs w:val="24"/>
        </w:rPr>
        <w:t xml:space="preserve"> Due punti non</w:t>
      </w:r>
    </w:p>
    <w:p>
      <w:pPr>
        <w:spacing w:after="120" w:line="276"/>
        <w:jc w:val="both"/>
      </w:pPr>
      <w:r>
        <w:rPr>
          <w:rFonts w:ascii="Barlow Semi Condensed" w:cs="Barlow Semi Condensed" w:eastAsia="Barlow Semi Condensed" w:hAnsi="Barlow Semi Condensed"/>
          <w:sz w:val="24"/>
          <w:szCs w:val="24"/>
        </w:rPr>
        <w:t xml:space="preserve">stabiliscono una pendenza — la stabiliscono per definizione, e non la</w:t>
      </w:r>
    </w:p>
    <w:p>
      <w:pPr>
        <w:spacing w:after="120" w:line="276"/>
        <w:jc w:val="both"/>
      </w:pPr>
      <w:r>
        <w:rPr>
          <w:rFonts w:ascii="Barlow Semi Condensed" w:cs="Barlow Semi Condensed" w:eastAsia="Barlow Semi Condensed" w:hAnsi="Barlow Semi Condensed"/>
          <w:sz w:val="24"/>
          <w:szCs w:val="24"/>
        </w:rPr>
        <w:t xml:space="preserve">verificano. Che lo scarto reale «derivi» resta perciò un'ipotesi con n = 2, e</w:t>
      </w:r>
    </w:p>
    <w:p>
      <w:pPr>
        <w:spacing w:after="120" w:line="276"/>
        <w:jc w:val="both"/>
      </w:pPr>
      <w:r>
        <w:rPr>
          <w:rFonts w:ascii="Barlow Semi Condensed" w:cs="Barlow Semi Condensed" w:eastAsia="Barlow Semi Condensed" w:hAnsi="Barlow Semi Condensed"/>
          <w:sz w:val="24"/>
          <w:szCs w:val="24"/>
        </w:rPr>
        <w:t xml:space="preserve">tutto ciò che ne avevo dedotto per estrapolazione va preso come indicativo. Per</w:t>
      </w:r>
    </w:p>
    <w:p>
      <w:pPr>
        <w:spacing w:after="120" w:line="276"/>
        <w:jc w:val="both"/>
      </w:pPr>
      <w:r>
        <w:rPr>
          <w:rFonts w:ascii="Barlow Semi Condensed" w:cs="Barlow Semi Condensed" w:eastAsia="Barlow Semi Condensed" w:hAnsi="Barlow Semi Condensed"/>
          <w:sz w:val="24"/>
          <w:szCs w:val="24"/>
        </w:rPr>
        <w:t xml:space="preserve">mostrare quanto sia fragile: il modello lineare costruito su quei due soli punti</w:t>
      </w:r>
    </w:p>
    <w:p>
      <w:pPr>
        <w:spacing w:after="120" w:line="276"/>
        <w:jc w:val="both"/>
      </w:pPr>
      <w:r>
        <w:rPr>
          <w:rFonts w:ascii="Barlow Semi Condensed" w:cs="Barlow Semi Condensed" w:eastAsia="Barlow Semi Condensed" w:hAnsi="Barlow Semi Condensed"/>
          <w:sz w:val="24"/>
          <w:szCs w:val="24"/>
        </w:rPr>
        <w:t xml:space="preserve">predirebbe per Giudice la tessera 1453 contro le 1592 dichiarate, e per Gallucci</w:t>
      </w:r>
    </w:p>
    <w:p>
      <w:pPr>
        <w:spacing w:after="120" w:line="276"/>
        <w:jc w:val="both"/>
      </w:pPr>
      <w:r>
        <w:rPr>
          <w:rFonts w:ascii="Barlow Semi Condensed" w:cs="Barlow Semi Condensed" w:eastAsia="Barlow Semi Condensed" w:hAnsi="Barlow Semi Condensed"/>
          <w:sz w:val="24"/>
          <w:szCs w:val="24"/>
        </w:rPr>
        <w:t xml:space="preserve">1579 contro 1634 — errori fra 55 e 139 posizioni, che nessuno può interpretare</w:t>
      </w:r>
    </w:p>
    <w:p>
      <w:pPr>
        <w:spacing w:after="120" w:line="276"/>
        <w:jc w:val="both"/>
      </w:pPr>
      <w:r>
        <w:rPr>
          <w:rFonts w:ascii="Barlow Semi Condensed" w:cs="Barlow Semi Condensed" w:eastAsia="Barlow Semi Condensed" w:hAnsi="Barlow Semi Condensed"/>
          <w:sz w:val="24"/>
          <w:szCs w:val="24"/>
        </w:rPr>
        <w:t xml:space="preserve">senza altri punti.</w:t>
      </w:r>
    </w:p>
    <w:p>
      <w:pPr>
        <w:spacing w:after="120" w:line="276"/>
        <w:jc w:val="both"/>
      </w:pPr>
      <w:r>
        <w:rPr>
          <w:rFonts w:ascii="Barlow Semi Condensed" w:cs="Barlow Semi Condensed" w:eastAsia="Barlow Semi Condensed" w:hAnsi="Barlow Semi Condensed"/>
          <w:b/>
          <w:bCs/>
          <w:sz w:val="24"/>
          <w:szCs w:val="24"/>
        </w:rPr>
        <w:t xml:space="preserve">Che cosa resta in piedi, e regge meglio di prima.</w:t>
      </w:r>
      <w:r>
        <w:rPr>
          <w:rFonts w:ascii="Barlow Semi Condensed" w:cs="Barlow Semi Condensed" w:eastAsia="Barlow Semi Condensed" w:hAnsi="Barlow Semi Condensed"/>
          <w:sz w:val="24"/>
          <w:szCs w:val="24"/>
        </w:rPr>
        <w:t xml:space="preserve"> L'argomento si può fare</w:t>
      </w:r>
    </w:p>
    <w:p>
      <w:pPr>
        <w:spacing w:after="120" w:line="276"/>
        <w:jc w:val="both"/>
      </w:pPr>
      <w:r>
        <w:rPr>
          <w:rFonts w:ascii="Barlow Semi Condensed" w:cs="Barlow Semi Condensed" w:eastAsia="Barlow Semi Condensed" w:hAnsi="Barlow Semi Condensed"/>
          <w:b/>
          <w:bCs/>
          <w:sz w:val="24"/>
          <w:szCs w:val="24"/>
        </w:rPr>
        <w:t xml:space="preserve">senza assumere nulla</w:t>
      </w:r>
      <w:r>
        <w:rPr>
          <w:rFonts w:ascii="Barlow Semi Condensed" w:cs="Barlow Semi Condensed" w:eastAsia="Barlow Semi Condensed" w:hAnsi="Barlow Semi Condensed"/>
          <w:sz w:val="24"/>
          <w:szCs w:val="24"/>
        </w:rPr>
        <w:t xml:space="preserve"> sulla distribuzione degli scarti. Se i ventitré scarti</w:t>
      </w:r>
    </w:p>
    <w:p>
      <w:pPr>
        <w:spacing w:after="120" w:line="276"/>
        <w:jc w:val="both"/>
      </w:pPr>
      <w:r>
        <w:rPr>
          <w:rFonts w:ascii="Barlow Semi Condensed" w:cs="Barlow Semi Condensed" w:eastAsia="Barlow Semi Condensed" w:hAnsi="Barlow Semi Condensed"/>
          <w:sz w:val="24"/>
          <w:szCs w:val="24"/>
        </w:rPr>
        <w:t xml:space="preserve">provenissero da una distribuzione qualsiasi, e </w:t>
      </w:r>
      <w:r>
        <w:rPr>
          <w:rFonts w:ascii="Barlow Semi Condensed" w:cs="Barlow Semi Condensed" w:eastAsia="Barlow Semi Condensed" w:hAnsi="Barlow Semi Condensed"/>
          <w:i/>
          <w:iCs/>
          <w:sz w:val="24"/>
          <w:szCs w:val="24"/>
        </w:rPr>
        <w:t xml:space="preserve">p</w:t>
      </w:r>
      <w:r>
        <w:rPr>
          <w:rFonts w:ascii="Barlow Semi Condensed" w:cs="Barlow Semi Condensed" w:eastAsia="Barlow Semi Condensed" w:hAnsi="Barlow Semi Condensed"/>
          <w:sz w:val="24"/>
          <w:szCs w:val="24"/>
        </w:rPr>
        <w:t xml:space="preserve"> fosse la probabilità del</w:t>
      </w:r>
    </w:p>
    <w:p>
      <w:pPr>
        <w:spacing w:after="120" w:line="276"/>
        <w:jc w:val="both"/>
      </w:pPr>
      <w:r>
        <w:rPr>
          <w:rFonts w:ascii="Barlow Semi Condensed" w:cs="Barlow Semi Condensed" w:eastAsia="Barlow Semi Condensed" w:hAnsi="Barlow Semi Condensed"/>
          <w:sz w:val="24"/>
          <w:szCs w:val="24"/>
        </w:rPr>
        <w:t xml:space="preserve">valore più frequente, allora la probabilità che otto di essi coincidano è al più</w:t>
      </w:r>
    </w:p>
    <w:p>
      <w:pPr>
        <w:spacing w:after="120" w:line="276"/>
        <w:jc w:val="both"/>
      </w:pPr>
      <w:r>
        <w:rPr>
          <w:rFonts w:ascii="Barlow Semi Condensed" w:cs="Barlow Semi Condensed" w:eastAsia="Barlow Semi Condensed" w:hAnsi="Barlow Semi Condensed"/>
          <w:sz w:val="24"/>
          <w:szCs w:val="24"/>
        </w:rPr>
        <w:t xml:space="preserve">C(23,8)·p⁷. Rovesciando il conto: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perché il caso sia plausibile anche solo </w:t>
      </w:r>
      <w:r>
        <w:rPr>
          <w:rFonts w:ascii="Barlow Semi Condensed" w:cs="Barlow Semi Condensed" w:eastAsia="Barlow Semi Condensed" w:hAnsi="Barlow Semi Condensed"/>
          <w:b/>
          <w:bCs/>
          <w:i w:val="false"/>
          <w:iCs w:val="false"/>
          <w:sz w:val="24"/>
          <w:szCs w:val="24"/>
        </w:rPr>
        <w:t xml:space="preserve">all'uno per cento</w:t>
      </w:r>
      <w:r>
        <w:rPr>
          <w:rFonts w:ascii="Barlow Semi Condensed" w:cs="Barlow Semi Condensed" w:eastAsia="Barlow Semi Condensed" w:hAnsi="Barlow Semi Condensed"/>
          <w:i w:val="false"/>
          <w:iCs w:val="false"/>
          <w:sz w:val="24"/>
          <w:szCs w:val="24"/>
        </w:rPr>
        <w:t xml:space="preserve">, occorre che circa l'</w:t>
      </w:r>
      <w:r>
        <w:rPr>
          <w:rFonts w:ascii="Barlow Semi Condensed" w:cs="Barlow Semi Condensed" w:eastAsia="Barlow Semi Condensed" w:hAnsi="Barlow Semi Condensed"/>
          <w:b/>
          <w:bCs/>
          <w:i w:val="false"/>
          <w:iCs w:val="false"/>
          <w:sz w:val="24"/>
          <w:szCs w:val="24"/>
        </w:rPr>
        <w:t xml:space="preserve">otto per cento di tutte le coppie della loggia</w:t>
      </w:r>
      <w:r>
        <w:rPr>
          <w:rFonts w:ascii="Barlow Semi Condensed" w:cs="Barlow Semi Condensed" w:eastAsia="Barlow Semi Condensed" w:hAnsi="Barlow Semi Condensed"/>
          <w:i w:val="false"/>
          <w:iCs w:val="false"/>
          <w:sz w:val="24"/>
          <w:szCs w:val="24"/>
        </w:rPr>
        <w:t xml:space="preserve"> condivida lo stesso identico scarto — su 962 iscritti, </w:t>
      </w:r>
      <w:r>
        <w:rPr>
          <w:rFonts w:ascii="Barlow Semi Condensed" w:cs="Barlow Semi Condensed" w:eastAsia="Barlow Semi Condensed" w:hAnsi="Barlow Semi Condensed"/>
          <w:b/>
          <w:bCs/>
          <w:i w:val="false"/>
          <w:iCs w:val="false"/>
          <w:sz w:val="24"/>
          <w:szCs w:val="24"/>
        </w:rPr>
        <w:t xml:space="preserve">una settantina di persone</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E qui l'argomento si chiude da sé: se davvero una settantina di iscritti</w:t>
      </w:r>
    </w:p>
    <w:p>
      <w:pPr>
        <w:spacing w:after="120" w:line="276"/>
        <w:jc w:val="both"/>
      </w:pPr>
      <w:r>
        <w:rPr>
          <w:rFonts w:ascii="Barlow Semi Condensed" w:cs="Barlow Semi Condensed" w:eastAsia="Barlow Semi Condensed" w:hAnsi="Barlow Semi Condensed"/>
          <w:sz w:val="24"/>
          <w:szCs w:val="24"/>
        </w:rPr>
        <w:t xml:space="preserve">condividesse quello scarto, lo scarto non sarebbe un caso, sarebbe **la regola</w:t>
      </w:r>
    </w:p>
    <w:p>
      <w:pPr>
        <w:spacing w:after="120" w:line="276"/>
        <w:jc w:val="both"/>
      </w:pPr>
      <w:r>
        <w:rPr>
          <w:rFonts w:ascii="Barlow Semi Condensed" w:cs="Barlow Semi Condensed" w:eastAsia="Barlow Semi Condensed" w:hAnsi="Barlow Semi Condensed"/>
          <w:sz w:val="24"/>
          <w:szCs w:val="24"/>
        </w:rPr>
        <w:t xml:space="preserve">del registro** — e le due coppie attestate, Berlusconi e Costanzo, dovrebbero</w:t>
      </w:r>
    </w:p>
    <w:p>
      <w:pPr>
        <w:spacing w:after="120" w:line="276"/>
        <w:jc w:val="both"/>
      </w:pPr>
      <w:r>
        <w:rPr>
          <w:rFonts w:ascii="Barlow Semi Condensed" w:cs="Barlow Semi Condensed" w:eastAsia="Barlow Semi Condensed" w:hAnsi="Barlow Semi Condensed"/>
          <w:sz w:val="24"/>
          <w:szCs w:val="24"/>
        </w:rPr>
        <w:t xml:space="preserve">rispettarla. Non la rispettano: danno 1191 e 1193, non 1088.</w:t>
      </w:r>
    </w:p>
    <w:p>
      <w:pPr>
        <w:spacing w:after="120" w:line="276"/>
        <w:jc w:val="both"/>
      </w:pPr>
      <w:r>
        <w:rPr>
          <w:rFonts w:ascii="Barlow Semi Condensed" w:cs="Barlow Semi Condensed" w:eastAsia="Barlow Semi Condensed" w:hAnsi="Barlow Semi Condensed"/>
          <w:b/>
          <w:bCs/>
          <w:sz w:val="24"/>
          <w:szCs w:val="24"/>
        </w:rPr>
        <w:t xml:space="preserve">Il saldo di questa annotazione.</w:t>
      </w:r>
      <w:r>
        <w:rPr>
          <w:rFonts w:ascii="Barlow Semi Condensed" w:cs="Barlow Semi Condensed" w:eastAsia="Barlow Semi Condensed" w:hAnsi="Barlow Semi Condensed"/>
          <w:sz w:val="24"/>
          <w:szCs w:val="24"/>
        </w:rPr>
        <w:t xml:space="preserve"> La conclusione — otto scarti identici su</w:t>
      </w:r>
    </w:p>
    <w:p>
      <w:pPr>
        <w:spacing w:after="120" w:line="276"/>
        <w:jc w:val="both"/>
      </w:pPr>
      <w:r>
        <w:rPr>
          <w:rFonts w:ascii="Barlow Semi Condensed" w:cs="Barlow Semi Condensed" w:eastAsia="Barlow Semi Condensed" w:hAnsi="Barlow Semi Condensed"/>
          <w:sz w:val="24"/>
          <w:szCs w:val="24"/>
        </w:rPr>
        <w:t xml:space="preserve">quarantadue posizioni non sono un secondo registro — </w:t>
      </w:r>
      <w:r>
        <w:rPr>
          <w:rFonts w:ascii="Barlow Semi Condensed" w:cs="Barlow Semi Condensed" w:eastAsia="Barlow Semi Condensed" w:hAnsi="Barlow Semi Condensed"/>
          <w:b/>
          <w:bCs/>
          <w:sz w:val="24"/>
          <w:szCs w:val="24"/>
        </w:rPr>
        <w:t xml:space="preserve">esce rafforzata</w:t>
      </w:r>
      <w:r>
        <w:rPr>
          <w:rFonts w:ascii="Barlow Semi Condensed" w:cs="Barlow Semi Condensed" w:eastAsia="Barlow Semi Condensed" w:hAnsi="Barlow Semi Condensed"/>
          <w:sz w:val="24"/>
          <w:szCs w:val="24"/>
        </w:rPr>
        <w:t xml:space="preserve">, perché</w:t>
      </w:r>
    </w:p>
    <w:p>
      <w:pPr>
        <w:spacing w:after="120" w:line="276"/>
        <w:jc w:val="both"/>
      </w:pPr>
      <w:r>
        <w:rPr>
          <w:rFonts w:ascii="Barlow Semi Condensed" w:cs="Barlow Semi Condensed" w:eastAsia="Barlow Semi Condensed" w:hAnsi="Barlow Semi Condensed"/>
          <w:sz w:val="24"/>
          <w:szCs w:val="24"/>
        </w:rPr>
        <w:t xml:space="preserve">ora non dipende più da un parametro taciuto né da una pendenza a due punti. Il</w:t>
      </w:r>
    </w:p>
    <w:p>
      <w:pPr>
        <w:spacing w:after="120" w:line="276"/>
        <w:jc w:val="both"/>
      </w:pPr>
      <w:r>
        <w:rPr>
          <w:rFonts w:ascii="Barlow Semi Condensed" w:cs="Barlow Semi Condensed" w:eastAsia="Barlow Semi Condensed" w:hAnsi="Barlow Semi Condensed"/>
          <w:sz w:val="24"/>
          <w:szCs w:val="24"/>
        </w:rPr>
        <w:t xml:space="preserve">numero che l'accompagnava esce invece </w:t>
      </w:r>
      <w:r>
        <w:rPr>
          <w:rFonts w:ascii="Barlow Semi Condensed" w:cs="Barlow Semi Condensed" w:eastAsia="Barlow Semi Condensed" w:hAnsi="Barlow Semi Condensed"/>
          <w:b/>
          <w:bCs/>
          <w:sz w:val="24"/>
          <w:szCs w:val="24"/>
        </w:rPr>
        <w:t xml:space="preserve">ritirato</w:t>
      </w:r>
      <w:r>
        <w:rPr>
          <w:rFonts w:ascii="Barlow Semi Condensed" w:cs="Barlow Semi Condensed" w:eastAsia="Barlow Semi Condensed" w:hAnsi="Barlow Semi Condensed"/>
          <w:sz w:val="24"/>
          <w:szCs w:val="24"/>
        </w:rPr>
        <w:t xml:space="preserve">. Si guadagna in solidità ciò</w:t>
      </w:r>
    </w:p>
    <w:p>
      <w:pPr>
        <w:spacing w:after="120" w:line="276"/>
        <w:jc w:val="both"/>
      </w:pPr>
      <w:r>
        <w:rPr>
          <w:rFonts w:ascii="Barlow Semi Condensed" w:cs="Barlow Semi Condensed" w:eastAsia="Barlow Semi Condensed" w:hAnsi="Barlow Semi Condensed"/>
          <w:sz w:val="24"/>
          <w:szCs w:val="24"/>
        </w:rPr>
        <w:t xml:space="preserve">che si perde in appariscenza, ed è un buon cambio.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Terza annotazione, stessa data — che cosa la ricerca ha effettivamente trovato.</w:t>
      </w:r>
    </w:p>
    <w:p>
      <w:pPr>
        <w:spacing w:after="120" w:line="276"/>
        <w:jc w:val="both"/>
      </w:pPr>
      <w:r>
        <w:rPr>
          <w:rFonts w:ascii="Barlow Semi Condensed" w:cs="Barlow Semi Condensed" w:eastAsia="Barlow Semi Condensed" w:hAnsi="Barlow Semi Condensed"/>
          <w:sz w:val="24"/>
          <w:szCs w:val="24"/>
        </w:rPr>
        <w:t xml:space="preserve">Su richiesta esplicita si è cercato per conto proprio. **Nessuna pagina è stata</w:t>
      </w:r>
    </w:p>
    <w:p>
      <w:pPr>
        <w:spacing w:after="120" w:line="276"/>
        <w:jc w:val="both"/>
      </w:pPr>
      <w:r>
        <w:rPr>
          <w:rFonts w:ascii="Barlow Semi Condensed" w:cs="Barlow Semi Condensed" w:eastAsia="Barlow Semi Condensed" w:hAnsi="Barlow Semi Condensed"/>
          <w:sz w:val="24"/>
          <w:szCs w:val="24"/>
        </w:rPr>
        <w:t xml:space="preserve">aperta**: il proxy risponde 403 al CONNECT verso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i/>
          <w:iCs/>
          <w:sz w:val="24"/>
          <w:szCs w:val="24"/>
        </w:rPr>
        <w:t xml:space="preserve">archive.org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girodivite.it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i/>
          <w:iCs/>
          <w:sz w:val="24"/>
          <w:szCs w:val="24"/>
        </w:rPr>
        <w:t xml:space="preserve">altervista.org</w:t>
      </w:r>
      <w:r>
        <w:rPr>
          <w:rFonts w:ascii="Barlow Semi Condensed" w:cs="Barlow Semi Condensed" w:eastAsia="Barlow Semi Condensed" w:hAnsi="Barlow Semi Condensed"/>
          <w:sz w:val="24"/>
          <w:szCs w:val="24"/>
        </w:rPr>
        <w:t xml:space="preserve"> e ogni altro dominio provato, e il README dell'ambiente</w:t>
      </w:r>
    </w:p>
    <w:p>
      <w:pPr>
        <w:spacing w:after="120" w:line="276"/>
        <w:jc w:val="both"/>
      </w:pPr>
      <w:r>
        <w:rPr>
          <w:rFonts w:ascii="Barlow Semi Condensed" w:cs="Barlow Semi Condensed" w:eastAsia="Barlow Semi Condensed" w:hAnsi="Barlow Semi Condensed"/>
          <w:sz w:val="24"/>
          <w:szCs w:val="24"/>
        </w:rPr>
        <w:t xml:space="preserve">qualifica quel codice come diniego di policy da non aggirare. È rimasta la sola</w:t>
      </w:r>
    </w:p>
    <w:p>
      <w:pPr>
        <w:spacing w:after="120" w:line="276"/>
        <w:jc w:val="both"/>
      </w:pPr>
      <w:r>
        <w:rPr>
          <w:rFonts w:ascii="Barlow Semi Condensed" w:cs="Barlow Semi Condensed" w:eastAsia="Barlow Semi Condensed" w:hAnsi="Barlow Semi Condensed"/>
          <w:sz w:val="24"/>
          <w:szCs w:val="24"/>
        </w:rPr>
        <w:t xml:space="preserve">ricerca, che restituisce </w:t>
      </w:r>
      <w:r>
        <w:rPr>
          <w:rFonts w:ascii="Barlow Semi Condensed" w:cs="Barlow Semi Condensed" w:eastAsia="Barlow Semi Condensed" w:hAnsi="Barlow Semi Condensed"/>
          <w:b/>
          <w:bCs/>
          <w:sz w:val="24"/>
          <w:szCs w:val="24"/>
        </w:rPr>
        <w:t xml:space="preserve">sintesi di pagine lette da terzi</w:t>
      </w:r>
      <w:r>
        <w:rPr>
          <w:rFonts w:ascii="Barlow Semi Condensed" w:cs="Barlow Semi Condensed" w:eastAsia="Barlow Semi Condensed" w:hAnsi="Barlow Semi Condensed"/>
          <w:sz w:val="24"/>
          <w:szCs w:val="24"/>
        </w:rPr>
        <w:t xml:space="preserve">: tutto ciò che</w:t>
      </w:r>
    </w:p>
    <w:p>
      <w:pPr>
        <w:spacing w:after="120" w:line="276"/>
        <w:jc w:val="both"/>
      </w:pPr>
      <w:r>
        <w:rPr>
          <w:rFonts w:ascii="Barlow Semi Condensed" w:cs="Barlow Semi Condensed" w:eastAsia="Barlow Semi Condensed" w:hAnsi="Barlow Semi Condensed"/>
          <w:sz w:val="24"/>
          <w:szCs w:val="24"/>
        </w:rPr>
        <w:t xml:space="preserve">segue sta perciò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e non un gradino più su.</w:t>
      </w:r>
    </w:p>
    <w:p>
      <w:pPr>
        <w:spacing w:after="120" w:line="276"/>
        <w:jc w:val="both"/>
      </w:pPr>
      <w:r>
        <w:rPr>
          <w:rFonts w:ascii="Barlow Semi Condensed" w:cs="Barlow Semi Condensed" w:eastAsia="Barlow Semi Condensed" w:hAnsi="Barlow Semi Condensed"/>
          <w:b/>
          <w:bCs/>
          <w:sz w:val="24"/>
          <w:szCs w:val="24"/>
        </w:rPr>
        <w:t xml:space="preserve">Che cosa risulta confermato.</w:t>
      </w:r>
      <w:r>
        <w:rPr>
          <w:rFonts w:ascii="Barlow Semi Condensed" w:cs="Barlow Semi Condensed" w:eastAsia="Barlow Semi Condensed" w:hAnsi="Barlow Semi Condensed"/>
          <w:sz w:val="24"/>
          <w:szCs w:val="24"/>
        </w:rPr>
        <w:t xml:space="preserve"> L'elenco di Castiglion Fibocchi porta, per</w:t>
      </w:r>
    </w:p>
    <w:p>
      <w:pPr>
        <w:spacing w:after="120" w:line="276"/>
        <w:jc w:val="both"/>
      </w:pPr>
      <w:r>
        <w:rPr>
          <w:rFonts w:ascii="Barlow Semi Condensed" w:cs="Barlow Semi Condensed" w:eastAsia="Barlow Semi Condensed" w:hAnsi="Barlow Semi Condensed"/>
          <w:sz w:val="24"/>
          <w:szCs w:val="24"/>
        </w:rPr>
        <w:t xml:space="preserve">ciascun nome, </w:t>
      </w:r>
      <w:r>
        <w:rPr>
          <w:rFonts w:ascii="Barlow Semi Condensed" w:cs="Barlow Semi Condensed" w:eastAsia="Barlow Semi Condensed" w:hAnsi="Barlow Semi Condensed"/>
          <w:b/>
          <w:bCs/>
          <w:sz w:val="24"/>
          <w:szCs w:val="24"/>
        </w:rPr>
        <w:t xml:space="preserve">titolo, città, numero di fascicolo e numero di tessera</w:t>
      </w:r>
      <w:r>
        <w:rPr>
          <w:rFonts w:ascii="Barlow Semi Condensed" w:cs="Barlow Semi Condensed" w:eastAsia="Barlow Semi Condensed" w:hAnsi="Barlow Semi Condensed"/>
          <w:sz w:val="24"/>
          <w:szCs w:val="24"/>
        </w:rPr>
        <w:t xml:space="preserve">: sono</w:t>
      </w:r>
    </w:p>
    <w:p>
      <w:pPr>
        <w:spacing w:after="120" w:line="276"/>
        <w:jc w:val="both"/>
      </w:pPr>
      <w:r>
        <w:rPr>
          <w:rFonts w:ascii="Barlow Semi Condensed" w:cs="Barlow Semi Condensed" w:eastAsia="Barlow Semi Condensed" w:hAnsi="Barlow Semi Condensed"/>
          <w:sz w:val="24"/>
          <w:szCs w:val="24"/>
        </w:rPr>
        <w:t xml:space="preserve">due numeri distinti, non uno, ed è il presupposto stesso della calibrazione. E</w:t>
      </w:r>
    </w:p>
    <w:p>
      <w:pPr>
        <w:spacing w:after="120" w:line="276"/>
        <w:jc w:val="both"/>
      </w:pPr>
      <w:r>
        <w:rPr>
          <w:rFonts w:ascii="Barlow Semi Condensed" w:cs="Barlow Semi Condensed" w:eastAsia="Barlow Semi Condensed" w:hAnsi="Barlow Semi Condensed"/>
          <w:sz w:val="24"/>
          <w:szCs w:val="24"/>
        </w:rPr>
        <w:t xml:space="preserve">il numero fra parentesi, secondo le fonti raggiunte, è il </w:t>
      </w:r>
      <w:r>
        <w:rPr>
          <w:rFonts w:ascii="Barlow Semi Condensed" w:cs="Barlow Semi Condensed" w:eastAsia="Barlow Semi Condensed" w:hAnsi="Barlow Semi Condensed"/>
          <w:b/>
          <w:bCs/>
          <w:sz w:val="24"/>
          <w:szCs w:val="24"/>
        </w:rPr>
        <w:t xml:space="preserve">fascicolo</w:t>
      </w:r>
      <w:r>
        <w:rPr>
          <w:rFonts w:ascii="Barlow Semi Condensed" w:cs="Barlow Semi Condensed" w:eastAsia="Barlow Semi Condensed" w:hAnsi="Barlow Semi Condensed"/>
          <w:sz w:val="24"/>
          <w:szCs w:val="24"/>
        </w:rPr>
        <w:t xml:space="preserve">. Le due</w:t>
      </w:r>
    </w:p>
    <w:p>
      <w:pPr>
        <w:spacing w:after="120" w:line="276"/>
        <w:jc w:val="both"/>
      </w:pPr>
      <w:r>
        <w:rPr>
          <w:rFonts w:ascii="Barlow Semi Condensed" w:cs="Barlow Semi Condensed" w:eastAsia="Barlow Semi Condensed" w:hAnsi="Barlow Semi Condensed"/>
          <w:sz w:val="24"/>
          <w:szCs w:val="24"/>
        </w:rPr>
        <w:t xml:space="preserve">righe su cui la calibrazione era stata costruita reggono al riscontro</w:t>
      </w:r>
    </w:p>
    <w:p>
      <w:pPr>
        <w:spacing w:after="120" w:line="276"/>
        <w:jc w:val="both"/>
      </w:pPr>
      <w:r>
        <w:rPr>
          <w:rFonts w:ascii="Barlow Semi Condensed" w:cs="Barlow Semi Condensed" w:eastAsia="Barlow Semi Condensed" w:hAnsi="Barlow Semi Condensed"/>
          <w:sz w:val="24"/>
          <w:szCs w:val="24"/>
        </w:rPr>
        <w:t xml:space="preserve">indipendente, e reggono alla cifra: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tessera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fascicolo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Silvio Berlusconi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1816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0625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sigla E.19.78, gruppo 17, affiliazione 26 gennaio 1978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Maurizio Costanzo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1819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626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qualifica di maestro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Che cosa invece non regge, ed è la parte che conta di più.</w:t>
      </w:r>
      <w:r>
        <w:rPr>
          <w:rFonts w:ascii="Barlow Semi Condensed" w:cs="Barlow Semi Condensed" w:eastAsia="Barlow Semi Condensed" w:hAnsi="Barlow Semi Condensed"/>
          <w:sz w:val="24"/>
          <w:szCs w:val="24"/>
        </w:rPr>
        <w:t xml:space="preserve"> I due nomi che il</w:t>
      </w:r>
    </w:p>
    <w:p>
      <w:pPr>
        <w:spacing w:after="120" w:line="276"/>
        <w:jc w:val="both"/>
      </w:pPr>
      <w:r>
        <w:rPr>
          <w:rFonts w:ascii="Barlow Semi Condensed" w:cs="Barlow Semi Condensed" w:eastAsia="Barlow Semi Condensed" w:hAnsi="Barlow Semi Condensed"/>
          <w:sz w:val="24"/>
          <w:szCs w:val="24"/>
        </w:rPr>
        <w:t xml:space="preserve">testo pervenuto forniva come profilo — Calvi e Ortolani — tornano indietro con</w:t>
      </w:r>
    </w:p>
    <w:p>
      <w:pPr>
        <w:spacing w:after="120" w:line="276"/>
        <w:jc w:val="both"/>
      </w:pPr>
      <w:r>
        <w:rPr>
          <w:rFonts w:ascii="Barlow Semi Condensed" w:cs="Barlow Semi Condensed" w:eastAsia="Barlow Semi Condensed" w:hAnsi="Barlow Semi Condensed"/>
          <w:sz w:val="24"/>
          <w:szCs w:val="24"/>
        </w:rPr>
        <w:t xml:space="preserve">numeri </w:t>
      </w:r>
      <w:r>
        <w:rPr>
          <w:rFonts w:ascii="Barlow Semi Condensed" w:cs="Barlow Semi Condensed" w:eastAsia="Barlow Semi Condensed" w:hAnsi="Barlow Semi Condensed"/>
          <w:b/>
          <w:bCs/>
          <w:sz w:val="24"/>
          <w:szCs w:val="24"/>
        </w:rPr>
        <w:t xml:space="preserve">incompatibili fra loro</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testo pervenuto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altre fonti raggiunte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Umberto Ortolani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fascicolo 494, tessera 1609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tessera </w:t>
            </w:r>
            <w:r>
              <w:rPr>
                <w:rFonts w:ascii="Barlow Semi Condensed" w:cs="Barlow Semi Condensed" w:eastAsia="Barlow Semi Condensed" w:hAnsi="Barlow Semi Condensed"/>
                <w:b/>
                <w:bCs/>
                <w:sz w:val="20"/>
                <w:szCs w:val="20"/>
              </w:rPr>
              <w:t xml:space="preserve">494</w:t>
            </w:r>
            <w:r>
              <w:rPr>
                <w:rFonts w:ascii="Barlow Semi Condensed" w:cs="Barlow Semi Condensed" w:eastAsia="Barlow Semi Condensed" w:hAnsi="Barlow Semi Condensed"/>
                <w:sz w:val="20"/>
                <w:szCs w:val="20"/>
              </w:rPr>
              <w:t xml:space="preserve"> in una fonte; tessera </w:t>
            </w:r>
            <w:r>
              <w:rPr>
                <w:rFonts w:ascii="Barlow Semi Condensed" w:cs="Barlow Semi Condensed" w:eastAsia="Barlow Semi Condensed" w:hAnsi="Barlow Semi Condensed"/>
                <w:b/>
                <w:bCs/>
                <w:sz w:val="20"/>
                <w:szCs w:val="20"/>
              </w:rPr>
              <w:t xml:space="preserve">1622</w:t>
            </w:r>
            <w:r>
              <w:rPr>
                <w:rFonts w:ascii="Barlow Semi Condensed" w:cs="Barlow Semi Condensed" w:eastAsia="Barlow Semi Condensed" w:hAnsi="Barlow Semi Condensed"/>
                <w:sz w:val="20"/>
                <w:szCs w:val="20"/>
              </w:rPr>
              <w:t xml:space="preserve"> in un'altra; e in una terza il 494 è dato come </w:t>
            </w:r>
            <w:r>
              <w:rPr>
                <w:rFonts w:ascii="Barlow Semi Condensed" w:cs="Barlow Semi Condensed" w:eastAsia="Barlow Semi Condensed" w:hAnsi="Barlow Semi Condensed"/>
                <w:b/>
                <w:bCs/>
                <w:sz w:val="20"/>
                <w:szCs w:val="20"/>
              </w:rPr>
              <w:t xml:space="preserve">numero d'ordine nell'elenco</w:t>
            </w:r>
            <w:r>
              <w:rPr>
                <w:rFonts w:ascii="Barlow Semi Condensed" w:cs="Barlow Semi Condensed" w:eastAsia="Barlow Semi Condensed" w:hAnsi="Barlow Semi Condensed"/>
                <w:sz w:val="20"/>
                <w:szCs w:val="20"/>
              </w:rPr>
              <w:t xml:space="preserve">, né tessera né fascicolo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fascicolo 530, tessera 1624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tessera </w:t>
            </w:r>
            <w:r>
              <w:rPr>
                <w:rFonts w:ascii="Barlow Semi Condensed" w:cs="Barlow Semi Condensed" w:eastAsia="Barlow Semi Condensed" w:hAnsi="Barlow Semi Condensed"/>
                <w:b/>
                <w:bCs/>
                <w:sz w:val="20"/>
                <w:szCs w:val="20"/>
              </w:rPr>
              <w:t xml:space="preserve">519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letture dello stesso numero — 494 come fascicolo, come tessera, come numero</w:t>
      </w:r>
    </w:p>
    <w:p>
      <w:pPr>
        <w:spacing w:after="120" w:line="276"/>
        <w:jc w:val="both"/>
      </w:pPr>
      <w:r>
        <w:rPr>
          <w:rFonts w:ascii="Barlow Semi Condensed" w:cs="Barlow Semi Condensed" w:eastAsia="Barlow Semi Condensed" w:hAnsi="Barlow Semi Condensed"/>
          <w:sz w:val="24"/>
          <w:szCs w:val="24"/>
        </w:rPr>
        <w:t xml:space="preserve">d'ordine — e per Calvi due valori che non si riconducono l'uno all'altro. **La</w:t>
      </w:r>
    </w:p>
    <w:p>
      <w:pPr>
        <w:spacing w:after="120" w:line="276"/>
        <w:jc w:val="both"/>
      </w:pPr>
      <w:r>
        <w:rPr>
          <w:rFonts w:ascii="Barlow Semi Condensed" w:cs="Barlow Semi Condensed" w:eastAsia="Barlow Semi Condensed" w:hAnsi="Barlow Semi Condensed"/>
          <w:sz w:val="24"/>
          <w:szCs w:val="24"/>
        </w:rPr>
        <w:t xml:space="preserve">divergenza si registra e non si scioglie**, com'è regola qui: sciogliere</w:t>
      </w:r>
    </w:p>
    <w:p>
      <w:pPr>
        <w:spacing w:after="120" w:line="276"/>
        <w:jc w:val="both"/>
      </w:pPr>
      <w:r>
        <w:rPr>
          <w:rFonts w:ascii="Barlow Semi Condensed" w:cs="Barlow Semi Condensed" w:eastAsia="Barlow Semi Condensed" w:hAnsi="Barlow Semi Condensed"/>
          <w:sz w:val="24"/>
          <w:szCs w:val="24"/>
        </w:rPr>
        <w:t xml:space="preserve">significherebbe scegliere fra fonti di pari grado, e nessuna di queste è stata</w:t>
      </w:r>
    </w:p>
    <w:p>
      <w:pPr>
        <w:spacing w:after="120" w:line="276"/>
        <w:jc w:val="both"/>
      </w:pPr>
      <w:r>
        <w:rPr>
          <w:rFonts w:ascii="Barlow Semi Condensed" w:cs="Barlow Semi Condensed" w:eastAsia="Barlow Semi Condensed" w:hAnsi="Barlow Semi Condensed"/>
          <w:sz w:val="24"/>
          <w:szCs w:val="24"/>
        </w:rPr>
        <w:t xml:space="preserve">letta alla fonte.</w:t>
      </w:r>
    </w:p>
    <w:p>
      <w:pPr>
        <w:spacing w:after="120" w:line="276"/>
        <w:jc w:val="both"/>
      </w:pPr>
      <w:r>
        <w:rPr>
          <w:rFonts w:ascii="Barlow Semi Condensed" w:cs="Barlow Semi Condensed" w:eastAsia="Barlow Semi Condensed" w:hAnsi="Barlow Semi Condensed"/>
          <w:b/>
          <w:bCs/>
          <w:sz w:val="24"/>
          <w:szCs w:val="24"/>
        </w:rPr>
        <w:t xml:space="preserve">Il saldo.</w:t>
      </w:r>
      <w:r>
        <w:rPr>
          <w:rFonts w:ascii="Barlow Semi Condensed" w:cs="Barlow Semi Condensed" w:eastAsia="Barlow Semi Condensed" w:hAnsi="Barlow Semi Condensed"/>
          <w:sz w:val="24"/>
          <w:szCs w:val="24"/>
        </w:rPr>
        <w:t xml:space="preserve"> La calibrazione ne esce </w:t>
      </w:r>
      <w:r>
        <w:rPr>
          <w:rFonts w:ascii="Barlow Semi Condensed" w:cs="Barlow Semi Condensed" w:eastAsia="Barlow Semi Condensed" w:hAnsi="Barlow Semi Condensed"/>
          <w:b/>
          <w:bCs/>
          <w:sz w:val="24"/>
          <w:szCs w:val="24"/>
        </w:rPr>
        <w:t xml:space="preserve">rafforzata</w:t>
      </w:r>
      <w:r>
        <w:rPr>
          <w:rFonts w:ascii="Barlow Semi Condensed" w:cs="Barlow Semi Condensed" w:eastAsia="Barlow Semi Condensed" w:hAnsi="Barlow Semi Condensed"/>
          <w:sz w:val="24"/>
          <w:szCs w:val="24"/>
        </w:rPr>
        <w:t xml:space="preserve"> su Berlusconi e Costanzo, e</w:t>
      </w:r>
    </w:p>
    <w:p>
      <w:pPr>
        <w:spacing w:after="120" w:line="276"/>
        <w:jc w:val="both"/>
      </w:pPr>
      <w:r>
        <w:rPr>
          <w:rFonts w:ascii="Barlow Semi Condensed" w:cs="Barlow Semi Condensed" w:eastAsia="Barlow Semi Condensed" w:hAnsi="Barlow Semi Condensed"/>
          <w:sz w:val="24"/>
          <w:szCs w:val="24"/>
        </w:rPr>
        <w:t xml:space="preserve">il testo pervenuto ne esce </w:t>
      </w:r>
      <w:r>
        <w:rPr>
          <w:rFonts w:ascii="Barlow Semi Condensed" w:cs="Barlow Semi Condensed" w:eastAsia="Barlow Semi Condensed" w:hAnsi="Barlow Semi Condensed"/>
          <w:b/>
          <w:bCs/>
          <w:sz w:val="24"/>
          <w:szCs w:val="24"/>
        </w:rPr>
        <w:t xml:space="preserve">indebolito</w:t>
      </w:r>
      <w:r>
        <w:rPr>
          <w:rFonts w:ascii="Barlow Semi Condensed" w:cs="Barlow Semi Condensed" w:eastAsia="Barlow Semi Condensed" w:hAnsi="Barlow Semi Condensed"/>
          <w:sz w:val="24"/>
          <w:szCs w:val="24"/>
        </w:rPr>
        <w:t xml:space="preserve"> su Calvi e Ortolani. Ma la risposta in</w:t>
      </w:r>
    </w:p>
    <w:p>
      <w:pPr>
        <w:spacing w:after="120" w:line="276"/>
        <w:jc w:val="both"/>
      </w:pPr>
      <w:r>
        <w:rPr>
          <w:rFonts w:ascii="Barlow Semi Condensed" w:cs="Barlow Semi Condensed" w:eastAsia="Barlow Semi Condensed" w:hAnsi="Barlow Semi Condensed"/>
          <w:sz w:val="24"/>
          <w:szCs w:val="24"/>
        </w:rPr>
        <w:t xml:space="preserve">una riga non cambia di una virgola, e per la ragione di sempre: due riscontri</w:t>
      </w:r>
    </w:p>
    <w:p>
      <w:pPr>
        <w:spacing w:after="120" w:line="276"/>
        <w:jc w:val="both"/>
      </w:pPr>
      <w:r>
        <w:rPr>
          <w:rFonts w:ascii="Barlow Semi Condensed" w:cs="Barlow Semi Condensed" w:eastAsia="Barlow Semi Condensed" w:hAnsi="Barlow Semi Condensed"/>
          <w:sz w:val="24"/>
          <w:szCs w:val="24"/>
        </w:rPr>
        <w:t xml:space="preserve">concordi su trentatré nomi non certificano trentatré numeri, e una sintesi di</w:t>
      </w:r>
    </w:p>
    <w:p>
      <w:pPr>
        <w:spacing w:after="120" w:line="276"/>
        <w:jc w:val="both"/>
      </w:pPr>
      <w:r>
        <w:rPr>
          <w:rFonts w:ascii="Barlow Semi Condensed" w:cs="Barlow Semi Condensed" w:eastAsia="Barlow Semi Condensed" w:hAnsi="Barlow Semi Condensed"/>
          <w:sz w:val="24"/>
          <w:szCs w:val="24"/>
        </w:rPr>
        <w:t xml:space="preserve">ricerca non è una fonte. È spuntata inoltre una **terza ipotesi che questa</w:t>
      </w:r>
    </w:p>
    <w:p>
      <w:pPr>
        <w:spacing w:after="120" w:line="276"/>
        <w:jc w:val="both"/>
      </w:pPr>
      <w:r>
        <w:rPr>
          <w:rFonts w:ascii="Barlow Semi Condensed" w:cs="Barlow Semi Condensed" w:eastAsia="Barlow Semi Condensed" w:hAnsi="Barlow Semi Condensed"/>
          <w:sz w:val="24"/>
          <w:szCs w:val="24"/>
        </w:rPr>
        <w:t xml:space="preserve">certificazione non aveva considerato** — che il numero fra parentesi sia il</w:t>
      </w:r>
    </w:p>
    <w:p>
      <w:pPr>
        <w:spacing w:after="120" w:line="276"/>
        <w:jc w:val="both"/>
      </w:pPr>
      <w:r>
        <w:rPr>
          <w:rFonts w:ascii="Barlow Semi Condensed" w:cs="Barlow Semi Condensed" w:eastAsia="Barlow Semi Condensed" w:hAnsi="Barlow Semi Condensed"/>
          <w:sz w:val="24"/>
          <w:szCs w:val="24"/>
        </w:rPr>
        <w:t xml:space="preserve">numero d'ordine dell'elenco — e nemmeno quella si decide qui.</w:t>
      </w:r>
    </w:p>
    <w:p>
      <w:pPr>
        <w:spacing w:after="120" w:line="276"/>
        <w:jc w:val="both"/>
      </w:pPr>
      <w:r>
        <w:rPr>
          <w:rFonts w:ascii="Barlow Semi Condensed" w:cs="Barlow Semi Condensed" w:eastAsia="Barlow Semi Condensed" w:hAnsi="Barlow Semi Condensed"/>
          <w:b/>
          <w:bCs/>
          <w:sz w:val="24"/>
          <w:szCs w:val="24"/>
        </w:rPr>
        <w:t xml:space="preserve">Due indirizzi nuovi, e uno è a portata di mano.</w:t>
      </w:r>
      <w:r>
        <w:rPr>
          <w:rFonts w:ascii="Barlow Semi Condensed" w:cs="Barlow Semi Condensed" w:eastAsia="Barlow Semi Condensed" w:hAnsi="Barlow Semi Condensed"/>
          <w:sz w:val="24"/>
          <w:szCs w:val="24"/>
        </w:rPr>
        <w:t xml:space="preserve"> L'indice completo degli atti</w:t>
      </w:r>
    </w:p>
    <w:p>
      <w:pPr>
        <w:spacing w:after="120" w:line="276"/>
        <w:jc w:val="both"/>
      </w:pPr>
      <w:r>
        <w:rPr>
          <w:rFonts w:ascii="Barlow Semi Condensed" w:cs="Barlow Semi Condensed" w:eastAsia="Barlow Semi Condensed" w:hAnsi="Barlow Semi Condensed"/>
          <w:sz w:val="24"/>
          <w:szCs w:val="24"/>
        </w:rPr>
        <w:t xml:space="preserve">della Commissione risulta pubblicato in PDF dal **Centro documentazione Archivio</w:t>
      </w:r>
    </w:p>
    <w:p>
      <w:pPr>
        <w:spacing w:after="120" w:line="276"/>
        <w:jc w:val="both"/>
      </w:pPr>
      <w:r>
        <w:rPr>
          <w:rFonts w:ascii="Barlow Semi Condensed" w:cs="Barlow Semi Condensed" w:eastAsia="Barlow Semi Condensed" w:hAnsi="Barlow Semi Condensed"/>
          <w:sz w:val="24"/>
          <w:szCs w:val="24"/>
        </w:rPr>
        <w:t xml:space="preserve">Flamigni**, all'indirizzo </w:t>
      </w:r>
      <w:r>
        <w:rPr>
          <w:rFonts w:ascii="Barlow Semi Condensed" w:cs="Barlow Semi Condensed" w:eastAsia="Barlow Semi Condensed" w:hAnsi="Barlow Semi Condensed"/>
          <w:i/>
          <w:iCs/>
          <w:sz w:val="24"/>
          <w:szCs w:val="24"/>
        </w:rPr>
        <w:t xml:space="preserve">archivioflamigni.org/doc/indice-atti-commissione-p2.pdf</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l'elenco per esteso circola in PDF su </w:t>
      </w:r>
      <w:r>
        <w:rPr>
          <w:rFonts w:ascii="Barlow Semi Condensed" w:cs="Barlow Semi Condensed" w:eastAsia="Barlow Semi Condensed" w:hAnsi="Barlow Semi Condensed"/>
          <w:i/>
          <w:iCs/>
          <w:sz w:val="24"/>
          <w:szCs w:val="24"/>
        </w:rPr>
        <w:t xml:space="preserve">girodivite.it/IMG/pdf/elenco_p2.pdf</w:t>
      </w:r>
      <w:r>
        <w:rPr>
          <w:rFonts w:ascii="Barlow Semi Condensed" w:cs="Barlow Semi Condensed" w:eastAsia="Barlow Semi Condensed" w:hAnsi="Barlow Semi Condensed"/>
          <w:sz w:val="24"/>
          <w:szCs w:val="24"/>
        </w:rPr>
        <w:t xml:space="preserve"> e su</w:t>
      </w:r>
    </w:p>
    <w:p>
      <w:pPr>
        <w:spacing w:after="120" w:line="276"/>
        <w:jc w:val="both"/>
      </w:pPr>
      <w:r>
        <w:rPr>
          <w:rFonts w:ascii="Barlow Semi Condensed" w:cs="Barlow Semi Condensed" w:eastAsia="Barlow Semi Condensed" w:hAnsi="Barlow Semi Condensed"/>
          <w:i/>
          <w:iCs/>
          <w:sz w:val="24"/>
          <w:szCs w:val="24"/>
        </w:rPr>
        <w:t xml:space="preserve">archivio900.it</w:t>
      </w:r>
      <w:r>
        <w:rPr>
          <w:rFonts w:ascii="Barlow Semi Condensed" w:cs="Barlow Semi Condensed" w:eastAsia="Barlow Semi Condensed" w:hAnsi="Barlow Semi Condensed"/>
          <w:sz w:val="24"/>
          <w:szCs w:val="24"/>
        </w:rPr>
        <w:t xml:space="preserve">. Il Flamigni è già il </w:t>
      </w:r>
      <w:r>
        <w:rPr>
          <w:rFonts w:ascii="Barlow Semi Condensed" w:cs="Barlow Semi Condensed" w:eastAsia="Barlow Semi Condensed" w:hAnsi="Barlow Semi Condensed"/>
          <w:b/>
          <w:bCs/>
          <w:sz w:val="24"/>
          <w:szCs w:val="24"/>
        </w:rPr>
        <w:t xml:space="preserve">destinatario zero</w:t>
      </w:r>
      <w:r>
        <w:rPr>
          <w:rFonts w:ascii="Barlow Semi Condensed" w:cs="Barlow Semi Condensed" w:eastAsia="Barlow Semi Condensed" w:hAnsi="Barlow Semi Condensed"/>
          <w:sz w:val="24"/>
          <w:szCs w:val="24"/>
        </w:rPr>
        <w:t xml:space="preserve"> del dossier di</w:t>
      </w:r>
    </w:p>
    <w:p>
      <w:pPr>
        <w:spacing w:after="120" w:line="276"/>
        <w:jc w:val="both"/>
      </w:pPr>
      <w:r>
        <w:rPr>
          <w:rFonts w:ascii="Barlow Semi Condensed" w:cs="Barlow Semi Condensed" w:eastAsia="Barlow Semi Condensed" w:hAnsi="Barlow Semi Condensed"/>
          <w:sz w:val="24"/>
          <w:szCs w:val="24"/>
        </w:rPr>
        <w:t xml:space="preserve">invio: la stessa istituzione a cui l'opera va spedita è quella che ha</w:t>
      </w:r>
    </w:p>
    <w:p>
      <w:pPr>
        <w:spacing w:after="120" w:line="276"/>
        <w:jc w:val="both"/>
      </w:pPr>
      <w:r>
        <w:rPr>
          <w:rFonts w:ascii="Barlow Semi Condensed" w:cs="Barlow Semi Condensed" w:eastAsia="Barlow Semi Condensed" w:hAnsi="Barlow Semi Condensed"/>
          <w:sz w:val="24"/>
          <w:szCs w:val="24"/>
        </w:rPr>
        <w:t xml:space="preserve">digitalizzato la fonte che le serve.</w:t>
      </w:r>
    </w:p>
    <w:p>
      <w:pPr>
        <w:spacing w:after="120" w:line="276"/>
        <w:jc w:val="both"/>
      </w:pPr>
      <w:r>
        <w:rPr>
          <w:rFonts w:ascii="Barlow Semi Condensed" w:cs="Barlow Semi Condensed" w:eastAsia="Barlow Semi Condensed" w:hAnsi="Barlow Semi Condensed"/>
          <w:b/>
          <w:bCs/>
          <w:sz w:val="24"/>
          <w:szCs w:val="24"/>
        </w:rPr>
        <w:t xml:space="preserve">Che cosa questo cambia, e che cosa no.</w:t>
      </w:r>
      <w:r>
        <w:rPr>
          <w:rFonts w:ascii="Barlow Semi Condensed" w:cs="Barlow Semi Condensed" w:eastAsia="Barlow Semi Condensed" w:hAnsi="Barlow Semi Condensed"/>
          <w:sz w:val="24"/>
          <w:szCs w:val="24"/>
        </w:rPr>
        <w:t xml:space="preserve"> Cambia l'indirizzo: chi va in archivio</w:t>
      </w:r>
    </w:p>
    <w:p>
      <w:pPr>
        <w:spacing w:after="120" w:line="276"/>
        <w:jc w:val="both"/>
      </w:pPr>
      <w:r>
        <w:rPr>
          <w:rFonts w:ascii="Barlow Semi Condensed" w:cs="Barlow Semi Condensed" w:eastAsia="Barlow Semi Condensed" w:hAnsi="Barlow Semi Condensed"/>
          <w:sz w:val="24"/>
          <w:szCs w:val="24"/>
        </w:rPr>
        <w:t xml:space="preserve">non chiede più «il volume dei riscontri», chiede l'allegato 13 e l'allegato 21 con</w:t>
      </w:r>
    </w:p>
    <w:p>
      <w:pPr>
        <w:spacing w:after="120" w:line="276"/>
        <w:jc w:val="both"/>
      </w:pPr>
      <w:r>
        <w:rPr>
          <w:rFonts w:ascii="Barlow Semi Condensed" w:cs="Barlow Semi Condensed" w:eastAsia="Barlow Semi Condensed" w:hAnsi="Barlow Semi Condensed"/>
          <w:sz w:val="24"/>
          <w:szCs w:val="24"/>
        </w:rPr>
        <w:t xml:space="preserve">le loro pagine. </w:t>
      </w:r>
      <w:r>
        <w:rPr>
          <w:rFonts w:ascii="Barlow Semi Condensed" w:cs="Barlow Semi Condensed" w:eastAsia="Barlow Semi Condensed" w:hAnsi="Barlow Semi Condensed"/>
          <w:b/>
          <w:bCs/>
          <w:sz w:val="24"/>
          <w:szCs w:val="24"/>
        </w:rPr>
        <w:t xml:space="preserve">Non cambia nulla della certificazione</w:t>
      </w:r>
      <w:r>
        <w:rPr>
          <w:rFonts w:ascii="Barlow Semi Condensed" w:cs="Barlow Semi Condensed" w:eastAsia="Barlow Semi Condensed" w:hAnsi="Barlow Semi Condensed"/>
          <w:sz w:val="24"/>
          <w:szCs w:val="24"/>
        </w:rPr>
        <w:t xml:space="preserve">, e va detto con la stessa</w:t>
      </w:r>
    </w:p>
    <w:p>
      <w:pPr>
        <w:spacing w:after="120" w:line="276"/>
        <w:jc w:val="both"/>
      </w:pPr>
      <w:r>
        <w:rPr>
          <w:rFonts w:ascii="Barlow Semi Condensed" w:cs="Barlow Semi Condensed" w:eastAsia="Barlow Semi Condensed" w:hAnsi="Barlow Semi Condensed"/>
          <w:sz w:val="24"/>
          <w:szCs w:val="24"/>
        </w:rPr>
        <w:t xml:space="preserve">precisione: ciò che è arrivato è una </w:t>
      </w:r>
      <w:r>
        <w:rPr>
          <w:rFonts w:ascii="Barlow Semi Condensed" w:cs="Barlow Semi Condensed" w:eastAsia="Barlow Semi Condensed" w:hAnsi="Barlow Semi Condensed"/>
          <w:b/>
          <w:bCs/>
          <w:sz w:val="24"/>
          <w:szCs w:val="24"/>
        </w:rPr>
        <w:t xml:space="preserve">scheda descrittiva del volume</w:t>
      </w:r>
      <w:r>
        <w:rPr>
          <w:rFonts w:ascii="Barlow Semi Condensed" w:cs="Barlow Semi Condensed" w:eastAsia="Barlow Semi Condensed" w:hAnsi="Barlow Semi Condensed"/>
          <w:sz w:val="24"/>
          <w:szCs w:val="24"/>
        </w:rPr>
        <w:t xml:space="preserve">, non il</w:t>
      </w:r>
    </w:p>
    <w:p>
      <w:pPr>
        <w:spacing w:after="120" w:line="276"/>
        <w:jc w:val="both"/>
      </w:pPr>
      <w:r>
        <w:rPr>
          <w:rFonts w:ascii="Barlow Semi Condensed" w:cs="Barlow Semi Condensed" w:eastAsia="Barlow Semi Condensed" w:hAnsi="Barlow Semi Condensed"/>
          <w:sz w:val="24"/>
          <w:szCs w:val="24"/>
        </w:rPr>
        <w:t xml:space="preserve">volume. Descrive gli allegati; non ne riproduce le righe. Nessun numero di tessera</w:t>
      </w:r>
    </w:p>
    <w:p>
      <w:pPr>
        <w:spacing w:after="120" w:line="276"/>
        <w:jc w:val="both"/>
      </w:pPr>
      <w:r>
        <w:rPr>
          <w:rFonts w:ascii="Barlow Semi Condensed" w:cs="Barlow Semi Condensed" w:eastAsia="Barlow Semi Condensed" w:hAnsi="Barlow Semi Condensed"/>
          <w:sz w:val="24"/>
          <w:szCs w:val="24"/>
        </w:rPr>
        <w:t xml:space="preserve">e nessun numero di fascicolo dei trentatré è stato letto sulla fonte. La risposta</w:t>
      </w:r>
    </w:p>
    <w:p>
      <w:pPr>
        <w:spacing w:after="120" w:line="276"/>
        <w:jc w:val="both"/>
      </w:pPr>
      <w:r>
        <w:rPr>
          <w:rFonts w:ascii="Barlow Semi Condensed" w:cs="Barlow Semi Condensed" w:eastAsia="Barlow Semi Condensed" w:hAnsi="Barlow Semi Condensed"/>
          <w:sz w:val="24"/>
          <w:szCs w:val="24"/>
        </w:rPr>
        <w:t xml:space="preserve">in una riga resta quella che è, e il grado di questo indirizzo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w:t>
      </w:r>
    </w:p>
    <w:p>
      <w:pPr>
        <w:spacing w:after="120" w:line="276"/>
        <w:jc w:val="both"/>
      </w:pPr>
      <w:r>
        <w:rPr>
          <w:rFonts w:ascii="Barlow Semi Condensed" w:cs="Barlow Semi Condensed" w:eastAsia="Barlow Semi Condensed" w:hAnsi="Barlow Semi Condensed"/>
          <w:sz w:val="24"/>
          <w:szCs w:val="24"/>
        </w:rPr>
        <w:t xml:space="preserve">descrizione di un volume fatta da un terzo, non la lettura del volume. Restano da</w:t>
      </w:r>
    </w:p>
    <w:p>
      <w:pPr>
        <w:spacing w:after="120" w:line="276"/>
        <w:jc w:val="both"/>
      </w:pPr>
      <w:r>
        <w:rPr>
          <w:rFonts w:ascii="Barlow Semi Condensed" w:cs="Barlow Semi Condensed" w:eastAsia="Barlow Semi Condensed" w:hAnsi="Barlow Semi Condensed"/>
          <w:sz w:val="24"/>
          <w:szCs w:val="24"/>
        </w:rPr>
        <w:t xml:space="preserve">chiedere, come già scritto sotto, le riproduzioni delle righe **con l'intestazione</w:t>
      </w:r>
    </w:p>
    <w:p>
      <w:pPr>
        <w:spacing w:after="120" w:line="276"/>
        <w:jc w:val="both"/>
      </w:pPr>
      <w:r>
        <w:rPr>
          <w:rFonts w:ascii="Barlow Semi Condensed" w:cs="Barlow Semi Condensed" w:eastAsia="Barlow Semi Condensed" w:hAnsi="Barlow Semi Condensed"/>
          <w:sz w:val="24"/>
          <w:szCs w:val="24"/>
        </w:rPr>
        <w:t xml:space="preserve">di colonna visibile**.</w:t>
      </w:r>
    </w:p>
    <w:p>
      <w:pPr>
        <w:spacing w:after="120" w:line="276"/>
        <w:jc w:val="both"/>
      </w:pPr>
      <w:r>
        <w:rPr>
          <w:rFonts w:ascii="Barlow Semi Condensed" w:cs="Barlow Semi Condensed" w:eastAsia="Barlow Semi Condensed" w:hAnsi="Barlow Semi Condensed"/>
          <w:b/>
          <w:bCs/>
          <w:sz w:val="24"/>
          <w:szCs w:val="24"/>
        </w:rPr>
        <w:t xml:space="preserve">Sede:</w:t>
      </w:r>
      <w:r>
        <w:rPr>
          <w:rFonts w:ascii="Barlow Semi Condensed" w:cs="Barlow Semi Condensed" w:eastAsia="Barlow Semi Condensed" w:hAnsi="Barlow Semi Condensed"/>
          <w:sz w:val="24"/>
          <w:szCs w:val="24"/>
        </w:rPr>
        <w:t xml:space="preserve"> Archivio storico della Camera dei deputati. In subordine: Biblioteca</w:t>
      </w:r>
    </w:p>
    <w:p>
      <w:pPr>
        <w:spacing w:after="120" w:line="276"/>
        <w:jc w:val="both"/>
      </w:pPr>
      <w:r>
        <w:rPr>
          <w:rFonts w:ascii="Barlow Semi Condensed" w:cs="Barlow Semi Condensed" w:eastAsia="Barlow Semi Condensed" w:hAnsi="Barlow Semi Condensed"/>
          <w:sz w:val="24"/>
          <w:szCs w:val="24"/>
        </w:rPr>
        <w:t xml:space="preserve">della Camera, Biblioteca del Senato «Giovanni Spadolini», Archivio storico del</w:t>
      </w:r>
    </w:p>
    <w:p>
      <w:pPr>
        <w:spacing w:after="120" w:line="276"/>
        <w:jc w:val="both"/>
      </w:pPr>
      <w:r>
        <w:rPr>
          <w:rFonts w:ascii="Barlow Semi Condensed" w:cs="Barlow Semi Condensed" w:eastAsia="Barlow Semi Condensed" w:hAnsi="Barlow Semi Condensed"/>
          <w:sz w:val="24"/>
          <w:szCs w:val="24"/>
        </w:rPr>
        <w:t xml:space="preserve">Senato. Nella richiesta va chiesto **l'elenco dei tomi effettivamente</w:t>
      </w:r>
    </w:p>
    <w:p>
      <w:pPr>
        <w:spacing w:after="120" w:line="276"/>
        <w:jc w:val="both"/>
      </w:pPr>
      <w:r>
        <w:rPr>
          <w:rFonts w:ascii="Barlow Semi Condensed" w:cs="Barlow Semi Condensed" w:eastAsia="Barlow Semi Condensed" w:hAnsi="Barlow Semi Condensed"/>
          <w:sz w:val="24"/>
          <w:szCs w:val="24"/>
        </w:rPr>
        <w:t xml:space="preserve">pubblicati**: nell'ottobre 1984 alcuni risultavano ancora in corso di stampa.</w:t>
      </w:r>
    </w:p>
    <w:p>
      <w:pPr>
        <w:spacing w:after="120" w:line="276"/>
        <w:jc w:val="both"/>
      </w:pPr>
      <w:r>
        <w:rPr>
          <w:rFonts w:ascii="Barlow Semi Condensed" w:cs="Barlow Semi Condensed" w:eastAsia="Barlow Semi Condensed" w:hAnsi="Barlow Semi Condensed"/>
          <w:b/>
          <w:bCs/>
          <w:sz w:val="24"/>
          <w:szCs w:val="24"/>
        </w:rPr>
        <w:t xml:space="preserve">Che cosa chiedere per ciascuno dei trentatré:</w:t>
      </w:r>
      <w:r>
        <w:rPr>
          <w:rFonts w:ascii="Barlow Semi Condensed" w:cs="Barlow Semi Condensed" w:eastAsia="Barlow Semi Condensed" w:hAnsi="Barlow Semi Condensed"/>
          <w:sz w:val="24"/>
          <w:szCs w:val="24"/>
        </w:rPr>
        <w:t xml:space="preserve"> la riproduzione della riga</w:t>
      </w:r>
    </w:p>
    <w:p>
      <w:pPr>
        <w:spacing w:after="120" w:line="276"/>
        <w:jc w:val="both"/>
      </w:pPr>
      <w:r>
        <w:rPr>
          <w:rFonts w:ascii="Barlow Semi Condensed" w:cs="Barlow Semi Condensed" w:eastAsia="Barlow Semi Condensed" w:hAnsi="Barlow Semi Condensed"/>
          <w:b/>
          <w:bCs/>
          <w:sz w:val="24"/>
          <w:szCs w:val="24"/>
        </w:rPr>
        <w:t xml:space="preserve">con l'intestazione di colonna visibile</w:t>
      </w:r>
      <w:r>
        <w:rPr>
          <w:rFonts w:ascii="Barlow Semi Condensed" w:cs="Barlow Semi Condensed" w:eastAsia="Barlow Semi Condensed" w:hAnsi="Barlow Semi Condensed"/>
          <w:sz w:val="24"/>
          <w:szCs w:val="24"/>
        </w:rPr>
        <w:t xml:space="preserve">. Non la trascrizione di un terzo. È</w:t>
      </w:r>
    </w:p>
    <w:p>
      <w:pPr>
        <w:spacing w:after="120" w:line="276"/>
        <w:jc w:val="both"/>
      </w:pPr>
      <w:r>
        <w:rPr>
          <w:rFonts w:ascii="Barlow Semi Condensed" w:cs="Barlow Semi Condensed" w:eastAsia="Barlow Semi Condensed" w:hAnsi="Barlow Semi Condensed"/>
          <w:sz w:val="24"/>
          <w:szCs w:val="24"/>
        </w:rPr>
        <w:t xml:space="preserve">l'unica forma che porta il dato dal grado C al grado B.</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Verificare e certificare</w:t>
      </w:r>
    </w:p>
    <w:p>
      <w:pPr>
        <w:spacing w:after="120" w:line="276"/>
        <w:jc w:val="both"/>
      </w:pPr>
      <w:r>
        <w:rPr>
          <w:rFonts w:ascii="Barlow Semi Condensed" w:cs="Barlow Semi Condensed" w:eastAsia="Barlow Semi Condensed" w:hAnsi="Barlow Semi Condensed"/>
          <w:b/>
          <w:bCs/>
          <w:sz w:val="24"/>
          <w:szCs w:val="24"/>
        </w:rPr>
        <w:t xml:space="preserve">Verificare</w:t>
      </w:r>
      <w:r>
        <w:rPr>
          <w:rFonts w:ascii="Barlow Semi Condensed" w:cs="Barlow Semi Condensed" w:eastAsia="Barlow Semi Condensed" w:hAnsi="Barlow Semi Condensed"/>
          <w:sz w:val="24"/>
          <w:szCs w:val="24"/>
        </w:rPr>
        <w:t xml:space="preserve"> è confrontare un'affermazione con le fonti raggiungibili,</w:t>
      </w:r>
    </w:p>
    <w:p>
      <w:pPr>
        <w:spacing w:after="120" w:line="276"/>
        <w:jc w:val="both"/>
      </w:pPr>
      <w:r>
        <w:rPr>
          <w:rFonts w:ascii="Barlow Semi Condensed" w:cs="Barlow Semi Condensed" w:eastAsia="Barlow Semi Condensed" w:hAnsi="Barlow Semi Condensed"/>
          <w:sz w:val="24"/>
          <w:szCs w:val="24"/>
        </w:rPr>
        <w:t xml:space="preserve">assegnarle un grado e registrare per iscritto anche l'esito negativo. È ciò</w:t>
      </w:r>
    </w:p>
    <w:p>
      <w:pPr>
        <w:spacing w:after="120" w:line="276"/>
        <w:jc w:val="both"/>
      </w:pPr>
      <w:r>
        <w:rPr>
          <w:rFonts w:ascii="Barlow Semi Condensed" w:cs="Barlow Semi Condensed" w:eastAsia="Barlow Semi Condensed" w:hAnsi="Barlow Semi Condensed"/>
          <w:sz w:val="24"/>
          <w:szCs w:val="24"/>
        </w:rPr>
        <w:t xml:space="preserve">che questo documento fa, in condizioni dichiaratamente degradate. L'esito è</w:t>
      </w:r>
    </w:p>
    <w:p>
      <w:pPr>
        <w:spacing w:after="120" w:line="276"/>
        <w:jc w:val="both"/>
      </w:pPr>
      <w:r>
        <w:rPr>
          <w:rFonts w:ascii="Barlow Semi Condensed" w:cs="Barlow Semi Condensed" w:eastAsia="Barlow Semi Condensed" w:hAnsi="Barlow Semi Condensed"/>
          <w:sz w:val="24"/>
          <w:szCs w:val="24"/>
        </w:rPr>
        <w:t xml:space="preserve">comunque informativo: sappiamo che la cifra fra parentesi è il fascicolo e non</w:t>
      </w:r>
    </w:p>
    <w:p>
      <w:pPr>
        <w:spacing w:after="120" w:line="276"/>
        <w:jc w:val="both"/>
      </w:pPr>
      <w:r>
        <w:rPr>
          <w:rFonts w:ascii="Barlow Semi Condensed" w:cs="Barlow Semi Condensed" w:eastAsia="Barlow Semi Condensed" w:hAnsi="Barlow Semi Condensed"/>
          <w:sz w:val="24"/>
          <w:szCs w:val="24"/>
        </w:rPr>
        <w:t xml:space="preserve">la tessera, che quattordici nomi portano cifre doppie, che otto coppie stanno</w:t>
      </w:r>
    </w:p>
    <w:p>
      <w:pPr>
        <w:spacing w:after="120" w:line="276"/>
        <w:jc w:val="both"/>
      </w:pPr>
      <w:r>
        <w:rPr>
          <w:rFonts w:ascii="Barlow Semi Condensed" w:cs="Barlow Semi Condensed" w:eastAsia="Barlow Semi Condensed" w:hAnsi="Barlow Semi Condensed"/>
          <w:sz w:val="24"/>
          <w:szCs w:val="24"/>
        </w:rPr>
        <w:t xml:space="preserve">su una sottrazione anziché su un archivio.</w:t>
      </w:r>
    </w:p>
    <w:p>
      <w:pPr>
        <w:spacing w:after="120" w:line="276"/>
        <w:jc w:val="both"/>
      </w:pPr>
      <w:r>
        <w:rPr>
          <w:rFonts w:ascii="Barlow Semi Condensed" w:cs="Barlow Semi Condensed" w:eastAsia="Barlow Semi Condensed" w:hAnsi="Barlow Semi Condensed"/>
          <w:b/>
          <w:bCs/>
          <w:sz w:val="24"/>
          <w:szCs w:val="24"/>
        </w:rPr>
        <w:t xml:space="preserve">Certificare</w:t>
      </w:r>
      <w:r>
        <w:rPr>
          <w:rFonts w:ascii="Barlow Semi Condensed" w:cs="Barlow Semi Condensed" w:eastAsia="Barlow Semi Condensed" w:hAnsi="Barlow Semi Condensed"/>
          <w:sz w:val="24"/>
          <w:szCs w:val="24"/>
        </w:rPr>
        <w:t xml:space="preserve"> è attestare che la cifra scritta accanto a un nome è la cifra</w:t>
      </w:r>
    </w:p>
    <w:p>
      <w:pPr>
        <w:spacing w:after="120" w:line="276"/>
        <w:jc w:val="both"/>
      </w:pPr>
      <w:r>
        <w:rPr>
          <w:rFonts w:ascii="Barlow Semi Condensed" w:cs="Barlow Semi Condensed" w:eastAsia="Barlow Semi Condensed" w:hAnsi="Barlow Semi Condensed"/>
          <w:sz w:val="24"/>
          <w:szCs w:val="24"/>
        </w:rPr>
        <w:t xml:space="preserve">che sta in un campo determinato del documento sequestrato, chiamandolo col suo</w:t>
      </w:r>
    </w:p>
    <w:p>
      <w:pPr>
        <w:spacing w:after="120" w:line="276"/>
        <w:jc w:val="both"/>
      </w:pPr>
      <w:r>
        <w:rPr>
          <w:rFonts w:ascii="Barlow Semi Condensed" w:cs="Barlow Semi Condensed" w:eastAsia="Barlow Semi Condensed" w:hAnsi="Barlow Semi Condensed"/>
          <w:sz w:val="24"/>
          <w:szCs w:val="24"/>
        </w:rPr>
        <w:t xml:space="preserve">nome. Richiede il documento, l'intestazione, la riga. Nessuna delle tre è</w:t>
      </w:r>
    </w:p>
    <w:p>
      <w:pPr>
        <w:spacing w:after="120" w:line="276"/>
        <w:jc w:val="both"/>
      </w:pPr>
      <w:r>
        <w:rPr>
          <w:rFonts w:ascii="Barlow Semi Condensed" w:cs="Barlow Semi Condensed" w:eastAsia="Barlow Semi Condensed" w:hAnsi="Barlow Semi Condensed"/>
          <w:sz w:val="24"/>
          <w:szCs w:val="24"/>
        </w:rPr>
        <w:t xml:space="preserve">stata avuta.</w:t>
      </w:r>
    </w:p>
    <w:p>
      <w:pPr>
        <w:spacing w:after="120" w:line="276"/>
        <w:jc w:val="both"/>
      </w:pPr>
      <w:r>
        <w:rPr>
          <w:rFonts w:ascii="Barlow Semi Condensed" w:cs="Barlow Semi Condensed" w:eastAsia="Barlow Semi Condensed" w:hAnsi="Barlow Semi Condensed"/>
          <w:sz w:val="24"/>
          <w:szCs w:val="24"/>
        </w:rPr>
        <w:t xml:space="preserve">Fino ad allora la formulazione onesta, riga per riga, è **«numero non</w:t>
      </w:r>
    </w:p>
    <w:p>
      <w:pPr>
        <w:spacing w:after="120" w:line="276"/>
        <w:jc w:val="both"/>
      </w:pPr>
      <w:r>
        <w:rPr>
          <w:rFonts w:ascii="Barlow Semi Condensed" w:cs="Barlow Semi Condensed" w:eastAsia="Barlow Semi Condensed" w:hAnsi="Barlow Semi Condensed"/>
          <w:sz w:val="24"/>
          <w:szCs w:val="24"/>
        </w:rPr>
        <w:t xml:space="preserve">accertato»** — mai «tessera n.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La regola che sopravvive a ogni esito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p>
    <w:p>
      <w:pPr>
        <w:spacing w:after="120" w:line="276"/>
        <w:jc w:val="both"/>
      </w:pPr>
      <w:r>
        <w:rPr>
          <w:rFonts w:ascii="Barlow Semi Condensed" w:cs="Barlow Semi Condensed" w:eastAsia="Barlow Semi Condensed" w:hAnsi="Barlow Semi Condensed"/>
          <w:sz w:val="24"/>
          <w:szCs w:val="24"/>
        </w:rPr>
        <w:t xml:space="preserve">Se domani l'allegato confermasse tutti e trentatré i numeri, si sarebbe</w:t>
      </w:r>
    </w:p>
    <w:p>
      <w:pPr>
        <w:spacing w:after="120" w:line="276"/>
        <w:jc w:val="both"/>
      </w:pPr>
      <w:r>
        <w:rPr>
          <w:rFonts w:ascii="Barlow Semi Condensed" w:cs="Barlow Semi Condensed" w:eastAsia="Barlow Semi Condensed" w:hAnsi="Barlow Semi Condensed"/>
          <w:sz w:val="24"/>
          <w:szCs w:val="24"/>
        </w:rPr>
        <w:t xml:space="preserve">accertata l'appartenenza di trentatré persone a una loggia, e nient'altro.</w:t>
      </w:r>
    </w:p>
    <w:p>
      <w:pPr>
        <w:spacing w:after="120" w:line="276"/>
        <w:jc w:val="both"/>
      </w:pPr>
      <w:r>
        <w:rPr>
          <w:rFonts w:ascii="Barlow Semi Condensed" w:cs="Barlow Semi Condensed" w:eastAsia="Barlow Semi Condensed" w:hAnsi="Barlow Semi Condensed"/>
          <w:sz w:val="24"/>
          <w:szCs w:val="24"/>
        </w:rPr>
        <w:t xml:space="preserve">Nessuna condotta, nessuna responsabilità, nessun concorso.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w:t>
      </w:r>
    </w:p>
    <w:p>
      <w:pPr>
        <w:spacing w:after="120" w:line="276"/>
        <w:jc w:val="both"/>
      </w:pPr>
      <w:r>
        <w:rPr>
          <w:rFonts w:ascii="Barlow Semi Condensed" w:cs="Barlow Semi Condensed" w:eastAsia="Barlow Semi Condensed" w:hAnsi="Barlow Semi Condensed"/>
          <w:b/>
          <w:bCs/>
          <w:sz w:val="24"/>
          <w:szCs w:val="24"/>
        </w:rPr>
        <w:t xml:space="preserve">Grafici del lotto</w:t>
      </w:r>
      <w:r>
        <w:rPr>
          <w:rFonts w:ascii="Barlow Semi Condensed" w:cs="Barlow Semi Condensed" w:eastAsia="Barlow Semi Condensed" w:hAnsi="Barlow Semi Condensed"/>
          <w:sz w:val="24"/>
          <w:szCs w:val="24"/>
        </w:rPr>
        <w:t xml:space="preserve"> — tre, generati da </w:t>
      </w:r>
      <w:r>
        <w:rPr>
          <w:rFonts w:ascii="Barlow Semi Condensed" w:cs="Barlow Semi Condensed" w:eastAsia="Barlow Semi Condensed" w:hAnsi="Barlow Semi Condensed"/>
          <w:i/>
          <w:iCs/>
          <w:sz w:val="24"/>
          <w:szCs w:val="24"/>
        </w:rPr>
        <w:t xml:space="preserve">_verifiche/generatori/gen_numeri_p2.py</w:t>
      </w:r>
    </w:p>
    <w:p>
      <w:pPr>
        <w:spacing w:after="120" w:line="276"/>
        <w:jc w:val="both"/>
      </w:pPr>
      <w:r>
        <w:rPr>
          <w:rFonts w:ascii="Barlow Semi Condensed" w:cs="Barlow Semi Condensed" w:eastAsia="Barlow Semi Condensed" w:hAnsi="Barlow Semi Condensed"/>
          <w:sz w:val="24"/>
          <w:szCs w:val="24"/>
        </w:rPr>
        <w:t xml:space="preserve">e </w:t>
      </w:r>
      <w:r>
        <w:rPr>
          <w:rFonts w:ascii="Barlow Semi Condensed" w:cs="Barlow Semi Condensed" w:eastAsia="Barlow Semi Condensed" w:hAnsi="Barlow Semi Condensed"/>
          <w:i/>
          <w:iCs/>
          <w:sz w:val="24"/>
          <w:szCs w:val="24"/>
        </w:rPr>
        <w:t xml:space="preserve">gen_calibrazione.py</w:t>
      </w:r>
      <w:r>
        <w:rPr>
          <w:rFonts w:ascii="Barlow Semi Condensed" w:cs="Barlow Semi Condensed" w:eastAsia="Barlow Semi Condensed" w:hAnsi="Barlow Semi Condensed"/>
          <w:sz w:val="24"/>
          <w:szCs w:val="24"/>
        </w:rPr>
        <w:t xml:space="preserve">: la retta su cui otto coppie giacciono, lo scarto di</w:t>
      </w:r>
    </w:p>
    <w:p>
      <w:pPr>
        <w:spacing w:after="120" w:line="276"/>
        <w:jc w:val="both"/>
      </w:pPr>
      <w:r>
        <w:rPr>
          <w:rFonts w:ascii="Barlow Semi Condensed" w:cs="Barlow Semi Condensed" w:eastAsia="Barlow Semi Condensed" w:hAnsi="Barlow Semi Condensed"/>
          <w:sz w:val="24"/>
          <w:szCs w:val="24"/>
        </w:rPr>
        <w:t xml:space="preserve">ciascuna coppia da quella retta, e il controllo di calibrazione contro le due</w:t>
      </w:r>
    </w:p>
    <w:p>
      <w:pPr>
        <w:spacing w:after="120" w:line="276"/>
        <w:jc w:val="both"/>
      </w:pPr>
      <w:r>
        <w:rPr>
          <w:rFonts w:ascii="Barlow Semi Condensed" w:cs="Barlow Semi Condensed" w:eastAsia="Barlow Semi Condensed" w:hAnsi="Barlow Semi Condensed"/>
          <w:sz w:val="24"/>
          <w:szCs w:val="24"/>
        </w:rPr>
        <w:t xml:space="preserve">coppie attestate.</w:t>
      </w:r>
    </w:p>
    <w:p>
      <w:pPr>
        <w:spacing w:after="120" w:line="276"/>
        <w:jc w:val="both"/>
      </w:pP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 diciassette agenti di ricerca indipendenti su sei gruppi di nomi,</w:t>
      </w:r>
    </w:p>
    <w:p>
      <w:pPr>
        <w:spacing w:after="120" w:line="276"/>
        <w:jc w:val="both"/>
      </w:pPr>
      <w:r>
        <w:rPr>
          <w:rFonts w:ascii="Barlow Semi Condensed" w:cs="Barlow Semi Condensed" w:eastAsia="Barlow Semi Condensed" w:hAnsi="Barlow Semi Condensed"/>
          <w:sz w:val="24"/>
          <w:szCs w:val="24"/>
        </w:rPr>
        <w:t xml:space="preserve">due approfondimenti sulla fonte primaria e otto refutatori avversariali; più</w:t>
      </w:r>
    </w:p>
    <w:p>
      <w:pPr>
        <w:spacing w:after="120" w:line="276"/>
        <w:jc w:val="both"/>
      </w:pPr>
      <w:r>
        <w:rPr>
          <w:rFonts w:ascii="Barlow Semi Condensed" w:cs="Barlow Semi Condensed" w:eastAsia="Barlow Semi Condensed" w:hAnsi="Barlow Semi Condensed"/>
          <w:sz w:val="24"/>
          <w:szCs w:val="24"/>
        </w:rPr>
        <w:t xml:space="preserve">l'analisi aritmetica, deterministica e riproducibile, in</w:t>
      </w:r>
    </w:p>
    <w:p>
      <w:pPr>
        <w:spacing w:after="120" w:line="276"/>
        <w:jc w:val="both"/>
      </w:pPr>
      <w:r>
        <w:rPr>
          <w:rFonts w:ascii="Barlow Semi Condensed" w:cs="Barlow Semi Condensed" w:eastAsia="Barlow Semi Condensed" w:hAnsi="Barlow Semi Condensed"/>
          <w:i/>
          <w:iCs/>
          <w:sz w:val="24"/>
          <w:szCs w:val="24"/>
        </w:rPr>
        <w:t xml:space="preserve">_verifiche/generatori/analisi_numeri.py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calibrazione.py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Grado complessivo del lotto: C.</w:t>
      </w:r>
      <w:r>
        <w:rPr>
          <w:rFonts w:ascii="Barlow Semi Condensed" w:cs="Barlow Semi Condensed" w:eastAsia="Barlow Semi Condensed" w:hAnsi="Barlow Semi Condensed"/>
          <w:sz w:val="24"/>
          <w:szCs w:val="24"/>
        </w:rPr>
        <w:t xml:space="preserve"> Con la sola eccezione della calibrazione</w:t>
      </w:r>
    </w:p>
    <w:p>
      <w:pPr>
        <w:spacing w:after="120" w:line="276"/>
        <w:jc w:val="both"/>
      </w:pPr>
      <w:r>
        <w:rPr>
          <w:rFonts w:ascii="Barlow Semi Condensed" w:cs="Barlow Semi Condensed" w:eastAsia="Barlow Semi Condensed" w:hAnsi="Barlow Semi Condensed"/>
          <w:sz w:val="24"/>
          <w:szCs w:val="24"/>
        </w:rPr>
        <w:t xml:space="preserve">del §2, che poggia su due coppie pubblicate e concordanti, e dell'aritmetica</w:t>
      </w:r>
    </w:p>
    <w:p>
      <w:pPr>
        <w:spacing w:after="120" w:line="276"/>
        <w:jc w:val="both"/>
      </w:pPr>
      <w:r>
        <w:rPr>
          <w:rFonts w:ascii="Barlow Semi Condensed" w:cs="Barlow Semi Condensed" w:eastAsia="Barlow Semi Condensed" w:hAnsi="Barlow Semi Condensed"/>
          <w:sz w:val="24"/>
          <w:szCs w:val="24"/>
        </w:rPr>
        <w:t xml:space="preserve">del §3, che non dipende da alcuna fonte.</w:t>
      </w:r>
    </w:p>
    <w:p>
      <w:pPr>
        <w:pStyle w:val="Heading3"/>
        <w:spacing w:after="80" w:before="240"/>
      </w:pPr>
      <w:r>
        <w:rPr>
          <w:rFonts w:ascii="Barlow Semi Condensed" w:cs="Barlow Semi Condensed" w:eastAsia="Barlow Semi Condensed" w:hAnsi="Barlow Semi Condensed"/>
          <w:sz w:val="24"/>
          <w:szCs w:val="24"/>
        </w:rPr>
        <w:t xml:space="preserve">Apparato grafico — Appendici · i. La certificazione dei numeri P2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 4.487 parole in 9 sezioni; la più ampia è §9 Altre sezioni, con 3.137.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 110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V. ii. La relazione della campagna di ricerca</w:t>
      </w:r>
    </w:p>
    <w:p>
      <w:pPr>
        <w:pStyle w:val="Heading1"/>
        <w:spacing w:after="120" w:before="240"/>
      </w:pPr>
      <w:r>
        <w:rPr>
          <w:rFonts w:ascii="Barlow Semi Condensed" w:cs="Barlow Semi Condensed" w:eastAsia="Barlow Semi Condensed" w:hAnsi="Barlow Semi Condensed"/>
          <w:sz w:val="24"/>
          <w:szCs w:val="24"/>
        </w:rPr>
        <w:t xml:space="preserve">La campagna di ricerca sui numeri P2 — relazione</w:t>
      </w:r>
    </w:p>
    <w:p>
      <w:pPr>
        <w:spacing w:after="120" w:line="276"/>
        <w:jc w:val="both"/>
      </w:pPr>
      <w:r>
        <w:rPr>
          <w:rFonts w:ascii="Barlow Semi Condensed" w:cs="Barlow Semi Condensed" w:eastAsia="Barlow Semi Condensed" w:hAnsi="Barlow Semi Condensed"/>
          <w:i/>
          <w:iCs/>
          <w:sz w:val="24"/>
          <w:szCs w:val="24"/>
        </w:rPr>
        <w:t xml:space="preserve">Relazione prodotta il 27 agosto 2026 da una campagna di diciassette agenti di ricerca in parallelo, con sistemi di intelligenza artificiale sotto direzione e responsabilità umana.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r>
        <w:rPr>
          <w:rFonts w:ascii="Barlow Semi Condensed" w:cs="Barlow Semi Condensed" w:eastAsia="Barlow Semi Condensed" w:hAnsi="Barlow Semi Condensed"/>
          <w:i w:val="false"/>
          <w:iCs w:val="false"/>
          <w:sz w:val="24"/>
          <w:szCs w:val="24"/>
        </w:rPr>
        <w:t xml:space="preserve">, e nessuna riga di questa relazione indica alcuno come responsabile di un reato al di fuori di un giudicato definitivo.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lettura.</w:t>
      </w:r>
      <w:r>
        <w:rPr>
          <w:rFonts w:ascii="Barlow Semi Condensed" w:cs="Barlow Semi Condensed" w:eastAsia="Barlow Semi Condensed" w:hAnsi="Barlow Semi Condensed"/>
          <w:i w:val="false"/>
          <w:iCs w:val="false"/>
          <w:sz w:val="24"/>
          <w:szCs w:val="24"/>
        </w:rPr>
        <w:t xml:space="preserve"> Questa è la relazione della campagna, riportata come è stata prodotta. La </w:t>
      </w:r>
      <w:r>
        <w:rPr>
          <w:rFonts w:ascii="Barlow Semi Condensed" w:cs="Barlow Semi Condensed" w:eastAsia="Barlow Semi Condensed" w:hAnsi="Barlow Semi Condensed"/>
          <w:i w:val="false"/>
          <w:iCs w:val="false"/>
          <w:sz w:val="24"/>
          <w:szCs w:val="24"/>
        </w:rPr>
        <w:t xml:space="preserve">certificazione</w:t>
      </w:r>
      <w:r>
        <w:rPr>
          <w:rFonts w:ascii="Barlow Semi Condensed" w:cs="Barlow Semi Condensed" w:eastAsia="Barlow Semi Condensed" w:hAnsi="Barlow Semi Condensed"/>
          <w:i w:val="false"/>
          <w:iCs w:val="false"/>
          <w:sz w:val="24"/>
          <w:szCs w:val="24"/>
        </w:rPr>
        <w:t xml:space="preserve"> ne accoglie i risultati nella sesta annotazione e ne </w:t>
      </w:r>
      <w:r>
        <w:rPr>
          <w:rFonts w:ascii="Barlow Semi Condensed" w:cs="Barlow Semi Condensed" w:eastAsia="Barlow Semi Condensed" w:hAnsi="Barlow Semi Condensed"/>
          <w:b/>
          <w:bCs/>
          <w:i w:val="false"/>
          <w:iCs w:val="false"/>
          <w:sz w:val="24"/>
          <w:szCs w:val="24"/>
        </w:rPr>
        <w:t xml:space="preserve">rifiuta uno</w:t>
      </w:r>
      <w:r>
        <w:rPr>
          <w:rFonts w:ascii="Barlow Semi Condensed" w:cs="Barlow Semi Condensed" w:eastAsia="Barlow Semi Condensed" w:hAnsi="Barlow Semi Condensed"/>
          <w:i w:val="false"/>
          <w:iCs w:val="false"/>
          <w:sz w:val="24"/>
          <w:szCs w:val="24"/>
        </w:rPr>
        <w:t xml:space="preserve">: la coincidenza fra le differenze di tessere e quelle di fascicoli non è un riscontro indipendente ma la stessa proposizione dello scarto costante, detta due volte.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"summary": "Raccoglie da fonti indipendenti i numeri di tessera e fascicolo P2 dei nomi della verifica, li verifica in modo avversariale e mette alla prova lo scarto 1088",</w:t>
      </w:r>
    </w:p>
    <w:p>
      <w:pPr>
        <w:spacing w:after="120" w:line="276"/>
        <w:jc w:val="both"/>
      </w:pPr>
      <w:r>
        <w:rPr>
          <w:rFonts w:ascii="Barlow Semi Condensed" w:cs="Barlow Semi Condensed" w:eastAsia="Barlow Semi Condensed" w:hAnsi="Barlow Semi Condensed"/>
          <w:sz w:val="24"/>
          <w:szCs w:val="24"/>
        </w:rPr>
        <w:t xml:space="preserve">  "agentCount": 17,</w:t>
      </w:r>
    </w:p>
    <w:p>
      <w:pPr>
        <w:spacing w:after="120" w:line="276"/>
        <w:jc w:val="both"/>
      </w:pPr>
      <w:r>
        <w:rPr>
          <w:rFonts w:ascii="Barlow Semi Condensed" w:cs="Barlow Semi Condensed" w:eastAsia="Barlow Semi Condensed" w:hAnsi="Barlow Semi Condensed"/>
          <w:sz w:val="24"/>
          <w:szCs w:val="24"/>
        </w:rPr>
        <w:t xml:space="preserve">  "logs": [</w:t>
      </w:r>
    </w:p>
    <w:p>
      <w:pPr>
        <w:spacing w:after="120" w:line="276"/>
        <w:jc w:val="both"/>
      </w:pPr>
      <w:r>
        <w:rPr>
          <w:rFonts w:ascii="Barlow Semi Condensed" w:cs="Barlow Semi Condensed" w:eastAsia="Barlow Semi Condensed" w:hAnsi="Barlow Semi Condensed"/>
          <w:sz w:val="24"/>
          <w:szCs w:val="24"/>
        </w:rPr>
        <w:t xml:space="preserve">    "Raccolta su 8 gruppi di nomi. Solo WebSearch: il proxy nega ogni WebFetch.",</w:t>
      </w:r>
    </w:p>
    <w:p>
      <w:pPr>
        <w:spacing w:after="120" w:line="276"/>
        <w:jc w:val="both"/>
      </w:pPr>
      <w:r>
        <w:rPr>
          <w:rFonts w:ascii="Barlow Semi Condensed" w:cs="Barlow Semi Condensed" w:eastAsia="Barlow Semi Condensed" w:hAnsi="Barlow Semi Condensed"/>
          <w:sz w:val="24"/>
          <w:szCs w:val="24"/>
        </w:rPr>
        <w:t xml:space="preserve">    "Raccolti 31 valori; 7 reggono alla confutazione."</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"result": {</w:t>
      </w:r>
    </w:p>
    <w:p>
      <w:pPr>
        <w:spacing w:after="120" w:line="276"/>
        <w:jc w:val="both"/>
      </w:pPr>
      <w:r>
        <w:rPr>
          <w:rFonts w:ascii="Barlow Semi Condensed" w:cs="Barlow Semi Condensed" w:eastAsia="Barlow Semi Condensed" w:hAnsi="Barlow Semi Condensed"/>
          <w:sz w:val="24"/>
          <w:szCs w:val="24"/>
        </w:rPr>
        <w:t xml:space="preserve">    "relazione": "# Verifica documentale sullo scarto tessera–fascicolo negli elenchi P2\n\n## Premessa: la risposta breve è «non si può dire» sull'oggetto specifico\n\nVa detto per primo, prima di ogni calcolo. La campagna di ricerca non ha trovato </w:t>
      </w:r>
      <w:r>
        <w:rPr>
          <w:rFonts w:ascii="Barlow Semi Condensed" w:cs="Barlow Semi Condensed" w:eastAsia="Barlow Semi Condensed" w:hAnsi="Barlow Semi Condensed"/>
          <w:b/>
          <w:bCs/>
          <w:sz w:val="24"/>
          <w:szCs w:val="24"/>
        </w:rPr>
        <w:t xml:space="preserve">nemmeno una</w:t>
      </w:r>
      <w:r>
        <w:rPr>
          <w:rFonts w:ascii="Barlow Semi Condensed" w:cs="Barlow Semi Condensed" w:eastAsia="Barlow Semi Condensed" w:hAnsi="Barlow Semi Condensed"/>
          <w:sz w:val="24"/>
          <w:szCs w:val="24"/>
        </w:rPr>
        <w:t xml:space="preserve"> coppia completa (tessera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fascicolo, entrambi con natura dichiarata e reggenti alla confutazione) per </w:t>
      </w:r>
      <w:r>
        <w:rPr>
          <w:rFonts w:ascii="Barlow Semi Condensed" w:cs="Barlow Semi Condensed" w:eastAsia="Barlow Semi Condensed" w:hAnsi="Barlow Semi Condensed"/>
          <w:b/>
          <w:bCs/>
          <w:sz w:val="24"/>
          <w:szCs w:val="24"/>
        </w:rPr>
        <w:t xml:space="preserve">nessuno</w:t>
      </w:r>
      <w:r>
        <w:rPr>
          <w:rFonts w:ascii="Barlow Semi Condensed" w:cs="Barlow Semi Condensed" w:eastAsia="Barlow Semi Condensed" w:hAnsi="Barlow Semi Condensed"/>
          <w:sz w:val="24"/>
          <w:szCs w:val="24"/>
        </w:rPr>
        <w:t xml:space="preserve"> degli otto nomi su cui il testo pervenuto costruisce lo scarto congelato di 1088: Giudice, Lo Prete, Guglielmi, Pelosi, Siracusano, Torrisi, Giovannone, Gallucci. Su quattro di essi è emerso un solo numero, di natura contesa; su tre non è emerso nulla; su uno (Siracusano) non risulta nemmeno tentata la ricerca. Le uniche coppie complete disponibili si collocano tutte nella fascia 1814–1819 delle tessere, cioè circa centottanta posizioni </w:t>
      </w:r>
      <w:r>
        <w:rPr>
          <w:rFonts w:ascii="Barlow Semi Condensed" w:cs="Barlow Semi Condensed" w:eastAsia="Barlow Semi Condensed" w:hAnsi="Barlow Semi Condensed"/>
          <w:b/>
          <w:bCs/>
          <w:sz w:val="24"/>
          <w:szCs w:val="24"/>
        </w:rPr>
        <w:t xml:space="preserve">sopra</w:t>
      </w:r>
      <w:r>
        <w:rPr>
          <w:rFonts w:ascii="Barlow Semi Condensed" w:cs="Barlow Semi Condensed" w:eastAsia="Barlow Semi Condensed" w:hAnsi="Barlow Semi Condensed"/>
          <w:sz w:val="24"/>
          <w:szCs w:val="24"/>
        </w:rPr>
        <w:t xml:space="preserve"> la finestra contestata (1592–1634). Lo scarto reale dentro quella finestra resta quindi non misurato: quanto segue lo raggiunge solo per estrapolazione, e l'estrapolazione poggia su due soli intervalli.\n\nNota preliminare obbligatoria: i nomi qui trattati compaiono in elenchi di affiliazione. L'appartenenza a un'organizzazione non è prova di condotta, e nessun passaggio di questa relazione indica alcuno come responsabile di alcun reato.\n\n## 1. Lo scarto, alla prova dei dati nuovi\n\nSuperano la confutazione, con entrambi i campi dichiarati dalla fonte, tre sole coppie. Due erano già note in partenza (Berlusconi, Costanzo); la campagna ne aggiunge </w:t>
      </w:r>
      <w:r>
        <w:rPr>
          <w:rFonts w:ascii="Barlow Semi Condensed" w:cs="Barlow Semi Condensed" w:eastAsia="Barlow Semi Condensed" w:hAnsi="Barlow Semi Condensed"/>
          <w:b/>
          <w:bCs/>
          <w:sz w:val="24"/>
          <w:szCs w:val="24"/>
        </w:rPr>
        <w:t xml:space="preserve">una</w:t>
      </w:r>
      <w:r>
        <w:rPr>
          <w:rFonts w:ascii="Barlow Semi Condensed" w:cs="Barlow Semi Condensed" w:eastAsia="Barlow Semi Condensed" w:hAnsi="Barlow Semi Condensed"/>
          <w:sz w:val="24"/>
          <w:szCs w:val="24"/>
        </w:rPr>
        <w:t xml:space="preserve"> (Selva). Tutte le altre voci raccolte sono monche — un solo numero per nome — oppure cadute.\n\n| Nome | Tessera | Fascicolo | Scarto |\n|---|---|---|---|\n| Gustavo Selva | 1814 | 623 | </w:t>
      </w:r>
      <w:r>
        <w:rPr>
          <w:rFonts w:ascii="Barlow Semi Condensed" w:cs="Barlow Semi Condensed" w:eastAsia="Barlow Semi Condensed" w:hAnsi="Barlow Semi Condensed"/>
          <w:b/>
          <w:bCs/>
          <w:sz w:val="24"/>
          <w:szCs w:val="24"/>
        </w:rPr>
        <w:t xml:space="preserve">1191</w:t>
      </w:r>
      <w:r>
        <w:rPr>
          <w:rFonts w:ascii="Barlow Semi Condensed" w:cs="Barlow Semi Condensed" w:eastAsia="Barlow Semi Condensed" w:hAnsi="Barlow Semi Condensed"/>
          <w:sz w:val="24"/>
          <w:szCs w:val="24"/>
        </w:rPr>
        <w:t xml:space="preserve"> |\n| Silvio Berlusconi | 1816 | 0625 | </w:t>
      </w:r>
      <w:r>
        <w:rPr>
          <w:rFonts w:ascii="Barlow Semi Condensed" w:cs="Barlow Semi Condensed" w:eastAsia="Barlow Semi Condensed" w:hAnsi="Barlow Semi Condensed"/>
          <w:b/>
          <w:bCs/>
          <w:sz w:val="24"/>
          <w:szCs w:val="24"/>
        </w:rPr>
        <w:t xml:space="preserve">1191</w:t>
      </w:r>
      <w:r>
        <w:rPr>
          <w:rFonts w:ascii="Barlow Semi Condensed" w:cs="Barlow Semi Condensed" w:eastAsia="Barlow Semi Condensed" w:hAnsi="Barlow Semi Condensed"/>
          <w:sz w:val="24"/>
          <w:szCs w:val="24"/>
        </w:rPr>
        <w:t xml:space="preserve"> |\n| Maurizio Costanzo | 1819 | 626 | </w:t>
      </w:r>
      <w:r>
        <w:rPr>
          <w:rFonts w:ascii="Barlow Semi Condensed" w:cs="Barlow Semi Condensed" w:eastAsia="Barlow Semi Condensed" w:hAnsi="Barlow Semi Condensed"/>
          <w:b/>
          <w:bCs/>
          <w:sz w:val="24"/>
          <w:szCs w:val="24"/>
        </w:rPr>
        <w:t xml:space="preserve">1193</w:t>
      </w:r>
      <w:r>
        <w:rPr>
          <w:rFonts w:ascii="Barlow Semi Condensed" w:cs="Barlow Semi Condensed" w:eastAsia="Barlow Semi Condensed" w:hAnsi="Barlow Semi Condensed"/>
          <w:sz w:val="24"/>
          <w:szCs w:val="24"/>
        </w:rPr>
        <w:t xml:space="preserve"> |\n\n</w:t>
      </w:r>
      <w:r>
        <w:rPr>
          <w:rFonts w:ascii="Barlow Semi Condensed" w:cs="Barlow Semi Condensed" w:eastAsia="Barlow Semi Condensed" w:hAnsi="Barlow Semi Condensed"/>
          <w:b/>
          <w:bCs/>
          <w:sz w:val="24"/>
          <w:szCs w:val="24"/>
        </w:rPr>
        <w:t xml:space="preserve">Lo scarto reale deriva, ma non in modo uniforme.</w:t>
      </w:r>
      <w:r>
        <w:rPr>
          <w:rFonts w:ascii="Barlow Semi Condensed" w:cs="Barlow Semi Condensed" w:eastAsia="Barlow Semi Condensed" w:hAnsi="Barlow Semi Condensed"/>
          <w:sz w:val="24"/>
          <w:szCs w:val="24"/>
        </w:rPr>
        <w:t xml:space="preserve"> Fra Selva e Berlusconi — due posizioni di tessera, entrambi iniziati nella tornata del 26 gennaio 1978 — le due serie avanzano all'unisono (+2 e +2) e lo scarto resta fermo a 1191: la derivata locale è zero. Fra Berlusconi e Costanzo — tre posizioni di tessera contro una sola di fascicolo — lo scarto sale di 2, con una derivata locale di 0,667 per posizione. Sull'intero arco misurato (1814→1819, cinque posizioni) la deriva è di +2, cioè </w:t>
      </w:r>
      <w:r>
        <w:rPr>
          <w:rFonts w:ascii="Barlow Semi Condensed" w:cs="Barlow Semi Condensed" w:eastAsia="Barlow Semi Condensed" w:hAnsi="Barlow Semi Condensed"/>
          <w:b/>
          <w:bCs/>
          <w:sz w:val="24"/>
          <w:szCs w:val="24"/>
        </w:rPr>
        <w:t xml:space="preserve">0,4 unità per posizione di tessera in media</w:t>
      </w:r>
      <w:r>
        <w:rPr>
          <w:rFonts w:ascii="Barlow Semi Condensed" w:cs="Barlow Semi Condensed" w:eastAsia="Barlow Semi Condensed" w:hAnsi="Barlow Semi Condensed"/>
          <w:sz w:val="24"/>
          <w:szCs w:val="24"/>
        </w:rPr>
        <w:t xml:space="preserve">.\n\nQuesto è il dato che raffina, e in parte corregge, la formulazione del testo di partenza. Non è vero che lo scarto reale «si muove sempre»: su due posizioni consecutive può restare identico, e l'esempio Selva/Berlusconi lo dimostra. Ciò che i dati mostrano è che il registro non è né rigidamente bloccato né uniformemente crescente: alterna tratti di sincronia a tratti di scivolamento. Con tre coppie e due soli intervalli, il tasso di 0,4 è una stima fragilissima, da non trattare come costante fisica.\n\n</w:t>
      </w:r>
      <w:r>
        <w:rPr>
          <w:rFonts w:ascii="Barlow Semi Condensed" w:cs="Barlow Semi Condensed" w:eastAsia="Barlow Semi Condensed" w:hAnsi="Barlow Semi Condensed"/>
          <w:b/>
          <w:bCs/>
          <w:sz w:val="24"/>
          <w:szCs w:val="24"/>
        </w:rPr>
        <w:t xml:space="preserve">Il valore 1088 non compare mai fra gli scarti reali reggenti.</w:t>
      </w:r>
      <w:r>
        <w:rPr>
          <w:rFonts w:ascii="Barlow Semi Condensed" w:cs="Barlow Semi Condensed" w:eastAsia="Barlow Semi Condensed" w:hAnsi="Barlow Semi Condensed"/>
          <w:sz w:val="24"/>
          <w:szCs w:val="24"/>
        </w:rPr>
        <w:t xml:space="preserve"> Gli unici scarti verificati sono 1191 e 1193. Non c'è alcuna posizione, in nessuna delle tre coppie, in cui la differenza valga 1088.\n\nVa però registrata onestamente una conseguenza aritmetica che indebolisce un ramo dell'argomento originario. Applicando la deriva media osservata all'indietro, dalla tessera 1814 alla 1634 (centottanta posizioni), ci si attenderebbe uno scarto attorno a 1191 − 72 ≈ 1119; per arrivare a 1088 basterebbe un tasso di 0,57 per posizione, che cade </w:t>
      </w:r>
      <w:r>
        <w:rPr>
          <w:rFonts w:ascii="Barlow Semi Condensed" w:cs="Barlow Semi Condensed" w:eastAsia="Barlow Semi Condensed" w:hAnsi="Barlow Semi Condensed"/>
          <w:b/>
          <w:bCs/>
          <w:sz w:val="24"/>
          <w:szCs w:val="24"/>
        </w:rPr>
        <w:t xml:space="preserve">dentro</w:t>
      </w:r>
      <w:r>
        <w:rPr>
          <w:rFonts w:ascii="Barlow Semi Condensed" w:cs="Barlow Semi Condensed" w:eastAsia="Barlow Semi Condensed" w:hAnsi="Barlow Semi Condensed"/>
          <w:sz w:val="24"/>
          <w:szCs w:val="24"/>
        </w:rPr>
        <w:t xml:space="preserve"> l'intervallo dei tassi locali effettivamente osservati (0 e 0,667). In altre parole: 1088 non è un livello assurdo per quella regione del registro. L'anomalia del testo pervenuto non è il valore, è la sua </w:t>
      </w:r>
      <w:r>
        <w:rPr>
          <w:rFonts w:ascii="Barlow Semi Condensed" w:cs="Barlow Semi Condensed" w:eastAsia="Barlow Semi Condensed" w:hAnsi="Barlow Semi Condensed"/>
          <w:b/>
          <w:bCs/>
          <w:sz w:val="24"/>
          <w:szCs w:val="24"/>
        </w:rPr>
        <w:t xml:space="preserve">immobilità</w:t>
      </w:r>
      <w:r>
        <w:rPr>
          <w:rFonts w:ascii="Barlow Semi Condensed" w:cs="Barlow Semi Condensed" w:eastAsia="Barlow Semi Condensed" w:hAnsi="Barlow Semi Condensed"/>
          <w:sz w:val="24"/>
          <w:szCs w:val="24"/>
        </w:rPr>
        <w:t xml:space="preserve">. Con la deriva media misurata, quarantadue posizioni dovrebbero produrre uno slittamento dell'ordine di diciassette unità (fra 0 e 28 usando i due tassi locali estremi); il testo ne mostra zero. Ed è coerente con questo il fatto che, nelle otto coppie del testo, le differenze fra tessere consecutive coincidano </w:t>
      </w:r>
      <w:r>
        <w:rPr>
          <w:rFonts w:ascii="Barlow Semi Condensed" w:cs="Barlow Semi Condensed" w:eastAsia="Barlow Semi Condensed" w:hAnsi="Barlow Semi Condensed"/>
          <w:i/>
          <w:iCs/>
          <w:sz w:val="24"/>
          <w:szCs w:val="24"/>
        </w:rPr>
        <w:t xml:space="preserve">esattamente</w:t>
      </w:r>
      <w:r>
        <w:rPr>
          <w:rFonts w:ascii="Barlow Semi Condensed" w:cs="Barlow Semi Condensed" w:eastAsia="Barlow Semi Condensed" w:hAnsi="Barlow Semi Condensed"/>
          <w:sz w:val="24"/>
          <w:szCs w:val="24"/>
        </w:rPr>
        <w:t xml:space="preserve">, una a una, con le differenze fra i fascicoli consecutivi — l'impronta aritmetica di una serie sola replicata con un offset, non di due serie indipendenti che per caso procedono insieme.\n\n## 2. Verdetto sulla tesi della sottrazione\n\nI dati nuovi la </w:t>
      </w:r>
      <w:r>
        <w:rPr>
          <w:rFonts w:ascii="Barlow Semi Condensed" w:cs="Barlow Semi Condensed" w:eastAsia="Barlow Semi Condensed" w:hAnsi="Barlow Semi Condensed"/>
          <w:b/>
          <w:bCs/>
          <w:sz w:val="24"/>
          <w:szCs w:val="24"/>
        </w:rPr>
        <w:t xml:space="preserve">rafforzano debolmente sul piano strutturale e non la verificano sul suo oggetto</w:t>
      </w:r>
      <w:r>
        <w:rPr>
          <w:rFonts w:ascii="Barlow Semi Condensed" w:cs="Barlow Semi Condensed" w:eastAsia="Barlow Semi Condensed" w:hAnsi="Barlow Semi Condensed"/>
          <w:sz w:val="24"/>
          <w:szCs w:val="24"/>
        </w:rPr>
        <w:t xml:space="preserve">.\n\nLa rafforzano per tre ragioni. Primo: la coppia Selva (1814/623) è la prima coppia realmente nuova prodotta dalla campagna, ed è indipendente dalle due di partenza quanto a persona; conferma la separazione delle due serie in due fasce distinte (fascicoli a tre cifre, tessere sopra 1600) e colloca lo scarto reale, in quella regione, a 1191 — a più di cento unità da 1088. Secondo: per i quattro degli otto nomi contestati su cui esiste un numero circolante, quel numero </w:t>
      </w:r>
      <w:r>
        <w:rPr>
          <w:rFonts w:ascii="Barlow Semi Condensed" w:cs="Barlow Semi Condensed" w:eastAsia="Barlow Semi Condensed" w:hAnsi="Barlow Semi Condensed"/>
          <w:b/>
          <w:bCs/>
          <w:sz w:val="24"/>
          <w:szCs w:val="24"/>
        </w:rPr>
        <w:t xml:space="preserve">non coincide con nessuno dei due membri</w:t>
      </w:r>
      <w:r>
        <w:rPr>
          <w:rFonts w:ascii="Barlow Semi Condensed" w:cs="Barlow Semi Condensed" w:eastAsia="Barlow Semi Condensed" w:hAnsi="Barlow Semi Condensed"/>
          <w:sz w:val="24"/>
          <w:szCs w:val="24"/>
        </w:rPr>
        <w:t xml:space="preserve"> della coppia proposta dal testo pervenuto. Giudice compare come 535, il testo scrive 504; Lo Prete come 482, il testo scrive 512; Pelosi come 754, il testo scrive 519; Torrisi come 631, il testo scrive 531. Quattro riscontri su quattro verificabili, tutti negativi, e in nessuno dei quattro casi la ricerca ha trovato una fonte che proponga la cifra del testo. Terzo: la coppia Berlusconi/Costanzo fornisce un controesempio diretto alla sincronia perfetta su un intervallo di tre posizioni.\n\nNon la verificano, però, per ragioni altrettanto nette. La finestra 1592–1634 resta priva di qualsiasi coppia misurata: la tesi viene sostenuta per estrapolazione da un tratto di registro distante, non per lettura diretta. La coppia nuova proviene dalla stessa famiglia di trascrizioni derivate da cui provengono le due vecchie, quindi non aggiunge indipendenza di fonte, solo un'osservazione in più. E soprattutto l'esistenza documentata di un tratto a scarto costante (Selva/Berlusconi) toglie all'argomento la forma assoluta: uno scarto fermo non è, di per sé, impossibile; è la sua persistenza su quarantadue posizioni a essere improbabile.\n\nSulla cifra di probabilità: </w:t>
      </w:r>
      <w:r>
        <w:rPr>
          <w:rFonts w:ascii="Barlow Semi Condensed" w:cs="Barlow Semi Condensed" w:eastAsia="Barlow Semi Condensed" w:hAnsi="Barlow Semi Condensed"/>
          <w:b/>
          <w:bCs/>
          <w:sz w:val="24"/>
          <w:szCs w:val="24"/>
        </w:rPr>
        <w:t xml:space="preserve">~5×10⁻¹⁵ non è sostenuta da questi dati e non va riportata come se lo fosse.</w:t>
      </w:r>
      <w:r>
        <w:rPr>
          <w:rFonts w:ascii="Barlow Semi Condensed" w:cs="Barlow Semi Condensed" w:eastAsia="Barlow Semi Condensed" w:hAnsi="Barlow Semi Condensed"/>
          <w:sz w:val="24"/>
          <w:szCs w:val="24"/>
        </w:rPr>
        <w:t xml:space="preserve"> Con tre coppie e due intervalli non si stima una probabilità di quell'ordine; qualunque stima del genere presuppone un modello della distribuzione degli scarti che i dati raccolti non consentono di costruire. La direzione dell'indizio è quella indicata dalla certificazione; la sua magnitudine dichiarata non è verificabile qui.\n\nUn'ultima annotazione aritmetica, da tenere come avvertimento e non come argomento: fra i valori </w:t>
      </w:r>
      <w:r>
        <w:rPr>
          <w:rFonts w:ascii="Barlow Semi Condensed" w:cs="Barlow Semi Condensed" w:eastAsia="Barlow Semi Condensed" w:hAnsi="Barlow Semi Condensed"/>
          <w:b/>
          <w:bCs/>
          <w:sz w:val="24"/>
          <w:szCs w:val="24"/>
        </w:rPr>
        <w:t xml:space="preserve">non reggenti</w:t>
      </w:r>
      <w:r>
        <w:rPr>
          <w:rFonts w:ascii="Barlow Semi Condensed" w:cs="Barlow Semi Condensed" w:eastAsia="Barlow Semi Condensed" w:hAnsi="Barlow Semi Condensed"/>
          <w:sz w:val="24"/>
          <w:szCs w:val="24"/>
        </w:rPr>
        <w:t xml:space="preserve">, la coppia D'Amato (elenco 554, tessera 1643 attribuita agli atti della Commissione) darebbe scarto 1089, a una unità da 1088; Ortolani (494 / 1622) darebbe 1128; Santovito (527 / 1630) 1103; Grassini (515 / 1620) 1105. Nessuno di questi valori regge alla confutazione e nessuno può essere usato come prova. Ma la loro dispersione — 1089, 1103, 1105, 1128, 1191, 1193 — è coerente con un registro che scivola progressivamente, e mostra che scarti vicini a 1088 esistono altrove nel registro. Il che, di nuovo, sposta il peso della tesi sulla costanza e non sul livello.\n\n## 3. Le divergenze, tutte, senza scelta fra loro\n\nSi registrano qui tutti i casi in cui fonti diverse danno numeri diversi, o la stessa cifra con natura diversa. Nessuna preferenza viene espressa.\n\n</w:t>
      </w:r>
      <w:r>
        <w:rPr>
          <w:rFonts w:ascii="Barlow Semi Condensed" w:cs="Barlow Semi Condensed" w:eastAsia="Barlow Semi Condensed" w:hAnsi="Barlow Semi Condensed"/>
          <w:b/>
          <w:bCs/>
          <w:sz w:val="24"/>
          <w:szCs w:val="24"/>
        </w:rPr>
        <w:t xml:space="preserve">Divergenze di valore.</w:t>
      </w:r>
      <w:r>
        <w:rPr>
          <w:rFonts w:ascii="Barlow Semi Condensed" w:cs="Barlow Semi Condensed" w:eastAsia="Barlow Semi Condensed" w:hAnsi="Barlow Semi Condensed"/>
          <w:sz w:val="24"/>
          <w:szCs w:val="24"/>
        </w:rPr>
        <w:t xml:space="preserve"> Giuseppe Santovito: 527 (elenco alfabetico, natura non dichiarata) contro 1630 (indicato come tessera, fonte non identificata). Giulio Grassini: 515 (voce it.wikipedia e forma «Roma, 515» negli elenchi) contro 1620 (fonte dichiarata non identificata, non riconfermata in ricerca mirata). Federico Umberto D'Amato: 554 (elenco sequestrato, «Roma, 554») contro 1643 (qualificato «tessera massonica» in relazione alla deposizione del 28 ottobre 1982) contro 1620 (nessun riscontro in ricerca mirata; possibile refuso di 1643). Umberto Ortolani: 494 (elenco alfabetico) contro 1622 (dichiarato tessera, con codice E1977).\n\n</w:t>
      </w:r>
      <w:r>
        <w:rPr>
          <w:rFonts w:ascii="Barlow Semi Condensed" w:cs="Barlow Semi Condensed" w:eastAsia="Barlow Semi Condensed" w:hAnsi="Barlow Semi Condensed"/>
          <w:b/>
          <w:bCs/>
          <w:sz w:val="24"/>
          <w:szCs w:val="24"/>
        </w:rPr>
        <w:t xml:space="preserve">Divergenze di natura sulla stessa cifra.</w:t>
      </w:r>
      <w:r>
        <w:rPr>
          <w:rFonts w:ascii="Barlow Semi Condensed" w:cs="Barlow Semi Condensed" w:eastAsia="Barlow Semi Condensed" w:hAnsi="Barlow Semi Condensed"/>
          <w:sz w:val="24"/>
          <w:szCs w:val="24"/>
        </w:rPr>
        <w:t xml:space="preserve"> Maurizio Costanzo 626: fascicolo secondo le fonti identificabili, tessera secondo una lettura circolante priva di fonte nominata. Gustavo Selva 623: fascicolo nella scheda strutturata, tessera negli elenchi alfabetici privi di intestazione. Sergio Di Donato 158: fascicolo secondo stragi.it e it.wikipedia, tessera secondo altre riproduzioni. Pietro Musumeci 487: registrato come tessera dal ricercatore, qualificato come </w:t>
      </w:r>
      <w:r>
        <w:rPr>
          <w:rFonts w:ascii="Barlow Semi Condensed" w:cs="Barlow Semi Condensed" w:eastAsia="Barlow Semi Condensed" w:hAnsi="Barlow Semi Condensed"/>
          <w:i/>
          <w:iCs/>
          <w:sz w:val="24"/>
          <w:szCs w:val="24"/>
        </w:rPr>
        <w:t xml:space="preserve">file number</w:t>
      </w:r>
      <w:r>
        <w:rPr>
          <w:rFonts w:ascii="Barlow Semi Condensed" w:cs="Barlow Semi Condensed" w:eastAsia="Barlow Semi Condensed" w:hAnsi="Barlow Semi Condensed"/>
          <w:sz w:val="24"/>
          <w:szCs w:val="24"/>
        </w:rPr>
        <w:t xml:space="preserve"> dalle fonti. Roberto Calvi 519: «membership card number» in alcune sintesi, «fascicolo/0519» in altre. Walter Pelosi 754: «numero di tessera» secondo la citazione attribuita a Ferdinando Imposimato, campo fascicolo secondo la descrizione strutturale dell'elenco. Francesco Malfatti di Montetretto 812: natura non dichiarata secondo una rilevazione, «tessera numero 812» secondo la biografia wikipediana.\n\n</w:t>
      </w:r>
      <w:r>
        <w:rPr>
          <w:rFonts w:ascii="Barlow Semi Condensed" w:cs="Barlow Semi Condensed" w:eastAsia="Barlow Semi Condensed" w:hAnsi="Barlow Semi Condensed"/>
          <w:b/>
          <w:bCs/>
          <w:sz w:val="24"/>
          <w:szCs w:val="24"/>
        </w:rPr>
        <w:t xml:space="preserve">Divergenze formali.</w:t>
      </w:r>
      <w:r>
        <w:rPr>
          <w:rFonts w:ascii="Barlow Semi Condensed" w:cs="Barlow Semi Condensed" w:eastAsia="Barlow Semi Condensed" w:hAnsi="Barlow Semi Condensed"/>
          <w:sz w:val="24"/>
          <w:szCs w:val="24"/>
        </w:rPr>
        <w:t xml:space="preserve"> Berlusconi 0625 / 625 e Sindona 0501 / 501: variante con o senza zero di riempimento, stesso campo. Da segnalare, perché in almeno un caso (Berlusconi 625) la variante era stata registrata come dato autonomo, gonfiando artificialmente il conteggio delle voci distinte.\n\n</w:t>
      </w:r>
      <w:r>
        <w:rPr>
          <w:rFonts w:ascii="Barlow Semi Condensed" w:cs="Barlow Semi Condensed" w:eastAsia="Barlow Semi Condensed" w:hAnsi="Barlow Semi Condensed"/>
          <w:b/>
          <w:bCs/>
          <w:sz w:val="24"/>
          <w:szCs w:val="24"/>
        </w:rPr>
        <w:t xml:space="preserve">Divergenza sul documento stesso.</w:t>
      </w:r>
      <w:r>
        <w:rPr>
          <w:rFonts w:ascii="Barlow Semi Condensed" w:cs="Barlow Semi Condensed" w:eastAsia="Barlow Semi Condensed" w:hAnsi="Barlow Semi Condensed"/>
          <w:sz w:val="24"/>
          <w:szCs w:val="24"/>
        </w:rPr>
        <w:t xml:space="preserve"> La cardinalità dell'elenco varia fra le versioni circolanti: 959, 962, 963 nomi. Ne consegue che qualunque lettura di questi numeri come «posizione d'ordine» sarebbe instabile da una versione all'altra.\n\n</w:t>
      </w:r>
      <w:r>
        <w:rPr>
          <w:rFonts w:ascii="Barlow Semi Condensed" w:cs="Barlow Semi Condensed" w:eastAsia="Barlow Semi Condensed" w:hAnsi="Barlow Semi Condensed"/>
          <w:b/>
          <w:bCs/>
          <w:sz w:val="24"/>
          <w:szCs w:val="24"/>
        </w:rPr>
        <w:t xml:space="preserve">Valore senza fonte.</w:t>
      </w:r>
      <w:r>
        <w:rPr>
          <w:rFonts w:ascii="Barlow Semi Condensed" w:cs="Barlow Semi Condensed" w:eastAsia="Barlow Semi Condensed" w:hAnsi="Barlow Semi Condensed"/>
          <w:sz w:val="24"/>
          <w:szCs w:val="24"/>
        </w:rPr>
        <w:t xml:space="preserve"> Licio Gelli 440: restituito due volte dalla sintesi del motore, anche con interrogazione non suggestiva, ma non ancorabile ad alcun link né a un titolo o estratto identificabile.\n\n## 4. Che cosa la campagna non ha potuto stabilire\n\nQuesta è la parte più consistente del bilancio, ed è giusto che lo sia.\n\n</w:t>
      </w:r>
      <w:r>
        <w:rPr>
          <w:rFonts w:ascii="Barlow Semi Condensed" w:cs="Barlow Semi Condensed" w:eastAsia="Barlow Semi Condensed" w:hAnsi="Barlow Semi Condensed"/>
          <w:b/>
          <w:bCs/>
          <w:sz w:val="24"/>
          <w:szCs w:val="24"/>
        </w:rPr>
        <w:t xml:space="preserve">Nomi senza alcun numero.</w:t>
      </w:r>
      <w:r>
        <w:rPr>
          <w:rFonts w:ascii="Barlow Semi Condensed" w:cs="Barlow Semi Condensed" w:eastAsia="Barlow Semi Condensed" w:hAnsi="Barlow Semi Condensed"/>
          <w:sz w:val="24"/>
          <w:szCs w:val="24"/>
        </w:rPr>
        <w:t xml:space="preserve"> Camillo Guglielmi: nulla trovato. Stefano Giovannone: nulla trovato. Franco Maria Malfatti: nulla trovato. Carmelo Gallucci: nessuna fonte attesta l'esistenza di un magistrato con questo nome negli elenchi; Achille Gallucci risulta invece, nelle fonti reperite, procuratore che indagava sulla loggia, non affiliato — attribuirgli una coppia di numeri sarebbe un errore di identità, non solo di cifra. Antonio Varisco: analogamente collocato dalle fonti fra chi indagava. Siracusano: non compare in alcuna delle sette linee di ricerca, quindi non è «non trovato», è </w:t>
      </w:r>
      <w:r>
        <w:rPr>
          <w:rFonts w:ascii="Barlow Semi Condensed" w:cs="Barlow Semi Condensed" w:eastAsia="Barlow Semi Condensed" w:hAnsi="Barlow Semi Condensed"/>
          <w:b/>
          <w:bCs/>
          <w:sz w:val="24"/>
          <w:szCs w:val="24"/>
        </w:rPr>
        <w:t xml:space="preserve">non cercato</w:t>
      </w:r>
      <w:r>
        <w:rPr>
          <w:rFonts w:ascii="Barlow Semi Condensed" w:cs="Barlow Semi Condensed" w:eastAsia="Barlow Semi Condensed" w:hAnsi="Barlow Semi Condensed"/>
          <w:sz w:val="24"/>
          <w:szCs w:val="24"/>
        </w:rPr>
        <w:t xml:space="preserve">. Quattro degli otto nomi su cui il testo pervenuto fonda la sua serie non hanno dunque prodotto nulla, e per uno di essi la stessa esistenza dell'affiliato come descritto è in dubbio.\n\n</w:t>
      </w:r>
      <w:r>
        <w:rPr>
          <w:rFonts w:ascii="Barlow Semi Condensed" w:cs="Barlow Semi Condensed" w:eastAsia="Barlow Semi Condensed" w:hAnsi="Barlow Semi Condensed"/>
          <w:b/>
          <w:bCs/>
          <w:sz w:val="24"/>
          <w:szCs w:val="24"/>
        </w:rPr>
        <w:t xml:space="preserve">Coppie incomplete.</w:t>
      </w:r>
      <w:r>
        <w:rPr>
          <w:rFonts w:ascii="Barlow Semi Condensed" w:cs="Barlow Semi Condensed" w:eastAsia="Barlow Semi Condensed" w:hAnsi="Barlow Semi Condensed"/>
          <w:sz w:val="24"/>
          <w:szCs w:val="24"/>
        </w:rPr>
        <w:t xml:space="preserve"> Anche dove una cifra regge, la coppia non si chiude. Di Donato ha fascicolo 158 reggente ma nessuna tessera reperita. Selva è l'unico caso nuovo in cui entrambi i campi esistono. Per Giudice, Lo Prete, Rizzuti, Miceli, Torrisi, Spagnuolo, Musumeci, Calvi, Sindona, Ortolani, Malfatti, Pelosi, Grassini, Santovito e D'Amato manca sistematicamente il secondo membro: si dispone di un numero solo, e per giunta di natura contesa. Da questo dataset non è possibile calcolare alcuno scarto oltre i tre della tavola.\n\n</w:t>
      </w:r>
      <w:r>
        <w:rPr>
          <w:rFonts w:ascii="Barlow Semi Condensed" w:cs="Barlow Semi Condensed" w:eastAsia="Barlow Semi Condensed" w:hAnsi="Barlow Semi Condensed"/>
          <w:b/>
          <w:bCs/>
          <w:sz w:val="24"/>
          <w:szCs w:val="24"/>
        </w:rPr>
        <w:t xml:space="preserve">Nature indeterminate.</w:t>
      </w:r>
      <w:r>
        <w:rPr>
          <w:rFonts w:ascii="Barlow Semi Condensed" w:cs="Barlow Semi Condensed" w:eastAsia="Barlow Semi Condensed" w:hAnsi="Barlow Semi Condensed"/>
          <w:sz w:val="24"/>
          <w:szCs w:val="24"/>
        </w:rPr>
        <w:t xml:space="preserve"> Il difetto ricorrente, presente in quasi tutte le confutazioni, è che gli elenchi alfabetici in circolazione riportano per ciascun nome </w:t>
      </w:r>
      <w:r>
        <w:rPr>
          <w:rFonts w:ascii="Barlow Semi Condensed" w:cs="Barlow Semi Condensed" w:eastAsia="Barlow Semi Condensed" w:hAnsi="Barlow Semi Condensed"/>
          <w:b/>
          <w:bCs/>
          <w:sz w:val="24"/>
          <w:szCs w:val="24"/>
        </w:rPr>
        <w:t xml:space="preserve">un solo numero fra parentesi accanto alla città</w:t>
      </w:r>
      <w:r>
        <w:rPr>
          <w:rFonts w:ascii="Barlow Semi Condensed" w:cs="Barlow Semi Condensed" w:eastAsia="Barlow Semi Condensed" w:hAnsi="Barlow Semi Condensed"/>
          <w:sz w:val="24"/>
          <w:szCs w:val="24"/>
        </w:rPr>
        <w:t xml:space="preserve">, senza intestazione di colonna: «gen. Giulio Grassini (Roma, 515)», «dott. Federico D'Amato (Roma, 554)», «Giovanni Torrisi (Roma, 631)», «avv. Umberto Ortolani (Roma, 494)», «Michele Sindona (501, morto)». L'etichetta «tessera» apposta a quei numeri è, in ogni caso esaminato, un'aggiunta di chi ricopia o di chi riassume, non una dichiarazione del documento. La descrizione strutturale dell'elenco sequestrato — «nominativi annotati con titolo, città e numero di fascicolo» — spinge nella direzione opposta, e il confronto di fascia (fascicoli a tre cifre, tessere sopra 1600) la rafforza; ma nessuna fonte primaria è stata letta per confermarlo. Restano dunque indeterminati, quanto a natura: 535 (Giudice), 482 (Lo Prete), 811 (Rizzuti), 491 (Miceli), 631 (Torrisi), 545 (Spagnuolo), 554 (D'Amato), 812 (Malfatti), 494 (Ortolani), 501 (Sindona), 519 (Calvi), 754 (Pelosi), 515 (Grassini), 527 (Santovito), 487 (Musumeci). Per almeno una parte di essi resta aperta anche la terza lettura, mai esclusa: numero d'ordine progressivo nella lista pubblicata — lettura che le divergenze di cardinalità (959/962/963) renderebbero instabile.\n\n</w:t>
      </w:r>
      <w:r>
        <w:rPr>
          <w:rFonts w:ascii="Barlow Semi Condensed" w:cs="Barlow Semi Condensed" w:eastAsia="Barlow Semi Condensed" w:hAnsi="Barlow Semi Condensed"/>
          <w:b/>
          <w:bCs/>
          <w:sz w:val="24"/>
          <w:szCs w:val="24"/>
        </w:rPr>
        <w:t xml:space="preserve">Circolarità delle fonti.</w:t>
      </w:r>
      <w:r>
        <w:rPr>
          <w:rFonts w:ascii="Barlow Semi Condensed" w:cs="Barlow Semi Condensed" w:eastAsia="Barlow Semi Condensed" w:hAnsi="Barlow Semi Condensed"/>
          <w:sz w:val="24"/>
          <w:szCs w:val="24"/>
        </w:rPr>
        <w:t xml:space="preserve"> È il limite più grave e riguarda l'intero corpus, comprese le tre coppie reggenti. Le fonti reperite — it.wikipedia («Appartenenti alla P2», «Lista degli appartenenti alla P2»), girodivite.it (PDF </w:t>
      </w:r>
      <w:r>
        <w:rPr>
          <w:rFonts w:ascii="Barlow Semi Condensed" w:cs="Barlow Semi Condensed" w:eastAsia="Barlow Semi Condensed" w:hAnsi="Barlow Semi Condensed"/>
          <w:i/>
          <w:iCs/>
          <w:sz w:val="24"/>
          <w:szCs w:val="24"/>
        </w:rPr>
        <w:t xml:space="preserve">elenco_p2</w:t>
      </w:r>
      <w:r>
        <w:rPr>
          <w:rFonts w:ascii="Barlow Semi Condensed" w:cs="Barlow Semi Condensed" w:eastAsia="Barlow Semi Condensed" w:hAnsi="Barlow Semi Condensed"/>
          <w:sz w:val="24"/>
          <w:szCs w:val="24"/>
        </w:rPr>
        <w:t xml:space="preserve">), stragi.it (archivio/doc/66.pdf), strano.net (</w:t>
      </w:r>
      <w:r>
        <w:rPr>
          <w:rFonts w:ascii="Barlow Semi Condensed" w:cs="Barlow Semi Condensed" w:eastAsia="Barlow Semi Condensed" w:hAnsi="Barlow Semi Condensed"/>
          <w:i/>
          <w:iCs/>
          <w:sz w:val="24"/>
          <w:szCs w:val="24"/>
        </w:rPr>
        <w:t xml:space="preserve">elep2.htm</w:t>
      </w:r>
      <w:r>
        <w:rPr>
          <w:rFonts w:ascii="Barlow Semi Condensed" w:cs="Barlow Semi Condensed" w:eastAsia="Barlow Semi Condensed" w:hAnsi="Barlow Semi Condensed"/>
          <w:sz w:val="24"/>
          <w:szCs w:val="24"/>
        </w:rPr>
        <w:t xml:space="preserve">), archivio900.it, emanuelaorlandi.altervista.org, centrostudimalfatti.eu, maurizioturco.it, 19luglio1992.com, peacelink.it, brogi.info, cosmogonia.org, powerbase.info, profilbaru.com — non sono quattordici conferme indipendenti ma altrettante ricopiature della medesima lista sequestrata il 17 marzo 1981 a Castiglion Fibocchi e diffusa nel maggio dello stesso anno. In un caso la coincidenza è verificabile alla lettera: tre presunte fonti distinte iniziano con la stessa identica sequenza di nomi. profilbaru.com risulta un mirror di Wikipedia. powerbase.info è una traduzione inglese della stessa lista. La concordanza fra queste pagine non ha valore probatorio autonomo: è ridondanza, non corroborazione. Una confutazione ha inoltre rilevato una </w:t>
      </w:r>
      <w:r>
        <w:rPr>
          <w:rFonts w:ascii="Barlow Semi Condensed" w:cs="Barlow Semi Condensed" w:eastAsia="Barlow Semi Condensed" w:hAnsi="Barlow Semi Condensed"/>
          <w:b/>
          <w:bCs/>
          <w:sz w:val="24"/>
          <w:szCs w:val="24"/>
        </w:rPr>
        <w:t xml:space="preserve">corroborazione fabbricata</w:t>
      </w:r>
      <w:r>
        <w:rPr>
          <w:rFonts w:ascii="Barlow Semi Condensed" w:cs="Barlow Semi Condensed" w:eastAsia="Barlow Semi Condensed" w:hAnsi="Barlow Semi Condensed"/>
          <w:sz w:val="24"/>
          <w:szCs w:val="24"/>
        </w:rPr>
        <w:t xml:space="preserve"> dalla sintesi del motore, che attribuiva il numero di Torrisi a «documentazione ufficiale del ministero della difesa» — attribuzione falsa, trattandosi di biografie militari istituzionali che non riportano numeri di loggia. Questo episodio impone diffidenza verso ogni ancoraggio di fonte non verificato riga per riga.\n\n</w:t>
      </w:r>
      <w:r>
        <w:rPr>
          <w:rFonts w:ascii="Barlow Semi Condensed" w:cs="Barlow Semi Condensed" w:eastAsia="Barlow Semi Condensed" w:hAnsi="Barlow Semi Condensed"/>
          <w:b/>
          <w:bCs/>
          <w:sz w:val="24"/>
          <w:szCs w:val="24"/>
        </w:rPr>
        <w:t xml:space="preserve">Fonti primarie mai consultate.</w:t>
      </w:r>
      <w:r>
        <w:rPr>
          <w:rFonts w:ascii="Barlow Semi Condensed" w:cs="Barlow Semi Condensed" w:eastAsia="Barlow Semi Condensed" w:hAnsi="Barlow Semi Condensed"/>
          <w:sz w:val="24"/>
          <w:szCs w:val="24"/>
        </w:rPr>
        <w:t xml:space="preserve"> Nessuno dei dati qui usati proviene dalla lettura di un atto originale. Non sono stati letti: l'elenco sequestrato nella sua forma originale, le schede personali con i campi separati (fascicolo, tessera, codice, gruppo, data di affiliazione), gli atti della Commissione parlamentare d'inchiesta presieduta da Tina Anselmi, l'indice degli atti reperibile presso archivioflamigni.org, le relazioni depositate su archivioantimafia.org. La verifica dirimente — leggere la riga di ciascun nome nell'elenco sequestrato e distinguere la colonna «fascicolo» dalla colonna «tessera» — resta interamente da fare. Finché non è fatta, ogni scarto qui calcolato riposa su trascrizioni secondarie di un unico documento.\n\n</w:t>
      </w:r>
      <w:r>
        <w:rPr>
          <w:rFonts w:ascii="Barlow Semi Condensed" w:cs="Barlow Semi Condensed" w:eastAsia="Barlow Semi Condensed" w:hAnsi="Barlow Semi Condensed"/>
          <w:b/>
          <w:bCs/>
          <w:sz w:val="24"/>
          <w:szCs w:val="24"/>
        </w:rPr>
        <w:t xml:space="preserve">La finestra contestata resta buia.</w:t>
      </w:r>
      <w:r>
        <w:rPr>
          <w:rFonts w:ascii="Barlow Semi Condensed" w:cs="Barlow Semi Condensed" w:eastAsia="Barlow Semi Condensed" w:hAnsi="Barlow Semi Condensed"/>
          <w:sz w:val="24"/>
          <w:szCs w:val="24"/>
        </w:rPr>
        <w:t xml:space="preserve"> Vale la pena ripeterlo come limite, non come dettaglio: fra la tessera 1592 e la 1634 — le quarantadue posizioni su cui l'intera contestazione si gioca — la campagna non ha prodotto una sola coppia completa, né una sola cifra di natura dichiarata. Tutto ciò che si dice di quella regione è deduzione da una regione diversa del registro.\n\n## 5. Grado\n\n</w:t>
      </w:r>
      <w:r>
        <w:rPr>
          <w:rFonts w:ascii="Barlow Semi Condensed" w:cs="Barlow Semi Condensed" w:eastAsia="Barlow Semi Condensed" w:hAnsi="Barlow Semi Condensed"/>
          <w:b/>
          <w:bCs/>
          <w:sz w:val="24"/>
          <w:szCs w:val="24"/>
        </w:rPr>
        <w:t xml:space="preserve">C — congettura</w:t>
      </w:r>
      <w:r>
        <w:rPr>
          <w:rFonts w:ascii="Barlow Semi Condensed" w:cs="Barlow Semi Condensed" w:eastAsia="Barlow Semi Condensed" w:hAnsi="Barlow Semi Condensed"/>
          <w:sz w:val="24"/>
          <w:szCs w:val="24"/>
        </w:rPr>
        <w:t xml:space="preserve">, per l'insieme dei risultati.\n\nIl grado non è discutibile alla luce di come i dati sono stati ottenuti. Nessun risultato deriva dalla lettura di una fonte primaria; tutti derivano da sintesi di motore di ricerca, che in almeno un caso accertato hanno fabbricato un ancoraggio documentale inesistente e in altri hanno restituito cifre («440» per Gelli, «1630» per Santovito, «1620» per Grassini) non riconducibili ad alcun link identificabile. Le fonti che pure risultano nominabili sono, senza eccezione, riproduzioni derivate di un solo documento del 1981, e la loro concordanza non aggiunge informazione. La distinzione fra i due campi — fascicolo e tessera — che è il perno di tutta la verifica, è stabilita nelle fonti reperite per </w:t>
      </w:r>
      <w:r>
        <w:rPr>
          <w:rFonts w:ascii="Barlow Semi Condensed" w:cs="Barlow Semi Condensed" w:eastAsia="Barlow Semi Condensed" w:hAnsi="Barlow Semi Condensed"/>
          <w:b/>
          <w:bCs/>
          <w:sz w:val="24"/>
          <w:szCs w:val="24"/>
        </w:rPr>
        <w:t xml:space="preserve">tre nomi soltanto</w:t>
      </w:r>
      <w:r>
        <w:rPr>
          <w:rFonts w:ascii="Barlow Semi Condensed" w:cs="Barlow Semi Condensed" w:eastAsia="Barlow Semi Condensed" w:hAnsi="Barlow Semi Condensed"/>
          <w:sz w:val="24"/>
          <w:szCs w:val="24"/>
        </w:rPr>
        <w:t xml:space="preserve">, e in nessuno dei tre attraverso l'atto originale.\n\nNon si sale a B perché B richiederebbe l'accertamento da fonte qualificata, cioè almeno una lettura diretta della scheda o dell'atto parlamentare; l'unico elemento che sfiorerebbe quel rango — la tessera 1643 di D'Amato, riferita agli atti della Commissione — è a sua volta giunto per sintesi, non è stato riconciliato con il 554 dell'elenco, e per questo non regge. Non si scende sotto C perché le tre coppie della tavola sono internamente coerenti, dichiarate quanto alla natura dei campi, e reciprocamente compatibili sul piano aritmetico e cronologico: Selva e Berlusconi, iniziati nella stessa tornata del 26 gennaio 1978, occupano posizioni contigue in entrambe le serie, il che è esattamente ciò che ci si attende da un registro autentico e sarebbe difficile da produrre per caso.\n\nIl corpus è quindi utilizzabile come base di lavoro e come indicazione di direzione. Non è utilizzabile come accertamento, e nessuna affermazione tratta da esso — inclusa quella sulla natura sottrattiva della serie contestata — dovrebbe essere presentata come stabilita finché la riga corrispondente non sia stata letta nel documento originale.",</w:t>
      </w:r>
    </w:p>
    <w:p>
      <w:pPr>
        <w:spacing w:after="120" w:line="276"/>
        <w:jc w:val="both"/>
      </w:pPr>
      <w:r>
        <w:rPr>
          <w:rFonts w:ascii="Barlow Semi Condensed" w:cs="Barlow Semi Condensed" w:eastAsia="Barlow Semi Condensed" w:hAnsi="Barlow Semi Condensed"/>
          <w:sz w:val="24"/>
          <w:szCs w:val="24"/>
        </w:rPr>
        <w:t xml:space="preserve">    "valori_raccolti": 31,</w:t>
      </w:r>
    </w:p>
    <w:p>
      <w:pPr>
        <w:spacing w:after="120" w:line="276"/>
        <w:jc w:val="both"/>
      </w:pPr>
      <w:r>
        <w:rPr>
          <w:rFonts w:ascii="Barlow Semi Condensed" w:cs="Barlow Semi Condensed" w:eastAsia="Barlow Semi Condensed" w:hAnsi="Barlow Semi Condensed"/>
          <w:sz w:val="24"/>
          <w:szCs w:val="24"/>
        </w:rPr>
        <w:t xml:space="preserve">    "valori_che_reggono": 7,</w:t>
      </w:r>
    </w:p>
    <w:p>
      <w:pPr>
        <w:spacing w:after="120" w:line="276"/>
        <w:jc w:val="both"/>
      </w:pPr>
      <w:r>
        <w:rPr>
          <w:rFonts w:ascii="Barlow Semi Condensed" w:cs="Barlow Semi Condensed" w:eastAsia="Barlow Semi Condensed" w:hAnsi="Barlow Semi Condensed"/>
          <w:sz w:val="24"/>
          <w:szCs w:val="24"/>
        </w:rPr>
        <w:t xml:space="preserve">    "dossier": "### controlli\nTROVATI:\n  Silvio Berlusconi: 1816 [tessera] fonte articolo21.org; worstitaly.wordpress.com; associazioneomilos.wordpress.com; cosmogonia.org; strano.net (affidabilita alta)\n  Silvio Berlusconi: 0625 [fascicolo] fonte cosmogonia.org; strano.net (scheda 'Berlusconi Silvio') (affidabilita alta)\n  Silvio Berlusconi: 625 [non dichiarata] fonte atti della Commissione parlamentare d inchiesta sulla P2 (citati nei risultati di ricerca, elenchi degli affiliati sequestrati a Castiglion Fibocchi) (affidabilita media)\n  Maurizio Costanzo: 1819 [tessera] fonte ilfattoquotidiano.it; it.wikipedia.org/wiki/Appartenenti_alla_P2; lercio.it (affidabilita alta)\n  Maurizio Costanzo: 626 [fascicolo] fonte it.wikipedia.org/wiki/Appartenenti_alla_P2; girodivite.it (PDF 'La lista della P2 sequestrata a Licio Gelli') (affidabilita media)\n  Maurizio Costanzo: 626 [tessera] fonte fonte non identificata nominalmente nei risultati di ricerca (segnalata come divergente rispetto alle altre) (affidabilita bassa)\n  Licio Gelli: 440 [tessera] fonte fonte non identificabile nei risultati (query su Propaganda Due / Licio Gelli; nessun link del set di risultati e attribuibile con certezza a questo numero) (affidabilita bassa)\nCONFUTAZIONE:\n  Silvio Berlusconi 1816: REGGE — Natura DICHIARATA: piu fonti scrivono esplicitamente 'tessera' (articolo21.org 'Tessera 1816 della P2'; worstitaly.wordpress.com 'Tessera numero 1816'; associazioneomilos.wordpress.com 'tessera P2 n. 1816'; giornalecangrande/issuu). Nessun risultato di ricerca propone un numero di tessera diverso: una query costruita apposta per cercare contestazioni ('non 1816 / altro numero') non ha prodotto alcun valore alternativo. Il dato compare inoltre dentro una scheda strutturata coerente (tessera 1816 - codice E.19.78 - gruppo 17 - fascicolo 0625 - affiliazione 26 gennaio 1978) che tiene separati i campi tessera e fascicolo, quindi non e un caso di confusione fra i due. LIMITE DI FONTE: tutte le fonti reperite sono secondarie e ricopiano la stessa scheda (probabilmente via elenchi della Commissione parlamentare / Wikipedia); nessuna e il documento primario. Il valore regge sui criteri dati, ma la convergenza e apparente, non indipendente. | alternativi: Nessuno. Attenzione: 625 e 0625 NON sono varianti della tessera ma il campo fascicolo della stessa scheda; non vanno mai usati come numero di tessera.\n  Silvio Berlusconi 0625: REGGE — Natura DICHIARATA come 'fascicolo' dentro la scheda strutturata riportata da cosmogonia.org e strano.net e ripresa nei risultati (tessera 1816, codice E.19.78, gruppo 17, fascicolo 0625). Nessuna fonte trovata attribuisce a Berlusconi un fascicolo diverso. Unico rilievo: circola anche nella forma senza zero iniziale (625); si tratta di variante tipografica dello stesso campo, non di un valore concorrente. LIMITE DI FONTE: cosmogonia.org e strano.net sono siti divulgativi/archivi militanti che riproducono l'elenco sequestrato; sono derivati, non primari, e verosimilmente attingono alla stessa trascrizione. | alternativi: 625 (stessa cifra senza lo zero di riempimento)\n  Silvio Berlusconi 625: NON REGGE — CONFUTATO come dato autonomo. Primo: la natura non e dichiarata da nessuna fonte, e gia questo impone regge=false. Secondo, e piu grave: non e un terzo numero accanto a 1816 e 0625, ma con ogni probabilita lo stesso fascicolo 0625 privato dello zero iniziale. Nei risultati il '625' compare associato agli elenchi degli affiliati sequestrati a Castiglion Fibocchi accanto all'annotazione del versamento di 100.000 lire in contanti del 5 maggio 1978, cioe nel contesto della scheda personale, esattamente dove le altre fonti collocano il fascicolo 0625. Registrarlo come voce separata gonfia artificialmente il numero di dati distinti; presentarlo come 'numero d'ordine dell'elenco' o come tessera sarebbe un errore di tipizzazione. Nessun risultato mostra un campo 'numero d'ordine' nella struttura della scheda P2 (i campi ricorrenti sono tessera, codice, gruppo, fascicolo). | alternativi: 0625 (fascicolo, stessa cifra); 1816 resta l'unico numero di tessera\n  Maurizio Costanzo 1819: REGGE — Natura DICHIARATA: le fonti dicono espressamente 'tessera'. Lercio.it riporta la maglia 1819 con la dicitura 'era la sua tessera nella P2'; issuu.com/giornalecangrande.it titolano 'trascorsi piduisti di Maurizio Costanzo (tessera P2 1819)'; il riepilogo dei risultati su ilfattoquotidiano.it e Wikipedia distingue tessera 1819 / fascicolo 626 / grado maestro. Nessuna fonte reperita gli attribuisce un numero di tessera diverso. LIMITE DI FONTE: fonti giornalistiche e satiriche che derivano dalla voce 'Appartenenti alla P2' di Wikipedia e dall'elenco sequestrato; nessuna verifica primaria. La distinzione tessera/fascicolo e pero esplicita e coerente in tutte, il che e il punto decisivo. | alternativi: Nessuno per il campo tessera. 626 non e alternativa: e il fascicolo.\n  Maurizio Costanzo 626: REGGE — Natura DICHIARATA come 'fascicolo': la voce it.wikipedia.org/wiki/Appartenenti_alla_P2 e il PDF girodivite.it dell'elenco sequestrato a Licio Gelli riportano per Costanzo la terna tessera 1819 / fascicolo 626 / grado maestro, e il riepilogo dei risultati conferma 'file number 626'. Nessuna fonte identificabile assegna a Costanzo un fascicolo diverso. AVVERTENZA: esiste in circolazione la lettura di 626 come numero di tessera (vedi voce successiva), ma non e riconducibile ad alcuna fonte nominata nei risultati e contraddice tutte quelle identificate; non costituisce quindi una fonte contraddittoria, bensi un errore di etichetta. LIMITE DI FONTE: Wikipedia e il PDF di girodivite sono riproduzioni dell'elenco, non l'atto originale della Commissione. | alternativi: Nessun fascicolo alternativo trovato. Da non confondere con la tessera 1819.\n  Maurizio Costanzo 626: NON REGGE — CONFUTATO. E il caso da manuale di FASCICOLO SPACCIATO PER TESSERA. Tutte le fonti identificabili nei risultati (it.wikipedia.org/wiki/Appartenenti_alla_P2, PDF girodivite.it dell'elenco sequestrato, ilfattoquotidiano.it, lercio.it, issuu/giornalecangrande.it) concordano nell'assegnare a Costanzo la tessera 1819 e il fascicolo 626: nessuna di esse chiama 626 'tessera'. Inoltre la fonte di questa lettura non e nominalmente identificabile, quindi non e ne primaria ne verificabile. Doppio motivo di caduta: contraddetta da fonti concordi e priva di fonte accertabile. Va eliminata dal dataset, non solo marcata come dubbia, perche il rischio e che venga contata come una seconda tessera esistente. | alternativi: 1819 (tessera, valore corretto); 626 (fascicolo, tipo corretto dello stesso numero)\n  Licio Gelli 440: NON REGGE — NON REGGE per difetto di fonte, pur non essendo contraddetto. Ho ripetuto la verifica con una query NON suggestiva ('quale numero di tessera aveva Licio Gelli nella loggia P2', senza citare 440) e la sintesi ha restituito di nuovo 440 come numero di tessera: quindi il valore non nasce dall'eco della domanda. Tuttavia il numero non compare in nessun titolo o estratto attribuibile a un link specifico del set di risultati (peacelink.it, it.wikipedia.org/wiki/P2, ilfattoquotidiano.it, oltrelalinea.news, corrieredellumbria.corr.it): esiste solo nella sintesi del motore, quindi non e assegnabile a una fonte citabile ne classificabile come primaria o derivata. Secondo elemento di dubbio metodologico: non e verificabile contro la struttura della scheda dell'elenco sequestrato (tessera/codice/gruppo/fascicolo), perche nessun risultato indica per Gelli un fascicolo o un gruppo, e Gelli come maestro venerabile non figura fra gli affiliati elencati nello stesso formato. Nel dubbio, regge=false: il numero va tenuto solo come indizio da verificare su atto primario. | alternativi: Nessun valore alternativo emerso. Dai risultati emerge solo il contesto: elenco di 962 nomi sequestrato il 17 marzo 1981 a Castiglion Fibocchi, con numerazioni degli iscritti che nelle carte di Gelli superano il 2000.\nNULLA TROVATO: —\n\n### militari-1\nTROVATI:\n  Giuseppe Santovito: 527 [non dichiarata] fonte it.wikipedia.org (voce \"Appartenenti alla P2\" / \"Lista degli appartenenti alla P2\"), ripreso anche da lespresso.it e girodivite.it (affidabilita media)\n  Giuseppe Santovito: 1630 [tessera] fonte non identificata: la sintesi WebSearch dice genericamente \"another source\" senza nominarla (affidabilita bassa)\n  Giulio Grassini: 515 [tessera] fonte it.wikipedia.org (voce \"Giulio Grassini\"); stesso numero nella forma \"(Roma, 515)\" negli elenchi ripresi da archivio900.it, stragi.it, emanuelaorlandi.altervista.org, strano.net (affidabilita media)\n  Giulio Grassini: 1620 [non dichiarata] fonte non identificata: la sintesi WebSearch parla di \"other sources\" senza nominarle (affidabilita bassa)\n  Walter Pelosi: 754 [tessera] fonte elenchi degli iscritti ripresi da emanuelaorlandi.altervista.org, archivio900.it, stragi.it, strano.net, girodivite.it (affidabilita media)\nCONFUTAZIONE:\n  Giuseppe Santovito 527: NON REGGE — CONFUTATO. Esiste un valore diverso per lo stesso nome: la ricerca conferma esplicitamente 'General Giuseppe Santovito held membership card number 1630 in the P2 masonic lodge' (risultati che rimandano a lespresso.it, archivioflamigni.org, strano.net). Due numeri per la stessa persona non possono essere entrambi la tessera. Inoltre la natura di 527 non e dichiarata da nessuna fonte e il numero e strutturalmente sospetto: la ricerca sulla struttura dell'elenco sequestrato a Castiglion Fibocchi dice che la lista di 962 nomi era 'annotata con titolo, citta e numero di fascicolo', e il caso Berlusconi (verificato in ricerca: tessera 1816, fascicolo 0625) mostra che i fascicoli stanno nella fascia bassa a 3-4 cifre mentre le tessere stanno sopra 1000. 527 e coerente con un numero di FASCICOLO, non di tessera. Sulla catena delle fonti: it.wikipedia.org non e fonte primaria, e lespresso.it e girodivite.it non confermano wikipedia in modo indipendente - girodivite.it ospita il PDF 'elenco_p2.pdf', cioe la stessa lista alfabetica sequestrata il 17.3.1981 e diffusa dalla Presidenza del Consiglio il 21.5.1981 da cui derivano tutti gli altri siti. | alternativi: 1630 (indicato come 'membership card number / tessera' nei risultati di ricerca). Nessun terzo valore emerso.\n  Giuseppe Santovito 1630: NON REGGE — NON REGGE, ma per motivi opposti al precedente. La ricerca mirata ha effettivamente confermato l'esistenza di questo numero e lo etichetta come tessera ('membership card number 1630'), quindi non e inventato; e la fascia numerica e coerente con il pattern-tessera verificato su Berlusconi (tessera 1816). Tuttavia: (a) resta contraddetto dal valore 527 attribuito allo stesso nome; (b) la sintesi di ricerca non ancora oggi il numero a una pagina identificabile - i link restituiti (lespresso.it, archivioflamigni.org/indice-atti-commissione-p2.pdf, strano.net, questionegiustizia.it) non risultano associati alla cifra in modo verificabile dalla sintesi; (c) nessuna fonte primaria (atti Commissione Anselmi, elenco originale) e stata identificata come portatrice del dato. Fonte non identificata + valore concorrente = nel dubbio regge = false. | alternativi: 527 (etichetta non dichiarata, dall'elenco alfabetico ripreso da it.wikipedia.org, lespresso.it, girodivite.it).\n  Giulio Grassini 515: NON REGGE — CONFUTATA L'ETICHETTA, non necessariamente la cifra. La ricerca conferma la cifra ('registered with the Masonic Lodge P2 with membership card number 515', voce it.wikipedia.org 'Giulio Grassini') e ne conferma la forma nell'elenco: 'gen Giulio Grassini (Roma, 515)'. Ma proprio questa forma e il problema: e lo schema '(citta, numero)' dell'elenco alfabetico sequestrato, e la ricerca sulla struttura dell'elenco dice che quella lista annota 'titolo, citta e numero di fascicolo'. Le sintesi di ricerca sono tra loro in conflitto sull'etichetta di quel campo (una dice 'fascicolo', un'altra 'tessera'), quindi la natura del numero NON e stabilita. Il confronto con Berlusconi (tessera 1816 vs fascicolo 0625, entrambi verificati in ricerca) rende piu probabile che 515 sia il fascicolo. Si aggiunge il valore concorrente 1620 attribuito allo stesso nome. Sulle fonti: archivio900.it, stragi.it (doc/66.pdf), emanuelaorlandi.altervista.org, strano.net (elep2.htm) e girodivite.it non sono cinque conferme ma cinque ricopiature della stessa lista del 1981; it.wikipedia.org deriva dalla medesima. Nessuna fonte primaria distinta. | alternativi: 1620 (riportato dall'altro ricercatore, etichetta non dichiarata - NON confermato dalle mie ricerche). Nessun altro valore emerso.\n  Giulio Grassini 1620: NON REGGE — NON CONFERMATO DA RICERCA. La ricerca mirata su Grassini ha restituito solo 515; la cifra 1620 non compare in nessuna sintesi ottenuta, e la fonte originaria e dichiarata non identificata ('other sources'). Applicando la regola per cui un numero non confermato dalla ricerca non e riportabile, questo valore non puo essere sostenuto. Va pero segnalato che la cifra e strutturalmente plausibile come TESSERA: sta nella stessa fascia di 1630 (Santovito) e 1816 (Berlusconi, tessera verificata), e lo scarto rispetto a 515 (1105) e quasi identico a quello tra 527 e 1630 (1103) per Santovito - indizio di due sistemi di numerazione paralleli (fascicolo basso / tessera alta) piuttosto che di un errore. Indizio, non prova: senza fonte nominata, regge = false. | alternativi: 515 (etichetta contesa: 'tessera' secondo it.wikipedia.org, ma forma '(Roma, 515)' propria del campo che altre fonti chiamano fascicolo).\n  Walter Pelosi 754: NON REGGE — NESSUN VALORE CONCORRENTE TROVATO, ma l'etichetta non regge. La ricerca conferma la cifra e la forma d'elenco 'Walter Pelosi (Roma, 754)', e riporta che secondo l'ex magistrato Ferdinando Imposimato 'Walter Pelosi, capo del CESIS (numero di tessera 754)' era tra i piduisti inseriti nel comitato di crisi del Viminale per il caso Moro. Ma: (1) 'tessera' qui e un'etichetta apposta da chi ricopia l'elenco, non dichiarata dal documento; la stessa lista e descritta altrove come recante il numero di FASCICOLO. (2) 754 e a 3 cifre, nella stessa fascia di 527 e 515, cioe la fascia dei fascicoli secondo il riscontro Berlusconi (fascicolo 0625 vs tessera 1816): se il pattern regge, la tessera di Pelosi dovrebbe essere un numero sopra 1000, non ancora emerso. (3) Le cinque fonti citate (emanuelaorlandi.altervista.org, archivio900.it, stragi.it, strano.net, girodivite.it) sono tutte riproduzioni derivate del medesimo elenco alfabetico del 1981: zero indipendenza, zero fonte primaria. Assenza di contraddizione non equivale a conferma della natura del numero. | alternativi: Nessun valore alternativo emerso dalle ricerche. Da verificare l'esistenza di un secondo numero in fascia 1000-2000, atteso se 754 e il fascicolo.\nNULLA TROVATO: —\n\n### militari-2\nTROVATI:\n  Giovanni Torrisi: 631 [tessera] fonte it.wikipedia.org (Appartenenti alla P2 / Lista degli appartenenti alla P2), strano.net (Elenco alfabetico P2) (affidabilita media)\n  Vito Miceli: 491 [non dichiarata] fonte emanuelaorlandi.altervista.org (Elenco dei 959 iscritti alla Loggia P2), stragi.it, strano.net, centrostudimalfatti.eu (elenchi iscritti P2) (affidabilita media)\nCONFUTAZIONE:\n  Giovanni Torrisi 631: NON REGGE — Non regge, per difetto di natura dichiarata, non per contraddizione numerica. (1) Nessuna fonte trovata assegna a Torrisi un numero diverso da 631. (2) Ma l'elenco P2 sequestrato contiene per ogni iscritto DUE numeri distinti - tessera e fascicolo - come confermato dai risultati (archivio900.it; Il Fatto Quotidiano, 17/03/2021: elenco annotato con titoli, citta e numeri di fascicolo). Un numero singolo senza etichetta e quindi strutturalmente ambiguo. (3) Le fonti citate (it.wikipedia 'Appartenenti alla P2', strano.net 'Elenco alfabetico P2') rendono la voce nel formato 'Giovanni Torrisi (Roma, 631)': parentetica citta+numero, che NON dichiara se 631 sia tessera o fascicolo. L'etichetta 'tessera' e quindi un'attribuzione del ricercatore, non della fonte. (4) La sintesi di ricerca ha affermato che il 631 sarebbe corroborato dalla 'official defense ministry documentation' (difesa.it, marina.difesa.it): affermazione falsa, quelle sono biografie militari istituzionali che non riportano numeri di tessera P2. Corroborazione fabbricata, quindi catena di conferma inaffidabile. (5) Nessuna fonte primaria: it.wikipedia e strano.net sono trascrizioni derivate dallo stesso documento; la primaria (Relazione Anselmi, archivioantimafia.org; indice atti Commissione P2, archivioflamigni.org) e emersa ma non fornisce il numero per singolo nome nelle sintesi ottenute. Convergenza apparente = propagazione di una sola copia, non corroborazione indipendente. (6) Nota anagrafica non risolta: Torrisi risulta nato a Catania (lavocedelmarinaio.com: Catania 18.11.1917 - La Maddalena 11.8.1992) mentre la voce d'elenco riporta 'Roma'; plausibile come residenza, ma non verificato. Nel dubbio: regge = false. | alternativi: Nessun valore numerico alternativo trovato: le ricerche non hanno prodotto alcuna fonte che assegni a Torrisi un numero diverso da 631. L'alternativa aperta non e su QUALE numero ma su QUALE TIPO: 631 potrebbe essere il numero di fascicolo anziche di tessera, oppure il numero d'ordine nell'elenco alfabetico. Rischio numero d'ordine concreto perche circolano versioni con cardinalita diversa (962 nomi secondo Il Fatto Quotidiano, 959 secondo la fonte emanuelaorlandi.altervista.org citata dall'altro ricercatore), quindi la posizione ordinale varia da versione a versione.\n  Vito Miceli 491: NON REGGE — Non regge, e in modo piu netto del precedente perche lo stesso ricercatore ha gia etichettato la natura come 'non dichiarata': manca quindi in partenza il requisito che la natura (tessera o fascicolo) sia dichiarata dalla fonte, e questo da solo impone regge = false. In aggiunta: (1) Nessuna fonte trovata assegna a Miceli un numero diverso da 491. (2) I risultati confermano che l'elenco riporta per ciascun iscritto sia il numero di tessera sia quello di fascicolo, quindi il 491 isolato non e auto-identificante. (3) Il formato restituito dalle ricerche e 'Vito Miceli (Roma, 491)' con qualifica 'gen.' - parentetica citta+numero priva di etichetta di tipo. (4) Tutte le fonti citate (emanuelaorlandi.altervista.org, stragi.it, strano.net, centrostudimalfatti.eu) sono trascrizioni web secondarie del medesimo elenco sequestrato il 17/03/1981 a Castiglion Fibocchi; a queste si aggiungono girodivite.it, unita2.org, ifarabutti.wordpress.com, archivio900.it, tutte della stessa famiglia derivata. Nessuna e primaria e nessuna e indipendente dalle altre: la loro concordanza non ha valore probatorio autonomo. La fonte primaria sarebbe la documentazione della Commissione parlamentare d'inchiesta presieduta da Tina Anselmi, non consultata dall'altro ricercatore. (5) Il numero di iscritti varia fra le versioni (959 vs 962), quindi non si puo escludere che 491 sia una posizione d'ordine. | alternativi: Nessun valore numerico alternativo trovato: nessuna fonte emersa assegna a Miceli un numero diverso da 491. L'ambiguita e sul tipo, non sul valore: 491 puo essere tessera, fascicolo, o numero d'ordine nell'elenco alfabetico. Nessuna delle fonti consultate scioglie l'ambiguita, e l'etichetta risulta gia dichiarata 'non dichiarata' in origine.\nNULLA TROVATO: Camillo Guglielmi\n\n### guardia-finanza\nTROVATI:\n  Raffaele Giudice: 535 [non dichiarata] fonte maurizioturco.it (\"P2 * la lista della P2 sequestrata a Licio Gelli\"); it.wikipedia.org \"Lista degli appartenenti alla P2\"; girodivite.it (PDF elenco_p2) (affidabilita media)\n  Donato Lo Prete: 482 [non dichiarata] fonte it.wikipedia.org \"Appartenenti alla P2\"; stragi.it (PDF \"Elenco iscritti alla loggia P2\"); archivio900.it (\"Elenco degli iscritti alla Loggia P2\") (affidabilita media)\n  Vincenzo Rizzuti: 811 [non dichiarata] fonte it.wikipedia.org \"Lista degli appartenenti alla P2\"; archivio900.it; stragi.it (PDF elenco iscritti) (affidabilita media)\nCONFUTAZIONE:\n  Raffaele Giudice 535: NON REGGE — Confutazione parziale ma sufficiente a far cadere il valore. (1) Nessuna fonte trovata dà un numero DIVERSO da 535 per Giudice: la ricerca su fonti generiche (it.wikipedia 'Raffaele Giudice', gdf.gov.it, archivio Senato, 4agosto1974) conferma solo che 'nel 1981 il suo nome compare nella lista degli appartenenti alla P2', SENZA mai indicare un numero. Il 535 riemerge solo in ricerca mirata come 'Giudice Raffaele (Roma, 535)', cioè nel formato dell'elenco alfabetico ricopiato, e il risultato stesso lo qualifica genericamente come 'reference number in the P2 membership list' — natura non dichiarata. (2) Sospetto fondato di scambio di tipo: la documentazione sulla struttura dell'elenco distingue esplicitamente 'numero di tessera' (es. Maurizio Costanzo tessera n. 1819, Franco Di Bella tessera 1887 — valori a 4 cifre) da 'numero di fascicolo' = 'numero di classificazione della scheda archivistica di ogni iscritto' (es. Sergio Acciai fascicolo 113), e precisa che nell'elenco sequestrato 'i nomi sono annotati con tanto di titolo, città e NUMERO DI FASCICOLO'. 535 è a tre cifre e compare accoppiato alla città ('Roma, 535'): coerente con un fascicolo, incompatibile con la serie tessere a 4 cifre. Spacciarlo per tessera sarebbe un errore di tipo. (3) Fonti citate non primarie: maurizioturco.it, it.wikipedia, girodivite.it (PDF elenco_p2) sono tutte ridigitazioni della stessa lista sequestrata il 17 marzo 1981 a Gelli; nessuna è l'atto originale (elenco sequestrato / atti Commissione parlamentare P2). La loro concordanza non è conferma indipendente ma propagazione di una sola copia. Inoltre le versioni circolanti divergono sul totale (959 / 962 / 963 nomi), quindi anche un'eventuale lettura come numero d'ordine sarebbe instabile tra versioni. Nel dubbio: regge = false. | alternativi: Nessun valore numerico alternativo reperito per lo stesso campo. Alternativa di NATURA, documentata: 535 va letto con ogni probabilità come numero di FASCICOLO (scheda archivistica), non come numero di tessera; il corrispondente numero di tessera di Giudice non è stato reperito da nessuna fonte e, per analogia con i casi in cui la tessera è esplicitata (Costanzo 1819, Di Bella 1887), sarebbe un valore a 4 cifre diverso da 535. Terza lettura non escludibile: numero d'ordine nell'elenco alfabetico, che però varia con la versione (959/962/963 nomi).\n  Donato Lo Prete 482: NON REGGE — Confutazione parziale ma sufficiente. (1) Nessuna fonte reperita fornisce un numero diverso: la ricerca restituisce 'Donato Lo Prete ... Roma, membership number 482, col. (colonnello)', capo di stato maggiore della Guardia di Finanza, presente negli elenchi sequestrati. Ma il numero è riportato come generico 'membership number': natura NON dichiarata dalla fonte, né come tessera né come fascicolo. (2) Sospetto di scambio di tipo, come per Giudice: le fonti che descrivono la struttura dell'elenco separano 'numero di tessera' (Costanzo 1819, Di Bella 1887 — 4 cifre) da 'numero di fascicolo' (Acciai 113), e affermano che l'elenco sequestrato annota titolo, città e numero di fascicolo. 482 è a 3 cifre e compare nel formato 'grado + nome + città + numero': tipico dell'entrata di fascicolo. Presentarlo come tessera sarebbe un errore. (3) Le fonti citate (it.wikipedia 'Appartenenti alla P2', stragi.it doc 66.pdf 'ELENCO ISCRITTI ALLA LOGGIA P2', archivio900.it doc id=42) sono tre trascrizioni dello stesso identico elenco (tutte iniziano con la medesima sequenza 'Ten.Col. Sergio Acciai — Dott. Pierluigi Accornero'): una sola fonte in tre vesti, non tre conferme. Nessuna è l'originale sequestrato né un atto della Commissione P2. Nel dubbio: regge = false. | alternativi: Nessun valore numerico alternativo reperito. Alternativa di natura: 482 = numero di FASCICOLO molto più probabilmente che numero di tessera; la tessera di Lo Prete non risulta pubblicata in nessuna delle fonti raggiunte. Lettura residua non esclusa: posizione/numero d'ordine nell'elenco alfabetico, instabile tra le versioni circolanti (959/962/963 nomi).\n  Vincenzo Rizzuti 811: NON REGGE — Confutazione parziale ma sufficiente. (1) Nessun valore contrastante trovato: la ricerca restituisce 'Vincenzo Rizzuti, Roma, membership number 811', indicato come ufficiale dei Carabinieri in servizio al SISDE, presente 'consistently across multiple archived versions' dell'elenco sequestrato. Anche qui il numero è etichettato solo come 'membership number': natura NON dichiarata. (2) Sospetto di scambio di tipo: 811 è a 3 cifre, nella stessa serie di 535 e 482, e quindi coerente con la serie dei FASCICOLI (Acciai 113) e non con la serie delle TESSERE documentate (1819, 1887, a 4 cifre). Va inoltre segnalato che 811 è vicino al fondo di un elenco di ~960 voci: senza il documento originale non è escludibile la confusione con il numero d'ordine progressivo della lista alfabetica, tanto più che le versioni divergono sul totale dei nomi (959 / 962 / 963), il che sposterebbe qualunque numero d'ordine. (3) Fonti non primarie e non indipendenti: it.wikipedia 'Lista/Appartenenti alla P2', archivio900.it, stragi.it (66.pdf) — più strano.net, girodivite.it, sitocomunista.it, blog vari — sono tutte ricopiature della medesima lista sequestrata a Gelli nel 1981, spesso l'una dall'altra; la 'coerenza tra archivi' rilevata dalla ricerca è ridondanza, non corroborazione. Nel dubbio: regge = false. | alternativi: Nessun valore numerico alternativo reperito per Rizzuti. Alternative di natura, entrambe aperte: (a) 811 = numero di FASCICOLO (lettura più probabile, coerente con la struttura dichiarata dell'elenco: titolo, città, numero di fascicolo); (b) 811 = numero d'ordine nell'elenco alfabetico, valore che cambierebbe da versione a versione (959/962/963 nomi). Nessuna fonte reperita attribuisce a Rizzuti un numero di TESSERA.\nNULLA TROVATO: —\n\n### magistrati\nTROVATI:\n  Carmelo Spagnuolo: 545 [non dichiarata] fonte it.wikipedia.org (voce \"Appartenenti alla P2\" / \"Lista degli appartenenti alla P2\"), ripreso anche da profilbaru.com (affidabilita media)\nCONFUTAZIONE:\n  Carmelo Spagnuolo 545: NON REGGE — Nessuna fonte trovata contraddice il numero 545: entrambe le ricerche restituiscono sempre e solo la stessa formula compatta \"Roma, in sonno, 545\" (Spagnuolo, all'epoca presidente di sezione della Corte di Cassazione). Il valore però NON regge per due motivi indipendenti. (1) NATURA NON DICHIARATA: la formula \"(città, stato, numero)\" della voce it.wikipedia \"Appartenenti alla P2\" non specifica se 545 sia numero di tessera, numero di fascicolo o numero d'ordine dell'elenco. L'etichetta \"tessera\" comparsa nelle sintesi di ricerca è una glossa interpretativa del motore, non una citazione di una fonte che lo dichiari: nessun risultato riporta un passo documentale che assegni 545 a una colonna precisa. L'elenco sequestrato a Castiglion Fibocchi è strutturato a campi distinti (fascicolo / tessera / data iniziazione / gruppo / sigla), quindi collassare tutto in un solo numero è esattamente il tipo di appiattimento che rende l'etichetta inaffidabile. (2) FONTE NON PRIMARIA E NON INDIPENDENTE: profilbaru.com è un mirror/scrape della voce di it.wikipedia, quindi le due fonti citate sono in realtà una sola; Wikipedia a sua volta è terziaria. Le fonti potenzialmente primarie emerse tra i link (stragi.it, doc. 66 \"ELENCO ISCRITTI ALLA LOGGIA P2\"; archivio900.it; strano.net/stragi; maurizioturco.it; relazione della Commissione parlamentare su archivioantimafia.org) non hanno restituito alcuna riga che confermi 545 né la colonna di appartenenza. Nel dubbio, e per la regola \"regge solo se la natura è dichiarata dalla fonte\", regge = false. Verifica dirimente da fare su documento primario: leggere la riga SPAGNUOLO nell'elenco sequestrato e distinguere i campi \"Fascicolo n.\" e \"Tessera n.\". | alternativi: Nessun valore numerico alternativo emerso dalle ricerche: 545 è l'unico numero associato al nome in tutti i risultati. Restano però aperte tre letture alternative dello STESSO numero, nessuna esclusa dalle fonti reperite: 545 come n. di tessera; 545 come n. di fascicolo; 545 come n. d'ordine progressivo nell'elenco pubblicato. Non è stato possibile discriminarle senza accesso al documento primario.\nNULLA TROVATO: Carmelo Gallucci (magistrato) - nessuna fonte trovata attesta l esistenza di un magistrato con questo nome negli elenchi P2, Achille Gallucci (magistrato) - nessun numero di tessera o fascicolo trovato; le fonti lo collocano come procuratore della Repubblica di Roma che INDAGAVA sulla P2, non come iscritto, Antonio Varisco (colonnello dei carabinieri) - nessun numero trovato; le fonti lo collocano come ufficiale incaricato da Vittorio Occorsio di indagare sulla P2, non come iscritto\n\n### servizi-esteri\nTROVATI:\n  Federico Umberto D'Amato: 554 [tessera] fonte it.wikipedia.org (Appartenenti alla P2); brogi.info; peacelink.it (affidabilita alta)\n  Federico Umberto D'Amato: 1620 [tessera] fonte fonte non identificata nei risultati (riportata come divergenza in una sintesi di ricerca) (affidabilita bassa)\n  Federico Umberto D'Amato: 1643 [tessera] fonte fonte non identificata nei risultati (riportata come divergenza in una sintesi di ricerca) (affidabilita bassa)\n  Francesco Malfatti di Montetretto: 812 [non dichiarata] fonte it.wikipedia.org (Francesco Malfatti di Montetretto e liste P2); maurizioturco.it; archivioantimafia.org (affidabilita media)\nCONFUTAZIONE:\n  Federico Umberto D'Amato 554: NON REGGE — CONFUTATO da fonte concorrente. Le ricerche confermano che nell'elenco sequestrato a Castiglion Fibocchi (riprodotto da girodivite.it/IMG/pdf/elenco_p2.pdf, strano.net/stragi/stragi/p2/elep2.htm, centrostudimalfatti.eu, stragi.it/archivio/doc/66.pdf) la voce e 'dott Federico D'Amato (Roma, 554)': il formato e nome + citta + un solo numero, SENZA etichetta. Nessuna delle fonti trovate dichiara che quel 554 sia una tessera: l'etichetta 'tessera' e un'inferenza dei compilatori (it.wikipedia 'Appartenenti alla P2', peacelink.it, brogi.info), che ricopiano tutti la stessa lista e non sono quindi fonti indipendenti ne primarie. Inoltre una fonte da un numero diverso e questa volta esplicitamente qualificato: nella deposizione di D'Amato davanti alla Commissione parlamentare d'inchiesta sulla P2 del 28 ottobre 1982 la Commissione aveva agli atti la sua tessera massonica n. 1643. Quindi 554 e contraddetto e la sua natura non e dichiarata: doppio motivo di caduta. Ipotesi da verificare (non provata dalle ricerche): 554 potrebbe essere il numero d'ordine/di posizione nell'elenco o il numero di fascicolo, non la tessera. | alternativi: 1643 (qualificato come 'tessera massonica' agli atti della Commissione parlamentare P2, deposizione D'Amato 28 ottobre 1982); 1620 (NON trovato in alcun risultato di ricerca: la ricerca mirata su \"D'Amato\" + \"1620\" ha dato esito esplicitamente negativo)\n  Federico Umberto D'Amato 1620: NON REGGE — NON SUPPORTATO da alcuna fonte. Ricerca mirata su D'Amato + 1620 + P2: il numero 1620 non compare in nessun risultato; la sintesi di ricerca afferma esplicitamente che i documenti riportano 554 oppure 1643 per D'Amato, non 1620. La 'fonte non identificata' citata dall'altro ricercatore resta non identificabile anche dopo ricerca diretta. Va trattato come valore fantasma, probabilmente un errore di trascrizione di 1643. Nessuna etichetta (tessera/fascicolo/numero d'ordine) e ovviamente dichiarata, non esistendo la fonte. | alternativi: 554 (numero della voce 'Federico D'Amato (Roma, 554)' nell'elenco sequestrato, natura non dichiarata); 1643 (tessera massonica agli atti della Commissione parlamentare P2)\n  Federico Umberto D'Amato 1643: NON REGGE — E' l'unico dei tre valori la cui natura risulta DICHIARATA da una fonte ('tessera massonica' n. 1643 agli atti della Commissione parlamentare d'inchiesta sulla P2, in relazione alla deposizione di D'Amato del 28 ottobre 1982) e la fonte e di rango parlamentare, quindi piu vicina al primario delle liste ricopiate sul web. Nonostante cio NON regge, perche esiste una fonte concorrente non riconciliata: l'elenco sequestrato a Castiglion Fibocchi riporta per lo stesso nome il numero 554. Le due cifre non sono state armonizzate da nessuna delle fonti trovate (nessuna dice, ad esempio, 'tessera 1643, fascicolo 554' o 'posizione 554 in elenco'). Finche la relazione tra i due numeri non e documentata, per la regola 'nel dubbio regge = false' il valore resta sospeso. Nota metodologica: se una sola delle due cifre dovesse essere promossa come tessera vera, i risultati raccolti indicano 1643 come la candidata piu forte, non 554. | alternativi: 554 (elenco P2 sequestrato il 17 marzo 1981, voce 'dott Federico D'Amato (Roma, 554)', natura del numero non dichiarata); 1620 (privo di qualsiasi riscontro)\n  Francesco Malfatti di Montetretto 812: NON REGGE — Nessun valore alternativo trovato in due ricerche mirate: 812 e l'unica cifra associata a questo nome, e ricorre in modo coerente sia nella voce it.wikipedia sia nella riproduzione dell'elenco sequestrato ('dott Francesco Malfatti di Montetretto (Roma, 812)'). La voce biografica it.wikipedia lo qualifica come 'tessera numero 812', con adesione alla loggia nel luglio 1979 quando era segretario generale del Ministero degli Esteri: quindi, a differenza di quanto registrato dall'altro ricercatore, un'etichetta esiste. Il valore non regge lo stesso per due ragioni. (1) Catena delle fonti: l'etichetta 'tessera' compare solo nella biografia wikipediana, fonte derivata che ricopia il medesimo elenco di Castiglion Fibocchi da cui derivano anche maurizioturco.it e archivioantimafia.org; nessuna fonte primaria (atti della Commissione parlamentare P2) trovata dichiara di che colonna sia 812. (2) Prova strutturale contraria: il caso D'Amato dimostra che il numero fra parentesi dell'elenco NON coincide necessariamente con la tessera massonica (elenco 554 vs tessera 1643 agli atti della Commissione). Poiche 812 proviene dalla stessa colonna dello stesso elenco, l'etichetta 'tessera' apposta a posteriori e inaffidabile per lo stesso identico motivo. Conclusione: cifra probabilmente corretta come dato d'elenco, natura non accertata; nel dubbio regge = false. | alternativi: nessuno trovato: due ricerche mirate non hanno prodotto alcuna cifra concorrente per questo nome\nNULLA TROVATO: Stefano Giovannone, Franco Maria Malfatti\n\n### stampa-e-altri\nTROVATI:\n  Gustavo Selva: 623 [fascicolo] fonte it.wikipedia.org (Appartenenti alla P2) / centrostudimalfatti.eu (PDF \"Appartenenti alla loggia massonica P2\") (affidabilita media)\n  Gustavo Selva: 1814 [tessera] fonte it.wikipedia.org (Appartenenti alla P2) / centrostudimalfatti.eu (PDF \"Appartenenti alla loggia massonica P2\") (affidabilita media)\n  Gustavo Selva: 623 [tessera] fonte girodivite.it (\"La lista della P2 sequestrata a Licio Gelli\") / stragi.it / strano.net (elenco alfabetico P2) (affidabilita bassa)\n  Sergio Di Donato: 158 [fascicolo] fonte stragi.it (archivio/doc/66.pdf \"Elenco iscritti alla loggia P2\") / it.wikipedia.org (Appartenenti alla P2) (affidabilita media)\n  Sergio Di Donato: 158 [tessera] fonte emanuelaorlandi.altervista.org (\"Elenco dei 959 iscritti alla Loggia P2\") / archivio900.it / groups.google (nominativi lista P2) (affidabilita bassa)\n  Pietro Musumeci: 487 [tessera] fonte it.wikipedia.org (Appartenenti alla P2) / girodivite.it / powerbase.info (\"Licio Gelli's List of P2 Members\") (affidabilita bassa)\nCONFUTAZIONE:\n  Gustavo Selva 623 (etichetta dichiarata: FASCICOLO): REGGE — Nessuna fonte trovata assegna a Selva un numero di fascicolo diverso da 623. La natura del numero e' dichiarata: le descrizioni dell'elenco sequestrato a Castiglion Fibocchi precisano che i nominativi erano annotati 'con tanto di titolo, citta', numero di fascicolo' (Il Fatto Quotidiano, 17/3/2021), e la scheda Selva riporta fascicolo 623 + tessera 1814 + iniziazione 26/1/1978. Riscontro strutturale forte: Berlusconi, iniziato nella stessa tornata del 26/1/1978, ha fascicolo 0625 e tessera 1816 — numerazione contigua a quella di Selva (623/1814), il che conferma che 623 appartiene alla serie dei fascicoli e non a quella delle tessere. AVVERTENZA sulla catena delle fonti: it.wikipedia e centrostudimalfatti.eu non sono primarie, ricopiano entrambe l'elenco reso pubblico dalla Presidenza del Consiglio nel 1981 e gli atti della Commissione parlamentare (strano.net/stragi.it ospitano la relazione, archivioantimafia.org le relazioni di minoranza). Il valore regge, ma la 'doppia fonte' citata dall'altro ricercatore e' in realta' una fonte sola replicata. | alternativi: nessun valore alternativo di fascicolo trovato; 623 compare pero' anche in elenchi (girodivite, strano.net, stragi.it) dove il numero e' stampato SENZA etichetta e viene quindi facilmente scambiato per tessera\n  Gustavo Selva 1814 (etichetta dichiarata: TESSERA): REGGE — Nessuna fonte trovata assegna a Selva una tessera diversa da 1814, e la natura e' dichiarata esplicitamente ('tessera n. 1814', distinta dal fascicolo 623). Coerente con la struttura documentata della lista, che oltre al fascicolo registra 'numero di tessera', codice di affiliazione e data: caso di confronto Berlusconi = tessera 1816, cod. E.19.78, gruppo 17, fascicolo 0625, 26/1/1978. Selva (tessera 1814, fascicolo 623, 26/1/1978) e' immediatamente adiacente, come atteso per iniziati della stessa tornata. Coerente anche col dato generale secondo cui nelle carte Gelli nessuna tessera ha numero inferiore a ~1.600. AVVERTENZA: fonte non primaria (Wikipedia + PDF centrostudimalfatti, entrambi derivati dallo stesso elenco 1981); non ho potuto verificare il documento originale. | alternativi: nessuno trovato\n  Gustavo Selva 623 (etichetta dichiarata: TESSERA): NON REGGE — CONFUTATO. Errore di tipo, non di cifra: 623 e' il numero di FASCICOLO, non la tessera. La tessera di Selva e' 1814. Gli elenchi alfabetici citati (girodivite.it 'elenco_p2.pdf', strano.net 'Elenco alfabetico P2', stragi.it doc/66.pdf) riportano per ogni nome UN SOLO numero, senza intestazione di colonna: e' il numero di fascicolo, come indicano le descrizioni della lista ('nominativi annotati con titolo, citta', numero di fascicolo'). Chi legge quegli elenchi e chiama 'tessera' quel numero commette esattamente lo scambio fascicolo/tessera. Prova indipendente: nelle carte Gelli nessuna tessera scende sotto ~1.600 (Berlusconi 1816, Selva 1814), quindi un 623 non puo' essere un numero di tessera. Inoltre le tre fonti citate (girodivite / stragi.it / strano.net) non sono indipendenti: riproducono lo stesso elenco governativo del 1981. | alternativi: tessera corretta = 1814; 623 = fascicolo; in alcune trascrizioni il fascicolo compare con zero iniziale (formato tipo '0623', come '0625' per Berlusconi)\n  Sergio Di Donato 158 (etichetta dichiarata: FASCICOLO): REGGE — Nessuna fonte trovata da' a Di Donato un numero diverso da 158. La voce risulta come 'Ten. Col. Sergio Di Donato, Roma, ATTIVO, fasc. 158' nell'elenco iscritti alla loggia P2 (stragi.it archivio/doc/66.pdf) e il numero e' qualificato come fascicolo/dossier. 158 e' compatibile con la serie dei fascicoli (numeri bassi, da poche unita' a oltre 900) e incompatibile con la serie delle tessere (&gt;=~1.600), il che conferma indirettamente l'etichetta. AVVERTENZE: (a) stragi.it e it.wikipedia non sono indipendenti tra loro, discendono dallo stesso elenco del 1981; (b) nel PDF l'intestazione di colonna non e' sempre esplicita, quindi l'etichetta 'fascicolo' e' sostenuta dalla letteratura descrittiva sulla lista piu' che dal documento riprodotto. Regge, ma su base non primaria. | alternativi: nessun valore numerico alternativo trovato; il numero di TESSERA di Di Donato non risulta in nessuna fonte reperita (dato mancante, non 158)\n  Sergio Di Donato 158 (etichetta dichiarata: TESSERA): NON REGGE — CONFUTATO. Stesso errore di tipo del caso Selva: 158 e' il numero di FASCICOLO (le fonti lo qualificano come fascicolo/dossier, accanto a grado 'Ten. Col.', citta' 'Roma' e stato 'ATTIVO'), non un numero di tessera. Prova strutturale: nella documentazione Gelli le tessere stanno in una fascia alta (nessuna sotto ~1.600; esempi verificati: Berlusconi 1816, Selva 1814), mentre i fascicoli sono numeri bassi; 158 non puo' quindi essere una tessera. Le fonti citate (emanuelaorlandi.altervista.org, archivio900.it, groups.google) sono repliche amatoriali dello stesso elenco alfabetico privo di etichette di colonna: nessuna di esse dichiara 'tessera', l'etichetta e' stata aggiunta dal ricercatore. Fonti terziarie, zero valore probatorio autonomo. | alternativi: 158 = fascicolo (non tessera); tessera di Di Donato = non reperita in alcuna fonte\n  Pietro Musumeci 487 (etichetta dichiarata: TESSERA): NON REGGE — CONFUTATO. Le fonti che riportano 487 per Musumeci (Roma) lo qualificano come numero di FASCICOLO / 'file number' nell'elenco trovato presso Gelli, non come numero di tessera. Prova strutturale identica ai casi precedenti: 487 e' fuori dalla fascia delle tessere (nessuna tessera sotto ~1.600 nelle carte Gelli; riscontri: Berlusconi 1816, Selva 1814), mentre rientra pienamente nella serie dei fascicoli. Le tre fonti citate non sono indipendenti: it.wikipedia, girodivite.it e powerbase.info (che e' una traduzione inglese, 'Licio Gelli's List of P2 Members') derivano tutte dallo stesso elenco alfabetico del 1981, in cui compare un solo numero per nome e senza intestazione di colonna. Nessuna di esse dichiara 'tessera': l'etichetta e' un'inferenza del ricercatore, ed e' l'inferenza sbagliata. | alternativi: 487 = fascicolo (Col./Gen. Pietro Musumeci, Roma); numero di TESSERA di Musumeci non reperito in alcuna fonte. Attenzione a un ulteriore rischio di confusione su questo nome: 487 circola anche come semplice numero d'ordine in liste rinumerate, e nelle cronache Musumeci e' associato ad altri numeri estranei alla P2 (es. date/atti del depistaggio Bologna) da non scambiare per matricole.\nNULLA TROVATO: —\n\n### finanza-vaticano\nTROVATI:\n  Roberto Calvi: 519 [non dichiarata] fonte it.wikipedia.org (voce \"Appartenenti alla P2\"), ripreso da 19luglio1992.com e girodivite.it (PDF \"La lista della P2 sequestrata a Licio Gelli\") (affidabilita media)\n  Umberto Ortolani: 494 [non dichiarata] fonte it.wikipedia.org (voce \"Appartenenti alla P2\") / peacelink.it / 19luglio1992.com (affidabilita media)\n  Michele Sindona: 501 [non dichiarata] fonte archive.nuovaresistenza.org / strano.net (\"Elenco alfabetico P2\") / it.wikipedia.org (\"Appartenenti alla P2\") (affidabilita bassa)\nCONFUTAZIONE:\n  Roberto Calvi 519: NON REGGE — CONFUTATO SULLA NATURA. Lo stesso numero 519 viene etichettato in modo incompatibile da fonti diverse: alcune sintesi di ricerca lo danno come numero di tessera / 'membership card number 519' (it.wikipedia.org 'Appartenenti alla P2', questionecivile.it, 19luglio1992.com), altre lo danno come 'fascicolo (file) number 519' per 'Roberto Calvi di Milano' (ricerca su elenco/girodivite.it, forma '0519' con zero iniziale, tipica della colonna fascicolo). Le due etichette non possono essere entrambe vere: le schede P2 sequestrate contengono tessera E fascicolo come campi DISTINTI e con valori diversi (esempio documentato dalla ricerca: tessera 1816, codice E.19.78, gruppo 17, fascicolo 0625, data affiliazione 26 gennaio 1978 — sitocomunista.it / articolo21.org). Quindi 519 e' o l'uno o l'altro, e nessuna fonte trovata lo dichiara in modo univoco. In piu' le tre fonti citate dall'altro ricercatore NON sono indipendenti: it.wikipedia.org 'Appartenenti alla P2' e' la voce a monte, mentre 19luglio1992.com e il PDF di girodivite.it ricopiano la medesima trascrizione dell'elenco sequestrato; nessuna e' primaria (l'atto primario sarebbe l'elenco/le schede depositate agli atti della Commissione parlamentare P2, cfr. archivioflamigni.org 'indice-atti-commissione-p2.pdf' e archivioantimafia.org, non consultati). Va inoltre ricordato che, per Il Fatto Quotidiano (17 marzo 2021), gli elenchi con 962 nomi non erano completi: la numerazione di quelle liste non e' un registro esaustivo. Etichetta corretta allo stato: NON DICHIARATA. | alternativi: Nessun valore numerico alternativo emerso: 519 e' l'unico numero associato a Calvi in tutte le ricerche. Varia pero' la NATURA attribuita: 519 come tessera (it.wikipedia.org 'Appartenenti alla P2', questionecivile.it, 19luglio1992.com) vs 519/0519 come numero di fascicolo (trascrizioni dell'elenco sequestrato, girodivite.it). Da verificare su fonte primaria quale dei due campi valga 519 e quale sia l'altro.\n  Umberto Ortolani 494: NON REGGE — CONFUTATO SUL VALORE. Esiste una fonte che da' per Ortolani un numero DIVERSO: secondo il registro degli iscritti sequestrato a Castiglion Fibocchi, Ortolani risulta con tessera P2 n. 1622 e codice E1977 (ripreso da emanuelaorlandi.altervista.org, 'Il sequestro di Amedeo Ortolani', e confermato in seconda ricerca). Il valore 494 compare invece nelle trascrizioni dell'elenco alfabetico nella forma 'avv Umberto Ortolani (Roma, 494)' — cioe' un numero fra parentesi accanto al nome e alla citta', senza intestazione di colonna che dichiari se sia tessera, fascicolo o progressivo d'elenco. Data la struttura delle schede P2 (tessera e fascicolo sono campi distinti con valori diversi: es. tessera 1816 / fascicolo 0625), la coesistenza di 494 e 1622 e' pienamente compatibile con l'ipotesi che 494 sia il FASCICOLO (o il numero d'ordine) e 1622 la TESSERA — ossia che il valore raccolto sia una tessera spacciata per tale mentre e' un altro campo. Le fonti citate dall'altro ricercatore (it.wikipedia.org 'Appartenenti alla P2', peacelink.it, 19luglio1992.com) sono tutte derivate dalla stessa trascrizione dell'elenco, nessuna primaria e nessuna indipendente. Regge = false: valore contraddetto E natura non dichiarata. | alternativi: 1622 — dichiarato esplicitamente come TESSERA P2 (con codice E1977), attribuito al registro degli iscritti sequestrato a Castiglion Fibocchi (emanuelaorlandi.altervista.org). Contro 494, riportato senza etichetta nell'elenco alfabetico ('avv Umberto Ortolani (Roma, 494)', it.wikipedia.org / peacelink.it / 19luglio1992.com). Ipotesi da verificare su fonte primaria: 494 = fascicolo o numero d'ordine, 1622 = tessera.\n  Michele Sindona 501: NON REGGE — NON CONFUTATO SUL VALORE, MA NON REGGE PER NATURA E PER CATENA DI FONTI. Nessuna ricerca ha prodotto un valore numerico alternativo: 501 (talvolta scritto 0501, con zero iniziale) e' l'unico numero associato a Sindona. Tuttavia: (a) la fonte a monte e' la voce it.wikipedia.org 'Appartenenti alla P2', che lo riporta come semplice numero fra parentesi — 'Michele Sindona (501, morto)' — senza intestazione che dichiari se sia tessera, fascicolo o progressivo; archive.nuovaresistenza.org e strano.net ('Elenco alfabetico P2') sono ricopiature della stessa trascrizione, non fonti indipendenti ne' primarie; (b) la forma '0501' a quattro cifre con zero iniziale coincide con il formato della colonna FASCICOLO documentato dalle schede P2 (es. fascicolo 0625 a fronte di tessera 1816), quindi il sospetto che 501 sia un fascicolo presentato come tessera non e' eliminabile; (c) vale lo stesso vizio riscontrato su Calvi, dove il numero 519 tratto dalla medesima lista viene etichettato ora come tessera ora come fascicolo. Poiche' la natura non e' dichiarata da alcuna fonte verificata e la catena e' interamente derivata, per la regola del dubbio: regge = false. Etichetta allo stato: NON DICHIARATA. Serve riscontro sulle schede/atti della Commissione parlamentare P2. | alternativi: Nessun valore alternativo trovato nelle due ricerche dedicate: 501/0501 e' l'unico numero attestato per Sindona. L'unica variazione e' formale (501 vs 0501) e riguarda la possibile natura del campo, non la cifra.\nNULLA TROVATO: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"workflowProgress":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"workflow_phase",</w:t>
      </w:r>
    </w:p>
    <w:p>
      <w:pPr>
        <w:spacing w:after="120" w:line="276"/>
        <w:jc w:val="both"/>
      </w:pPr>
      <w:r>
        <w:rPr>
          <w:rFonts w:ascii="Barlow Semi Condensed" w:cs="Barlow Semi Condensed" w:eastAsia="Barlow Semi Condensed" w:hAnsi="Barlow Semi Condensed"/>
          <w:sz w:val="24"/>
          <w:szCs w:val="24"/>
        </w:rPr>
        <w:t xml:space="preserve">      "index": 1,</w:t>
      </w:r>
    </w:p>
    <w:p>
      <w:pPr>
        <w:spacing w:after="120" w:line="276"/>
        <w:jc w:val="both"/>
      </w:pPr>
      <w:r>
        <w:rPr>
          <w:rFonts w:ascii="Barlow Semi Condensed" w:cs="Barlow Semi Condensed" w:eastAsia="Barlow Semi Condensed" w:hAnsi="Barlow Semi Condensed"/>
          <w:sz w:val="24"/>
          <w:szCs w:val="24"/>
        </w:rPr>
        <w:t xml:space="preserve">      "title": "Raccolta"</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"workflow_phase",</w:t>
      </w:r>
    </w:p>
    <w:p>
      <w:pPr>
        <w:spacing w:after="120" w:line="276"/>
        <w:jc w:val="both"/>
      </w:pPr>
      <w:r>
        <w:rPr>
          <w:rFonts w:ascii="Barlow Semi Condensed" w:cs="Barlow Semi Condensed" w:eastAsia="Barlow Semi Condensed" w:hAnsi="Barlow Semi Condensed"/>
          <w:sz w:val="24"/>
          <w:szCs w:val="24"/>
        </w:rPr>
        <w:t xml:space="preserve">      "index": 2,</w:t>
      </w:r>
    </w:p>
    <w:p>
      <w:pPr>
        <w:spacing w:after="120" w:line="276"/>
        <w:jc w:val="both"/>
      </w:pPr>
      <w:r>
        <w:rPr>
          <w:rFonts w:ascii="Barlow Semi Condensed" w:cs="Barlow Semi Condensed" w:eastAsia="Barlow Semi Condensed" w:hAnsi="Barlow Semi Condensed"/>
          <w:sz w:val="24"/>
          <w:szCs w:val="24"/>
        </w:rPr>
        <w:t xml:space="preserve">      "title": "Confutazione"</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"workflow_phase",</w:t>
      </w:r>
    </w:p>
    <w:p>
      <w:pPr>
        <w:spacing w:after="120" w:line="276"/>
        <w:jc w:val="both"/>
      </w:pPr>
      <w:r>
        <w:rPr>
          <w:rFonts w:ascii="Barlow Semi Condensed" w:cs="Barlow Semi Condensed" w:eastAsia="Barlow Semi Condensed" w:hAnsi="Barlow Semi Condensed"/>
          <w:sz w:val="24"/>
          <w:szCs w:val="24"/>
        </w:rPr>
        <w:t xml:space="preserve">      "index": 3,</w:t>
      </w:r>
    </w:p>
    <w:p>
      <w:pPr>
        <w:spacing w:after="120" w:line="276"/>
        <w:jc w:val="both"/>
      </w:pPr>
      <w:r>
        <w:rPr>
          <w:rFonts w:ascii="Barlow Semi Condensed" w:cs="Barlow Semi Condensed" w:eastAsia="Barlow Semi Condensed" w:hAnsi="Barlow Semi Condensed"/>
          <w:sz w:val="24"/>
          <w:szCs w:val="24"/>
        </w:rPr>
        <w:t xml:space="preserve">      "title": "Sintesi"</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w:t>
      </w:r>
    </w:p>
    <w:p>
      <w:pPr>
        <w:spacing w:after="120" w:line="276"/>
        <w:jc w:val="both"/>
      </w:pPr>
      <w:r>
        <w:rPr>
          <w:rFonts w:ascii="Barlow Semi Condensed" w:cs="Barlow Semi Condensed" w:eastAsia="Barlow Semi Condensed" w:hAnsi="Barlow Semi Condensed"/>
          <w:sz w:val="24"/>
          <w:szCs w:val="24"/>
        </w:rPr>
        <w:t xml:space="preserve">      "label": "cerca:controlli",</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"afbb99018b1af3c2a",</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1787842859734,</w:t>
      </w:r>
    </w:p>
    <w:p>
      <w:pPr>
        <w:spacing w:after="120" w:line="276"/>
        <w:jc w:val="both"/>
      </w:pPr>
      <w:r>
        <w:rPr>
          <w:rFonts w:ascii="Barlow Semi Condensed" w:cs="Barlow Semi Condensed" w:eastAsia="Barlow Semi Condensed" w:hAnsi="Barlow Semi Condensed"/>
          <w:sz w:val="24"/>
          <w:szCs w:val="24"/>
        </w:rPr>
        <w:t xml:space="preserve">      "queuedAt": 1787842857705,</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"CALIBRAZIONE DEI TRE CONTROLLI. Berlusconi e Costanzo si co…",</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1787842988581,</w:t>
      </w:r>
    </w:p>
    <w:p>
      <w:pPr>
        <w:spacing w:after="120" w:line="276"/>
        <w:jc w:val="both"/>
      </w:pPr>
      <w:r>
        <w:rPr>
          <w:rFonts w:ascii="Barlow Semi Condensed" w:cs="Barlow Semi Condensed" w:eastAsia="Barlow Semi Condensed" w:hAnsi="Barlow Semi Condensed"/>
          <w:sz w:val="24"/>
          <w:szCs w:val="24"/>
        </w:rPr>
        <w:t xml:space="preserve">      "tokens": 59181,</w:t>
      </w:r>
    </w:p>
    <w:p>
      <w:pPr>
        <w:spacing w:after="120" w:line="276"/>
        <w:jc w:val="both"/>
      </w:pPr>
      <w:r>
        <w:rPr>
          <w:rFonts w:ascii="Barlow Semi Condensed" w:cs="Barlow Semi Condensed" w:eastAsia="Barlow Semi Condensed" w:hAnsi="Barlow Semi Condensed"/>
          <w:sz w:val="24"/>
          <w:szCs w:val="24"/>
        </w:rPr>
        <w:t xml:space="preserve">      "toolCalls": 9,</w:t>
      </w:r>
    </w:p>
    <w:p>
      <w:pPr>
        <w:spacing w:after="120" w:line="276"/>
        <w:jc w:val="both"/>
      </w:pPr>
      <w:r>
        <w:rPr>
          <w:rFonts w:ascii="Barlow Semi Condensed" w:cs="Barlow Semi Condensed" w:eastAsia="Barlow Semi Condensed" w:hAnsi="Barlow Semi Condensed"/>
          <w:sz w:val="24"/>
          <w:szCs w:val="24"/>
        </w:rPr>
        <w:t xml:space="preserve">      "durationMs": 127579,</w:t>
      </w:r>
    </w:p>
    <w:p>
      <w:pPr>
        <w:spacing w:after="120" w:line="276"/>
        <w:jc w:val="both"/>
      </w:pPr>
      <w:r>
        <w:rPr>
          <w:rFonts w:ascii="Barlow Semi Condensed" w:cs="Barlow Semi Condensed" w:eastAsia="Barlow Semi Condensed" w:hAnsi="Barlow Semi Condensed"/>
          <w:sz w:val="24"/>
          <w:szCs w:val="24"/>
        </w:rPr>
        <w:t xml:space="preserve">      "resultPreview": "{\"trovati\":[{\"nome\":\"Silvio Berlusconi\",\"valore\":\"1816\",\"etichetta\":\"tessera\",\"fonte\":\"articolo21.org; worstitaly.wordpress.com; associazioneomilos.wordpress.com; cosmogonia.org; strano.net\",\"affidabilita\":\"alta\",\"contesto\":\"Numero riportato concordemente da piu fonti e dichiarato esplicitamente come TESSERA (il titolo dell articolo di Articolo21 e letteralmente 'Tessera 1816 della P2'). Fa parte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2,</w:t>
      </w:r>
    </w:p>
    <w:p>
      <w:pPr>
        <w:spacing w:after="120" w:line="276"/>
        <w:jc w:val="both"/>
      </w:pPr>
      <w:r>
        <w:rPr>
          <w:rFonts w:ascii="Barlow Semi Condensed" w:cs="Barlow Semi Condensed" w:eastAsia="Barlow Semi Condensed" w:hAnsi="Barlow Semi Condensed"/>
          <w:sz w:val="24"/>
          <w:szCs w:val="24"/>
        </w:rPr>
        <w:t xml:space="preserve">      "label": "cerca:militari-1",</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"a887928c18231ea7d",</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1787842859525,</w:t>
      </w:r>
    </w:p>
    <w:p>
      <w:pPr>
        <w:spacing w:after="120" w:line="276"/>
        <w:jc w:val="both"/>
      </w:pPr>
      <w:r>
        <w:rPr>
          <w:rFonts w:ascii="Barlow Semi Condensed" w:cs="Barlow Semi Condensed" w:eastAsia="Barlow Semi Condensed" w:hAnsi="Barlow Semi Condensed"/>
          <w:sz w:val="24"/>
          <w:szCs w:val="24"/>
        </w:rPr>
        <w:t xml:space="preserve">      "queuedAt": 1787842857705,</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e limiti. Nove ricerche in tutto, tre per nome, solo…",</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1787842959723,</w:t>
      </w:r>
    </w:p>
    <w:p>
      <w:pPr>
        <w:spacing w:after="120" w:line="276"/>
        <w:jc w:val="both"/>
      </w:pPr>
      <w:r>
        <w:rPr>
          <w:rFonts w:ascii="Barlow Semi Condensed" w:cs="Barlow Semi Condensed" w:eastAsia="Barlow Semi Condensed" w:hAnsi="Barlow Semi Condensed"/>
          <w:sz w:val="24"/>
          <w:szCs w:val="24"/>
        </w:rPr>
        <w:t xml:space="preserve">      "tokens": 60353,</w:t>
      </w:r>
    </w:p>
    <w:p>
      <w:pPr>
        <w:spacing w:after="120" w:line="276"/>
        <w:jc w:val="both"/>
      </w:pPr>
      <w:r>
        <w:rPr>
          <w:rFonts w:ascii="Barlow Semi Condensed" w:cs="Barlow Semi Condensed" w:eastAsia="Barlow Semi Condensed" w:hAnsi="Barlow Semi Condensed"/>
          <w:sz w:val="24"/>
          <w:szCs w:val="24"/>
        </w:rPr>
        <w:t xml:space="preserve">      "toolCalls": 11,</w:t>
      </w:r>
    </w:p>
    <w:p>
      <w:pPr>
        <w:spacing w:after="120" w:line="276"/>
        <w:jc w:val="both"/>
      </w:pPr>
      <w:r>
        <w:rPr>
          <w:rFonts w:ascii="Barlow Semi Condensed" w:cs="Barlow Semi Condensed" w:eastAsia="Barlow Semi Condensed" w:hAnsi="Barlow Semi Condensed"/>
          <w:sz w:val="24"/>
          <w:szCs w:val="24"/>
        </w:rPr>
        <w:t xml:space="preserve">      "durationMs": 100194,</w:t>
      </w:r>
    </w:p>
    <w:p>
      <w:pPr>
        <w:spacing w:after="120" w:line="276"/>
        <w:jc w:val="both"/>
      </w:pPr>
      <w:r>
        <w:rPr>
          <w:rFonts w:ascii="Barlow Semi Condensed" w:cs="Barlow Semi Condensed" w:eastAsia="Barlow Semi Condensed" w:hAnsi="Barlow Semi Condensed"/>
          <w:sz w:val="24"/>
          <w:szCs w:val="24"/>
        </w:rPr>
        <w:t xml:space="preserve">      "resultPreview": "{\"trovati\":[{\"nome\":\"Giuseppe Santovito\",\"valore\":\"527\",\"etichetta\":\"non dichiarata\",\"fonte\":\"it.wikipedia.org (voce \\\"Appartenenti alla P2\\\" / \\\"Lista degli appartenenti alla P2\\\"), ripreso anche da lespresso.it e girodivite.it\",\"affidabilita\":\"media\",\"affidariporta\":\"sintesi WebSearch su elenchi alfabetici P2; nessuna fonte apre la pagina, non verificato sul documento originale\",\"contesto\":\"Il n…"</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3,</w:t>
      </w:r>
    </w:p>
    <w:p>
      <w:pPr>
        <w:spacing w:after="120" w:line="276"/>
        <w:jc w:val="both"/>
      </w:pPr>
      <w:r>
        <w:rPr>
          <w:rFonts w:ascii="Barlow Semi Condensed" w:cs="Barlow Semi Condensed" w:eastAsia="Barlow Semi Condensed" w:hAnsi="Barlow Semi Condensed"/>
          <w:sz w:val="24"/>
          <w:szCs w:val="24"/>
        </w:rPr>
        <w:t xml:space="preserve">      "label": "cerca:militari-2",</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"a89ddbe46c9dc30e5",</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1787842963377,</w:t>
      </w:r>
    </w:p>
    <w:p>
      <w:pPr>
        <w:spacing w:after="120" w:line="276"/>
        <w:jc w:val="both"/>
      </w:pPr>
      <w:r>
        <w:rPr>
          <w:rFonts w:ascii="Barlow Semi Condensed" w:cs="Barlow Semi Condensed" w:eastAsia="Barlow Semi Condensed" w:hAnsi="Barlow Semi Condensed"/>
          <w:sz w:val="24"/>
          <w:szCs w:val="24"/>
        </w:rPr>
        <w:t xml:space="preserve">      "queuedAt": 1787842857705,</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E LIMITI: solo WebSearch (sintesi di risultati); nes…",</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1787843080948,</w:t>
      </w:r>
    </w:p>
    <w:p>
      <w:pPr>
        <w:spacing w:after="120" w:line="276"/>
        <w:jc w:val="both"/>
      </w:pPr>
      <w:r>
        <w:rPr>
          <w:rFonts w:ascii="Barlow Semi Condensed" w:cs="Barlow Semi Condensed" w:eastAsia="Barlow Semi Condensed" w:hAnsi="Barlow Semi Condensed"/>
          <w:sz w:val="24"/>
          <w:szCs w:val="24"/>
        </w:rPr>
        <w:t xml:space="preserve">      "tokens": 62706,</w:t>
      </w:r>
    </w:p>
    <w:p>
      <w:pPr>
        <w:spacing w:after="120" w:line="276"/>
        <w:jc w:val="both"/>
      </w:pPr>
      <w:r>
        <w:rPr>
          <w:rFonts w:ascii="Barlow Semi Condensed" w:cs="Barlow Semi Condensed" w:eastAsia="Barlow Semi Condensed" w:hAnsi="Barlow Semi Condensed"/>
          <w:sz w:val="24"/>
          <w:szCs w:val="24"/>
        </w:rPr>
        <w:t xml:space="preserve">      "toolCalls": 12,</w:t>
      </w:r>
    </w:p>
    <w:p>
      <w:pPr>
        <w:spacing w:after="120" w:line="276"/>
        <w:jc w:val="both"/>
      </w:pPr>
      <w:r>
        <w:rPr>
          <w:rFonts w:ascii="Barlow Semi Condensed" w:cs="Barlow Semi Condensed" w:eastAsia="Barlow Semi Condensed" w:hAnsi="Barlow Semi Condensed"/>
          <w:sz w:val="24"/>
          <w:szCs w:val="24"/>
        </w:rPr>
        <w:t xml:space="preserve">      "durationMs": 117570,</w:t>
      </w:r>
    </w:p>
    <w:p>
      <w:pPr>
        <w:spacing w:after="120" w:line="276"/>
        <w:jc w:val="both"/>
      </w:pPr>
      <w:r>
        <w:rPr>
          <w:rFonts w:ascii="Barlow Semi Condensed" w:cs="Barlow Semi Condensed" w:eastAsia="Barlow Semi Condensed" w:hAnsi="Barlow Semi Condensed"/>
          <w:sz w:val="24"/>
          <w:szCs w:val="24"/>
        </w:rPr>
        <w:t xml:space="preserve">      "resultPreview": "{\"trovati\":[{\"nome\":\"Giovanni Torrisi\",\"valore\":\"631\",\"etichetta\":\"tessera\",\"fonte\":\"it.wikipedia.org (Appartenenti alla P2 / Lista degli appartenenti alla P2), strano.net (Elenco alfabetico P2)\",\"affidabilita\":\"media\",\"affidariporta\":\"Piu ricerche indipendenti restituiscono lo stesso numero associato a 'Amm. Giovanni Torrisi'; due sintesi su tre lo glossano esplicitamente come tessera / membershi…"</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4,</w:t>
      </w:r>
    </w:p>
    <w:p>
      <w:pPr>
        <w:spacing w:after="120" w:line="276"/>
        <w:jc w:val="both"/>
      </w:pPr>
      <w:r>
        <w:rPr>
          <w:rFonts w:ascii="Barlow Semi Condensed" w:cs="Barlow Semi Condensed" w:eastAsia="Barlow Semi Condensed" w:hAnsi="Barlow Semi Condensed"/>
          <w:sz w:val="24"/>
          <w:szCs w:val="24"/>
        </w:rPr>
        <w:t xml:space="preserve">      "label": "cerca:guardia-finanza",</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"ad3a325e1fb1cb90f",</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1787842991770,</w:t>
      </w:r>
    </w:p>
    <w:p>
      <w:pPr>
        <w:spacing w:after="120" w:line="276"/>
        <w:jc w:val="both"/>
      </w:pPr>
      <w:r>
        <w:rPr>
          <w:rFonts w:ascii="Barlow Semi Condensed" w:cs="Barlow Semi Condensed" w:eastAsia="Barlow Semi Condensed" w:hAnsi="Barlow Semi Condensed"/>
          <w:sz w:val="24"/>
          <w:szCs w:val="24"/>
        </w:rPr>
        <w:t xml:space="preserve">      "queuedAt": 1787842857705,</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solo WebSearch (nessun WebFetch tentato, come da vi…",</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1787843093216,</w:t>
      </w:r>
    </w:p>
    <w:p>
      <w:pPr>
        <w:spacing w:after="120" w:line="276"/>
        <w:jc w:val="both"/>
      </w:pPr>
      <w:r>
        <w:rPr>
          <w:rFonts w:ascii="Barlow Semi Condensed" w:cs="Barlow Semi Condensed" w:eastAsia="Barlow Semi Condensed" w:hAnsi="Barlow Semi Condensed"/>
          <w:sz w:val="24"/>
          <w:szCs w:val="24"/>
        </w:rPr>
        <w:t xml:space="preserve">      "tokens": 59174,</w:t>
      </w:r>
    </w:p>
    <w:p>
      <w:pPr>
        <w:spacing w:after="120" w:line="276"/>
        <w:jc w:val="both"/>
      </w:pPr>
      <w:r>
        <w:rPr>
          <w:rFonts w:ascii="Barlow Semi Condensed" w:cs="Barlow Semi Condensed" w:eastAsia="Barlow Semi Condensed" w:hAnsi="Barlow Semi Condensed"/>
          <w:sz w:val="24"/>
          <w:szCs w:val="24"/>
        </w:rPr>
        <w:t xml:space="preserve">      "toolCalls": 9,</w:t>
      </w:r>
    </w:p>
    <w:p>
      <w:pPr>
        <w:spacing w:after="120" w:line="276"/>
        <w:jc w:val="both"/>
      </w:pPr>
      <w:r>
        <w:rPr>
          <w:rFonts w:ascii="Barlow Semi Condensed" w:cs="Barlow Semi Condensed" w:eastAsia="Barlow Semi Condensed" w:hAnsi="Barlow Semi Condensed"/>
          <w:sz w:val="24"/>
          <w:szCs w:val="24"/>
        </w:rPr>
        <w:t xml:space="preserve">      "durationMs": 101446,</w:t>
      </w:r>
    </w:p>
    <w:p>
      <w:pPr>
        <w:spacing w:after="120" w:line="276"/>
        <w:jc w:val="both"/>
      </w:pPr>
      <w:r>
        <w:rPr>
          <w:rFonts w:ascii="Barlow Semi Condensed" w:cs="Barlow Semi Condensed" w:eastAsia="Barlow Semi Condensed" w:hAnsi="Barlow Semi Condensed"/>
          <w:sz w:val="24"/>
          <w:szCs w:val="24"/>
        </w:rPr>
        <w:t xml:space="preserve">      "resultPreview": "{\"trovati\":[{\"nome\":\"Raffaele Giudice\",\"valore\":\"535\",\"etichetta\":\"non dichiarata\",\"fonte\":\"maurizioturco.it (\\\"P2 * la lista della P2 sequestrata a Licio Gelli\\\"); it.wikipedia.org \\\"Lista degli appartenenti alla P2\\\"; girodivite.it (PDF elenco_p2)\",\"affidabilita\":\"media\",\"contesto\":\"La voce compare nel formato standard degli elenchi pubblicati: \\\"gen. Raffaele Giudice (Roma, 535) (gia comandante…"</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5,</w:t>
      </w:r>
    </w:p>
    <w:p>
      <w:pPr>
        <w:spacing w:after="120" w:line="276"/>
        <w:jc w:val="both"/>
      </w:pPr>
      <w:r>
        <w:rPr>
          <w:rFonts w:ascii="Barlow Semi Condensed" w:cs="Barlow Semi Condensed" w:eastAsia="Barlow Semi Condensed" w:hAnsi="Barlow Semi Condensed"/>
          <w:sz w:val="24"/>
          <w:szCs w:val="24"/>
        </w:rPr>
        <w:t xml:space="preserve">      "label": "cerca:magistrati",</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"ae04b922b75ec311f",</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1787843084843,</w:t>
      </w:r>
    </w:p>
    <w:p>
      <w:pPr>
        <w:spacing w:after="120" w:line="276"/>
        <w:jc w:val="both"/>
      </w:pPr>
      <w:r>
        <w:rPr>
          <w:rFonts w:ascii="Barlow Semi Condensed" w:cs="Barlow Semi Condensed" w:eastAsia="Barlow Semi Condensed" w:hAnsi="Barlow Semi Condensed"/>
          <w:sz w:val="24"/>
          <w:szCs w:val="24"/>
        </w:rPr>
        <w:t xml:space="preserve">      "queuedAt": 1787842857706,</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E LIMITI. Sette ricerche complessive (3 Spagnuolo, 3…",</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1787843188715,</w:t>
      </w:r>
    </w:p>
    <w:p>
      <w:pPr>
        <w:spacing w:after="120" w:line="276"/>
        <w:jc w:val="both"/>
      </w:pPr>
      <w:r>
        <w:rPr>
          <w:rFonts w:ascii="Barlow Semi Condensed" w:cs="Barlow Semi Condensed" w:eastAsia="Barlow Semi Condensed" w:hAnsi="Barlow Semi Condensed"/>
          <w:sz w:val="24"/>
          <w:szCs w:val="24"/>
        </w:rPr>
        <w:t xml:space="preserve">      "tokens": 61168,</w:t>
      </w:r>
    </w:p>
    <w:p>
      <w:pPr>
        <w:spacing w:after="120" w:line="276"/>
        <w:jc w:val="both"/>
      </w:pPr>
      <w:r>
        <w:rPr>
          <w:rFonts w:ascii="Barlow Semi Condensed" w:cs="Barlow Semi Condensed" w:eastAsia="Barlow Semi Condensed" w:hAnsi="Barlow Semi Condensed"/>
          <w:sz w:val="24"/>
          <w:szCs w:val="24"/>
        </w:rPr>
        <w:t xml:space="preserve">      "toolCalls": 11,</w:t>
      </w:r>
    </w:p>
    <w:p>
      <w:pPr>
        <w:spacing w:after="120" w:line="276"/>
        <w:jc w:val="both"/>
      </w:pPr>
      <w:r>
        <w:rPr>
          <w:rFonts w:ascii="Barlow Semi Condensed" w:cs="Barlow Semi Condensed" w:eastAsia="Barlow Semi Condensed" w:hAnsi="Barlow Semi Condensed"/>
          <w:sz w:val="24"/>
          <w:szCs w:val="24"/>
        </w:rPr>
        <w:t xml:space="preserve">      "durationMs": 103871,</w:t>
      </w:r>
    </w:p>
    <w:p>
      <w:pPr>
        <w:spacing w:after="120" w:line="276"/>
        <w:jc w:val="both"/>
      </w:pPr>
      <w:r>
        <w:rPr>
          <w:rFonts w:ascii="Barlow Semi Condensed" w:cs="Barlow Semi Condensed" w:eastAsia="Barlow Semi Condensed" w:hAnsi="Barlow Semi Condensed"/>
          <w:sz w:val="24"/>
          <w:szCs w:val="24"/>
        </w:rPr>
        <w:t xml:space="preserve">      "resultPreview": "{\"trovati\":[{\"nome\":\"Carmelo Spagnuolo\",\"valore\":\"545\",\"etichetta\":\"non dichiarata\",\"fonte\":\"it.wikipedia.org (voce \\\"Appartenenti alla P2\\\" / \\\"Lista degli appartenenti alla P2\\\"), ripreso anche da profilbaru.com\",\"affidabilita\":\"media\",\"affidariporta\":\"La voce enciclopedica italiana sugli appartenenti alla P2, con la stessa cifra ricomparsa in tre ricerche indipendenti sullo stesso nome; nessuna…"</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6,</w:t>
      </w:r>
    </w:p>
    <w:p>
      <w:pPr>
        <w:spacing w:after="120" w:line="276"/>
        <w:jc w:val="both"/>
      </w:pPr>
      <w:r>
        <w:rPr>
          <w:rFonts w:ascii="Barlow Semi Condensed" w:cs="Barlow Semi Condensed" w:eastAsia="Barlow Semi Condensed" w:hAnsi="Barlow Semi Condensed"/>
          <w:sz w:val="24"/>
          <w:szCs w:val="24"/>
        </w:rPr>
        <w:t xml:space="preserve">      "label": "cerca:servizi-esteri",</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"ae50b674d4eb91555",</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1787843096900,</w:t>
      </w:r>
    </w:p>
    <w:p>
      <w:pPr>
        <w:spacing w:after="120" w:line="276"/>
        <w:jc w:val="both"/>
      </w:pPr>
      <w:r>
        <w:rPr>
          <w:rFonts w:ascii="Barlow Semi Condensed" w:cs="Barlow Semi Condensed" w:eastAsia="Barlow Semi Condensed" w:hAnsi="Barlow Semi Condensed"/>
          <w:sz w:val="24"/>
          <w:szCs w:val="24"/>
        </w:rPr>
        <w:t xml:space="preserve">      "queuedAt": 1787842857706,</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solo WebSearch (nessun WebFetch, nessun documento p…",</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1787843199044,</w:t>
      </w:r>
    </w:p>
    <w:p>
      <w:pPr>
        <w:spacing w:after="120" w:line="276"/>
        <w:jc w:val="both"/>
      </w:pPr>
      <w:r>
        <w:rPr>
          <w:rFonts w:ascii="Barlow Semi Condensed" w:cs="Barlow Semi Condensed" w:eastAsia="Barlow Semi Condensed" w:hAnsi="Barlow Semi Condensed"/>
          <w:sz w:val="24"/>
          <w:szCs w:val="24"/>
        </w:rPr>
        <w:t xml:space="preserve">      "tokens": 60902,</w:t>
      </w:r>
    </w:p>
    <w:p>
      <w:pPr>
        <w:spacing w:after="120" w:line="276"/>
        <w:jc w:val="both"/>
      </w:pPr>
      <w:r>
        <w:rPr>
          <w:rFonts w:ascii="Barlow Semi Condensed" w:cs="Barlow Semi Condensed" w:eastAsia="Barlow Semi Condensed" w:hAnsi="Barlow Semi Condensed"/>
          <w:sz w:val="24"/>
          <w:szCs w:val="24"/>
        </w:rPr>
        <w:t xml:space="preserve">      "toolCalls": 10,</w:t>
      </w:r>
    </w:p>
    <w:p>
      <w:pPr>
        <w:spacing w:after="120" w:line="276"/>
        <w:jc w:val="both"/>
      </w:pPr>
      <w:r>
        <w:rPr>
          <w:rFonts w:ascii="Barlow Semi Condensed" w:cs="Barlow Semi Condensed" w:eastAsia="Barlow Semi Condensed" w:hAnsi="Barlow Semi Condensed"/>
          <w:sz w:val="24"/>
          <w:szCs w:val="24"/>
        </w:rPr>
        <w:t xml:space="preserve">      "durationMs": 102143,</w:t>
      </w:r>
    </w:p>
    <w:p>
      <w:pPr>
        <w:spacing w:after="120" w:line="276"/>
        <w:jc w:val="both"/>
      </w:pPr>
      <w:r>
        <w:rPr>
          <w:rFonts w:ascii="Barlow Semi Condensed" w:cs="Barlow Semi Condensed" w:eastAsia="Barlow Semi Condensed" w:hAnsi="Barlow Semi Condensed"/>
          <w:sz w:val="24"/>
          <w:szCs w:val="24"/>
        </w:rPr>
        <w:t xml:space="preserve">      "resultPreview": "{\"trovati\":[{\"nome\":\"Federico Umberto D'Amato\",\"valore\":\"554\",\"etichetta\":\"tessera\",\"fonte\":\"it.wikipedia.org (Appartenenti alla P2); brogi.info; peacelink.it\",\"affidabilita\":\"alta\",\"affidariporta\":\"Ricorrente e concorde in piu risultati di ricerca indipendenti; e il numero esplicitamente chiamato 'tessera' dalle fonti.\",\"contesto\":\"Elencato come 'Roma', qualifica 'Direttore Ufficio Affari Riserva…"</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7,</w:t>
      </w:r>
    </w:p>
    <w:p>
      <w:pPr>
        <w:spacing w:after="120" w:line="276"/>
        <w:jc w:val="both"/>
      </w:pPr>
      <w:r>
        <w:rPr>
          <w:rFonts w:ascii="Barlow Semi Condensed" w:cs="Barlow Semi Condensed" w:eastAsia="Barlow Semi Condensed" w:hAnsi="Barlow Semi Condensed"/>
          <w:sz w:val="24"/>
          <w:szCs w:val="24"/>
        </w:rPr>
        <w:t xml:space="preserve">      "label": "cerca:stampa-e-altri",</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"a03dd467f5d9a2f4a",</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1787843196255,</w:t>
      </w:r>
    </w:p>
    <w:p>
      <w:pPr>
        <w:spacing w:after="120" w:line="276"/>
        <w:jc w:val="both"/>
      </w:pPr>
      <w:r>
        <w:rPr>
          <w:rFonts w:ascii="Barlow Semi Condensed" w:cs="Barlow Semi Condensed" w:eastAsia="Barlow Semi Condensed" w:hAnsi="Barlow Semi Condensed"/>
          <w:sz w:val="24"/>
          <w:szCs w:val="24"/>
        </w:rPr>
        <w:t xml:space="preserve">      "queuedAt": 1787842857706,</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E LIMITI. Sono state usate 3 ricerche per nome (9 in…",</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1787843323481,</w:t>
      </w:r>
    </w:p>
    <w:p>
      <w:pPr>
        <w:spacing w:after="120" w:line="276"/>
        <w:jc w:val="both"/>
      </w:pPr>
      <w:r>
        <w:rPr>
          <w:rFonts w:ascii="Barlow Semi Condensed" w:cs="Barlow Semi Condensed" w:eastAsia="Barlow Semi Condensed" w:hAnsi="Barlow Semi Condensed"/>
          <w:sz w:val="24"/>
          <w:szCs w:val="24"/>
        </w:rPr>
        <w:t xml:space="preserve">      "tokens": 60669,</w:t>
      </w:r>
    </w:p>
    <w:p>
      <w:pPr>
        <w:spacing w:after="120" w:line="276"/>
        <w:jc w:val="both"/>
      </w:pPr>
      <w:r>
        <w:rPr>
          <w:rFonts w:ascii="Barlow Semi Condensed" w:cs="Barlow Semi Condensed" w:eastAsia="Barlow Semi Condensed" w:hAnsi="Barlow Semi Condensed"/>
          <w:sz w:val="24"/>
          <w:szCs w:val="24"/>
        </w:rPr>
        <w:t xml:space="preserve">      "toolCalls": 11,</w:t>
      </w:r>
    </w:p>
    <w:p>
      <w:pPr>
        <w:spacing w:after="120" w:line="276"/>
        <w:jc w:val="both"/>
      </w:pPr>
      <w:r>
        <w:rPr>
          <w:rFonts w:ascii="Barlow Semi Condensed" w:cs="Barlow Semi Condensed" w:eastAsia="Barlow Semi Condensed" w:hAnsi="Barlow Semi Condensed"/>
          <w:sz w:val="24"/>
          <w:szCs w:val="24"/>
        </w:rPr>
        <w:t xml:space="preserve">      "durationMs": 127225,</w:t>
      </w:r>
    </w:p>
    <w:p>
      <w:pPr>
        <w:spacing w:after="120" w:line="276"/>
        <w:jc w:val="both"/>
      </w:pPr>
      <w:r>
        <w:rPr>
          <w:rFonts w:ascii="Barlow Semi Condensed" w:cs="Barlow Semi Condensed" w:eastAsia="Barlow Semi Condensed" w:hAnsi="Barlow Semi Condensed"/>
          <w:sz w:val="24"/>
          <w:szCs w:val="24"/>
        </w:rPr>
        <w:t xml:space="preserve">      "resultPreview": "{\"trovati\":[{\"nome\":\"Gustavo Selva\",\"valore\":\"623\",\"etichetta\":\"fascicolo\",\"fonte\":\"it.wikipedia.org (Appartenenti alla P2) / centrostudimalfatti.eu (PDF \\\"Appartenenti alla loggia massonica P2\\\")\",\"affidabilita\":\"media\",\"contesto\":\"Voce riportata come: fascicolo 623, tessera 1814, data di iniziazione 26 gennaio 1978; all'epoca direttore del GR2 della Rai, residenza Roma. E l'unica fonte trovata c…"</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8,</w:t>
      </w:r>
    </w:p>
    <w:p>
      <w:pPr>
        <w:spacing w:after="120" w:line="276"/>
        <w:jc w:val="both"/>
      </w:pPr>
      <w:r>
        <w:rPr>
          <w:rFonts w:ascii="Barlow Semi Condensed" w:cs="Barlow Semi Condensed" w:eastAsia="Barlow Semi Condensed" w:hAnsi="Barlow Semi Condensed"/>
          <w:sz w:val="24"/>
          <w:szCs w:val="24"/>
        </w:rPr>
        <w:t xml:space="preserve">      "label": "cerca:finanza-vaticano",</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"a65b58f68583b6279",</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1787843202730,</w:t>
      </w:r>
    </w:p>
    <w:p>
      <w:pPr>
        <w:spacing w:after="120" w:line="276"/>
        <w:jc w:val="both"/>
      </w:pPr>
      <w:r>
        <w:rPr>
          <w:rFonts w:ascii="Barlow Semi Condensed" w:cs="Barlow Semi Condensed" w:eastAsia="Barlow Semi Condensed" w:hAnsi="Barlow Semi Condensed"/>
          <w:sz w:val="24"/>
          <w:szCs w:val="24"/>
        </w:rPr>
        <w:t xml:space="preserve">      "queuedAt": 1787842857706,</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"RISULTATO CENTRALE - conflitto di etichettatura, non risolt…",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1787843310019,</w:t>
      </w:r>
    </w:p>
    <w:p>
      <w:pPr>
        <w:spacing w:after="120" w:line="276"/>
        <w:jc w:val="both"/>
      </w:pPr>
      <w:r>
        <w:rPr>
          <w:rFonts w:ascii="Barlow Semi Condensed" w:cs="Barlow Semi Condensed" w:eastAsia="Barlow Semi Condensed" w:hAnsi="Barlow Semi Condensed"/>
          <w:sz w:val="24"/>
          <w:szCs w:val="24"/>
        </w:rPr>
        <w:t xml:space="preserve">      "tokens": 59392,</w:t>
      </w:r>
    </w:p>
    <w:p>
      <w:pPr>
        <w:spacing w:after="120" w:line="276"/>
        <w:jc w:val="both"/>
      </w:pPr>
      <w:r>
        <w:rPr>
          <w:rFonts w:ascii="Barlow Semi Condensed" w:cs="Barlow Semi Condensed" w:eastAsia="Barlow Semi Condensed" w:hAnsi="Barlow Semi Condensed"/>
          <w:sz w:val="24"/>
          <w:szCs w:val="24"/>
        </w:rPr>
        <w:t xml:space="preserve">      "toolCalls": 9,</w:t>
      </w:r>
    </w:p>
    <w:p>
      <w:pPr>
        <w:spacing w:after="120" w:line="276"/>
        <w:jc w:val="both"/>
      </w:pPr>
      <w:r>
        <w:rPr>
          <w:rFonts w:ascii="Barlow Semi Condensed" w:cs="Barlow Semi Condensed" w:eastAsia="Barlow Semi Condensed" w:hAnsi="Barlow Semi Condensed"/>
          <w:sz w:val="24"/>
          <w:szCs w:val="24"/>
        </w:rPr>
        <w:t xml:space="preserve">      "durationMs": 107288,</w:t>
      </w:r>
    </w:p>
    <w:p>
      <w:pPr>
        <w:spacing w:after="120" w:line="276"/>
        <w:jc w:val="both"/>
      </w:pPr>
      <w:r>
        <w:rPr>
          <w:rFonts w:ascii="Barlow Semi Condensed" w:cs="Barlow Semi Condensed" w:eastAsia="Barlow Semi Condensed" w:hAnsi="Barlow Semi Condensed"/>
          <w:sz w:val="24"/>
          <w:szCs w:val="24"/>
        </w:rPr>
        <w:t xml:space="preserve">      "resultPreview": "{\"trovati\":[{\"nome\":\"Roberto Calvi\",\"valore\":\"519\",\"etichetta\":\"non dichiarata\",\"fonte\":\"it.wikipedia.org (voce \\\"Appartenenti alla P2\\\"), ripreso da 19luglio1992.com e girodivite.it (PDF \\\"La lista della P2 sequestrata a Licio Gelli\\\")\",\"affidabilita\":\"media\",\"contesto\":\"Compare nella forma tabellare \\\"Roberto Calvi (Milano, 519)\\\", presidente del Banco Ambrosiano. NON e dichiarato di che numero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9,</w:t>
      </w:r>
    </w:p>
    <w:p>
      <w:pPr>
        <w:spacing w:after="120" w:line="276"/>
        <w:jc w:val="both"/>
      </w:pPr>
      <w:r>
        <w:rPr>
          <w:rFonts w:ascii="Barlow Semi Condensed" w:cs="Barlow Semi Condensed" w:eastAsia="Barlow Semi Condensed" w:hAnsi="Barlow Semi Condensed"/>
          <w:sz w:val="24"/>
          <w:szCs w:val="24"/>
        </w:rPr>
        <w:t xml:space="preserve">      "label": "confuta:militari-1",</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"a4229571e0435a44a",</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1787843313417,</w:t>
      </w:r>
    </w:p>
    <w:p>
      <w:pPr>
        <w:spacing w:after="120" w:line="276"/>
        <w:jc w:val="both"/>
      </w:pPr>
      <w:r>
        <w:rPr>
          <w:rFonts w:ascii="Barlow Semi Condensed" w:cs="Barlow Semi Condensed" w:eastAsia="Barlow Semi Condensed" w:hAnsi="Barlow Semi Condensed"/>
          <w:sz w:val="24"/>
          <w:szCs w:val="24"/>
        </w:rPr>
        <w:t xml:space="preserve">      "queuedAt": 1787842961600,</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1787843418005,</w:t>
      </w:r>
    </w:p>
    <w:p>
      <w:pPr>
        <w:spacing w:after="120" w:line="276"/>
        <w:jc w:val="both"/>
      </w:pPr>
      <w:r>
        <w:rPr>
          <w:rFonts w:ascii="Barlow Semi Condensed" w:cs="Barlow Semi Condensed" w:eastAsia="Barlow Semi Condensed" w:hAnsi="Barlow Semi Condensed"/>
          <w:sz w:val="24"/>
          <w:szCs w:val="24"/>
        </w:rPr>
        <w:t xml:space="preserve">      "tokens": 57993,</w:t>
      </w:r>
    </w:p>
    <w:p>
      <w:pPr>
        <w:spacing w:after="120" w:line="276"/>
        <w:jc w:val="both"/>
      </w:pPr>
      <w:r>
        <w:rPr>
          <w:rFonts w:ascii="Barlow Semi Condensed" w:cs="Barlow Semi Condensed" w:eastAsia="Barlow Semi Condensed" w:hAnsi="Barlow Semi Condensed"/>
          <w:sz w:val="24"/>
          <w:szCs w:val="24"/>
        </w:rPr>
        <w:t xml:space="preserve">      "toolCalls": 8,</w:t>
      </w:r>
    </w:p>
    <w:p>
      <w:pPr>
        <w:spacing w:after="120" w:line="276"/>
        <w:jc w:val="both"/>
      </w:pPr>
      <w:r>
        <w:rPr>
          <w:rFonts w:ascii="Barlow Semi Condensed" w:cs="Barlow Semi Condensed" w:eastAsia="Barlow Semi Condensed" w:hAnsi="Barlow Semi Condensed"/>
          <w:sz w:val="24"/>
          <w:szCs w:val="24"/>
        </w:rPr>
        <w:t xml:space="preserve">      "durationMs": 104586,</w:t>
      </w:r>
    </w:p>
    <w:p>
      <w:pPr>
        <w:spacing w:after="120" w:line="276"/>
        <w:jc w:val="both"/>
      </w:pPr>
      <w:r>
        <w:rPr>
          <w:rFonts w:ascii="Barlow Semi Condensed" w:cs="Barlow Semi Condensed" w:eastAsia="Barlow Semi Condensed" w:hAnsi="Barlow Semi Condensed"/>
          <w:sz w:val="24"/>
          <w:szCs w:val="24"/>
        </w:rPr>
        <w:t xml:space="preserve">      "resultPreview": "{\"esiti\":[{\"nome\":\"Giuseppe Santovito\",\"valore\":\"527\",\"regge\":false,\"motivo\":\"CONFUTATO. Esiste un valore diverso per lo stesso nome: la ricerca conferma esplicitamente 'General Giuseppe Santovito held membership card number 1630 in the P2 masonic lodge' (risultati che rimandano a lespresso.it, archivioflamigni.org, strano.net). Due numeri per la stessa persona non possono essere entrambi la tesse…"</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10,</w:t>
      </w:r>
    </w:p>
    <w:p>
      <w:pPr>
        <w:spacing w:after="120" w:line="276"/>
        <w:jc w:val="both"/>
      </w:pPr>
      <w:r>
        <w:rPr>
          <w:rFonts w:ascii="Barlow Semi Condensed" w:cs="Barlow Semi Condensed" w:eastAsia="Barlow Semi Condensed" w:hAnsi="Barlow Semi Condensed"/>
          <w:sz w:val="24"/>
          <w:szCs w:val="24"/>
        </w:rPr>
        <w:t xml:space="preserve">      "label": "confuta:controlli",</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"a85051739330e9378",</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1787843326686,</w:t>
      </w:r>
    </w:p>
    <w:p>
      <w:pPr>
        <w:spacing w:after="120" w:line="276"/>
        <w:jc w:val="both"/>
      </w:pPr>
      <w:r>
        <w:rPr>
          <w:rFonts w:ascii="Barlow Semi Condensed" w:cs="Barlow Semi Condensed" w:eastAsia="Barlow Semi Condensed" w:hAnsi="Barlow Semi Condensed"/>
          <w:sz w:val="24"/>
          <w:szCs w:val="24"/>
        </w:rPr>
        <w:t xml:space="preserve">      "queuedAt": 1787842990009,</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1787843468020,</w:t>
      </w:r>
    </w:p>
    <w:p>
      <w:pPr>
        <w:spacing w:after="120" w:line="276"/>
        <w:jc w:val="both"/>
      </w:pPr>
      <w:r>
        <w:rPr>
          <w:rFonts w:ascii="Barlow Semi Condensed" w:cs="Barlow Semi Condensed" w:eastAsia="Barlow Semi Condensed" w:hAnsi="Barlow Semi Condensed"/>
          <w:sz w:val="24"/>
          <w:szCs w:val="24"/>
        </w:rPr>
        <w:t xml:space="preserve">      "tokens": 62036,</w:t>
      </w:r>
    </w:p>
    <w:p>
      <w:pPr>
        <w:spacing w:after="120" w:line="276"/>
        <w:jc w:val="both"/>
      </w:pPr>
      <w:r>
        <w:rPr>
          <w:rFonts w:ascii="Barlow Semi Condensed" w:cs="Barlow Semi Condensed" w:eastAsia="Barlow Semi Condensed" w:hAnsi="Barlow Semi Condensed"/>
          <w:sz w:val="24"/>
          <w:szCs w:val="24"/>
        </w:rPr>
        <w:t xml:space="preserve">      "toolCalls": 10,</w:t>
      </w:r>
    </w:p>
    <w:p>
      <w:pPr>
        <w:spacing w:after="120" w:line="276"/>
        <w:jc w:val="both"/>
      </w:pPr>
      <w:r>
        <w:rPr>
          <w:rFonts w:ascii="Barlow Semi Condensed" w:cs="Barlow Semi Condensed" w:eastAsia="Barlow Semi Condensed" w:hAnsi="Barlow Semi Condensed"/>
          <w:sz w:val="24"/>
          <w:szCs w:val="24"/>
        </w:rPr>
        <w:t xml:space="preserve">      "durationMs": 141333,</w:t>
      </w:r>
    </w:p>
    <w:p>
      <w:pPr>
        <w:spacing w:after="120" w:line="276"/>
        <w:jc w:val="both"/>
      </w:pPr>
      <w:r>
        <w:rPr>
          <w:rFonts w:ascii="Barlow Semi Condensed" w:cs="Barlow Semi Condensed" w:eastAsia="Barlow Semi Condensed" w:hAnsi="Barlow Semi Condensed"/>
          <w:sz w:val="24"/>
          <w:szCs w:val="24"/>
        </w:rPr>
        <w:t xml:space="preserve">      "resultPreview": "{\"esiti\":[{\"nome\":\"Silvio Berlusconi\",\"valore\":\"1816\",\"regge\":true,\"motivo\":\"Natura DICHIARATA: piu fonti scrivono esplicitamente 'tessera' (articolo21.org 'Tessera 1816 della P2'; worstitaly.wordpress.com 'Tessera numero 1816'; associazioneomilos.wordpress.com 'tessera P2 n. 1816'; giornalecangrande/issuu). Nessun risultato di ricerca propone un numero di tessera diverso: una query costruita appo…"</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11,</w:t>
      </w:r>
    </w:p>
    <w:p>
      <w:pPr>
        <w:spacing w:after="120" w:line="276"/>
        <w:jc w:val="both"/>
      </w:pPr>
      <w:r>
        <w:rPr>
          <w:rFonts w:ascii="Barlow Semi Condensed" w:cs="Barlow Semi Condensed" w:eastAsia="Barlow Semi Condensed" w:hAnsi="Barlow Semi Condensed"/>
          <w:sz w:val="24"/>
          <w:szCs w:val="24"/>
        </w:rPr>
        <w:t xml:space="preserve">      "label": "confuta:militari-2",</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"ae34b8576db45febc",</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1787843422963,</w:t>
      </w:r>
    </w:p>
    <w:p>
      <w:pPr>
        <w:spacing w:after="120" w:line="276"/>
        <w:jc w:val="both"/>
      </w:pPr>
      <w:r>
        <w:rPr>
          <w:rFonts w:ascii="Barlow Semi Condensed" w:cs="Barlow Semi Condensed" w:eastAsia="Barlow Semi Condensed" w:hAnsi="Barlow Semi Condensed"/>
          <w:sz w:val="24"/>
          <w:szCs w:val="24"/>
        </w:rPr>
        <w:t xml:space="preserve">      "queuedAt": 1787843082457,</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1787843518576,</w:t>
      </w:r>
    </w:p>
    <w:p>
      <w:pPr>
        <w:spacing w:after="120" w:line="276"/>
        <w:jc w:val="both"/>
      </w:pPr>
      <w:r>
        <w:rPr>
          <w:rFonts w:ascii="Barlow Semi Condensed" w:cs="Barlow Semi Condensed" w:eastAsia="Barlow Semi Condensed" w:hAnsi="Barlow Semi Condensed"/>
          <w:sz w:val="24"/>
          <w:szCs w:val="24"/>
        </w:rPr>
        <w:t xml:space="preserve">      "tokens": 54564,</w:t>
      </w:r>
    </w:p>
    <w:p>
      <w:pPr>
        <w:spacing w:after="120" w:line="276"/>
        <w:jc w:val="both"/>
      </w:pPr>
      <w:r>
        <w:rPr>
          <w:rFonts w:ascii="Barlow Semi Condensed" w:cs="Barlow Semi Condensed" w:eastAsia="Barlow Semi Condensed" w:hAnsi="Barlow Semi Condensed"/>
          <w:sz w:val="24"/>
          <w:szCs w:val="24"/>
        </w:rPr>
        <w:t xml:space="preserve">      "toolCalls": 6,</w:t>
      </w:r>
    </w:p>
    <w:p>
      <w:pPr>
        <w:spacing w:after="120" w:line="276"/>
        <w:jc w:val="both"/>
      </w:pPr>
      <w:r>
        <w:rPr>
          <w:rFonts w:ascii="Barlow Semi Condensed" w:cs="Barlow Semi Condensed" w:eastAsia="Barlow Semi Condensed" w:hAnsi="Barlow Semi Condensed"/>
          <w:sz w:val="24"/>
          <w:szCs w:val="24"/>
        </w:rPr>
        <w:t xml:space="preserve">      "durationMs": 95611,</w:t>
      </w:r>
    </w:p>
    <w:p>
      <w:pPr>
        <w:spacing w:after="120" w:line="276"/>
        <w:jc w:val="both"/>
      </w:pPr>
      <w:r>
        <w:rPr>
          <w:rFonts w:ascii="Barlow Semi Condensed" w:cs="Barlow Semi Condensed" w:eastAsia="Barlow Semi Condensed" w:hAnsi="Barlow Semi Condensed"/>
          <w:sz w:val="24"/>
          <w:szCs w:val="24"/>
        </w:rPr>
        <w:t xml:space="preserve">      "resultPreview": "{\"esiti\":[{\"nome\":\"Giovanni Torrisi\",\"valore\":\"631\",\"regge\":false,\"motivo\":\"Non regge, per difetto di natura dichiarata, non per contraddizione numerica. (1) Nessuna fonte trovata assegna a Torrisi un numero diverso da 631. (2) Ma l'elenco P2 sequestrato contiene per ogni iscritto DUE numeri distinti - tessera e fascicolo - come confermato dai risultati (archivio900.it; Il Fatto Quotidiano, 17/03/…"</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12,</w:t>
      </w:r>
    </w:p>
    <w:p>
      <w:pPr>
        <w:spacing w:after="120" w:line="276"/>
        <w:jc w:val="both"/>
      </w:pPr>
      <w:r>
        <w:rPr>
          <w:rFonts w:ascii="Barlow Semi Condensed" w:cs="Barlow Semi Condensed" w:eastAsia="Barlow Semi Condensed" w:hAnsi="Barlow Semi Condensed"/>
          <w:sz w:val="24"/>
          <w:szCs w:val="24"/>
        </w:rPr>
        <w:t xml:space="preserve">      "label": "confuta:guardia-finanza",</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"a594761c37fb3f29c",</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1787843471529,</w:t>
      </w:r>
    </w:p>
    <w:p>
      <w:pPr>
        <w:spacing w:after="120" w:line="276"/>
        <w:jc w:val="both"/>
      </w:pPr>
      <w:r>
        <w:rPr>
          <w:rFonts w:ascii="Barlow Semi Condensed" w:cs="Barlow Semi Condensed" w:eastAsia="Barlow Semi Condensed" w:hAnsi="Barlow Semi Condensed"/>
          <w:sz w:val="24"/>
          <w:szCs w:val="24"/>
        </w:rPr>
        <w:t xml:space="preserve">      "queuedAt": 1787843095124,</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1787843572292,</w:t>
      </w:r>
    </w:p>
    <w:p>
      <w:pPr>
        <w:spacing w:after="120" w:line="276"/>
        <w:jc w:val="both"/>
      </w:pPr>
      <w:r>
        <w:rPr>
          <w:rFonts w:ascii="Barlow Semi Condensed" w:cs="Barlow Semi Condensed" w:eastAsia="Barlow Semi Condensed" w:hAnsi="Barlow Semi Condensed"/>
          <w:sz w:val="24"/>
          <w:szCs w:val="24"/>
        </w:rPr>
        <w:t xml:space="preserve">      "tokens": 57333,</w:t>
      </w:r>
    </w:p>
    <w:p>
      <w:pPr>
        <w:spacing w:after="120" w:line="276"/>
        <w:jc w:val="both"/>
      </w:pPr>
      <w:r>
        <w:rPr>
          <w:rFonts w:ascii="Barlow Semi Condensed" w:cs="Barlow Semi Condensed" w:eastAsia="Barlow Semi Condensed" w:hAnsi="Barlow Semi Condensed"/>
          <w:sz w:val="24"/>
          <w:szCs w:val="24"/>
        </w:rPr>
        <w:t xml:space="preserve">      "toolCalls": 8,</w:t>
      </w:r>
    </w:p>
    <w:p>
      <w:pPr>
        <w:spacing w:after="120" w:line="276"/>
        <w:jc w:val="both"/>
      </w:pPr>
      <w:r>
        <w:rPr>
          <w:rFonts w:ascii="Barlow Semi Condensed" w:cs="Barlow Semi Condensed" w:eastAsia="Barlow Semi Condensed" w:hAnsi="Barlow Semi Condensed"/>
          <w:sz w:val="24"/>
          <w:szCs w:val="24"/>
        </w:rPr>
        <w:t xml:space="preserve">      "durationMs": 100762,</w:t>
      </w:r>
    </w:p>
    <w:p>
      <w:pPr>
        <w:spacing w:after="120" w:line="276"/>
        <w:jc w:val="both"/>
      </w:pPr>
      <w:r>
        <w:rPr>
          <w:rFonts w:ascii="Barlow Semi Condensed" w:cs="Barlow Semi Condensed" w:eastAsia="Barlow Semi Condensed" w:hAnsi="Barlow Semi Condensed"/>
          <w:sz w:val="24"/>
          <w:szCs w:val="24"/>
        </w:rPr>
        <w:t xml:space="preserve">      "resultPreview": "{\"esiti\":[{\"nome\":\"Raffaele Giudice\",\"valore\":\"535\",\"regge\":false,\"motivo\":\"Confutazione parziale ma sufficiente a far cadere il valore. (1) Nessuna fonte trovata dà un numero DIVERSO da 535 per Giudice: la ricerca su fonti generiche (it.wikipedia 'Raffaele Giudice', gdf.gov.it, archivio Senato, 4agosto1974) conferma solo che 'nel 1981 il suo nome compare nella lista degli appartenenti alla P2', S…"</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13,</w:t>
      </w:r>
    </w:p>
    <w:p>
      <w:pPr>
        <w:spacing w:after="120" w:line="276"/>
        <w:jc w:val="both"/>
      </w:pPr>
      <w:r>
        <w:rPr>
          <w:rFonts w:ascii="Barlow Semi Condensed" w:cs="Barlow Semi Condensed" w:eastAsia="Barlow Semi Condensed" w:hAnsi="Barlow Semi Condensed"/>
          <w:sz w:val="24"/>
          <w:szCs w:val="24"/>
        </w:rPr>
        <w:t xml:space="preserve">      "label": "confuta:magistrati",</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"ab29db12b46fb1911",</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1787843521648,</w:t>
      </w:r>
    </w:p>
    <w:p>
      <w:pPr>
        <w:spacing w:after="120" w:line="276"/>
        <w:jc w:val="both"/>
      </w:pPr>
      <w:r>
        <w:rPr>
          <w:rFonts w:ascii="Barlow Semi Condensed" w:cs="Barlow Semi Condensed" w:eastAsia="Barlow Semi Condensed" w:hAnsi="Barlow Semi Condensed"/>
          <w:sz w:val="24"/>
          <w:szCs w:val="24"/>
        </w:rPr>
        <w:t xml:space="preserve">      "queuedAt": 1787843190172,</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1787843568819,</w:t>
      </w:r>
    </w:p>
    <w:p>
      <w:pPr>
        <w:spacing w:after="120" w:line="276"/>
        <w:jc w:val="both"/>
      </w:pPr>
      <w:r>
        <w:rPr>
          <w:rFonts w:ascii="Barlow Semi Condensed" w:cs="Barlow Semi Condensed" w:eastAsia="Barlow Semi Condensed" w:hAnsi="Barlow Semi Condensed"/>
          <w:sz w:val="24"/>
          <w:szCs w:val="24"/>
        </w:rPr>
        <w:t xml:space="preserve">      "tokens": 52499,</w:t>
      </w:r>
    </w:p>
    <w:p>
      <w:pPr>
        <w:spacing w:after="120" w:line="276"/>
        <w:jc w:val="both"/>
      </w:pPr>
      <w:r>
        <w:rPr>
          <w:rFonts w:ascii="Barlow Semi Condensed" w:cs="Barlow Semi Condensed" w:eastAsia="Barlow Semi Condensed" w:hAnsi="Barlow Semi Condensed"/>
          <w:sz w:val="24"/>
          <w:szCs w:val="24"/>
        </w:rPr>
        <w:t xml:space="preserve">      "toolCalls": 4,</w:t>
      </w:r>
    </w:p>
    <w:p>
      <w:pPr>
        <w:spacing w:after="120" w:line="276"/>
        <w:jc w:val="both"/>
      </w:pPr>
      <w:r>
        <w:rPr>
          <w:rFonts w:ascii="Barlow Semi Condensed" w:cs="Barlow Semi Condensed" w:eastAsia="Barlow Semi Condensed" w:hAnsi="Barlow Semi Condensed"/>
          <w:sz w:val="24"/>
          <w:szCs w:val="24"/>
        </w:rPr>
        <w:t xml:space="preserve">      "durationMs": 47170,</w:t>
      </w:r>
    </w:p>
    <w:p>
      <w:pPr>
        <w:spacing w:after="120" w:line="276"/>
        <w:jc w:val="both"/>
      </w:pPr>
      <w:r>
        <w:rPr>
          <w:rFonts w:ascii="Barlow Semi Condensed" w:cs="Barlow Semi Condensed" w:eastAsia="Barlow Semi Condensed" w:hAnsi="Barlow Semi Condensed"/>
          <w:sz w:val="24"/>
          <w:szCs w:val="24"/>
        </w:rPr>
        <w:t xml:space="preserve">      "resultPreview": "{\"esiti\":[{\"nome\":\"Carmelo Spagnuolo\",\"valore\":\"545\",\"regge\":false,\"motivo\":\"Nessuna fonte trovata contraddice il numero 545: entrambe le ricerche restituiscono sempre e solo la stessa formula compatta \\\"Roma, in sonno, 545\\\" (Spagnuolo, all'epoca presidente di sezione della Corte di Cassazione). Il valore però NON regge per due motivi indipendenti. (1) NATURA NON DICHIARATA: la formula \\\"(città,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14,</w:t>
      </w:r>
    </w:p>
    <w:p>
      <w:pPr>
        <w:spacing w:after="120" w:line="276"/>
        <w:jc w:val="both"/>
      </w:pPr>
      <w:r>
        <w:rPr>
          <w:rFonts w:ascii="Barlow Semi Condensed" w:cs="Barlow Semi Condensed" w:eastAsia="Barlow Semi Condensed" w:hAnsi="Barlow Semi Condensed"/>
          <w:sz w:val="24"/>
          <w:szCs w:val="24"/>
        </w:rPr>
        <w:t xml:space="preserve">      "label": "confuta:servizi-esteri",</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"a1232bfa088327b6c",</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1787843572275,</w:t>
      </w:r>
    </w:p>
    <w:p>
      <w:pPr>
        <w:spacing w:after="120" w:line="276"/>
        <w:jc w:val="both"/>
      </w:pPr>
      <w:r>
        <w:rPr>
          <w:rFonts w:ascii="Barlow Semi Condensed" w:cs="Barlow Semi Condensed" w:eastAsia="Barlow Semi Condensed" w:hAnsi="Barlow Semi Condensed"/>
          <w:sz w:val="24"/>
          <w:szCs w:val="24"/>
        </w:rPr>
        <w:t xml:space="preserve">      "queuedAt": 1787843200956,</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1787843672235,</w:t>
      </w:r>
    </w:p>
    <w:p>
      <w:pPr>
        <w:spacing w:after="120" w:line="276"/>
        <w:jc w:val="both"/>
      </w:pPr>
      <w:r>
        <w:rPr>
          <w:rFonts w:ascii="Barlow Semi Condensed" w:cs="Barlow Semi Condensed" w:eastAsia="Barlow Semi Condensed" w:hAnsi="Barlow Semi Condensed"/>
          <w:sz w:val="24"/>
          <w:szCs w:val="24"/>
        </w:rPr>
        <w:t xml:space="preserve">      "tokens": 58050,</w:t>
      </w:r>
    </w:p>
    <w:p>
      <w:pPr>
        <w:spacing w:after="120" w:line="276"/>
        <w:jc w:val="both"/>
      </w:pPr>
      <w:r>
        <w:rPr>
          <w:rFonts w:ascii="Barlow Semi Condensed" w:cs="Barlow Semi Condensed" w:eastAsia="Barlow Semi Condensed" w:hAnsi="Barlow Semi Condensed"/>
          <w:sz w:val="24"/>
          <w:szCs w:val="24"/>
        </w:rPr>
        <w:t xml:space="preserve">      "toolCalls": 8,</w:t>
      </w:r>
    </w:p>
    <w:p>
      <w:pPr>
        <w:spacing w:after="120" w:line="276"/>
        <w:jc w:val="both"/>
      </w:pPr>
      <w:r>
        <w:rPr>
          <w:rFonts w:ascii="Barlow Semi Condensed" w:cs="Barlow Semi Condensed" w:eastAsia="Barlow Semi Condensed" w:hAnsi="Barlow Semi Condensed"/>
          <w:sz w:val="24"/>
          <w:szCs w:val="24"/>
        </w:rPr>
        <w:t xml:space="preserve">      "durationMs": 99960,</w:t>
      </w:r>
    </w:p>
    <w:p>
      <w:pPr>
        <w:spacing w:after="120" w:line="276"/>
        <w:jc w:val="both"/>
      </w:pPr>
      <w:r>
        <w:rPr>
          <w:rFonts w:ascii="Barlow Semi Condensed" w:cs="Barlow Semi Condensed" w:eastAsia="Barlow Semi Condensed" w:hAnsi="Barlow Semi Condensed"/>
          <w:sz w:val="24"/>
          <w:szCs w:val="24"/>
        </w:rPr>
        <w:t xml:space="preserve">      "resultPreview": "{\"esiti\":[{\"nome\":\"Federico Umberto D'Amato\",\"valore\":\"554\",\"regge\":false,\"motivo\":\"CONFUTATO da fonte concorrente. Le ricerche confermano che nell'elenco sequestrato a Castiglion Fibocchi (riprodotto da girodivite.it/IMG/pdf/elenco_p2.pdf, strano.net/stragi/stragi/p2/elep2.htm, centrostudimalfatti.eu, stragi.it/archivio/doc/66.pdf) la voce e 'dott Federico D'Amato (Roma, 554)': il formato e nome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15,</w:t>
      </w:r>
    </w:p>
    <w:p>
      <w:pPr>
        <w:spacing w:after="120" w:line="276"/>
        <w:jc w:val="both"/>
      </w:pPr>
      <w:r>
        <w:rPr>
          <w:rFonts w:ascii="Barlow Semi Condensed" w:cs="Barlow Semi Condensed" w:eastAsia="Barlow Semi Condensed" w:hAnsi="Barlow Semi Condensed"/>
          <w:sz w:val="24"/>
          <w:szCs w:val="24"/>
        </w:rPr>
        <w:t xml:space="preserve">      "label": "confuta:finanza-vaticano",</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"adc2e9031c1483700",</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1787843575802,</w:t>
      </w:r>
    </w:p>
    <w:p>
      <w:pPr>
        <w:spacing w:after="120" w:line="276"/>
        <w:jc w:val="both"/>
      </w:pPr>
      <w:r>
        <w:rPr>
          <w:rFonts w:ascii="Barlow Semi Condensed" w:cs="Barlow Semi Condensed" w:eastAsia="Barlow Semi Condensed" w:hAnsi="Barlow Semi Condensed"/>
          <w:sz w:val="24"/>
          <w:szCs w:val="24"/>
        </w:rPr>
        <w:t xml:space="preserve">      "queuedAt": 1787843311642,</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1787843678328,</w:t>
      </w:r>
    </w:p>
    <w:p>
      <w:pPr>
        <w:spacing w:after="120" w:line="276"/>
        <w:jc w:val="both"/>
      </w:pPr>
      <w:r>
        <w:rPr>
          <w:rFonts w:ascii="Barlow Semi Condensed" w:cs="Barlow Semi Condensed" w:eastAsia="Barlow Semi Condensed" w:hAnsi="Barlow Semi Condensed"/>
          <w:sz w:val="24"/>
          <w:szCs w:val="24"/>
        </w:rPr>
        <w:t xml:space="preserve">      "tokens": 59982,</w:t>
      </w:r>
    </w:p>
    <w:p>
      <w:pPr>
        <w:spacing w:after="120" w:line="276"/>
        <w:jc w:val="both"/>
      </w:pPr>
      <w:r>
        <w:rPr>
          <w:rFonts w:ascii="Barlow Semi Condensed" w:cs="Barlow Semi Condensed" w:eastAsia="Barlow Semi Condensed" w:hAnsi="Barlow Semi Condensed"/>
          <w:sz w:val="24"/>
          <w:szCs w:val="24"/>
        </w:rPr>
        <w:t xml:space="preserve">      "toolCalls": 10,</w:t>
      </w:r>
    </w:p>
    <w:p>
      <w:pPr>
        <w:spacing w:after="120" w:line="276"/>
        <w:jc w:val="both"/>
      </w:pPr>
      <w:r>
        <w:rPr>
          <w:rFonts w:ascii="Barlow Semi Condensed" w:cs="Barlow Semi Condensed" w:eastAsia="Barlow Semi Condensed" w:hAnsi="Barlow Semi Condensed"/>
          <w:sz w:val="24"/>
          <w:szCs w:val="24"/>
        </w:rPr>
        <w:t xml:space="preserve">      "durationMs": 102525,</w:t>
      </w:r>
    </w:p>
    <w:p>
      <w:pPr>
        <w:spacing w:after="120" w:line="276"/>
        <w:jc w:val="both"/>
      </w:pPr>
      <w:r>
        <w:rPr>
          <w:rFonts w:ascii="Barlow Semi Condensed" w:cs="Barlow Semi Condensed" w:eastAsia="Barlow Semi Condensed" w:hAnsi="Barlow Semi Condensed"/>
          <w:sz w:val="24"/>
          <w:szCs w:val="24"/>
        </w:rPr>
        <w:t xml:space="preserve">      "resultPreview": "{\"esiti\":[{\"nome\":\"Roberto Calvi\",\"valore\":\"519\",\"regge\":false,\"motivo\":\"CONFUTATO SULLA NATURA. Lo stesso numero 519 viene etichettato in modo incompatibile da fonti diverse: alcune sintesi di ricerca lo danno come numero di tessera / 'membership card number 519' (it.wikipedia.org 'Appartenenti alla P2', questionecivile.it, 19luglio1992.com), altre lo danno come 'fascicolo (file) number 519' per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16,</w:t>
      </w:r>
    </w:p>
    <w:p>
      <w:pPr>
        <w:spacing w:after="120" w:line="276"/>
        <w:jc w:val="both"/>
      </w:pPr>
      <w:r>
        <w:rPr>
          <w:rFonts w:ascii="Barlow Semi Condensed" w:cs="Barlow Semi Condensed" w:eastAsia="Barlow Semi Condensed" w:hAnsi="Barlow Semi Condensed"/>
          <w:sz w:val="24"/>
          <w:szCs w:val="24"/>
        </w:rPr>
        <w:t xml:space="preserve">      "label": "confuta:stampa-e-altri",</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"a805210b7eb12acc7",</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1787843675782,</w:t>
      </w:r>
    </w:p>
    <w:p>
      <w:pPr>
        <w:spacing w:after="120" w:line="276"/>
        <w:jc w:val="both"/>
      </w:pPr>
      <w:r>
        <w:rPr>
          <w:rFonts w:ascii="Barlow Semi Condensed" w:cs="Barlow Semi Condensed" w:eastAsia="Barlow Semi Condensed" w:hAnsi="Barlow Semi Condensed"/>
          <w:sz w:val="24"/>
          <w:szCs w:val="24"/>
        </w:rPr>
        <w:t xml:space="preserve">      "queuedAt": 1787843324890,</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1787843790390,</w:t>
      </w:r>
    </w:p>
    <w:p>
      <w:pPr>
        <w:spacing w:after="120" w:line="276"/>
        <w:jc w:val="both"/>
      </w:pPr>
      <w:r>
        <w:rPr>
          <w:rFonts w:ascii="Barlow Semi Condensed" w:cs="Barlow Semi Condensed" w:eastAsia="Barlow Semi Condensed" w:hAnsi="Barlow Semi Condensed"/>
          <w:sz w:val="24"/>
          <w:szCs w:val="24"/>
        </w:rPr>
        <w:t xml:space="preserve">      "tokens": 58631,</w:t>
      </w:r>
    </w:p>
    <w:p>
      <w:pPr>
        <w:spacing w:after="120" w:line="276"/>
        <w:jc w:val="both"/>
      </w:pPr>
      <w:r>
        <w:rPr>
          <w:rFonts w:ascii="Barlow Semi Condensed" w:cs="Barlow Semi Condensed" w:eastAsia="Barlow Semi Condensed" w:hAnsi="Barlow Semi Condensed"/>
          <w:sz w:val="24"/>
          <w:szCs w:val="24"/>
        </w:rPr>
        <w:t xml:space="preserve">      "toolCalls": 8,</w:t>
      </w:r>
    </w:p>
    <w:p>
      <w:pPr>
        <w:spacing w:after="120" w:line="276"/>
        <w:jc w:val="both"/>
      </w:pPr>
      <w:r>
        <w:rPr>
          <w:rFonts w:ascii="Barlow Semi Condensed" w:cs="Barlow Semi Condensed" w:eastAsia="Barlow Semi Condensed" w:hAnsi="Barlow Semi Condensed"/>
          <w:sz w:val="24"/>
          <w:szCs w:val="24"/>
        </w:rPr>
        <w:t xml:space="preserve">      "durationMs": 114606,</w:t>
      </w:r>
    </w:p>
    <w:p>
      <w:pPr>
        <w:spacing w:after="120" w:line="276"/>
        <w:jc w:val="both"/>
      </w:pPr>
      <w:r>
        <w:rPr>
          <w:rFonts w:ascii="Barlow Semi Condensed" w:cs="Barlow Semi Condensed" w:eastAsia="Barlow Semi Condensed" w:hAnsi="Barlow Semi Condensed"/>
          <w:sz w:val="24"/>
          <w:szCs w:val="24"/>
        </w:rPr>
        <w:t xml:space="preserve">      "resultPreview": "{\"esiti\":[{\"nome\":\"Gustavo Selva\",\"valore\":\"623 (etichetta dichiarata: FASCICOLO)\",\"regge\":true,\"motivo\":\"Nessuna fonte trovata assegna a Selva un numero di fascicolo diverso da 623. La natura del numero e' dichiarata: le descrizioni dell'elenco sequestrato a Castiglion Fibocchi precisano che i nominativi erano annotati 'con tanto di titolo, citta', numero di fascicolo' (Il Fatto Quotidiano, 17/3/…"</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17,</w:t>
      </w:r>
    </w:p>
    <w:p>
      <w:pPr>
        <w:spacing w:after="120" w:line="276"/>
        <w:jc w:val="both"/>
      </w:pPr>
      <w:r>
        <w:rPr>
          <w:rFonts w:ascii="Barlow Semi Condensed" w:cs="Barlow Semi Condensed" w:eastAsia="Barlow Semi Condensed" w:hAnsi="Barlow Semi Condensed"/>
          <w:sz w:val="24"/>
          <w:szCs w:val="24"/>
        </w:rPr>
        <w:t xml:space="preserve">      "label": "sintesi",</w:t>
      </w:r>
    </w:p>
    <w:p>
      <w:pPr>
        <w:spacing w:after="120" w:line="276"/>
        <w:jc w:val="both"/>
      </w:pPr>
      <w:r>
        <w:rPr>
          <w:rFonts w:ascii="Barlow Semi Condensed" w:cs="Barlow Semi Condensed" w:eastAsia="Barlow Semi Condensed" w:hAnsi="Barlow Semi Condensed"/>
          <w:sz w:val="24"/>
          <w:szCs w:val="24"/>
        </w:rPr>
        <w:t xml:space="preserve">      "phaseIndex": 3,</w:t>
      </w:r>
    </w:p>
    <w:p>
      <w:pPr>
        <w:spacing w:after="120" w:line="276"/>
        <w:jc w:val="both"/>
      </w:pPr>
      <w:r>
        <w:rPr>
          <w:rFonts w:ascii="Barlow Semi Condensed" w:cs="Barlow Semi Condensed" w:eastAsia="Barlow Semi Condensed" w:hAnsi="Barlow Semi Condensed"/>
          <w:sz w:val="24"/>
          <w:szCs w:val="24"/>
        </w:rPr>
        <w:t xml:space="preserve">      "phaseTitle": "Sintesi",</w:t>
      </w:r>
    </w:p>
    <w:p>
      <w:pPr>
        <w:spacing w:after="120" w:line="276"/>
        <w:jc w:val="both"/>
      </w:pPr>
      <w:r>
        <w:rPr>
          <w:rFonts w:ascii="Barlow Semi Condensed" w:cs="Barlow Semi Condensed" w:eastAsia="Barlow Semi Condensed" w:hAnsi="Barlow Semi Condensed"/>
          <w:sz w:val="24"/>
          <w:szCs w:val="24"/>
        </w:rPr>
        <w:t xml:space="preserve">      "agentId": "a0d7f81feab280265",</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1787843794216,</w:t>
      </w:r>
    </w:p>
    <w:p>
      <w:pPr>
        <w:spacing w:after="120" w:line="276"/>
        <w:jc w:val="both"/>
      </w:pPr>
      <w:r>
        <w:rPr>
          <w:rFonts w:ascii="Barlow Semi Condensed" w:cs="Barlow Semi Condensed" w:eastAsia="Barlow Semi Condensed" w:hAnsi="Barlow Semi Condensed"/>
          <w:sz w:val="24"/>
          <w:szCs w:val="24"/>
        </w:rPr>
        <w:t xml:space="preserve">      "queuedAt": 1787843791804,</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"promptPreview": "Sei l analista che chiude una verifica documentale. NON fare ricerche: lavora solo sui dati\nqui sotto e sull aritmetica.\n\n## Il fatto da mettere alla prova\n\nUn testo pervenuto elenca, per trentatre nomi della loggia P2, coppie di numeri presentate\ncome \"numero di fascicolo\" e \"numero di tessera\". Otto di quelle coppie hanno uno scarto\nIDENTICO, tessera meno fascicolo = 1088, su quarantadue posizio…",</w:t>
      </w:r>
    </w:p>
    <w:p>
      <w:pPr>
        <w:spacing w:after="120" w:line="276"/>
        <w:jc w:val="both"/>
      </w:pPr>
      <w:r>
        <w:rPr>
          <w:rFonts w:ascii="Barlow Semi Condensed" w:cs="Barlow Semi Condensed" w:eastAsia="Barlow Semi Condensed" w:hAnsi="Barlow Semi Condensed"/>
          <w:sz w:val="24"/>
          <w:szCs w:val="24"/>
        </w:rPr>
        <w:t xml:space="preserve">      "lastProgressAt": 1787843978672,</w:t>
      </w:r>
    </w:p>
    <w:p>
      <w:pPr>
        <w:spacing w:after="120" w:line="276"/>
        <w:jc w:val="both"/>
      </w:pPr>
      <w:r>
        <w:rPr>
          <w:rFonts w:ascii="Barlow Semi Condensed" w:cs="Barlow Semi Condensed" w:eastAsia="Barlow Semi Condensed" w:hAnsi="Barlow Semi Condensed"/>
          <w:sz w:val="24"/>
          <w:szCs w:val="24"/>
        </w:rPr>
        <w:t xml:space="preserve">      "tokens": 61372,</w:t>
      </w:r>
    </w:p>
    <w:p>
      <w:pPr>
        <w:spacing w:after="120" w:line="276"/>
        <w:jc w:val="both"/>
      </w:pPr>
      <w:r>
        <w:rPr>
          <w:rFonts w:ascii="Barlow Semi Condensed" w:cs="Barlow Semi Condensed" w:eastAsia="Barlow Semi Condensed" w:hAnsi="Barlow Semi Condensed"/>
          <w:sz w:val="24"/>
          <w:szCs w:val="24"/>
        </w:rPr>
        <w:t xml:space="preserve">      "toolCalls": 0,</w:t>
      </w:r>
    </w:p>
    <w:p>
      <w:pPr>
        <w:spacing w:after="120" w:line="276"/>
        <w:jc w:val="both"/>
      </w:pPr>
      <w:r>
        <w:rPr>
          <w:rFonts w:ascii="Barlow Semi Condensed" w:cs="Barlow Semi Condensed" w:eastAsia="Barlow Semi Condensed" w:hAnsi="Barlow Semi Condensed"/>
          <w:sz w:val="24"/>
          <w:szCs w:val="24"/>
        </w:rPr>
        <w:t xml:space="preserve">      "durationMs": 184454,</w:t>
      </w:r>
    </w:p>
    <w:p>
      <w:pPr>
        <w:spacing w:after="120" w:line="276"/>
        <w:jc w:val="both"/>
      </w:pPr>
      <w:r>
        <w:rPr>
          <w:rFonts w:ascii="Barlow Semi Condensed" w:cs="Barlow Semi Condensed" w:eastAsia="Barlow Semi Condensed" w:hAnsi="Barlow Semi Condensed"/>
          <w:sz w:val="24"/>
          <w:szCs w:val="24"/>
        </w:rPr>
        <w:t xml:space="preserve">      "resultPreview": "# Verifica documentale sullo scarto tessera–fascicolo negli elenchi P2\n\n## Premessa: la risposta breve è «non si può dire» sull'oggetto specifico\n\nVa detto per primo, prima di ogni calcolo. La campagna di ricerca non ha trovato </w:t>
      </w:r>
      <w:r>
        <w:rPr>
          <w:rFonts w:ascii="Barlow Semi Condensed" w:cs="Barlow Semi Condensed" w:eastAsia="Barlow Semi Condensed" w:hAnsi="Barlow Semi Condensed"/>
          <w:b/>
          <w:bCs/>
          <w:sz w:val="24"/>
          <w:szCs w:val="24"/>
        </w:rPr>
        <w:t xml:space="preserve">nemmeno una</w:t>
      </w:r>
      <w:r>
        <w:rPr>
          <w:rFonts w:ascii="Barlow Semi Condensed" w:cs="Barlow Semi Condensed" w:eastAsia="Barlow Semi Condensed" w:hAnsi="Barlow Semi Condensed"/>
          <w:sz w:val="24"/>
          <w:szCs w:val="24"/>
        </w:rPr>
        <w:t xml:space="preserve"> coppia completa (tessera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fascicolo, entrambi con natura dichiarata e reggenti alla confutazione) per </w:t>
      </w:r>
      <w:r>
        <w:rPr>
          <w:rFonts w:ascii="Barlow Semi Condensed" w:cs="Barlow Semi Condensed" w:eastAsia="Barlow Semi Condensed" w:hAnsi="Barlow Semi Condensed"/>
          <w:b/>
          <w:bCs/>
          <w:sz w:val="24"/>
          <w:szCs w:val="24"/>
        </w:rPr>
        <w:t xml:space="preserve">nessuno</w:t>
      </w:r>
      <w:r>
        <w:rPr>
          <w:rFonts w:ascii="Barlow Semi Condensed" w:cs="Barlow Semi Condensed" w:eastAsia="Barlow Semi Condensed" w:hAnsi="Barlow Semi Condensed"/>
          <w:sz w:val="24"/>
          <w:szCs w:val="24"/>
        </w:rPr>
        <w:t xml:space="preserve"> degli otto nomi su cui il testo pervenu…"</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"totalTokens": 1006005,</w:t>
      </w:r>
    </w:p>
    <w:p>
      <w:pPr>
        <w:spacing w:after="120" w:line="276"/>
        <w:jc w:val="both"/>
      </w:pPr>
      <w:r>
        <w:rPr>
          <w:rFonts w:ascii="Barlow Semi Condensed" w:cs="Barlow Semi Condensed" w:eastAsia="Barlow Semi Condensed" w:hAnsi="Barlow Semi Condensed"/>
          <w:sz w:val="24"/>
          <w:szCs w:val="24"/>
        </w:rPr>
        <w:t xml:space="preserve">  "totalToolCalls": 144</w:t>
      </w:r>
    </w:p>
    <w:p>
      <w:pPr>
        <w:spacing w:after="120" w:line="276"/>
        <w:jc w:val="both"/>
      </w:pPr>
      <w:r>
        <w:rPr>
          <w:rFonts w:ascii="Barlow Semi Condensed" w:cs="Barlow Semi Condensed" w:eastAsia="Barlow Semi Condensed" w:hAnsi="Barlow Semi Condensed"/>
          <w:sz w:val="24"/>
          <w:szCs w:val="24"/>
        </w:rPr>
        <w:t xml:space="preserve">}</w:t>
      </w:r>
    </w:p>
    <w:p>
      <w:pPr>
        <w:pStyle w:val="Heading3"/>
        <w:spacing w:after="80" w:before="240"/>
      </w:pPr>
      <w:r>
        <w:rPr>
          <w:rFonts w:ascii="Barlow Semi Condensed" w:cs="Barlow Semi Condensed" w:eastAsia="Barlow Semi Condensed" w:hAnsi="Barlow Semi Condensed"/>
          <w:sz w:val="24"/>
          <w:szCs w:val="24"/>
        </w:rPr>
        <w:t xml:space="preserve">Apparato grafico — Appendici · ii. La relazione della campagna di ricerca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V.ii: 11.799 parole in 3 sezioni; la più ampia è §3 Segmento 3, con 11.674.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V.ii: 6 paragrafi in 3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V. iii. Il registro degli ingressi</w:t>
      </w:r>
    </w:p>
    <w:p>
      <w:pPr>
        <w:pStyle w:val="Heading1"/>
        <w:spacing w:after="120" w:before="240"/>
      </w:pPr>
      <w:r>
        <w:rPr>
          <w:rFonts w:ascii="Barlow Semi Condensed" w:cs="Barlow Semi Condensed" w:eastAsia="Barlow Semi Condensed" w:hAnsi="Barlow Semi Condensed"/>
          <w:sz w:val="24"/>
          <w:szCs w:val="24"/>
        </w:rPr>
        <w:t xml:space="preserve">Il registro degli ingressi</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Un archivio che non dice </w:t>
      </w:r>
      <w:r>
        <w:rPr>
          <w:rFonts w:ascii="Barlow Semi Condensed" w:cs="Barlow Semi Condensed" w:eastAsia="Barlow Semi Condensed" w:hAnsi="Barlow Semi Condensed"/>
          <w:b/>
          <w:bCs/>
          <w:sz w:val="24"/>
          <w:szCs w:val="24"/>
        </w:rPr>
        <w:t xml:space="preserve">che cosa ha rifiutato</w:t>
      </w:r>
      <w:r>
        <w:rPr>
          <w:rFonts w:ascii="Barlow Semi Condensed" w:cs="Barlow Semi Condensed" w:eastAsia="Barlow Semi Condensed" w:hAnsi="Barlow Semi Condensed"/>
          <w:sz w:val="24"/>
          <w:szCs w:val="24"/>
        </w:rPr>
        <w:t xml:space="preserve"> non è verificabile. Si può</w:t>
      </w:r>
    </w:p>
    <w:p>
      <w:pPr>
        <w:spacing w:after="120" w:line="276"/>
        <w:jc w:val="both"/>
      </w:pPr>
      <w:r>
        <w:rPr>
          <w:rFonts w:ascii="Barlow Semi Condensed" w:cs="Barlow Semi Condensed" w:eastAsia="Barlow Semi Condensed" w:hAnsi="Barlow Semi Condensed"/>
          <w:sz w:val="24"/>
          <w:szCs w:val="24"/>
        </w:rPr>
        <w:t xml:space="preserve">controllare ciò che contiene; non si può controllare ciò che ha lasciato fuori,</w:t>
      </w:r>
    </w:p>
    <w:p>
      <w:pPr>
        <w:spacing w:after="120" w:line="276"/>
        <w:jc w:val="both"/>
      </w:pPr>
      <w:r>
        <w:rPr>
          <w:rFonts w:ascii="Barlow Semi Condensed" w:cs="Barlow Semi Condensed" w:eastAsia="Barlow Semi Condensed" w:hAnsi="Barlow Semi Condensed"/>
          <w:sz w:val="24"/>
          <w:szCs w:val="24"/>
        </w:rPr>
        <w:t xml:space="preserve">perché non se ne conosce l'esistenza. Questo registro chiude quella falla per il</w:t>
      </w:r>
    </w:p>
    <w:p>
      <w:pPr>
        <w:spacing w:after="120" w:line="276"/>
        <w:jc w:val="both"/>
      </w:pPr>
      <w:r>
        <w:rPr>
          <w:rFonts w:ascii="Barlow Semi Condensed" w:cs="Barlow Semi Condensed" w:eastAsia="Barlow Semi Condensed" w:hAnsi="Barlow Semi Condensed"/>
          <w:sz w:val="24"/>
          <w:szCs w:val="24"/>
        </w:rPr>
        <w:t xml:space="preserve">versamento del 27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è arrivato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407</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 consegnati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236</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distinti per impronta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171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copie byte per byte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96,9 MiB</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peso complessivo dei consegnati</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Più sei archivi compressi, che contengono altri </w:t>
      </w:r>
      <w:r>
        <w:rPr>
          <w:rFonts w:ascii="Barlow Semi Condensed" w:cs="Barlow Semi Condensed" w:eastAsia="Barlow Semi Condensed" w:hAnsi="Barlow Semi Condensed"/>
          <w:b/>
          <w:bCs/>
          <w:sz w:val="24"/>
          <w:szCs w:val="24"/>
        </w:rPr>
        <w:t xml:space="preserve">654 file</w:t>
      </w:r>
      <w:r>
        <w:rPr>
          <w:rFonts w:ascii="Barlow Semi Condensed" w:cs="Barlow Semi Condensed" w:eastAsia="Barlow Semi Condensed" w:hAnsi="Barlow Semi Condensed"/>
          <w:sz w:val="24"/>
          <w:szCs w:val="24"/>
        </w:rPr>
        <w:t xml:space="preserve"> — 483 in uno solo —</w:t>
      </w:r>
    </w:p>
    <w:p>
      <w:pPr>
        <w:spacing w:after="120" w:line="276"/>
        <w:jc w:val="both"/>
      </w:pPr>
      <w:r>
        <w:rPr>
          <w:rFonts w:ascii="Barlow Semi Condensed" w:cs="Barlow Semi Condensed" w:eastAsia="Barlow Semi Condensed" w:hAnsi="Barlow Semi Condensed"/>
          <w:sz w:val="24"/>
          <w:szCs w:val="24"/>
        </w:rPr>
        <w:t xml:space="preserve">e che scompattati pesano </w:t>
      </w:r>
      <w:r>
        <w:rPr>
          <w:rFonts w:ascii="Barlow Semi Condensed" w:cs="Barlow Semi Condensed" w:eastAsia="Barlow Semi Condensed" w:hAnsi="Barlow Semi Condensed"/>
          <w:b/>
          <w:bCs/>
          <w:sz w:val="24"/>
          <w:szCs w:val="24"/>
        </w:rPr>
        <w:t xml:space="preserve">87,7 MiB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Per formato: 151 </w:t>
      </w:r>
      <w:r>
        <w:rPr>
          <w:rFonts w:ascii="Barlow Semi Condensed" w:cs="Barlow Semi Condensed" w:eastAsia="Barlow Semi Condensed" w:hAnsi="Barlow Semi Condensed"/>
          <w:i/>
          <w:iCs/>
          <w:sz w:val="24"/>
          <w:szCs w:val="24"/>
        </w:rPr>
        <w:t xml:space="preserve">.docx</w:t>
      </w:r>
      <w:r>
        <w:rPr>
          <w:rFonts w:ascii="Barlow Semi Condensed" w:cs="Barlow Semi Condensed" w:eastAsia="Barlow Semi Condensed" w:hAnsi="Barlow Semi Condensed"/>
          <w:sz w:val="24"/>
          <w:szCs w:val="24"/>
        </w:rPr>
        <w:t xml:space="preserve">, 28 </w:t>
      </w:r>
      <w:r>
        <w:rPr>
          <w:rFonts w:ascii="Barlow Semi Condensed" w:cs="Barlow Semi Condensed" w:eastAsia="Barlow Semi Condensed" w:hAnsi="Barlow Semi Condensed"/>
          <w:i/>
          <w:iCs/>
          <w:sz w:val="24"/>
          <w:szCs w:val="24"/>
        </w:rPr>
        <w:t xml:space="preserve">.xlsx</w:t>
      </w:r>
      <w:r>
        <w:rPr>
          <w:rFonts w:ascii="Barlow Semi Condensed" w:cs="Barlow Semi Condensed" w:eastAsia="Barlow Semi Condensed" w:hAnsi="Barlow Semi Condensed"/>
          <w:sz w:val="24"/>
          <w:szCs w:val="24"/>
        </w:rPr>
        <w:t xml:space="preserve">, 19 </w:t>
      </w:r>
      <w:r>
        <w:rPr>
          <w:rFonts w:ascii="Barlow Semi Condensed" w:cs="Barlow Semi Condensed" w:eastAsia="Barlow Semi Condensed" w:hAnsi="Barlow Semi Condensed"/>
          <w:i/>
          <w:iCs/>
          <w:sz w:val="24"/>
          <w:szCs w:val="24"/>
        </w:rPr>
        <w:t xml:space="preserve">.pdf</w:t>
      </w:r>
      <w:r>
        <w:rPr>
          <w:rFonts w:ascii="Barlow Semi Condensed" w:cs="Barlow Semi Condensed" w:eastAsia="Barlow Semi Condensed" w:hAnsi="Barlow Semi Condensed"/>
          <w:sz w:val="24"/>
          <w:szCs w:val="24"/>
        </w:rPr>
        <w:t xml:space="preserve">, 19 </w:t>
      </w:r>
      <w:r>
        <w:rPr>
          <w:rFonts w:ascii="Barlow Semi Condensed" w:cs="Barlow Semi Condensed" w:eastAsia="Barlow Semi Condensed" w:hAnsi="Barlow Semi Condensed"/>
          <w:i/>
          <w:iCs/>
          <w:sz w:val="24"/>
          <w:szCs w:val="24"/>
        </w:rPr>
        <w:t xml:space="preserve">.md</w:t>
      </w:r>
      <w:r>
        <w:rPr>
          <w:rFonts w:ascii="Barlow Semi Condensed" w:cs="Barlow Semi Condensed" w:eastAsia="Barlow Semi Condensed" w:hAnsi="Barlow Semi Condensed"/>
          <w:sz w:val="24"/>
          <w:szCs w:val="24"/>
        </w:rPr>
        <w:t xml:space="preserve">, 6 </w:t>
      </w:r>
      <w:r>
        <w:rPr>
          <w:rFonts w:ascii="Barlow Semi Condensed" w:cs="Barlow Semi Condensed" w:eastAsia="Barlow Semi Condensed" w:hAnsi="Barlow Semi Condensed"/>
          <w:i/>
          <w:iCs/>
          <w:sz w:val="24"/>
          <w:szCs w:val="24"/>
        </w:rPr>
        <w:t xml:space="preserve">.zip</w:t>
      </w:r>
      <w:r>
        <w:rPr>
          <w:rFonts w:ascii="Barlow Semi Condensed" w:cs="Barlow Semi Condensed" w:eastAsia="Barlow Semi Condensed" w:hAnsi="Barlow Semi Condensed"/>
          <w:sz w:val="24"/>
          <w:szCs w:val="24"/>
        </w:rPr>
        <w:t xml:space="preserve">, 6 </w:t>
      </w:r>
      <w:r>
        <w:rPr>
          <w:rFonts w:ascii="Barlow Semi Condensed" w:cs="Barlow Semi Condensed" w:eastAsia="Barlow Semi Condensed" w:hAnsi="Barlow Semi Condensed"/>
          <w:i/>
          <w:iCs/>
          <w:sz w:val="24"/>
          <w:szCs w:val="24"/>
        </w:rPr>
        <w:t xml:space="preserve">.txt</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w:t>
      </w:r>
      <w:r>
        <w:rPr>
          <w:rFonts w:ascii="Barlow Semi Condensed" w:cs="Barlow Semi Condensed" w:eastAsia="Barlow Semi Condensed" w:hAnsi="Barlow Semi Condensed"/>
          <w:i/>
          <w:iCs/>
          <w:sz w:val="24"/>
          <w:szCs w:val="24"/>
        </w:rPr>
        <w:t xml:space="preserve">.mp4</w:t>
      </w: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.mht</w:t>
      </w: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.py</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Che cosa è entrato</w:t>
      </w:r>
    </w:p>
    <w:p>
      <w:pPr>
        <w:spacing w:after="120" w:line="276"/>
        <w:jc w:val="both"/>
      </w:pPr>
      <w:r>
        <w:rPr>
          <w:rFonts w:ascii="Barlow Semi Condensed" w:cs="Barlow Semi Condensed" w:eastAsia="Barlow Semi Condensed" w:hAnsi="Barlow Semi Condensed"/>
          <w:b/>
          <w:bCs/>
          <w:sz w:val="24"/>
          <w:szCs w:val="24"/>
        </w:rPr>
        <w:t xml:space="preserve">84 documenti</w:t>
      </w:r>
      <w:r>
        <w:rPr>
          <w:rFonts w:ascii="Barlow Semi Condensed" w:cs="Barlow Semi Condensed" w:eastAsia="Barlow Semi Condensed" w:hAnsi="Barlow Semi Condensed"/>
          <w:sz w:val="24"/>
          <w:szCs w:val="24"/>
        </w:rPr>
        <w:t xml:space="preserve"> in </w:t>
      </w:r>
      <w:r>
        <w:rPr>
          <w:rFonts w:ascii="Barlow Semi Condensed" w:cs="Barlow Semi Condensed" w:eastAsia="Barlow Semi Condensed" w:hAnsi="Barlow Semi Condensed"/>
          <w:i/>
          <w:iCs/>
          <w:sz w:val="24"/>
          <w:szCs w:val="24"/>
        </w:rPr>
        <w:t xml:space="preserve">italia-nera/</w:t>
      </w:r>
      <w:r>
        <w:rPr>
          <w:rFonts w:ascii="Barlow Semi Condensed" w:cs="Barlow Semi Condensed" w:eastAsia="Barlow Semi Condensed" w:hAnsi="Barlow Semi Condensed"/>
          <w:sz w:val="24"/>
          <w:szCs w:val="24"/>
        </w:rPr>
        <w:t xml:space="preserve">, 3.996.057 parole. Il dettaglio per strato sta</w:t>
      </w:r>
    </w:p>
    <w:p>
      <w:pPr>
        <w:spacing w:after="120" w:line="276"/>
        <w:jc w:val="both"/>
      </w:pPr>
      <w:r>
        <w:rPr>
          <w:rFonts w:ascii="Barlow Semi Condensed" w:cs="Barlow Semi Condensed" w:eastAsia="Barlow Semi Condensed" w:hAnsi="Barlow Semi Condensed"/>
          <w:sz w:val="24"/>
          <w:szCs w:val="24"/>
        </w:rPr>
        <w:t xml:space="preserve">nella </w:t>
      </w:r>
      <w:r>
        <w:rPr>
          <w:rFonts w:ascii="Barlow Semi Condensed" w:cs="Barlow Semi Condensed" w:eastAsia="Barlow Semi Condensed" w:hAnsi="Barlow Semi Condensed"/>
          <w:i/>
          <w:iCs/>
          <w:sz w:val="24"/>
          <w:szCs w:val="24"/>
        </w:rPr>
        <w:t xml:space="preserve">nota di perimetro</w:t>
      </w:r>
      <w:r>
        <w:rPr>
          <w:rFonts w:ascii="Barlow Semi Condensed" w:cs="Barlow Semi Condensed" w:eastAsia="Barlow Semi Condensed" w:hAnsi="Barlow Semi Condensed"/>
          <w:sz w:val="24"/>
          <w:szCs w:val="24"/>
        </w:rPr>
        <w:t xml:space="preserve">; qui conta il criterio.</w:t>
      </w:r>
    </w:p>
    <w:p>
      <w:pPr>
        <w:pStyle w:val="Heading2"/>
        <w:spacing w:after="100" w:before="200"/>
      </w:pPr>
      <w:r>
        <w:rPr>
          <w:rFonts w:ascii="Barlow Semi Condensed" w:cs="Barlow Semi Condensed" w:eastAsia="Barlow Semi Condensed" w:hAnsi="Barlow Semi Condensed"/>
          <w:sz w:val="24"/>
          <w:szCs w:val="24"/>
        </w:rPr>
        <w:t xml:space="preserve">Che cosa è stato scartato, e con quale misura</w:t>
      </w:r>
    </w:p>
    <w:p>
      <w:pPr>
        <w:spacing w:after="120" w:line="276"/>
        <w:jc w:val="both"/>
      </w:pPr>
      <w:r>
        <w:rPr>
          <w:rFonts w:ascii="Barlow Semi Condensed" w:cs="Barlow Semi Condensed" w:eastAsia="Barlow Semi Condensed" w:hAnsi="Barlow Semi Condensed"/>
          <w:sz w:val="24"/>
          <w:szCs w:val="24"/>
        </w:rPr>
        <w:t xml:space="preserve">Nulla è stato scartato a occhio. Ogni esclusione porta un numero, e il numero è</w:t>
      </w:r>
    </w:p>
    <w:p>
      <w:pPr>
        <w:spacing w:after="120" w:line="276"/>
        <w:jc w:val="both"/>
      </w:pPr>
      <w:r>
        <w:rPr>
          <w:rFonts w:ascii="Barlow Semi Condensed" w:cs="Barlow Semi Condensed" w:eastAsia="Barlow Semi Condensed" w:hAnsi="Barlow Semi Condensed"/>
          <w:sz w:val="24"/>
          <w:szCs w:val="24"/>
        </w:rPr>
        <w:t xml:space="preserve">il contenimento agli </w:t>
      </w:r>
      <w:r>
        <w:rPr>
          <w:rFonts w:ascii="Barlow Semi Condensed" w:cs="Barlow Semi Condensed" w:eastAsia="Barlow Semi Condensed" w:hAnsi="Barlow Semi Condensed"/>
          <w:b/>
          <w:bCs/>
          <w:sz w:val="24"/>
          <w:szCs w:val="24"/>
        </w:rPr>
        <w:t xml:space="preserve">8-grammi</w:t>
      </w:r>
      <w:r>
        <w:rPr>
          <w:rFonts w:ascii="Barlow Semi Condensed" w:cs="Barlow Semi Condensed" w:eastAsia="Barlow Semi Condensed" w:hAnsi="Barlow Semi Condensed"/>
          <w:sz w:val="24"/>
          <w:szCs w:val="24"/>
        </w:rPr>
        <w:t xml:space="preserve"> — la quota di sequenze di otto parole del</w:t>
      </w:r>
    </w:p>
    <w:p>
      <w:pPr>
        <w:spacing w:after="120" w:line="276"/>
        <w:jc w:val="both"/>
      </w:pPr>
      <w:r>
        <w:rPr>
          <w:rFonts w:ascii="Barlow Semi Condensed" w:cs="Barlow Semi Condensed" w:eastAsia="Barlow Semi Condensed" w:hAnsi="Barlow Semi Condensed"/>
          <w:sz w:val="24"/>
          <w:szCs w:val="24"/>
        </w:rPr>
        <w:t xml:space="preserve">documento in esame che compaiono già in un documento archiviato.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 scartato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 in</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unico totale V69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Registro V77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94,8 %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Tomo sesto V67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Registro V77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94,2 %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Libro secondo, tomo decimo V68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Registro V77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88,7 %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ITALIA_NERA_TUTTE_LE_SCHEDE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redazione unificata delle schede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100 %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CENSIMENTO…INTEGRATO</w:t>
            </w:r>
            <w:r>
              <w:rPr>
                <w:rFonts w:ascii="Barlow Semi Condensed" w:cs="Barlow Semi Condensed" w:eastAsia="Barlow Semi Condensed" w:hAnsi="Barlow Semi Condensed"/>
                <w:sz w:val="20"/>
                <w:szCs w:val="20"/>
              </w:rPr>
              <w:t xml:space="preserve"> ×8 e </w:t>
            </w:r>
            <w:r>
              <w:rPr>
                <w:rFonts w:ascii="Barlow Semi Condensed" w:cs="Barlow Semi Condensed" w:eastAsia="Barlow Semi Condensed" w:hAnsi="Barlow Semi Condensed"/>
                <w:i/>
                <w:iCs/>
                <w:sz w:val="20"/>
                <w:szCs w:val="20"/>
              </w:rPr>
              <w:t xml:space="preserve">STRUTTURA_COMPOSITA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censimento massimale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100 %</w:t>
            </w:r>
            <w:r>
              <w:rPr>
                <w:rFonts w:ascii="Barlow Semi Condensed" w:cs="Barlow Semi Condensed" w:eastAsia="Barlow Semi Condensed" w:hAnsi="Barlow Semi Condensed"/>
                <w:sz w:val="20"/>
                <w:szCs w:val="20"/>
              </w:rPr>
              <w:t xml:space="preserve"> (99,6 % l'ultimo)</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REGISTRO_ANALITICO_NODI_CORPUS_5_DOCUMENTI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registro dei nodi, cinque documenti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100 %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CENSIMENTO_NODI_PER_DOMINIO</w:t>
            </w:r>
            <w:r>
              <w:rPr>
                <w:rFonts w:ascii="Barlow Semi Condensed" w:cs="Barlow Semi Condensed" w:eastAsia="Barlow Semi Condensed" w:hAnsi="Barlow Semi Condensed"/>
                <w:sz w:val="20"/>
                <w:szCs w:val="20"/>
              </w:rPr>
              <w:t xml:space="preserve"> (secondo esemplare)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primo esemplare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100 %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architetto_del_caos_4.pdf</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architetto_del_caos_5.pdf</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100 %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architetto_del_caos_5.docx</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redazione in 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98 %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Scheda ombra KGB (re-invio)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copia in cartella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99,1 %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Schede estratte, lotto secondo (re-invio)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copia in cartella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96,3 %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Nazisti_in_URSS_1.docx</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redazione in 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96 %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Schede estratte, lotto primo (re-invio)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copia in cartella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93,9 %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REGISTRO_ANALITICO_NODI_INTEGRALE.docx</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Registro V77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90,3 %</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A queste si aggiungono le copie byte per byte, che non richiedono misura:</w:t>
      </w:r>
    </w:p>
    <w:p>
      <w:pPr>
        <w:spacing w:after="120" w:line="276"/>
        <w:jc w:val="both"/>
      </w:pPr>
      <w:r>
        <w:rPr>
          <w:rFonts w:ascii="Barlow Semi Condensed" w:cs="Barlow Semi Condensed" w:eastAsia="Barlow Semi Condensed" w:hAnsi="Barlow Semi Condensed"/>
          <w:sz w:val="24"/>
          <w:szCs w:val="24"/>
        </w:rPr>
        <w:t xml:space="preserve">un'impronta identica è identità, non somiglianza.</w:t>
      </w:r>
    </w:p>
    <w:p>
      <w:pPr>
        <w:pStyle w:val="Heading3"/>
        <w:spacing w:after="80" w:before="160"/>
      </w:pPr>
      <w:r>
        <w:rPr>
          <w:rFonts w:ascii="Barlow Semi Condensed" w:cs="Barlow Semi Condensed" w:eastAsia="Barlow Semi Condensed" w:hAnsi="Barlow Semi Condensed"/>
          <w:sz w:val="24"/>
          <w:szCs w:val="24"/>
        </w:rPr>
        <w:t xml:space="preserve">Gli ultimi tre invii, che sono i più istruttivi</w:t>
      </w:r>
    </w:p>
    <w:p>
      <w:pPr>
        <w:spacing w:after="120" w:line="276"/>
        <w:jc w:val="both"/>
      </w:pPr>
      <w:r>
        <w:rPr>
          <w:rFonts w:ascii="Barlow Semi Condensed" w:cs="Barlow Semi Condensed" w:eastAsia="Barlow Semi Condensed" w:hAnsi="Barlow Semi Condensed"/>
          <w:sz w:val="24"/>
          <w:szCs w:val="24"/>
        </w:rPr>
        <w:t xml:space="preserve">Quarantotto file consegnati a versamento quasi chiuso, in tre invii successivi.</w:t>
      </w:r>
    </w:p>
    <w:p>
      <w:pPr>
        <w:spacing w:after="120" w:line="276"/>
        <w:jc w:val="both"/>
      </w:pPr>
      <w:r>
        <w:rPr>
          <w:rFonts w:ascii="Barlow Semi Condensed" w:cs="Barlow Semi Condensed" w:eastAsia="Barlow Semi Condensed" w:hAnsi="Barlow Semi Condensed"/>
          <w:b/>
          <w:bCs/>
          <w:sz w:val="24"/>
          <w:szCs w:val="24"/>
        </w:rPr>
        <w:t xml:space="preserve">Ne sono entrati due</w:t>
      </w:r>
      <w:r>
        <w:rPr>
          <w:rFonts w:ascii="Barlow Semi Condensed" w:cs="Barlow Semi Condensed" w:eastAsia="Barlow Semi Condensed" w:hAnsi="Barlow Semi Condensed"/>
          <w:sz w:val="24"/>
          <w:szCs w:val="24"/>
        </w:rPr>
        <w:t xml:space="preserve">, e l'ultimo invio da solo ha prodotto </w:t>
      </w:r>
      <w:r>
        <w:rPr>
          <w:rFonts w:ascii="Barlow Semi Condensed" w:cs="Barlow Semi Condensed" w:eastAsia="Barlow Semi Condensed" w:hAnsi="Barlow Semi Condensed"/>
          <w:b/>
          <w:bCs/>
          <w:sz w:val="24"/>
          <w:szCs w:val="24"/>
        </w:rPr>
        <w:t xml:space="preserve">zero</w:t>
      </w:r>
      <w:r>
        <w:rPr>
          <w:rFonts w:ascii="Barlow Semi Condensed" w:cs="Barlow Semi Condensed" w:eastAsia="Barlow Semi Condensed" w:hAnsi="Barlow Semi Condensed"/>
          <w:sz w:val="24"/>
          <w:szCs w:val="24"/>
        </w:rPr>
        <w:t xml:space="preserve">: sette</w:t>
      </w:r>
    </w:p>
    <w:p>
      <w:pPr>
        <w:spacing w:after="120" w:line="276"/>
        <w:jc w:val="both"/>
      </w:pPr>
      <w:r>
        <w:rPr>
          <w:rFonts w:ascii="Barlow Semi Condensed" w:cs="Barlow Semi Condensed" w:eastAsia="Barlow Semi Condensed" w:hAnsi="Barlow Semi Condensed"/>
          <w:sz w:val="24"/>
          <w:szCs w:val="24"/>
        </w:rPr>
        <w:t xml:space="preserve">copie esatte e nove documenti contenuti fra il </w:t>
      </w:r>
      <w:r>
        <w:rPr>
          <w:rFonts w:ascii="Barlow Semi Condensed" w:cs="Barlow Semi Condensed" w:eastAsia="Barlow Semi Condensed" w:hAnsi="Barlow Semi Condensed"/>
          <w:b/>
          <w:bCs/>
          <w:sz w:val="24"/>
          <w:szCs w:val="24"/>
        </w:rPr>
        <w:t xml:space="preserve">99,7 e il 100 per cento</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documenti archiviati poche ore prima — gli stessi registri di sessione,</w:t>
      </w:r>
    </w:p>
    <w:p>
      <w:pPr>
        <w:spacing w:after="120" w:line="276"/>
        <w:jc w:val="both"/>
      </w:pPr>
      <w:r>
        <w:rPr>
          <w:rFonts w:ascii="Barlow Semi Condensed" w:cs="Barlow Semi Condensed" w:eastAsia="Barlow Semi Condensed" w:hAnsi="Barlow Semi Condensed"/>
          <w:sz w:val="24"/>
          <w:szCs w:val="24"/>
        </w:rPr>
        <w:t xml:space="preserve">riconsegnati in </w:t>
      </w:r>
      <w:r>
        <w:rPr>
          <w:rFonts w:ascii="Barlow Semi Condensed" w:cs="Barlow Semi Condensed" w:eastAsia="Barlow Semi Condensed" w:hAnsi="Barlow Semi Condensed"/>
          <w:i/>
          <w:iCs/>
          <w:sz w:val="24"/>
          <w:szCs w:val="24"/>
        </w:rPr>
        <w:t xml:space="preserve">.docx</w:t>
      </w:r>
      <w:r>
        <w:rPr>
          <w:rFonts w:ascii="Barlow Semi Condensed" w:cs="Barlow Semi Condensed" w:eastAsia="Barlow Semi Condensed" w:hAnsi="Barlow Semi Condensed"/>
          <w:sz w:val="24"/>
          <w:szCs w:val="24"/>
        </w:rPr>
        <w:t xml:space="preserve">, in </w:t>
      </w:r>
      <w:r>
        <w:rPr>
          <w:rFonts w:ascii="Barlow Semi Condensed" w:cs="Barlow Semi Condensed" w:eastAsia="Barlow Semi Condensed" w:hAnsi="Barlow Semi Condensed"/>
          <w:i/>
          <w:iCs/>
          <w:sz w:val="24"/>
          <w:szCs w:val="24"/>
        </w:rPr>
        <w:t xml:space="preserve">.md</w:t>
      </w:r>
      <w:r>
        <w:rPr>
          <w:rFonts w:ascii="Barlow Semi Condensed" w:cs="Barlow Semi Condensed" w:eastAsia="Barlow Semi Condensed" w:hAnsi="Barlow Semi Condensed"/>
          <w:sz w:val="24"/>
          <w:szCs w:val="24"/>
        </w:rPr>
        <w:t xml:space="preserve"> e in </w:t>
      </w:r>
      <w:r>
        <w:rPr>
          <w:rFonts w:ascii="Barlow Semi Condensed" w:cs="Barlow Semi Condensed" w:eastAsia="Barlow Semi Condensed" w:hAnsi="Barlow Semi Condensed"/>
          <w:i/>
          <w:iCs/>
          <w:sz w:val="24"/>
          <w:szCs w:val="24"/>
        </w:rPr>
        <w:t xml:space="preserve">.pdf</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è un rimprovero a chi li ha inviati: è la ragione per cui questo registro</w:t>
      </w:r>
    </w:p>
    <w:p>
      <w:pPr>
        <w:spacing w:after="120" w:line="276"/>
        <w:jc w:val="both"/>
      </w:pPr>
      <w:r>
        <w:rPr>
          <w:rFonts w:ascii="Barlow Semi Condensed" w:cs="Barlow Semi Condensed" w:eastAsia="Barlow Semi Condensed" w:hAnsi="Barlow Semi Condensed"/>
          <w:sz w:val="24"/>
          <w:szCs w:val="24"/>
        </w:rPr>
        <w:t xml:space="preserve">esiste. Senza una misura, quarantotto file in arrivo sembrano quarantotto</w:t>
      </w:r>
    </w:p>
    <w:p>
      <w:pPr>
        <w:spacing w:after="120" w:line="276"/>
        <w:jc w:val="both"/>
      </w:pPr>
      <w:r>
        <w:rPr>
          <w:rFonts w:ascii="Barlow Semi Condensed" w:cs="Barlow Semi Condensed" w:eastAsia="Barlow Semi Condensed" w:hAnsi="Barlow Semi Condensed"/>
          <w:sz w:val="24"/>
          <w:szCs w:val="24"/>
        </w:rPr>
        <w:t xml:space="preserve">documenti, e un archivio che li accogliesse tutti crescerebbe di duecentomila</w:t>
      </w:r>
    </w:p>
    <w:p>
      <w:pPr>
        <w:spacing w:after="120" w:line="276"/>
        <w:jc w:val="both"/>
      </w:pPr>
      <w:r>
        <w:rPr>
          <w:rFonts w:ascii="Barlow Semi Condensed" w:cs="Barlow Semi Condensed" w:eastAsia="Barlow Semi Condensed" w:hAnsi="Barlow Semi Condensed"/>
          <w:sz w:val="24"/>
          <w:szCs w:val="24"/>
        </w:rPr>
        <w:t xml:space="preserve">parole senza guadagnare una riga. Con la misura sono due — e il fatto che siano</w:t>
      </w:r>
    </w:p>
    <w:p>
      <w:pPr>
        <w:spacing w:after="120" w:line="276"/>
        <w:jc w:val="both"/>
      </w:pPr>
      <w:r>
        <w:rPr>
          <w:rFonts w:ascii="Barlow Semi Condensed" w:cs="Barlow Semi Condensed" w:eastAsia="Barlow Semi Condensed" w:hAnsi="Barlow Semi Condensed"/>
          <w:sz w:val="24"/>
          <w:szCs w:val="24"/>
        </w:rPr>
        <w:t xml:space="preserve">due è esso stesso un dato sullo stato del lavoro. Su 407 file consegnati in</w:t>
      </w:r>
    </w:p>
    <w:p>
      <w:pPr>
        <w:spacing w:after="120" w:line="276"/>
        <w:jc w:val="both"/>
      </w:pPr>
      <w:r>
        <w:rPr>
          <w:rFonts w:ascii="Barlow Semi Condensed" w:cs="Barlow Semi Condensed" w:eastAsia="Barlow Semi Condensed" w:hAnsi="Barlow Semi Condensed"/>
          <w:sz w:val="24"/>
          <w:szCs w:val="24"/>
        </w:rPr>
        <w:t xml:space="preserve">tutta la sessione, </w:t>
      </w:r>
      <w:r>
        <w:rPr>
          <w:rFonts w:ascii="Barlow Semi Condensed" w:cs="Barlow Semi Condensed" w:eastAsia="Barlow Semi Condensed" w:hAnsi="Barlow Semi Condensed"/>
          <w:b/>
          <w:bCs/>
          <w:sz w:val="24"/>
          <w:szCs w:val="24"/>
        </w:rPr>
        <w:t xml:space="preserve">171 erano copie byte per byte</w:t>
      </w:r>
      <w:r>
        <w:rPr>
          <w:rFonts w:ascii="Barlow Semi Condensed" w:cs="Barlow Semi Condensed" w:eastAsia="Barlow Semi Condensed" w:hAnsi="Barlow Semi Condensed"/>
          <w:sz w:val="24"/>
          <w:szCs w:val="24"/>
        </w:rPr>
        <w:t xml:space="preserve">: due su cinque. Il numero dei</w:t>
      </w:r>
    </w:p>
    <w:p>
      <w:pPr>
        <w:spacing w:after="120" w:line="276"/>
        <w:jc w:val="both"/>
      </w:pPr>
      <w:r>
        <w:rPr>
          <w:rFonts w:ascii="Barlow Semi Condensed" w:cs="Barlow Semi Condensed" w:eastAsia="Barlow Semi Condensed" w:hAnsi="Barlow Semi Condensed"/>
          <w:sz w:val="24"/>
          <w:szCs w:val="24"/>
        </w:rPr>
        <w:t xml:space="preserve">file distinti si è fermato a </w:t>
      </w: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e non si muove più: gli ultimi sedici non ne</w:t>
      </w:r>
    </w:p>
    <w:p>
      <w:pPr>
        <w:spacing w:after="120" w:line="276"/>
        <w:jc w:val="both"/>
      </w:pPr>
      <w:r>
        <w:rPr>
          <w:rFonts w:ascii="Barlow Semi Condensed" w:cs="Barlow Semi Condensed" w:eastAsia="Barlow Semi Condensed" w:hAnsi="Barlow Semi Condensed"/>
          <w:sz w:val="24"/>
          <w:szCs w:val="24"/>
        </w:rPr>
        <w:t xml:space="preserve">hanno aggiunto nessuno.</w:t>
      </w:r>
    </w:p>
    <w:p>
      <w:pPr>
        <w:spacing w:after="120" w:line="276"/>
        <w:jc w:val="both"/>
      </w:pPr>
      <w:r>
        <w:rPr>
          <w:rFonts w:ascii="Barlow Semi Condensed" w:cs="Barlow Semi Condensed" w:eastAsia="Barlow Semi Condensed" w:hAnsi="Barlow Semi Condensed"/>
          <w:sz w:val="24"/>
          <w:szCs w:val="24"/>
        </w:rPr>
        <w:t xml:space="preserve">*L'ultimo invio ha però rovesciato la tendenza, e va detto con la stessa</w:t>
      </w:r>
    </w:p>
    <w:p>
      <w:pPr>
        <w:spacing w:after="120" w:line="276"/>
        <w:jc w:val="both"/>
      </w:pPr>
      <w:r>
        <w:rPr>
          <w:rFonts w:ascii="Barlow Semi Condensed" w:cs="Barlow Semi Condensed" w:eastAsia="Barlow Semi Condensed" w:hAnsi="Barlow Semi Condensed"/>
          <w:sz w:val="24"/>
          <w:szCs w:val="24"/>
        </w:rPr>
        <w:t xml:space="preserve">franchezza: sedici file, dodici entrati, fra cui l'intera serie dei registri</w:t>
      </w:r>
    </w:p>
    <w:p>
      <w:pPr>
        <w:spacing w:after="120" w:line="276"/>
        <w:jc w:val="both"/>
      </w:pPr>
      <w:r>
        <w:rPr>
          <w:rFonts w:ascii="Barlow Semi Condensed" w:cs="Barlow Semi Condensed" w:eastAsia="Barlow Semi Condensed" w:hAnsi="Barlow Semi Condensed"/>
          <w:sz w:val="24"/>
          <w:szCs w:val="24"/>
        </w:rPr>
        <w:t xml:space="preserve">dominiali dal D02 al D10 e il registro dei candidati alla formalizzazione, che</w:t>
      </w:r>
    </w:p>
    <w:p>
      <w:pPr>
        <w:spacing w:after="120" w:line="276"/>
        <w:jc w:val="both"/>
      </w:pPr>
      <w:r>
        <w:rPr>
          <w:rFonts w:ascii="Barlow Semi Condensed" w:cs="Barlow Semi Condensed" w:eastAsia="Barlow Semi Condensed" w:hAnsi="Barlow Semi Condensed"/>
          <w:sz w:val="24"/>
          <w:szCs w:val="24"/>
        </w:rPr>
        <w:t xml:space="preserve">con 214.465 parole sta dentro il Registro V77 per lo </w:t>
      </w:r>
      <w:r>
        <w:rPr>
          <w:rFonts w:ascii="Barlow Semi Condensed" w:cs="Barlow Semi Condensed" w:eastAsia="Barlow Semi Condensed" w:hAnsi="Barlow Semi Condensed"/>
          <w:b/>
          <w:bCs/>
          <w:sz w:val="24"/>
          <w:szCs w:val="24"/>
        </w:rPr>
        <w:t xml:space="preserve">0,1 per cento</w:t>
      </w:r>
      <w:r>
        <w:rPr>
          <w:rFonts w:ascii="Barlow Semi Condensed" w:cs="Barlow Semi Condensed" w:eastAsia="Barlow Semi Condensed" w:hAnsi="Barlow Semi Condensed"/>
          <w:sz w:val="24"/>
          <w:szCs w:val="24"/>
        </w:rPr>
        <w:t xml:space="preserve">. I</w:t>
      </w:r>
    </w:p>
    <w:p>
      <w:pPr>
        <w:spacing w:after="120" w:line="276"/>
        <w:jc w:val="both"/>
      </w:pPr>
      <w:r>
        <w:rPr>
          <w:rFonts w:ascii="Barlow Semi Condensed" w:cs="Barlow Semi Condensed" w:eastAsia="Barlow Semi Condensed" w:hAnsi="Barlow Semi Condensed"/>
          <w:sz w:val="24"/>
          <w:szCs w:val="24"/>
        </w:rPr>
        <w:t xml:space="preserve">dominiali stanno fra il 42 e il 49: riordinare per dominio non è ricopiare. Un</w:t>
      </w:r>
    </w:p>
    <w:p>
      <w:pPr>
        <w:spacing w:after="120" w:line="276"/>
        <w:jc w:val="both"/>
      </w:pPr>
      <w:r>
        <w:rPr>
          <w:rFonts w:ascii="Barlow Semi Condensed" w:cs="Barlow Semi Condensed" w:eastAsia="Barlow Semi Condensed" w:hAnsi="Barlow Semi Condensed"/>
          <w:sz w:val="24"/>
          <w:szCs w:val="24"/>
        </w:rPr>
        <w:t xml:space="preserve">registro degli ingressi serve anche a questo — a non trasformare tre invii magri</w:t>
      </w:r>
    </w:p>
    <w:p>
      <w:pPr>
        <w:spacing w:after="120" w:line="276"/>
        <w:jc w:val="both"/>
      </w:pPr>
      <w:r>
        <w:rPr>
          <w:rFonts w:ascii="Barlow Semi Condensed" w:cs="Barlow Semi Condensed" w:eastAsia="Barlow Semi Condensed" w:hAnsi="Barlow Semi Condensed"/>
          <w:sz w:val="24"/>
          <w:szCs w:val="24"/>
        </w:rPr>
        <w:t xml:space="preserve">in un pregiudizio sul quarto.*</w:t>
      </w:r>
    </w:p>
    <w:p>
      <w:pPr>
        <w:pStyle w:val="Heading2"/>
        <w:spacing w:after="100" w:before="200"/>
      </w:pPr>
      <w:r>
        <w:rPr>
          <w:rFonts w:ascii="Barlow Semi Condensed" w:cs="Barlow Semi Condensed" w:eastAsia="Barlow Semi Condensed" w:hAnsi="Barlow Semi Condensed"/>
          <w:sz w:val="24"/>
          <w:szCs w:val="24"/>
        </w:rPr>
        <w:t xml:space="preserve">Che cosa è entrato benché somigliasse</w:t>
      </w:r>
    </w:p>
    <w:p>
      <w:pPr>
        <w:spacing w:after="120" w:line="276"/>
        <w:jc w:val="both"/>
      </w:pPr>
      <w:r>
        <w:rPr>
          <w:rFonts w:ascii="Barlow Semi Condensed" w:cs="Barlow Semi Condensed" w:eastAsia="Barlow Semi Condensed" w:hAnsi="Barlow Semi Condensed"/>
          <w:sz w:val="24"/>
          <w:szCs w:val="24"/>
        </w:rPr>
        <w:t xml:space="preserve">La simmetria conta quanto l'elenco sopra. Tre casi sono stati </w:t>
      </w:r>
      <w:r>
        <w:rPr>
          <w:rFonts w:ascii="Barlow Semi Condensed" w:cs="Barlow Semi Condensed" w:eastAsia="Barlow Semi Condensed" w:hAnsi="Barlow Semi Condensed"/>
          <w:b/>
          <w:bCs/>
          <w:sz w:val="24"/>
          <w:szCs w:val="24"/>
        </w:rPr>
        <w:t xml:space="preserve">tenuti</w:t>
      </w:r>
      <w:r>
        <w:rPr>
          <w:rFonts w:ascii="Barlow Semi Condensed" w:cs="Barlow Semi Condensed" w:eastAsia="Barlow Semi Condensed" w:hAnsi="Barlow Semi Condensed"/>
          <w:sz w:val="24"/>
          <w:szCs w:val="24"/>
        </w:rPr>
        <w:t xml:space="preserve"> malgrado</w:t>
      </w:r>
    </w:p>
    <w:p>
      <w:pPr>
        <w:spacing w:after="120" w:line="276"/>
        <w:jc w:val="both"/>
      </w:pPr>
      <w:r>
        <w:rPr>
          <w:rFonts w:ascii="Barlow Semi Condensed" w:cs="Barlow Semi Condensed" w:eastAsia="Barlow Semi Condensed" w:hAnsi="Barlow Semi Condensed"/>
          <w:sz w:val="24"/>
          <w:szCs w:val="24"/>
        </w:rPr>
        <w:t xml:space="preserve">un contenimento alto, e la ragione è sempre la stessa: un documento che ne</w:t>
      </w:r>
    </w:p>
    <w:p>
      <w:pPr>
        <w:spacing w:after="120" w:line="276"/>
        <w:jc w:val="both"/>
      </w:pPr>
      <w:r>
        <w:rPr>
          <w:rFonts w:ascii="Barlow Semi Condensed" w:cs="Barlow Semi Condensed" w:eastAsia="Barlow Semi Condensed" w:hAnsi="Barlow Semi Condensed"/>
          <w:sz w:val="24"/>
          <w:szCs w:val="24"/>
        </w:rPr>
        <w:t xml:space="preserve">contiene un altro e vi aggiunge qualcosa non è una copia, è uno strato — e</w:t>
      </w:r>
    </w:p>
    <w:p>
      <w:pPr>
        <w:spacing w:after="120" w:line="276"/>
        <w:jc w:val="both"/>
      </w:pPr>
      <w:r>
        <w:rPr>
          <w:rFonts w:ascii="Barlow Semi Condensed" w:cs="Barlow Semi Condensed" w:eastAsia="Barlow Semi Condensed" w:hAnsi="Barlow Semi Condensed"/>
          <w:sz w:val="24"/>
          <w:szCs w:val="24"/>
        </w:rPr>
        <w:t xml:space="preserve">sostituire lo strato anteriore col posteriore cancella la possibilità di</w:t>
      </w:r>
    </w:p>
    <w:p>
      <w:pPr>
        <w:spacing w:after="120" w:line="276"/>
        <w:jc w:val="both"/>
      </w:pPr>
      <w:r>
        <w:rPr>
          <w:rFonts w:ascii="Barlow Semi Condensed" w:cs="Barlow Semi Condensed" w:eastAsia="Barlow Semi Condensed" w:hAnsi="Barlow Semi Condensed"/>
          <w:sz w:val="24"/>
          <w:szCs w:val="24"/>
        </w:rPr>
        <w:t xml:space="preserve">controllare che cosa sia cambiato.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 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 in</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aggiunge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Schede complete, ventotto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lotto primo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 schede: antimafia Puglia, relazione Pellegrino, struttura dell'opera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Libro primo — 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Registro V77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83,3 %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redazione definitiva di una parte del Registro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Le sedici schede D05 «sinaptiche»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sedici ordinarie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45,1 % medio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l'analisi degli archi, che nelle ordinarie manca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Che cosa è stato troncato, e dove si ritrova</w:t>
      </w:r>
    </w:p>
    <w:p>
      <w:pPr>
        <w:spacing w:after="120" w:line="276"/>
        <w:jc w:val="both"/>
      </w:pPr>
      <w:r>
        <w:rPr>
          <w:rFonts w:ascii="Barlow Semi Condensed" w:cs="Barlow Semi Condensed" w:eastAsia="Barlow Semi Condensed" w:hAnsi="Barlow Semi Condensed"/>
          <w:sz w:val="24"/>
          <w:szCs w:val="24"/>
        </w:rPr>
        <w:t xml:space="preserve">Un solo taglio in tutto il versamento, e riguarda i corpi dei documenti CIA:</w:t>
      </w:r>
    </w:p>
    <w:p>
      <w:pPr>
        <w:spacing w:after="120" w:line="276"/>
        <w:jc w:val="both"/>
      </w:pPr>
      <w:r>
        <w:rPr>
          <w:rFonts w:ascii="Barlow Semi Condensed" w:cs="Barlow Semi Condensed" w:eastAsia="Barlow Semi Condensed" w:hAnsi="Barlow Semi Condensed"/>
          <w:b/>
          <w:bCs/>
          <w:sz w:val="24"/>
          <w:szCs w:val="24"/>
        </w:rPr>
        <w:t xml:space="preserve">55 schede su 119</w:t>
      </w:r>
      <w:r>
        <w:rPr>
          <w:rFonts w:ascii="Barlow Semi Condensed" w:cs="Barlow Semi Condensed" w:eastAsia="Barlow Semi Condensed" w:hAnsi="Barlow Semi Condensed"/>
          <w:sz w:val="24"/>
          <w:szCs w:val="24"/>
        </w:rPr>
        <w:t xml:space="preserve"> superavano le seimila parole di testo riconosciuto</w:t>
      </w:r>
    </w:p>
    <w:p>
      <w:pPr>
        <w:spacing w:after="120" w:line="276"/>
        <w:jc w:val="both"/>
      </w:pPr>
      <w:r>
        <w:rPr>
          <w:rFonts w:ascii="Barlow Semi Condensed" w:cs="Barlow Semi Condensed" w:eastAsia="Barlow Semi Condensed" w:hAnsi="Barlow Semi Condensed"/>
          <w:sz w:val="24"/>
          <w:szCs w:val="24"/>
        </w:rPr>
        <w:t xml:space="preserve">otticamente, e sono riportate fino a quella soglia. Le due maggiori sono</w:t>
      </w:r>
    </w:p>
    <w:p>
      <w:pPr>
        <w:spacing w:after="120" w:line="276"/>
        <w:jc w:val="both"/>
      </w:pPr>
      <w:r>
        <w:rPr>
          <w:rFonts w:ascii="Barlow Semi Condensed" w:cs="Barlow Semi Condensed" w:eastAsia="Barlow Semi Condensed" w:hAnsi="Barlow Semi Condensed"/>
          <w:i/>
          <w:iCs/>
          <w:sz w:val="24"/>
          <w:szCs w:val="24"/>
        </w:rPr>
        <w:t xml:space="preserve">gazetteer</w:t>
      </w:r>
      <w:r>
        <w:rPr>
          <w:rFonts w:ascii="Barlow Semi Condensed" w:cs="Barlow Semi Condensed" w:eastAsia="Barlow Semi Condensed" w:hAnsi="Barlow Semi Condensed"/>
          <w:sz w:val="24"/>
          <w:szCs w:val="24"/>
        </w:rPr>
        <w:t xml:space="preserve"> — indici di toponimi con coordinate — per 254.000 e 151.000 parole di</w:t>
      </w:r>
    </w:p>
    <w:p>
      <w:pPr>
        <w:spacing w:after="120" w:line="276"/>
        <w:jc w:val="both"/>
      </w:pPr>
      <w:r>
        <w:rPr>
          <w:rFonts w:ascii="Barlow Semi Condensed" w:cs="Barlow Semi Condensed" w:eastAsia="Barlow Semi Condensed" w:hAnsi="Barlow Semi Condensed"/>
          <w:sz w:val="24"/>
          <w:szCs w:val="24"/>
        </w:rPr>
        <w:t xml:space="preserve">tabella. Ogni troncamento è dichiarato in fondo alla propria scheda col numero</w:t>
      </w:r>
    </w:p>
    <w:p>
      <w:pPr>
        <w:spacing w:after="120" w:line="276"/>
        <w:jc w:val="both"/>
      </w:pPr>
      <w:r>
        <w:rPr>
          <w:rFonts w:ascii="Barlow Semi Condensed" w:cs="Barlow Semi Condensed" w:eastAsia="Barlow Semi Condensed" w:hAnsi="Barlow Semi Condensed"/>
          <w:sz w:val="24"/>
          <w:szCs w:val="24"/>
        </w:rPr>
        <w:t xml:space="preserve">esatto di parole omesse, e </w:t>
      </w:r>
      <w:r>
        <w:rPr>
          <w:rFonts w:ascii="Barlow Semi Condensed" w:cs="Barlow Semi Condensed" w:eastAsia="Barlow Semi Condensed" w:hAnsi="Barlow Semi Condensed"/>
          <w:b/>
          <w:bCs/>
          <w:sz w:val="24"/>
          <w:szCs w:val="24"/>
        </w:rPr>
        <w:t xml:space="preserve">il documento intero resta raggiungibile</w:t>
      </w:r>
      <w:r>
        <w:rPr>
          <w:rFonts w:ascii="Barlow Semi Condensed" w:cs="Barlow Semi Condensed" w:eastAsia="Barlow Semi Condensed" w:hAnsi="Barlow Semi Condensed"/>
          <w:sz w:val="24"/>
          <w:szCs w:val="24"/>
        </w:rPr>
        <w:t xml:space="preserve"> attraverso</w:t>
      </w:r>
    </w:p>
    <w:p>
      <w:pPr>
        <w:spacing w:after="120" w:line="276"/>
        <w:jc w:val="both"/>
      </w:pPr>
      <w:r>
        <w:rPr>
          <w:rFonts w:ascii="Barlow Semi Condensed" w:cs="Barlow Semi Condensed" w:eastAsia="Barlow Semi Condensed" w:hAnsi="Barlow Semi Condensed"/>
          <w:sz w:val="24"/>
          <w:szCs w:val="24"/>
        </w:rPr>
        <w:t xml:space="preserve">il numero CREST che la scheda porta in testa. Si perde la copia, non la fonte.</w:t>
      </w:r>
    </w:p>
    <w:p>
      <w:pPr>
        <w:pStyle w:val="Heading2"/>
        <w:spacing w:after="100" w:before="200"/>
      </w:pPr>
      <w:r>
        <w:rPr>
          <w:rFonts w:ascii="Barlow Semi Condensed" w:cs="Barlow Semi Condensed" w:eastAsia="Barlow Semi Condensed" w:hAnsi="Barlow Semi Condensed"/>
          <w:sz w:val="24"/>
          <w:szCs w:val="24"/>
        </w:rPr>
        <w:t xml:space="preserve">Una correzione al criterio, e allo scarto che ne era seguito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 scartato il 27 agosto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misurato allora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misurato oggi, diviso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V68, Libro secondo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88,7 % come documento unico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 </w:t>
            </w:r>
            <w:r>
              <w:rPr>
                <w:rFonts w:ascii="Barlow Semi Condensed" w:cs="Barlow Semi Condensed" w:eastAsia="Barlow Semi Condensed" w:hAnsi="Barlow Semi Condensed"/>
                <w:b/>
                <w:bCs/>
                <w:sz w:val="20"/>
                <w:szCs w:val="20"/>
              </w:rPr>
              <w:t xml:space="preserve">71,4 %</w:t>
            </w:r>
            <w:r>
              <w:rPr>
                <w:rFonts w:ascii="Barlow Semi Condensed" w:cs="Barlow Semi Condensed" w:eastAsia="Barlow Semi Condensed" w:hAnsi="Barlow Semi Condensed"/>
                <w:sz w:val="20"/>
                <w:szCs w:val="20"/>
              </w:rPr>
              <w:t xml:space="preserve"> (tomo nono) a </w:t>
            </w:r>
            <w:r>
              <w:rPr>
                <w:rFonts w:ascii="Barlow Semi Condensed" w:cs="Barlow Semi Condensed" w:eastAsia="Barlow Semi Condensed" w:hAnsi="Barlow Semi Condensed"/>
                <w:b/>
                <w:bCs/>
                <w:sz w:val="20"/>
                <w:szCs w:val="20"/>
              </w:rPr>
              <w:t xml:space="preserve">94,8 %</w:t>
            </w:r>
            <w:r>
              <w:rPr>
                <w:rFonts w:ascii="Barlow Semi Condensed" w:cs="Barlow Semi Condensed" w:eastAsia="Barlow Semi Condensed" w:hAnsi="Barlow Semi Condensed"/>
                <w:sz w:val="20"/>
                <w:szCs w:val="20"/>
              </w:rPr>
              <w:t xml:space="preserve"> (tomo quarto)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Libro secondo del V68 era arrivato come </w:t>
      </w:r>
      <w:r>
        <w:rPr>
          <w:rFonts w:ascii="Barlow Semi Condensed" w:cs="Barlow Semi Condensed" w:eastAsia="Barlow Semi Condensed" w:hAnsi="Barlow Semi Condensed"/>
          <w:b/>
          <w:bCs/>
          <w:sz w:val="24"/>
          <w:szCs w:val="24"/>
        </w:rPr>
        <w:t xml:space="preserve">documento unico</w:t>
      </w:r>
      <w:r>
        <w:rPr>
          <w:rFonts w:ascii="Barlow Semi Condensed" w:cs="Barlow Semi Condensed" w:eastAsia="Barlow Semi Condensed" w:hAnsi="Barlow Semi Condensed"/>
          <w:sz w:val="24"/>
          <w:szCs w:val="24"/>
        </w:rPr>
        <w:t xml:space="preserve"> e in quella forma</w:t>
      </w:r>
    </w:p>
    <w:p>
      <w:pPr>
        <w:spacing w:after="120" w:line="276"/>
        <w:jc w:val="both"/>
      </w:pPr>
      <w:r>
        <w:rPr>
          <w:rFonts w:ascii="Barlow Semi Condensed" w:cs="Barlow Semi Condensed" w:eastAsia="Barlow Semi Condensed" w:hAnsi="Barlow Semi Condensed"/>
          <w:sz w:val="24"/>
          <w:szCs w:val="24"/>
        </w:rPr>
        <w:t xml:space="preserve">era stato misurato: 88,7 per cento dentro il Registro V77, sopra soglia,</w:t>
      </w:r>
    </w:p>
    <w:p>
      <w:pPr>
        <w:spacing w:after="120" w:line="276"/>
        <w:jc w:val="both"/>
      </w:pPr>
      <w:r>
        <w:rPr>
          <w:rFonts w:ascii="Barlow Semi Condensed" w:cs="Barlow Semi Condensed" w:eastAsia="Barlow Semi Condensed" w:hAnsi="Barlow Semi Condensed"/>
          <w:sz w:val="24"/>
          <w:szCs w:val="24"/>
        </w:rPr>
        <w:t xml:space="preserve">scartato. È tornato oggi </w:t>
      </w:r>
      <w:r>
        <w:rPr>
          <w:rFonts w:ascii="Barlow Semi Condensed" w:cs="Barlow Semi Condensed" w:eastAsia="Barlow Semi Condensed" w:hAnsi="Barlow Semi Condensed"/>
          <w:b/>
          <w:bCs/>
          <w:sz w:val="24"/>
          <w:szCs w:val="24"/>
        </w:rPr>
        <w:t xml:space="preserve">diviso nei suoi dieci tomi</w:t>
      </w:r>
      <w:r>
        <w:rPr>
          <w:rFonts w:ascii="Barlow Semi Condensed" w:cs="Barlow Semi Condensed" w:eastAsia="Barlow Semi Condensed" w:hAnsi="Barlow Semi Condensed"/>
          <w:sz w:val="24"/>
          <w:szCs w:val="24"/>
        </w:rPr>
        <w:t xml:space="preserve">, e la misura per tomo</w:t>
      </w:r>
    </w:p>
    <w:p>
      <w:pPr>
        <w:spacing w:after="120" w:line="276"/>
        <w:jc w:val="both"/>
      </w:pPr>
      <w:r>
        <w:rPr>
          <w:rFonts w:ascii="Barlow Semi Condensed" w:cs="Barlow Semi Condensed" w:eastAsia="Barlow Semi Condensed" w:hAnsi="Barlow Semi Condensed"/>
          <w:sz w:val="24"/>
          <w:szCs w:val="24"/>
        </w:rPr>
        <w:t xml:space="preserve">racconta un'altra cosa: due tomi stanno sopra il 92, otto stanno sotto il 90, e</w:t>
      </w:r>
    </w:p>
    <w:p>
      <w:pPr>
        <w:spacing w:after="120" w:line="276"/>
        <w:jc w:val="both"/>
      </w:pPr>
      <w:r>
        <w:rPr>
          <w:rFonts w:ascii="Barlow Semi Condensed" w:cs="Barlow Semi Condensed" w:eastAsia="Barlow Semi Condensed" w:hAnsi="Barlow Semi Condensed"/>
          <w:sz w:val="24"/>
          <w:szCs w:val="24"/>
        </w:rPr>
        <w:t xml:space="preserve">il nono sta al 71,4 — cioè è nuovo per più di un quarto.</w:t>
      </w:r>
    </w:p>
    <w:p>
      <w:pPr>
        <w:spacing w:after="120" w:line="276"/>
        <w:jc w:val="both"/>
      </w:pPr>
      <w:r>
        <w:rPr>
          <w:rFonts w:ascii="Barlow Semi Condensed" w:cs="Barlow Semi Condensed" w:eastAsia="Barlow Semi Condensed" w:hAnsi="Barlow Semi Condensed"/>
          <w:b/>
          <w:bCs/>
          <w:sz w:val="24"/>
          <w:szCs w:val="24"/>
        </w:rPr>
        <w:t xml:space="preserve">L'88,7 per cento era una media che nascondeva i suoi estremi.</w:t>
      </w:r>
      <w:r>
        <w:rPr>
          <w:rFonts w:ascii="Barlow Semi Condensed" w:cs="Barlow Semi Condensed" w:eastAsia="Barlow Semi Condensed" w:hAnsi="Barlow Semi Condensed"/>
          <w:sz w:val="24"/>
          <w:szCs w:val="24"/>
        </w:rPr>
        <w:t xml:space="preserve"> Otto tomi, per</w:t>
      </w:r>
    </w:p>
    <w:p>
      <w:pPr>
        <w:spacing w:after="120" w:line="276"/>
        <w:jc w:val="both"/>
      </w:pPr>
      <w:r>
        <w:rPr>
          <w:rFonts w:ascii="Barlow Semi Condensed" w:cs="Barlow Semi Condensed" w:eastAsia="Barlow Semi Condensed" w:hAnsi="Barlow Semi Condensed"/>
          <w:sz w:val="24"/>
          <w:szCs w:val="24"/>
        </w:rPr>
        <w:t xml:space="preserve">646.470 parole, erano stati scartati perché mescolati in un totale.</w:t>
      </w:r>
    </w:p>
    <w:p>
      <w:pPr>
        <w:spacing w:after="120" w:line="276"/>
        <w:jc w:val="both"/>
      </w:pPr>
      <w:r>
        <w:rPr>
          <w:rFonts w:ascii="Barlow Semi Condensed" w:cs="Barlow Semi Condensed" w:eastAsia="Barlow Semi Condensed" w:hAnsi="Barlow Semi Condensed"/>
          <w:sz w:val="24"/>
          <w:szCs w:val="24"/>
        </w:rPr>
        <w:t xml:space="preserve">La regola non cambia — si scarta ciò che risulta contenuto, e la misura resta</w:t>
      </w:r>
    </w:p>
    <w:p>
      <w:pPr>
        <w:spacing w:after="120" w:line="276"/>
        <w:jc w:val="both"/>
      </w:pPr>
      <w:r>
        <w:rPr>
          <w:rFonts w:ascii="Barlow Semi Condensed" w:cs="Barlow Semi Condensed" w:eastAsia="Barlow Semi Condensed" w:hAnsi="Barlow Semi Condensed"/>
          <w:sz w:val="24"/>
          <w:szCs w:val="24"/>
        </w:rPr>
        <w:t xml:space="preserve">quella — ma acquista una condizione che prima non aveva: **quando un documento è</w:t>
      </w:r>
    </w:p>
    <w:p>
      <w:pPr>
        <w:spacing w:after="120" w:line="276"/>
        <w:jc w:val="both"/>
      </w:pPr>
      <w:r>
        <w:rPr>
          <w:rFonts w:ascii="Barlow Semi Condensed" w:cs="Barlow Semi Condensed" w:eastAsia="Barlow Semi Condensed" w:hAnsi="Barlow Semi Condensed"/>
          <w:sz w:val="24"/>
          <w:szCs w:val="24"/>
        </w:rPr>
        <w:t xml:space="preserve">divisibile e la sua divisione è disponibile, va misurato diviso**. La decisione</w:t>
      </w:r>
    </w:p>
    <w:p>
      <w:pPr>
        <w:spacing w:after="120" w:line="276"/>
        <w:jc w:val="both"/>
      </w:pPr>
      <w:r>
        <w:rPr>
          <w:rFonts w:ascii="Barlow Semi Condensed" w:cs="Barlow Semi Condensed" w:eastAsia="Barlow Semi Condensed" w:hAnsi="Barlow Semi Condensed"/>
          <w:sz w:val="24"/>
          <w:szCs w:val="24"/>
        </w:rPr>
        <w:t xml:space="preserve">anteriore non si cancella: fu presa sulla misura che allora si aveva, ed era la</w:t>
      </w:r>
    </w:p>
    <w:p>
      <w:pPr>
        <w:spacing w:after="120" w:line="276"/>
        <w:jc w:val="both"/>
      </w:pPr>
      <w:r>
        <w:rPr>
          <w:rFonts w:ascii="Barlow Semi Condensed" w:cs="Barlow Semi Condensed" w:eastAsia="Barlow Semi Condensed" w:hAnsi="Barlow Semi Condensed"/>
          <w:sz w:val="24"/>
          <w:szCs w:val="24"/>
        </w:rPr>
        <w:t xml:space="preserve">misura sbagliata. Gli otto tomi sono ora in</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italia-nera/v68-libro-secondo/</w:t>
      </w:r>
      <w:r>
        <w:rPr>
          <w:rFonts w:ascii="Barlow Semi Condensed" w:cs="Barlow Semi Condensed" w:eastAsia="Barlow Semi Condensed" w:hAnsi="Barlow Semi Condensed"/>
          <w:sz w:val="24"/>
          <w:szCs w:val="24"/>
        </w:rPr>
        <w:t xml:space="preserve">](../italia-nera/v68-libro-secondo/).</w:t>
      </w:r>
    </w:p>
    <w:p>
      <w:pPr>
        <w:pStyle w:val="Heading2"/>
        <w:spacing w:after="100" w:before="200"/>
      </w:pPr>
      <w:r>
        <w:rPr>
          <w:rFonts w:ascii="Barlow Semi Condensed" w:cs="Barlow Semi Condensed" w:eastAsia="Barlow Semi Condensed" w:hAnsi="Barlow Semi Condensed"/>
          <w:sz w:val="24"/>
          <w:szCs w:val="24"/>
        </w:rPr>
        <w:t xml:space="preserve">Che cosa è stato verificato, e ha retto</w:t>
      </w:r>
    </w:p>
    <w:p>
      <w:pPr>
        <w:spacing w:after="120" w:line="276"/>
        <w:jc w:val="both"/>
      </w:pPr>
      <w:r>
        <w:rPr>
          <w:rFonts w:ascii="Barlow Semi Condensed" w:cs="Barlow Semi Condensed" w:eastAsia="Barlow Semi Condensed" w:hAnsi="Barlow Semi Condensed"/>
          <w:sz w:val="24"/>
          <w:szCs w:val="24"/>
        </w:rPr>
        <w:t xml:space="preserve">In coda al versamento sono arrivati quattro </w:t>
      </w:r>
      <w:r>
        <w:rPr>
          <w:rFonts w:ascii="Barlow Semi Condensed" w:cs="Barlow Semi Condensed" w:eastAsia="Barlow Semi Condensed" w:hAnsi="Barlow Semi Condensed"/>
          <w:b/>
          <w:bCs/>
          <w:sz w:val="24"/>
          <w:szCs w:val="24"/>
        </w:rPr>
        <w:t xml:space="preserve">manifesti d'impronta</w:t>
      </w:r>
      <w:r>
        <w:rPr>
          <w:rFonts w:ascii="Barlow Semi Condensed" w:cs="Barlow Semi Condensed" w:eastAsia="Barlow Semi Condensed" w:hAnsi="Barlow Semi Condensed"/>
          <w:sz w:val="24"/>
          <w:szCs w:val="24"/>
        </w:rPr>
        <w:t xml:space="preserve"> — file</w:t>
      </w:r>
    </w:p>
    <w:p>
      <w:pPr>
        <w:spacing w:after="120" w:line="276"/>
        <w:jc w:val="both"/>
      </w:pPr>
      <w:r>
        <w:rPr>
          <w:rFonts w:ascii="Barlow Semi Condensed" w:cs="Barlow Semi Condensed" w:eastAsia="Barlow Semi Condensed" w:hAnsi="Barlow Semi Condensed"/>
          <w:i/>
          <w:iCs/>
          <w:sz w:val="24"/>
          <w:szCs w:val="24"/>
        </w:rPr>
        <w:t xml:space="preserve">.sha256.txt</w:t>
      </w:r>
      <w:r>
        <w:rPr>
          <w:rFonts w:ascii="Barlow Semi Condensed" w:cs="Barlow Semi Condensed" w:eastAsia="Barlow Semi Condensed" w:hAnsi="Barlow Semi Condensed"/>
          <w:sz w:val="24"/>
          <w:szCs w:val="24"/>
        </w:rPr>
        <w:t xml:space="preserve"> che dichiarano lo SHA-256 di documenti spediti a parte. Sono stati</w:t>
      </w:r>
    </w:p>
    <w:p>
      <w:pPr>
        <w:spacing w:after="120" w:line="276"/>
        <w:jc w:val="both"/>
      </w:pPr>
      <w:r>
        <w:rPr>
          <w:rFonts w:ascii="Barlow Semi Condensed" w:cs="Barlow Semi Condensed" w:eastAsia="Barlow Semi Condensed" w:hAnsi="Barlow Semi Condensed"/>
          <w:sz w:val="24"/>
          <w:szCs w:val="24"/>
        </w:rPr>
        <w:t xml:space="preserve">controllati contro i file effettivamente ricevuti, ed è la prima verifica in</w:t>
      </w:r>
    </w:p>
    <w:p>
      <w:pPr>
        <w:spacing w:after="120" w:line="276"/>
        <w:jc w:val="both"/>
      </w:pPr>
      <w:r>
        <w:rPr>
          <w:rFonts w:ascii="Barlow Semi Condensed" w:cs="Barlow Semi Condensed" w:eastAsia="Barlow Semi Condensed" w:hAnsi="Barlow Semi Condensed"/>
          <w:sz w:val="24"/>
          <w:szCs w:val="24"/>
        </w:rPr>
        <w:t xml:space="preserve">positivo di tutto l'ingresso: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 dichiarato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TERZO_REGISTRO_NODI_PONTI_DUE_FORMAZIONI.docx</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corrisponde</w:t>
            </w:r>
            <w:r>
              <w:rPr>
                <w:rFonts w:ascii="Barlow Semi Condensed" w:cs="Barlow Semi Condensed" w:eastAsia="Barlow Semi Condensed" w:hAnsi="Barlow Semi Condensed"/>
                <w:sz w:val="20"/>
                <w:szCs w:val="20"/>
              </w:rPr>
              <w:t xml:space="preserve">, bit per bit</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SECONDO_REGISTRO_NODI_PONTI_ALFA_BETA.docx</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corrisponde</w:t>
            </w:r>
            <w:r>
              <w:rPr>
                <w:rFonts w:ascii="Barlow Semi Condensed" w:cs="Barlow Semi Condensed" w:eastAsia="Barlow Semi Condensed" w:hAnsi="Barlow Semi Condensed"/>
                <w:sz w:val="20"/>
                <w:szCs w:val="20"/>
              </w:rPr>
              <w:t xml:space="preserve">, bit per bit</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REGISTRO_NODI_PONTI_TEATRO_AUSTRALE.docx</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corrisponde</w:t>
            </w:r>
            <w:r>
              <w:rPr>
                <w:rFonts w:ascii="Barlow Semi Condensed" w:cs="Barlow Semi Condensed" w:eastAsia="Barlow Semi Condensed" w:hAnsi="Barlow Semi Condensed"/>
                <w:sz w:val="20"/>
                <w:szCs w:val="20"/>
              </w:rPr>
              <w:t xml:space="preserve">, bit per bit</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CENSIMENTO_CRIMINALITA_ORGANIZZATA_MONDIALE_INTEGRALE-2.pdf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file mai consegnato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prime tre righe dicono una cosa piccola e non banale: ciò che è partito è</w:t>
      </w:r>
    </w:p>
    <w:p>
      <w:pPr>
        <w:spacing w:after="120" w:line="276"/>
        <w:jc w:val="both"/>
      </w:pPr>
      <w:r>
        <w:rPr>
          <w:rFonts w:ascii="Barlow Semi Condensed" w:cs="Barlow Semi Condensed" w:eastAsia="Barlow Semi Condensed" w:hAnsi="Barlow Semi Condensed"/>
          <w:sz w:val="24"/>
          <w:szCs w:val="24"/>
        </w:rPr>
        <w:t xml:space="preserve">arrivato integro, e chi ha spedito aveva ragione sull'impronta. La quarta è uno</w:t>
      </w:r>
    </w:p>
    <w:p>
      <w:pPr>
        <w:spacing w:after="120" w:line="276"/>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esiste un manifesto che attesta un documento che in questa</w:t>
      </w:r>
    </w:p>
    <w:p>
      <w:pPr>
        <w:spacing w:after="120" w:line="276"/>
        <w:jc w:val="both"/>
      </w:pPr>
      <w:r>
        <w:rPr>
          <w:rFonts w:ascii="Barlow Semi Condensed" w:cs="Barlow Semi Condensed" w:eastAsia="Barlow Semi Condensed" w:hAnsi="Barlow Semi Condensed"/>
          <w:sz w:val="24"/>
          <w:szCs w:val="24"/>
        </w:rPr>
        <w:t xml:space="preserve">sessione non è mai arrivato. Non se ne deduce nulla sul documento — solo che è</w:t>
      </w:r>
    </w:p>
    <w:p>
      <w:pPr>
        <w:spacing w:after="120" w:line="276"/>
        <w:jc w:val="both"/>
      </w:pPr>
      <w:r>
        <w:rPr>
          <w:rFonts w:ascii="Barlow Semi Condensed" w:cs="Barlow Semi Condensed" w:eastAsia="Barlow Semi Condensed" w:hAnsi="Barlow Semi Condensed"/>
          <w:sz w:val="24"/>
          <w:szCs w:val="24"/>
        </w:rPr>
        <w:t xml:space="preserve">dichiarato e assente, ed è giusto che qualcuno se ne accorga.</w:t>
      </w:r>
    </w:p>
    <w:p>
      <w:pPr>
        <w:pStyle w:val="Heading2"/>
        <w:spacing w:after="100" w:before="200"/>
      </w:pPr>
      <w:r>
        <w:rPr>
          <w:rFonts w:ascii="Barlow Semi Condensed" w:cs="Barlow Semi Condensed" w:eastAsia="Barlow Semi Condensed" w:hAnsi="Barlow Semi Condensed"/>
          <w:sz w:val="24"/>
          <w:szCs w:val="24"/>
        </w:rPr>
        <w:t xml:space="preserve">Un titolo che dice Moro e una misura che dice altro</w:t>
      </w:r>
    </w:p>
    <w:p>
      <w:pPr>
        <w:spacing w:after="120" w:line="276"/>
        <w:jc w:val="both"/>
      </w:pPr>
      <w:r>
        <w:rPr>
          <w:rFonts w:ascii="Barlow Semi Condensed" w:cs="Barlow Semi Condensed" w:eastAsia="Barlow Semi Condensed" w:hAnsi="Barlow Semi Condensed"/>
          <w:b/>
          <w:bCs/>
          <w:sz w:val="24"/>
          <w:szCs w:val="24"/>
        </w:rPr>
        <w:t xml:space="preserve">Tredici documenti</w:t>
      </w:r>
      <w:r>
        <w:rPr>
          <w:rFonts w:ascii="Barlow Semi Condensed" w:cs="Barlow Semi Condensed" w:eastAsia="Barlow Semi Condensed" w:hAnsi="Barlow Semi Condensed"/>
          <w:sz w:val="24"/>
          <w:szCs w:val="24"/>
        </w:rPr>
        <w:t xml:space="preserve"> sono arrivati col nome «caso Moro»: undici versioni del</w:t>
      </w:r>
    </w:p>
    <w:p>
      <w:pPr>
        <w:spacing w:after="120" w:line="276"/>
        <w:jc w:val="both"/>
      </w:pPr>
      <w:r>
        <w:rPr>
          <w:rFonts w:ascii="Barlow Semi Condensed" w:cs="Barlow Semi Condensed" w:eastAsia="Barlow Semi Condensed" w:hAnsi="Barlow Semi Condensed"/>
          <w:sz w:val="24"/>
          <w:szCs w:val="24"/>
        </w:rPr>
        <w:t xml:space="preserve">registro analitico, più i registri di scavo, speculare e genetico. Misurati</w:t>
      </w:r>
    </w:p>
    <w:p>
      <w:pPr>
        <w:spacing w:after="120" w:line="276"/>
        <w:jc w:val="both"/>
      </w:pPr>
      <w:r>
        <w:rPr>
          <w:rFonts w:ascii="Barlow Semi Condensed" w:cs="Barlow Semi Condensed" w:eastAsia="Barlow Semi Condensed" w:hAnsi="Barlow Semi Condensed"/>
          <w:sz w:val="24"/>
          <w:szCs w:val="24"/>
        </w:rPr>
        <w:t xml:space="preserve">contro le due opere, il risultato è netto e costante, e va scritto perché è il</w:t>
      </w:r>
    </w:p>
    <w:p>
      <w:pPr>
        <w:spacing w:after="120" w:line="276"/>
        <w:jc w:val="both"/>
      </w:pPr>
      <w:r>
        <w:rPr>
          <w:rFonts w:ascii="Barlow Semi Condensed" w:cs="Barlow Semi Condensed" w:eastAsia="Barlow Semi Condensed" w:hAnsi="Barlow Semi Condensed"/>
          <w:sz w:val="24"/>
          <w:szCs w:val="24"/>
        </w:rPr>
        <w:t xml:space="preserve">genere di cosa che un archivio serve a scoprire: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dentro il Registro V77</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dentro il corpus moroteano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analitico V1 integrale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90,6 %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0,7 %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V2, col primo anello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90,7 %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V3, col secondo anello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91,3 %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V4 definitivo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91,8 %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0,3 %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V5, rinnovamento cartesiano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92,1 %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V6, apporto kuhniano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92,3 %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V7, apporto wittgensteiniano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92,2 %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V10, recepimento definitivo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93,0 %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V11, applicazione definitiva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93,3 %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di scavo V2 e V3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93,5 % · 93,8 %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0,6 % · 0,4 %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speculare V3 e V4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94,1 % · 94,0 %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0,3 % · 0,3 %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speculare, anelli profondi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94,1 %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0,6 %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genetico V1, fondazione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94,3 %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0,6 %</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Undici versioni, e la quota moroteana </w:t>
      </w:r>
      <w:r>
        <w:rPr>
          <w:rFonts w:ascii="Barlow Semi Condensed" w:cs="Barlow Semi Condensed" w:eastAsia="Barlow Semi Condensed" w:hAnsi="Barlow Semi Condensed"/>
          <w:b/>
          <w:bCs/>
          <w:sz w:val="24"/>
          <w:szCs w:val="24"/>
        </w:rPr>
        <w:t xml:space="preserve">scende</w:t>
      </w:r>
      <w:r>
        <w:rPr>
          <w:rFonts w:ascii="Barlow Semi Condensed" w:cs="Barlow Semi Condensed" w:eastAsia="Barlow Semi Condensed" w:hAnsi="Barlow Semi Condensed"/>
          <w:sz w:val="24"/>
          <w:szCs w:val="24"/>
        </w:rPr>
        <w:t xml:space="preserve"> man mano che il registro cresce:</w:t>
      </w:r>
    </w:p>
    <w:p>
      <w:pPr>
        <w:spacing w:after="120" w:line="276"/>
        <w:jc w:val="both"/>
      </w:pPr>
      <w:r>
        <w:rPr>
          <w:rFonts w:ascii="Barlow Semi Condensed" w:cs="Barlow Semi Condensed" w:eastAsia="Barlow Semi Condensed" w:hAnsi="Barlow Semi Condensed"/>
          <w:sz w:val="24"/>
          <w:szCs w:val="24"/>
        </w:rPr>
        <w:t xml:space="preserve">dallo 0,7 per cento della prima allo 0,1 dell'undicesima. Più il documento si</w:t>
      </w:r>
    </w:p>
    <w:p>
      <w:pPr>
        <w:spacing w:after="120" w:line="276"/>
        <w:jc w:val="both"/>
      </w:pPr>
      <w:r>
        <w:rPr>
          <w:rFonts w:ascii="Barlow Semi Condensed" w:cs="Barlow Semi Condensed" w:eastAsia="Barlow Semi Condensed" w:hAnsi="Barlow Semi Condensed"/>
          <w:sz w:val="24"/>
          <w:szCs w:val="24"/>
        </w:rPr>
        <w:t xml:space="preserve">sviluppa, meno ha a che fare con l'opera di cui porta il nome.</w:t>
      </w:r>
    </w:p>
    <w:p>
      <w:pPr>
        <w:spacing w:after="120" w:line="276"/>
        <w:jc w:val="both"/>
      </w:pPr>
      <w:r>
        <w:rPr>
          <w:rFonts w:ascii="Barlow Semi Condensed" w:cs="Barlow Semi Condensed" w:eastAsia="Barlow Semi Condensed" w:hAnsi="Barlow Semi Condensed"/>
          <w:sz w:val="24"/>
          <w:szCs w:val="24"/>
        </w:rPr>
        <w:t xml:space="preserve">**Un documento intitolato al caso Moro che sta per il novanta per cento dentro</w:t>
      </w:r>
    </w:p>
    <w:p>
      <w:pPr>
        <w:spacing w:after="120" w:line="276"/>
        <w:jc w:val="both"/>
      </w:pPr>
      <w:r>
        <w:rPr>
          <w:rFonts w:ascii="Barlow Semi Condensed" w:cs="Barlow Semi Condensed" w:eastAsia="Barlow Semi Condensed" w:hAnsi="Barlow Semi Condensed"/>
          <w:sz w:val="24"/>
          <w:szCs w:val="24"/>
        </w:rPr>
        <w:t xml:space="preserve">Italia Nera e per lo zero virgola due dentro l'opera su Moro non appartiene</w:t>
      </w:r>
    </w:p>
    <w:p>
      <w:pPr>
        <w:spacing w:after="120" w:line="276"/>
        <w:jc w:val="both"/>
      </w:pPr>
      <w:r>
        <w:rPr>
          <w:rFonts w:ascii="Barlow Semi Condensed" w:cs="Barlow Semi Condensed" w:eastAsia="Barlow Semi Condensed" w:hAnsi="Barlow Semi Condensed"/>
          <w:sz w:val="24"/>
          <w:szCs w:val="24"/>
        </w:rPr>
        <w:t xml:space="preserve">all'opera su Moro.** Il titolo dice una cosa, la misura ne dice un'altra, e qui</w:t>
      </w:r>
    </w:p>
    <w:p>
      <w:pPr>
        <w:spacing w:after="120" w:line="276"/>
        <w:jc w:val="both"/>
      </w:pPr>
      <w:r>
        <w:rPr>
          <w:rFonts w:ascii="Barlow Semi Condensed" w:cs="Barlow Semi Condensed" w:eastAsia="Barlow Semi Condensed" w:hAnsi="Barlow Semi Condensed"/>
          <w:sz w:val="24"/>
          <w:szCs w:val="24"/>
        </w:rPr>
        <w:t xml:space="preserve">decide la misura. È esattamente il controllo per cui il perimetro delle tre opere</w:t>
      </w:r>
    </w:p>
    <w:p>
      <w:pPr>
        <w:spacing w:after="120" w:line="276"/>
        <w:jc w:val="both"/>
      </w:pPr>
      <w:r>
        <w:rPr>
          <w:rFonts w:ascii="Barlow Semi Condensed" w:cs="Barlow Semi Condensed" w:eastAsia="Barlow Semi Condensed" w:hAnsi="Barlow Semi Condensed"/>
          <w:sz w:val="24"/>
          <w:szCs w:val="24"/>
        </w:rPr>
        <w:t xml:space="preserve">esiste: senza di esso, sette documenti sarebbero entrati nel volume moroteano</w:t>
      </w:r>
    </w:p>
    <w:p>
      <w:pPr>
        <w:spacing w:after="120" w:line="276"/>
        <w:jc w:val="both"/>
      </w:pPr>
      <w:r>
        <w:rPr>
          <w:rFonts w:ascii="Barlow Semi Condensed" w:cs="Barlow Semi Condensed" w:eastAsia="Barlow Semi Condensed" w:hAnsi="Barlow Semi Condensed"/>
          <w:sz w:val="24"/>
          <w:szCs w:val="24"/>
        </w:rPr>
        <w:t xml:space="preserve">sulla fede del proprio nome.</w:t>
      </w:r>
    </w:p>
    <w:p>
      <w:pPr>
        <w:spacing w:after="120" w:line="276"/>
        <w:jc w:val="both"/>
      </w:pPr>
      <w:r>
        <w:rPr>
          <w:rFonts w:ascii="Barlow Semi Condensed" w:cs="Barlow Semi Condensed" w:eastAsia="Barlow Semi Condensed" w:hAnsi="Barlow Semi Condensed"/>
          <w:sz w:val="24"/>
          <w:szCs w:val="24"/>
        </w:rPr>
        <w:t xml:space="preserve">Tutti e tredici sono sopra la soglia e sono stati scartati per contenimento. Ciò</w:t>
      </w:r>
    </w:p>
    <w:p>
      <w:pPr>
        <w:spacing w:after="120" w:line="276"/>
        <w:jc w:val="both"/>
      </w:pPr>
      <w:r>
        <w:rPr>
          <w:rFonts w:ascii="Barlow Semi Condensed" w:cs="Barlow Semi Condensed" w:eastAsia="Barlow Semi Condensed" w:hAnsi="Barlow Semi Condensed"/>
          <w:sz w:val="24"/>
          <w:szCs w:val="24"/>
        </w:rPr>
        <w:t xml:space="preserve">che vale la pena conservare non è il documento: è questo rilievo.</w:t>
      </w:r>
    </w:p>
    <w:p>
      <w:pPr>
        <w:spacing w:after="120" w:line="276"/>
        <w:jc w:val="both"/>
      </w:pPr>
      <w:r>
        <w:rPr>
          <w:rFonts w:ascii="Barlow Semi Condensed" w:cs="Barlow Semi Condensed" w:eastAsia="Barlow Semi Condensed" w:hAnsi="Barlow Semi Condensed"/>
          <w:sz w:val="24"/>
          <w:szCs w:val="24"/>
        </w:rPr>
        <w:t xml:space="preserve">Alla stessa famiglia appartengono le tre edizioni del </w:t>
      </w:r>
      <w:r>
        <w:rPr>
          <w:rFonts w:ascii="Barlow Semi Condensed" w:cs="Barlow Semi Condensed" w:eastAsia="Barlow Semi Condensed" w:hAnsi="Barlow Semi Condensed"/>
          <w:b/>
          <w:bCs/>
          <w:sz w:val="24"/>
          <w:szCs w:val="24"/>
        </w:rPr>
        <w:t xml:space="preserve">Registro unico federato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V64, V65 e V66, contenute nel V77 fra il </w:t>
      </w:r>
      <w:r>
        <w:rPr>
          <w:rFonts w:ascii="Barlow Semi Condensed" w:cs="Barlow Semi Condensed" w:eastAsia="Barlow Semi Condensed" w:hAnsi="Barlow Semi Condensed"/>
          <w:b/>
          <w:bCs/>
          <w:sz w:val="24"/>
          <w:szCs w:val="24"/>
        </w:rPr>
        <w:t xml:space="preserve">93,9 e il 96,2 per cento</w:t>
      </w:r>
      <w:r>
        <w:rPr>
          <w:rFonts w:ascii="Barlow Semi Condensed" w:cs="Barlow Semi Condensed" w:eastAsia="Barlow Semi Condensed" w:hAnsi="Barlow Semi Condensed"/>
          <w:sz w:val="24"/>
          <w:szCs w:val="24"/>
        </w:rPr>
        <w:t xml:space="preserve">: sono le</w:t>
      </w:r>
    </w:p>
    <w:p>
      <w:pPr>
        <w:spacing w:after="120" w:line="276"/>
        <w:jc w:val="both"/>
      </w:pPr>
      <w:r>
        <w:rPr>
          <w:rFonts w:ascii="Barlow Semi Condensed" w:cs="Barlow Semi Condensed" w:eastAsia="Barlow Semi Condensed" w:hAnsi="Barlow Semi Condensed"/>
          <w:sz w:val="24"/>
          <w:szCs w:val="24"/>
        </w:rPr>
        <w:t xml:space="preserve">tappe di consolidamento che hanno portato al V77, e il V77 le contiene per</w:t>
      </w:r>
    </w:p>
    <w:p>
      <w:pPr>
        <w:spacing w:after="120" w:line="276"/>
        <w:jc w:val="both"/>
      </w:pPr>
      <w:r>
        <w:rPr>
          <w:rFonts w:ascii="Barlow Semi Condensed" w:cs="Barlow Semi Condensed" w:eastAsia="Barlow Semi Condensed" w:hAnsi="Barlow Semi Condensed"/>
          <w:sz w:val="24"/>
          <w:szCs w:val="24"/>
        </w:rPr>
        <w:t xml:space="preserve">definizione.</w:t>
      </w:r>
    </w:p>
    <w:p>
      <w:pPr>
        <w:pStyle w:val="Heading2"/>
        <w:spacing w:after="100" w:before="200"/>
      </w:pPr>
      <w:r>
        <w:rPr>
          <w:rFonts w:ascii="Barlow Semi Condensed" w:cs="Barlow Semi Condensed" w:eastAsia="Barlow Semi Condensed" w:hAnsi="Barlow Semi Condensed"/>
          <w:sz w:val="24"/>
          <w:szCs w:val="24"/>
        </w:rPr>
        <w:t xml:space="preserve">L'archivio annidato, e il costo dichiarato di uno scarto</w:t>
      </w:r>
    </w:p>
    <w:p>
      <w:pPr>
        <w:spacing w:after="120" w:line="276"/>
        <w:jc w:val="both"/>
      </w:pPr>
      <w:r>
        <w:rPr>
          <w:rFonts w:ascii="Barlow Semi Condensed" w:cs="Barlow Semi Condensed" w:eastAsia="Barlow Semi Condensed" w:hAnsi="Barlow Semi Condensed"/>
          <w:sz w:val="24"/>
          <w:szCs w:val="24"/>
        </w:rPr>
        <w:t xml:space="preserve">Un file </w:t>
      </w:r>
      <w:r>
        <w:rPr>
          <w:rFonts w:ascii="Barlow Semi Condensed" w:cs="Barlow Semi Condensed" w:eastAsia="Barlow Semi Condensed" w:hAnsi="Barlow Semi Condensed"/>
          <w:i/>
          <w:iCs/>
          <w:sz w:val="24"/>
          <w:szCs w:val="24"/>
        </w:rPr>
        <w:t xml:space="preserve">.rar</w:t>
      </w:r>
      <w:r>
        <w:rPr>
          <w:rFonts w:ascii="Barlow Semi Condensed" w:cs="Barlow Semi Condensed" w:eastAsia="Barlow Semi Condensed" w:hAnsi="Barlow Semi Condensed"/>
          <w:sz w:val="24"/>
          <w:szCs w:val="24"/>
        </w:rPr>
        <w:t xml:space="preserve"> da 3,5 MiB conteneva un secondo </w:t>
      </w:r>
      <w:r>
        <w:rPr>
          <w:rFonts w:ascii="Barlow Semi Condensed" w:cs="Barlow Semi Condensed" w:eastAsia="Barlow Semi Condensed" w:hAnsi="Barlow Semi Condensed"/>
          <w:i/>
          <w:iCs/>
          <w:sz w:val="24"/>
          <w:szCs w:val="24"/>
        </w:rPr>
        <w:t xml:space="preserve">.rar</w:t>
      </w:r>
      <w:r>
        <w:rPr>
          <w:rFonts w:ascii="Barlow Semi Condensed" w:cs="Barlow Semi Condensed" w:eastAsia="Barlow Semi Condensed" w:hAnsi="Barlow Semi Condensed"/>
          <w:sz w:val="24"/>
          <w:szCs w:val="24"/>
        </w:rPr>
        <w:t xml:space="preserve"> con lo stesso nome, che</w:t>
      </w:r>
    </w:p>
    <w:p>
      <w:pPr>
        <w:spacing w:after="120" w:line="276"/>
        <w:jc w:val="both"/>
      </w:pPr>
      <w:r>
        <w:rPr>
          <w:rFonts w:ascii="Barlow Semi Condensed" w:cs="Barlow Semi Condensed" w:eastAsia="Barlow Semi Condensed" w:hAnsi="Barlow Semi Condensed"/>
          <w:sz w:val="24"/>
          <w:szCs w:val="24"/>
        </w:rPr>
        <w:t xml:space="preserve">conteneva a sua volta un solo documento: il </w:t>
      </w:r>
      <w:r>
        <w:rPr>
          <w:rFonts w:ascii="Barlow Semi Condensed" w:cs="Barlow Semi Condensed" w:eastAsia="Barlow Semi Condensed" w:hAnsi="Barlow Semi Condensed"/>
          <w:b/>
          <w:bCs/>
          <w:sz w:val="24"/>
          <w:szCs w:val="24"/>
        </w:rPr>
        <w:t xml:space="preserve">Registro Integrale V63</w:t>
      </w:r>
      <w:r>
        <w:rPr>
          <w:rFonts w:ascii="Barlow Semi Condensed" w:cs="Barlow Semi Condensed" w:eastAsia="Barlow Semi Condensed" w:hAnsi="Barlow Semi Condensed"/>
          <w:sz w:val="24"/>
          <w:szCs w:val="24"/>
        </w:rPr>
        <w:t xml:space="preserve"> di luglio</w:t>
      </w:r>
    </w:p>
    <w:p>
      <w:pPr>
        <w:spacing w:after="120" w:line="276"/>
        <w:jc w:val="both"/>
      </w:pPr>
      <w:r>
        <w:rPr>
          <w:rFonts w:ascii="Barlow Semi Condensed" w:cs="Barlow Semi Condensed" w:eastAsia="Barlow Semi Condensed" w:hAnsi="Barlow Semi Condensed"/>
          <w:sz w:val="24"/>
          <w:szCs w:val="24"/>
        </w:rPr>
        <w:t xml:space="preserve">2026, edizione cumulativa in nove parti, </w:t>
      </w:r>
      <w:r>
        <w:rPr>
          <w:rFonts w:ascii="Barlow Semi Condensed" w:cs="Barlow Semi Condensed" w:eastAsia="Barlow Semi Condensed" w:hAnsi="Barlow Semi Condensed"/>
          <w:b/>
          <w:bCs/>
          <w:sz w:val="24"/>
          <w:szCs w:val="24"/>
        </w:rPr>
        <w:t xml:space="preserve">1.427.634 parole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Misurato, sta dentro il Registro V77 per il </w:t>
      </w:r>
      <w:r>
        <w:rPr>
          <w:rFonts w:ascii="Barlow Semi Condensed" w:cs="Barlow Semi Condensed" w:eastAsia="Barlow Semi Condensed" w:hAnsi="Barlow Semi Condensed"/>
          <w:b/>
          <w:bCs/>
          <w:sz w:val="24"/>
          <w:szCs w:val="24"/>
        </w:rPr>
        <w:t xml:space="preserve">92 per cento</w:t>
      </w:r>
      <w:r>
        <w:rPr>
          <w:rFonts w:ascii="Barlow Semi Condensed" w:cs="Barlow Semi Condensed" w:eastAsia="Barlow Semi Condensed" w:hAnsi="Barlow Semi Condensed"/>
          <w:sz w:val="24"/>
          <w:szCs w:val="24"/>
        </w:rPr>
        <w:t xml:space="preserve">. Sopra la soglia oltre</w:t>
      </w:r>
    </w:p>
    <w:p>
      <w:pPr>
        <w:spacing w:after="120" w:line="276"/>
        <w:jc w:val="both"/>
      </w:pPr>
      <w:r>
        <w:rPr>
          <w:rFonts w:ascii="Barlow Semi Condensed" w:cs="Barlow Semi Condensed" w:eastAsia="Barlow Semi Condensed" w:hAnsi="Barlow Semi Condensed"/>
          <w:sz w:val="24"/>
          <w:szCs w:val="24"/>
        </w:rPr>
        <w:t xml:space="preserve">la quale in questo versamento si è sempre scartato — il V69 al 94,8, il V67 al</w:t>
      </w:r>
    </w:p>
    <w:p>
      <w:pPr>
        <w:spacing w:after="120" w:line="276"/>
        <w:jc w:val="both"/>
      </w:pPr>
      <w:r>
        <w:rPr>
          <w:rFonts w:ascii="Barlow Semi Condensed" w:cs="Barlow Semi Condensed" w:eastAsia="Barlow Semi Condensed" w:hAnsi="Barlow Semi Condensed"/>
          <w:sz w:val="24"/>
          <w:szCs w:val="24"/>
        </w:rPr>
        <w:t xml:space="preserve">94,2, il V68 libro secondo all'88,7 — e per coerenza si scarta anche questo: la</w:t>
      </w:r>
    </w:p>
    <w:p>
      <w:pPr>
        <w:spacing w:after="120" w:line="276"/>
        <w:jc w:val="both"/>
      </w:pPr>
      <w:r>
        <w:rPr>
          <w:rFonts w:ascii="Barlow Semi Condensed" w:cs="Barlow Semi Condensed" w:eastAsia="Barlow Semi Condensed" w:hAnsi="Barlow Semi Condensed"/>
          <w:sz w:val="24"/>
          <w:szCs w:val="24"/>
        </w:rPr>
        <w:t xml:space="preserve">regola non può cambiare quando il documento è grosso.</w:t>
      </w:r>
    </w:p>
    <w:p>
      <w:pPr>
        <w:spacing w:after="120" w:line="276"/>
        <w:jc w:val="both"/>
      </w:pPr>
      <w:r>
        <w:rPr>
          <w:rFonts w:ascii="Barlow Semi Condensed" w:cs="Barlow Semi Condensed" w:eastAsia="Barlow Semi Condensed" w:hAnsi="Barlow Semi Condensed"/>
          <w:sz w:val="24"/>
          <w:szCs w:val="24"/>
        </w:rPr>
        <w:t xml:space="preserve">Ma uno scarto ha un costo, e tacerlo sarebbe disonesto: **l'otto per cento che</w:t>
      </w:r>
    </w:p>
    <w:p>
      <w:pPr>
        <w:spacing w:after="120" w:line="276"/>
        <w:jc w:val="both"/>
      </w:pPr>
      <w:r>
        <w:rPr>
          <w:rFonts w:ascii="Barlow Semi Condensed" w:cs="Barlow Semi Condensed" w:eastAsia="Barlow Semi Condensed" w:hAnsi="Barlow Semi Condensed"/>
          <w:sz w:val="24"/>
          <w:szCs w:val="24"/>
        </w:rPr>
        <w:t xml:space="preserve">non si ritrova nel V77 vale circa centoquattordicimila parole**. Non sono zero. Il</w:t>
      </w:r>
    </w:p>
    <w:p>
      <w:pPr>
        <w:spacing w:after="120" w:line="276"/>
        <w:jc w:val="both"/>
      </w:pPr>
      <w:r>
        <w:rPr>
          <w:rFonts w:ascii="Barlow Semi Condensed" w:cs="Barlow Semi Condensed" w:eastAsia="Barlow Semi Condensed" w:hAnsi="Barlow Semi Condensed"/>
          <w:sz w:val="24"/>
          <w:szCs w:val="24"/>
        </w:rPr>
        <w:t xml:space="preserve">V63 è l'edizione </w:t>
      </w:r>
      <w:r>
        <w:rPr>
          <w:rFonts w:ascii="Barlow Semi Condensed" w:cs="Barlow Semi Condensed" w:eastAsia="Barlow Semi Condensed" w:hAnsi="Barlow Semi Condensed"/>
          <w:i/>
          <w:iCs/>
          <w:sz w:val="24"/>
          <w:szCs w:val="24"/>
        </w:rPr>
        <w:t xml:space="preserve">anteriore</w:t>
      </w:r>
      <w:r>
        <w:rPr>
          <w:rFonts w:ascii="Barlow Semi Condensed" w:cs="Barlow Semi Condensed" w:eastAsia="Barlow Semi Condensed" w:hAnsi="Barlow Semi Condensed"/>
          <w:sz w:val="24"/>
          <w:szCs w:val="24"/>
        </w:rPr>
        <w:t xml:space="preserve"> di ciò che sarebbe diventato il V77, e ciò che il</w:t>
      </w:r>
    </w:p>
    <w:p>
      <w:pPr>
        <w:spacing w:after="120" w:line="276"/>
        <w:jc w:val="both"/>
      </w:pPr>
      <w:r>
        <w:rPr>
          <w:rFonts w:ascii="Barlow Semi Condensed" w:cs="Barlow Semi Condensed" w:eastAsia="Barlow Semi Condensed" w:hAnsi="Barlow Semi Condensed"/>
          <w:sz w:val="24"/>
          <w:szCs w:val="24"/>
        </w:rPr>
        <w:t xml:space="preserve">V77 non ne conserva è, propriamente, ciò che l'autore ha lasciato indietro</w:t>
      </w:r>
    </w:p>
    <w:p>
      <w:pPr>
        <w:spacing w:after="120" w:line="276"/>
        <w:jc w:val="both"/>
      </w:pPr>
      <w:r>
        <w:rPr>
          <w:rFonts w:ascii="Barlow Semi Condensed" w:cs="Barlow Semi Condensed" w:eastAsia="Barlow Semi Condensed" w:hAnsi="Barlow Semi Condensed"/>
          <w:sz w:val="24"/>
          <w:szCs w:val="24"/>
        </w:rPr>
        <w:t xml:space="preserve">passando dall'una all'altra. Chi volesse studiare quella transizione ha bisogno</w:t>
      </w:r>
    </w:p>
    <w:p>
      <w:pPr>
        <w:spacing w:after="120" w:line="276"/>
        <w:jc w:val="both"/>
      </w:pPr>
      <w:r>
        <w:rPr>
          <w:rFonts w:ascii="Barlow Semi Condensed" w:cs="Barlow Semi Condensed" w:eastAsia="Barlow Semi Condensed" w:hAnsi="Barlow Semi Condensed"/>
          <w:sz w:val="24"/>
          <w:szCs w:val="24"/>
        </w:rPr>
        <w:t xml:space="preserve">del V63, e il V63 non è in questo archivio. È una scelta dichiarata, non una</w:t>
      </w:r>
    </w:p>
    <w:p>
      <w:pPr>
        <w:spacing w:after="120" w:line="276"/>
        <w:jc w:val="both"/>
      </w:pPr>
      <w:r>
        <w:rPr>
          <w:rFonts w:ascii="Barlow Semi Condensed" w:cs="Barlow Semi Condensed" w:eastAsia="Barlow Semi Condensed" w:hAnsi="Barlow Semi Condensed"/>
          <w:sz w:val="24"/>
          <w:szCs w:val="24"/>
        </w:rPr>
        <w:t xml:space="preserve">svista, e si può ribaltare in qualunque momento — il file è stato consegnato e</w:t>
      </w:r>
    </w:p>
    <w:p>
      <w:pPr>
        <w:spacing w:after="120" w:line="276"/>
        <w:jc w:val="both"/>
      </w:pPr>
      <w:r>
        <w:rPr>
          <w:rFonts w:ascii="Barlow Semi Condensed" w:cs="Barlow Semi Condensed" w:eastAsia="Barlow Semi Condensed" w:hAnsi="Barlow Semi Condensed"/>
          <w:sz w:val="24"/>
          <w:szCs w:val="24"/>
        </w:rPr>
        <w:t xml:space="preserve">la misura è scritta qui.</w:t>
      </w:r>
    </w:p>
    <w:p>
      <w:pPr>
        <w:spacing w:after="120" w:line="276"/>
        <w:jc w:val="both"/>
      </w:pPr>
      <w:r>
        <w:rPr>
          <w:rFonts w:ascii="Barlow Semi Condensed" w:cs="Barlow Semi Condensed" w:eastAsia="Barlow Semi Condensed" w:hAnsi="Barlow Semi Condensed"/>
          <w:sz w:val="24"/>
          <w:szCs w:val="24"/>
        </w:rPr>
        <w:t xml:space="preserve">*(Nota tecnica, perché serva a chi verrà dopo: l'archivio è in formato RAR5, che</w:t>
      </w:r>
    </w:p>
    <w:p>
      <w:pPr>
        <w:spacing w:after="120" w:line="276"/>
        <w:jc w:val="both"/>
      </w:pPr>
      <w:r>
        <w:rPr>
          <w:rFonts w:ascii="Barlow Semi Condensed" w:cs="Barlow Semi Condensed" w:eastAsia="Barlow Semi Condensed" w:hAnsi="Barlow Semi Condensed"/>
          <w:sz w:val="24"/>
          <w:szCs w:val="24"/>
        </w:rPr>
        <w:t xml:space="preserve">in questo ambiente nessuno strumento di sistema apre. È stato letto installando</w:t>
      </w:r>
    </w:p>
    <w:p>
      <w:pPr>
        <w:spacing w:after="120" w:line="276"/>
        <w:jc w:val="both"/>
      </w:pPr>
      <w:r>
        <w:rPr>
          <w:rFonts w:ascii="Barlow Semi Condensed" w:cs="Barlow Semi Condensed" w:eastAsia="Barlow Semi Condensed" w:hAnsi="Barlow Semi Condensed"/>
          <w:sz w:val="24"/>
          <w:szCs w:val="24"/>
        </w:rPr>
        <w:t xml:space="preserve">il collegamento Python a </w:t>
      </w:r>
      <w:r>
        <w:rPr>
          <w:rFonts w:ascii="Barlow Semi Condensed" w:cs="Barlow Semi Condensed" w:eastAsia="Barlow Semi Condensed" w:hAnsi="Barlow Semi Condensed"/>
          <w:i/>
          <w:iCs/>
          <w:sz w:val="24"/>
          <w:szCs w:val="24"/>
        </w:rPr>
        <w:t xml:space="preserve">libarchive</w:t>
      </w: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.zip</w:t>
      </w:r>
      <w:r>
        <w:rPr>
          <w:rFonts w:ascii="Barlow Semi Condensed" w:cs="Barlow Semi Condensed" w:eastAsia="Barlow Semi Condensed" w:hAnsi="Barlow Semi Condensed"/>
          <w:sz w:val="24"/>
          <w:szCs w:val="24"/>
        </w:rPr>
        <w:t xml:space="preserve"> avrebbe risparmiato il</w:t>
      </w:r>
    </w:p>
    <w:p>
      <w:pPr>
        <w:spacing w:after="120" w:line="276"/>
        <w:jc w:val="both"/>
      </w:pPr>
      <w:r>
        <w:rPr>
          <w:rFonts w:ascii="Barlow Semi Condensed" w:cs="Barlow Semi Condensed" w:eastAsia="Barlow Semi Condensed" w:hAnsi="Barlow Semi Condensed"/>
          <w:sz w:val="24"/>
          <w:szCs w:val="24"/>
        </w:rPr>
        <w:t xml:space="preserve">passaggio.)*</w:t>
      </w:r>
    </w:p>
    <w:p>
      <w:pPr>
        <w:pStyle w:val="Heading2"/>
        <w:spacing w:after="100" w:before="200"/>
      </w:pPr>
      <w:r>
        <w:rPr>
          <w:rFonts w:ascii="Barlow Semi Condensed" w:cs="Barlow Semi Condensed" w:eastAsia="Barlow Semi Condensed" w:hAnsi="Barlow Semi Condensed"/>
          <w:sz w:val="24"/>
          <w:szCs w:val="24"/>
        </w:rPr>
        <w:t xml:space="preserve">Che cosa non è stato aperto</w:t>
      </w:r>
    </w:p>
    <w:p>
      <w:pPr>
        <w:spacing w:after="120" w:line="276"/>
        <w:jc w:val="both"/>
      </w:pPr>
      <w:r>
        <w:rPr>
          <w:rFonts w:ascii="Barlow Semi Condensed" w:cs="Barlow Semi Condensed" w:eastAsia="Barlow Semi Condensed" w:hAnsi="Barlow Semi Condensed"/>
          <w:sz w:val="24"/>
          <w:szCs w:val="24"/>
        </w:rPr>
        <w:t xml:space="preserve">Un file </w:t>
      </w:r>
      <w:r>
        <w:rPr>
          <w:rFonts w:ascii="Barlow Semi Condensed" w:cs="Barlow Semi Condensed" w:eastAsia="Barlow Semi Condensed" w:hAnsi="Barlow Semi Condensed"/>
          <w:i/>
          <w:iCs/>
          <w:sz w:val="24"/>
          <w:szCs w:val="24"/>
        </w:rPr>
        <w:t xml:space="preserve">.mp4</w:t>
      </w:r>
      <w:r>
        <w:rPr>
          <w:rFonts w:ascii="Barlow Semi Condensed" w:cs="Barlow Semi Condensed" w:eastAsia="Barlow Semi Condensed" w:hAnsi="Barlow Semi Condensed"/>
          <w:sz w:val="24"/>
          <w:szCs w:val="24"/>
        </w:rPr>
        <w:t xml:space="preserve"> e un </w:t>
      </w:r>
      <w:r>
        <w:rPr>
          <w:rFonts w:ascii="Barlow Semi Condensed" w:cs="Barlow Semi Condensed" w:eastAsia="Barlow Semi Condensed" w:hAnsi="Barlow Semi Condensed"/>
          <w:i/>
          <w:iCs/>
          <w:sz w:val="24"/>
          <w:szCs w:val="24"/>
        </w:rPr>
        <w:t xml:space="preserve">.mht</w:t>
      </w:r>
      <w:r>
        <w:rPr>
          <w:rFonts w:ascii="Barlow Semi Condensed" w:cs="Barlow Semi Condensed" w:eastAsia="Barlow Semi Condensed" w:hAnsi="Barlow Semi Condensed"/>
          <w:sz w:val="24"/>
          <w:szCs w:val="24"/>
        </w:rPr>
        <w:t xml:space="preserve"> sciolti. Non sono stati trattati e sono elencati qui</w:t>
      </w:r>
    </w:p>
    <w:p>
      <w:pPr>
        <w:spacing w:after="120" w:line="276"/>
        <w:jc w:val="both"/>
      </w:pPr>
      <w:r>
        <w:rPr>
          <w:rFonts w:ascii="Barlow Semi Condensed" w:cs="Barlow Semi Condensed" w:eastAsia="Barlow Semi Condensed" w:hAnsi="Barlow Semi Condensed"/>
          <w:sz w:val="24"/>
          <w:szCs w:val="24"/>
        </w:rPr>
        <w:t xml:space="preserve">perché qualcuno possa chiederne conto.</w:t>
      </w:r>
    </w:p>
    <w:p>
      <w:pPr>
        <w:spacing w:after="120" w:line="276"/>
        <w:jc w:val="both"/>
      </w:pPr>
      <w:r>
        <w:rPr>
          <w:rFonts w:ascii="Barlow Semi Condensed" w:cs="Barlow Semi Condensed" w:eastAsia="Barlow Semi Condensed" w:hAnsi="Barlow Semi Condensed"/>
          <w:sz w:val="24"/>
          <w:szCs w:val="24"/>
        </w:rPr>
        <w:t xml:space="preserve">È invece stato conservato lo script </w:t>
      </w:r>
      <w:r>
        <w:rPr>
          <w:rFonts w:ascii="Barlow Semi Condensed" w:cs="Barlow Semi Condensed" w:eastAsia="Barlow Semi Condensed" w:hAnsi="Barlow Semi Condensed"/>
          <w:i/>
          <w:iCs/>
          <w:sz w:val="24"/>
          <w:szCs w:val="24"/>
        </w:rPr>
        <w:t xml:space="preserve">estrai_nodi.py</w:t>
      </w:r>
      <w:r>
        <w:rPr>
          <w:rFonts w:ascii="Barlow Semi Condensed" w:cs="Barlow Semi Condensed" w:eastAsia="Barlow Semi Condensed" w:hAnsi="Barlow Semi Condensed"/>
          <w:sz w:val="24"/>
          <w:szCs w:val="24"/>
        </w:rPr>
        <w:t xml:space="preserve">, arrivato con il materiale:</w:t>
      </w:r>
    </w:p>
    <w:p>
      <w:pPr>
        <w:spacing w:after="120" w:line="276"/>
        <w:jc w:val="both"/>
      </w:pPr>
      <w:r>
        <w:rPr>
          <w:rFonts w:ascii="Barlow Semi Condensed" w:cs="Barlow Semi Condensed" w:eastAsia="Barlow Semi Condensed" w:hAnsi="Barlow Semi Condensed"/>
          <w:sz w:val="24"/>
          <w:szCs w:val="24"/>
        </w:rPr>
        <w:t xml:space="preserve">sta in [</w:t>
      </w:r>
      <w:r>
        <w:rPr>
          <w:rFonts w:ascii="Barlow Semi Condensed" w:cs="Barlow Semi Condensed" w:eastAsia="Barlow Semi Condensed" w:hAnsi="Barlow Semi Condensed"/>
          <w:i/>
          <w:iCs/>
          <w:sz w:val="24"/>
          <w:szCs w:val="24"/>
        </w:rPr>
        <w:t xml:space="preserve">generatori/ricevuti/</w:t>
      </w:r>
      <w:r>
        <w:rPr>
          <w:rFonts w:ascii="Barlow Semi Condensed" w:cs="Barlow Semi Condensed" w:eastAsia="Barlow Semi Condensed" w:hAnsi="Barlow Semi Condensed"/>
          <w:sz w:val="24"/>
          <w:szCs w:val="24"/>
        </w:rPr>
        <w:t xml:space="preserve">](generatori/ricevuti/) e non è stato eseguito. Vale</w:t>
      </w:r>
    </w:p>
    <w:p>
      <w:pPr>
        <w:spacing w:after="120" w:line="276"/>
        <w:jc w:val="both"/>
      </w:pPr>
      <w:r>
        <w:rPr>
          <w:rFonts w:ascii="Barlow Semi Condensed" w:cs="Barlow Semi Condensed" w:eastAsia="Barlow Semi Condensed" w:hAnsi="Barlow Semi Condensed"/>
          <w:sz w:val="24"/>
          <w:szCs w:val="24"/>
        </w:rPr>
        <w:t xml:space="preserve">perché rende ispezionabile il metodo — dice in codice che cosa conti come nodo e</w:t>
      </w:r>
    </w:p>
    <w:p>
      <w:pPr>
        <w:spacing w:after="120" w:line="276"/>
        <w:jc w:val="both"/>
      </w:pPr>
      <w:r>
        <w:rPr>
          <w:rFonts w:ascii="Barlow Semi Condensed" w:cs="Barlow Semi Condensed" w:eastAsia="Barlow Semi Condensed" w:hAnsi="Barlow Semi Condensed"/>
          <w:sz w:val="24"/>
          <w:szCs w:val="24"/>
        </w:rPr>
        <w:t xml:space="preserve">come i nomi vengano normalizzati. Un elenco di nodi si può contestare; una regola</w:t>
      </w:r>
    </w:p>
    <w:p>
      <w:pPr>
        <w:spacing w:after="120" w:line="276"/>
        <w:jc w:val="both"/>
      </w:pPr>
      <w:r>
        <w:rPr>
          <w:rFonts w:ascii="Barlow Semi Condensed" w:cs="Barlow Semi Condensed" w:eastAsia="Barlow Semi Condensed" w:hAnsi="Barlow Semi Condensed"/>
          <w:sz w:val="24"/>
          <w:szCs w:val="24"/>
        </w:rPr>
        <w:t xml:space="preserve">di estrazione si può leggere e riprodurre.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regola che questo registro applica a sé stesso</w:t>
      </w:r>
    </w:p>
    <w:p>
      <w:pPr>
        <w:spacing w:after="120" w:line="276"/>
        <w:jc w:val="both"/>
      </w:pPr>
      <w:r>
        <w:rPr>
          <w:rFonts w:ascii="Barlow Semi Condensed" w:cs="Barlow Semi Condensed" w:eastAsia="Barlow Semi Condensed" w:hAnsi="Barlow Semi Condensed"/>
          <w:sz w:val="24"/>
          <w:szCs w:val="24"/>
        </w:rPr>
        <w:t xml:space="preserve">Il criterio d'esclusione è </w:t>
      </w:r>
      <w:r>
        <w:rPr>
          <w:rFonts w:ascii="Barlow Semi Condensed" w:cs="Barlow Semi Condensed" w:eastAsia="Barlow Semi Condensed" w:hAnsi="Barlow Semi Condensed"/>
          <w:b/>
          <w:bCs/>
          <w:sz w:val="24"/>
          <w:szCs w:val="24"/>
        </w:rPr>
        <w:t xml:space="preserve">uno solo e dichiarato</w:t>
      </w:r>
      <w:r>
        <w:rPr>
          <w:rFonts w:ascii="Barlow Semi Condensed" w:cs="Barlow Semi Condensed" w:eastAsia="Barlow Semi Condensed" w:hAnsi="Barlow Semi Condensed"/>
          <w:sz w:val="24"/>
          <w:szCs w:val="24"/>
        </w:rPr>
        <w:t xml:space="preserve">: si scarta ciò che risulta</w:t>
      </w:r>
    </w:p>
    <w:p>
      <w:pPr>
        <w:spacing w:after="120" w:line="276"/>
        <w:jc w:val="both"/>
      </w:pPr>
      <w:r>
        <w:rPr>
          <w:rFonts w:ascii="Barlow Semi Condensed" w:cs="Barlow Semi Condensed" w:eastAsia="Barlow Semi Condensed" w:hAnsi="Barlow Semi Condensed"/>
          <w:sz w:val="24"/>
          <w:szCs w:val="24"/>
        </w:rPr>
        <w:t xml:space="preserve">contenuto in un documento già archiviato, e si dice in quale e di quanto. Non si</w:t>
      </w:r>
    </w:p>
    <w:p>
      <w:pPr>
        <w:spacing w:after="120" w:line="276"/>
        <w:jc w:val="both"/>
      </w:pPr>
      <w:r>
        <w:rPr>
          <w:rFonts w:ascii="Barlow Semi Condensed" w:cs="Barlow Semi Condensed" w:eastAsia="Barlow Semi Condensed" w:hAnsi="Barlow Semi Condensed"/>
          <w:sz w:val="24"/>
          <w:szCs w:val="24"/>
        </w:rPr>
        <w:t xml:space="preserve">scarta per giudizio di qualità, per lunghezza, per argomento o perché un</w:t>
      </w:r>
    </w:p>
    <w:p>
      <w:pPr>
        <w:spacing w:after="120" w:line="276"/>
        <w:jc w:val="both"/>
      </w:pPr>
      <w:r>
        <w:rPr>
          <w:rFonts w:ascii="Barlow Semi Condensed" w:cs="Barlow Semi Condensed" w:eastAsia="Barlow Semi Condensed" w:hAnsi="Barlow Semi Condensed"/>
          <w:sz w:val="24"/>
          <w:szCs w:val="24"/>
        </w:rPr>
        <w:t xml:space="preserve">documento sembra ripetitivo. Un criterio che dipendesse dal giudizio di chi</w:t>
      </w:r>
    </w:p>
    <w:p>
      <w:pPr>
        <w:spacing w:after="120" w:line="276"/>
        <w:jc w:val="both"/>
      </w:pPr>
      <w:r>
        <w:rPr>
          <w:rFonts w:ascii="Barlow Semi Condensed" w:cs="Barlow Semi Condensed" w:eastAsia="Barlow Semi Condensed" w:hAnsi="Barlow Semi Condensed"/>
          <w:sz w:val="24"/>
          <w:szCs w:val="24"/>
        </w:rPr>
        <w:t xml:space="preserve">archivia sarebbe invisibile a chi legge, e questo archivio smetterebbe di essere</w:t>
      </w:r>
    </w:p>
    <w:p>
      <w:pPr>
        <w:spacing w:after="120" w:line="276"/>
        <w:jc w:val="both"/>
      </w:pPr>
      <w:r>
        <w:rPr>
          <w:rFonts w:ascii="Barlow Semi Condensed" w:cs="Barlow Semi Condensed" w:eastAsia="Barlow Semi Condensed" w:hAnsi="Barlow Semi Condensed"/>
          <w:sz w:val="24"/>
          <w:szCs w:val="24"/>
        </w:rPr>
        <w:t xml:space="preserve">controllabile nel momento stesso in cui comincia a scegliere.</w:t>
      </w:r>
    </w:p>
    <w:p>
      <w:pPr>
        <w:spacing w:after="120" w:line="276"/>
        <w:jc w:val="both"/>
      </w:pPr>
      <w:r>
        <w:rPr>
          <w:rFonts w:ascii="Barlow Semi Condensed" w:cs="Barlow Semi Condensed" w:eastAsia="Barlow Semi Condensed" w:hAnsi="Barlow Semi Condensed"/>
          <w:sz w:val="24"/>
          <w:szCs w:val="24"/>
        </w:rPr>
        <w:t xml:space="preserve">Resta vero, e va scritto accanto: **misurare la duplicazione non è verificare il</w:t>
      </w:r>
    </w:p>
    <w:p>
      <w:pPr>
        <w:spacing w:after="120" w:line="276"/>
        <w:jc w:val="both"/>
      </w:pPr>
      <w:r>
        <w:rPr>
          <w:rFonts w:ascii="Barlow Semi Condensed" w:cs="Barlow Semi Condensed" w:eastAsia="Barlow Semi Condensed" w:hAnsi="Barlow Semi Condensed"/>
          <w:sz w:val="24"/>
          <w:szCs w:val="24"/>
        </w:rPr>
        <w:t xml:space="preserve">contenuto**. Sapere che un documento non è la copia di un altro non dice nulla su</w:t>
      </w:r>
    </w:p>
    <w:p>
      <w:pPr>
        <w:spacing w:after="120" w:line="276"/>
        <w:jc w:val="both"/>
      </w:pPr>
      <w:r>
        <w:rPr>
          <w:rFonts w:ascii="Barlow Semi Condensed" w:cs="Barlow Semi Condensed" w:eastAsia="Barlow Semi Condensed" w:hAnsi="Barlow Semi Condensed"/>
          <w:sz w:val="24"/>
          <w:szCs w:val="24"/>
        </w:rPr>
        <w:t xml:space="preserve">ciò che afferma. Questo registro certifica come si è formato l'archivio, non che</w:t>
      </w:r>
    </w:p>
    <w:p>
      <w:pPr>
        <w:spacing w:after="120" w:line="276"/>
        <w:jc w:val="both"/>
      </w:pPr>
      <w:r>
        <w:rPr>
          <w:rFonts w:ascii="Barlow Semi Condensed" w:cs="Barlow Semi Condensed" w:eastAsia="Barlow Semi Condensed" w:hAnsi="Barlow Semi Condensed"/>
          <w:sz w:val="24"/>
          <w:szCs w:val="24"/>
        </w:rPr>
        <w:t xml:space="preserve">l'archivio dica il vero — la stessa distinzione che il registro delle impronte</w:t>
      </w:r>
    </w:p>
    <w:p>
      <w:pPr>
        <w:spacing w:after="120" w:line="276"/>
        <w:jc w:val="both"/>
      </w:pPr>
      <w:r>
        <w:rPr>
          <w:rFonts w:ascii="Barlow Semi Condensed" w:cs="Barlow Semi Condensed" w:eastAsia="Barlow Semi Condensed" w:hAnsi="Barlow Semi Condensed"/>
          <w:sz w:val="24"/>
          <w:szCs w:val="24"/>
        </w:rPr>
        <w:t xml:space="preserve">fa fra l'integrità del contenitore e la verità del contenuto.</w:t>
      </w:r>
    </w:p>
    <w:p>
      <w:pPr>
        <w:pStyle w:val="Heading3"/>
        <w:spacing w:after="80" w:before="240"/>
      </w:pPr>
      <w:r>
        <w:rPr>
          <w:rFonts w:ascii="Barlow Semi Condensed" w:cs="Barlow Semi Condensed" w:eastAsia="Barlow Semi Condensed" w:hAnsi="Barlow Semi Condensed"/>
          <w:sz w:val="24"/>
          <w:szCs w:val="24"/>
        </w:rPr>
        <w:t xml:space="preserve">Apparato grafico — Appendici · iii. Il registro degli ingressi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V.iii: 2.002 parole in 9 sezioni; la più ampia è §3 Che cosa è stato scartato, e con quale misura, con 493.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V.iii: 36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692 indirizzi distinti per 1258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19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quarto — Il Dossier maggiore</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repubblica.it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giornalettismo.com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altreconomia.it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rai.it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fascinazione.info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(https://acs.cultura.gov.it/modalita-di-accesso-e-regolamento/sala-delle-raccolte-speciali-documentazione-desecretata/direttiva-renzi-2014/)</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(https://acs.cultura.gov.it/modalita-di-accesso-e-regolamento/sala-delle-raccolte-speciali-documentazione-desecretata/direttiva-draghi-2021/)</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a4view.archivioflamigni.org (https://a4view.archivioflamigni.org/)</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camera.it (https://www.camera.it/)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documenti.camera.it (https://documenti.camera.it/)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memoria.cultura.gov.it (https://memoria.cultura.gov.it/) </w:t>
      </w:r>
      <w:r>
        <w:rPr>
          <w:rFonts w:ascii="Barlow Semi Condensed" w:cs="Barlow Semi Condensed" w:eastAsia="Barlow Semi Condensed" w:hAnsi="Barlow Semi Condensed"/>
          <w:i/>
          <w:iCs/>
          <w:sz w:val="24"/>
          <w:szCs w:val="24"/>
        </w:rPr>
        <w:t xml:space="preserve">(citato 9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parlamento.it (https://www.parlamento.it/)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senato.it (https://www.senato.it/)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parlamento.it/parlam/bicam/terror/stenografici/steno9.htm (https://www.parlamento.it/parlam/bicam/terror/stenografici/steno9.htm)</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parlamento.it/parlam/bicam/terror/stenografici/steno25.htm (https://www.parlamento.it/parlam/bicam/terror/stenografici/steno25.htm)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parlamento.it/parlam/bicam/terror/stenografici/steno58.htm (https://www.parlamento.it/parlam/bicam/terror/stenografici/steno58.htm)</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gnosis.aisi.gov.it (https://gnosis.aisi.gov.it/)</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fondazionemicheletti.eu (https://www.fondazionemicheletti.eu/)</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memoria.cultura.gov.it/it/w/il-tentato-golpe-borghese (https://memoria.cultura.gov.it/it/w/il-tentato-golpe-borghese)</w:t>
      </w:r>
    </w:p>
    <w:p>
      <w:pPr>
        <w:pStyle w:val="Heading3"/>
        <w:spacing w:after="80" w:before="160"/>
      </w:pPr>
      <w:r>
        <w:rPr>
          <w:rFonts w:ascii="Barlow Semi Condensed" w:cs="Barlow Semi Condensed" w:eastAsia="Barlow Semi Condensed" w:hAnsi="Barlow Semi Condensed"/>
          <w:sz w:val="24"/>
          <w:szCs w:val="24"/>
        </w:rPr>
        <w:t xml:space="preserve">Libro quinto · I — Feltrinelli, il vettore</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quinto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Tassinari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quinto · III — Il nodo Hyperion</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quinto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quinto · V — Il ceppo Simioni</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sesto · I — Il Tribunale Speciale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sesto · II — Gli otto sottonodi</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sesto · III — Gli amnistiati</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settimo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Il registro giudiziario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nono · II — Appendice quinta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III — Appendice sesta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IV — Appendice settima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 — Appendice ottava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 — Appendice nona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 — Appendice decima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VIII — Appendice undicesima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IX — Appendice dodicesima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 — Appendice tredicesima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 — Appendice quattordicesima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XII — Appendice quindicesima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decimo — Il repertorio del caso</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undicesimo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undicesimo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Wikipedia, Brigate Rosse — https://it.wikipedia.org/wiki/Brigate_Rosse (https://it.wikipedia.org/wiki/Brigate_Rosse)</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dodicesimo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La ricognizione-madre: Moro ministro degli Esteri 1969-1974</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Camera dei Deputati — https://storia.camera.it/governi/ii-governo-rumor (https://storia.camera.it/governi/ii-governo-rumor)</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Camera dei Deputati — https://storia.camera.it/governi/iii-governo-rumor/storia/dal:19700327,al:19700401 (https://storia.camera.it/governi/iii-governo-rumor/storia/dal:19700327,al:19700401)</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Esteri — https://www.esteri.it/it/ministero/storia/ministri_esteri/aldo_moro/ (https://www.esteri.it/it/ministero/storia/ministri_esteri/aldo_moro/)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Treccani — https://www.treccani.it/enciclopedia/aldo-moro_(Dizionario-Biografico (https://www.treccani.it/enciclopedia/aldo-moro_(Dizionario-Biografico)</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Camera dei Deputati — https://storia.camera.it/deputato/aldo-moro-19160923/componentiorgani (https://storia.camera.it/deputato/aldo-moro-19160923/componentiorgani)</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Esteri — https://www.esteri.it/it/temi/uap/archivio-storico-e-biblioteca/archivio-storico-diplomatico/servizi-allutenza/ (https://www.esteri.it/it/temi/uap/archivio-storico-e-biblioteca/archivio-storico-diplomatico/servizi-allutenza/)</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Ministerio de Cultura — https://www.cultura.gob.es/cultura/areas/archivos/mc/archivos/aga/fondos-documentales/introduccion.html (https://www.cultura.gob.es/cultura/areas/archivos/mc/archivos/aga/fondos-documentales/introduccion.html)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PARES — https://pares.mcu.es/ParesBusquedas20/catalogo/description/167744 (https://pares.mcu.es/ParesBusquedas20/catalogo/description/167744)</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MPR — https://www.mpr.gob.es/memoriademocratica/archivos-estatales/Paginas/Guias/Gu%C3%ADa%20de%20fuentes%20documentales/Ministerios/Asuntos%20Exteriores/archivo-general-del-ministerio-de-asuntos-exterior.aspx (https://www.mpr.gob.es/memoriademocratica/archivos-estatales/Paginas/Guias/Gu%C3%ADa%20de%20fuentes%20documentales/Ministerios/Asuntos%20Exteriores/archivo-general-del-ministerio-de-asuntos-exterior.aspx)</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Cultura — https://censoarchivos.cultura.gob.es/CensoGuia/fondoDetail.htm?id=1096317 (https://censoarchivos.cultura.gob.es/CensoGuia/fondoDetail.htm?id=1096317)</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Ministerio de Asuntos Exteriores de España — https://www.exteriores.gob.es/es/ServiciosAlCiudadano/Paginas/Archivo-General-y-Biblioteca-Central.aspx (https://www.exteriores.gob.es/es/ServiciosAlCiudadano/Paginas/Archivo-General-y-Biblioteca-Central.aspx)</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Wikipedia — https://es.wikipedia.org/wiki/Caso_A%C3%B1overos (https://es.wikipedia.org/wiki/Caso_A%C3%B1overos)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Internet Archive — https://archive.org/stream/KissingerAldoMoro1552802/Kissinger%20Aldo%20Moro%201552802_djvu.txt (https://archive.org/stream/KissingerAldoMoro1552802/Kissinger%20Aldo%20Moro%201552802_djvu.txt)</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U.S. Department of State — https://history.state.gov/historicaldocuments/frus1969-76ve15p2Ed2/d350 (https://history.state.gov/historicaldocuments/frus1969-76ve15p2Ed2/d350)</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state — https://history.state.gov/historicaldocuments/frus1969-76v41/d180 (https://history.state.gov/historicaldocuments/frus1969-76v41/d180)</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U.S. Department of State — https://history.state.gov/historicaldocuments/frus1969-76v41/d188 (https://history.state.gov/historicaldocuments/frus1969-76v41/d188)</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Taylor &amp; Francis Online — https://www.tandfonline.com/doi/full/10.1080/09592296.2024.2303859 (https://www.tandfonline.com/doi/full/10.1080/09592296.2024.2303859)</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Senato della Repubblica — https://patrimonio.archivio.senato.it/inventario/scheda/aldo-moro/IT-AFS-048-000517/intervento-alla-commissione-affari-esteri-del-senato-sulla-situazione-libia (https://patrimonio.archivio.senato.it/inventario/scheda/aldo-moro/IT-AFS-048-000517/intervento-alla-commissione-affari-esteri-del-senato-sulla-situazione-libia)</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Senato della Repubblica — https://patrimonio.archivio.senato.it/inventario/scheda/aldo-moro/IT-AFS-048-000644/intervento-alla-commissione-%20esteri-della-camera-deputati (https://patrimonio.archivio.senato.it/inventario/scheda/aldo-moro/IT-AFS-048-000644/intervento-alla-commissione-%20esteri-della-camera-deputati)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Progetto Radici — https://www.progetto-radici.it/2022/05/09/aldo-moro-il-dominus-della-politica-estera-italiana/ (https://www.progetto-radici.it/2022/05/09/aldo-moro-il-dominus-della-politica-estera-italiana/)</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Wikipedia — https://it.wikipedia.org/wiki/Relazioni_bilaterali_tra_Italia_e_Repubblica_Popolare_Cinese (https://it.wikipedia.org/wiki/Relazioni_bilaterali_tra_Italia_e_Repubblica_Popolare_Cinese)</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Dizie — https://www.dizie.eu/dizionario/spagna/ (https://www.dizie.eu/dizionario/spagna/)</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L'Incontro — https://www.lincontro.news/il-lodo-moro-non-era-una-fake-news-laccordo-fra-lo-stato-italiano-e-le-organizzazioni-palestinesi-ci-fu-e-produsse-degli-effetti/ (https://www.lincontro.news/il-lodo-moro-non-era-una-fake-news-laccordo-fra-lo-stato-italiano-e-le-organizzazioni-palestinesi-ci-fu-e-produsse-degli-effetti/)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Il Giornale — https://www.ilgiornale.it/news/cultura/lodo-moro-leggenda-e-verit-storica-nel-libro-valentine-2003644.html (https://www.ilgiornale.it/news/cultura/lodo-moro-leggenda-e-verit-storica-nel-libro-valentine-2003644.html)</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Wikipedia — https://it.wikipedia.org/wiki/Lodo_Moro (https://it.wikipedia.org/wiki/Lodo_Moro)</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Ilmemoriale — https://www.ilmemoriale.it/politica/2017/09/04/espulsione-degli-italiani-da-tripoli.html (https://www.ilmemoriale.it/politica/2017/09/04/espulsione-degli-italiani-da-tripoli.html)</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Ponza Racconta — https://www.ponzaracconta.it/2021/03/30/aldo-moro-gheddafi-e-arafat/ (https://www.ponzaracconta.it/2021/03/30/aldo-moro-gheddafi-e-arafat/)</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lavalledeitempli.net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Lavalledeitempli — http://lavalledeitempli.net/2019/04/23/aldo-moro-vero-artefice-della-cooperazione-la-libia-gheddafi/ (http://lavalledeitempli.net/2019/04/23/aldo-moro-vero-artefice-della-cooperazione-la-libia-gheddafi/)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CIE — https://israeled.org/wp-content/uploads/2012/05/FRUS-1969-1976-1973-war.pdf (https://israeled.org/wp-content/uploads/2012/05/FRUS-1969-1976-1973-war.pdf)</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Treccani — https://www.treccani.it/enciclopedia/non-proliferazione-atomica_(Enciclopedia-Italiana (https://www.treccani.it/enciclopedia/non-proliferazione-atomica_(Enciclopedia-Italiana)</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Unica — https://convegni.unica.it/sisi19/i-panel-dellottavo-convegno-sisi-cagliari-2019/panel-3/ (https://convegni.unica.it/sisi19/i-panel-dellottavo-convegno-sisi-cagliari-2019/panel-3/)</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SettimanaNews — https://www.settimananews.it/chiesa/silvestrini-ostpolitik/ (https://www.settimananews.it/chiesa/silvestrini-ostpolitik/)</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Vatican News — https://www.vaticannews.va/it/mondo/news/2022-04/conferenza-helsinki-1975-europa-guerra-fredda-eredita-pace.html (https://www.vaticannews.va/it/mondo/news/2022-04/conferenza-helsinki-1975-europa-guerra-fredda-eredita-pace.html)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University of Padua — https://www.research.unipd.it/handle/11577/3421701 (https://www.research.unipd.it/handle/11577/3421701)</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Chiesacattolica.it — https://www.chiesacattolica.it/documenti-segreteria/accordo-di-revisione-del-concordato-lateranense-tra-la-santa-sede-e-la-repubblica-italiana/ (https://www.chiesacattolica.it/documenti-segreteria/accordo-di-revisione-del-concordato-lateranense-tra-la-santa-sede-e-la-repubblica-italiana/)</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Delibris — https://www.delibris.org/es/lopez-bravo (https://www.delibris.org/es/lopez-bravo)</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El Confidencial Digital — https://www.elconfidencialdigital.com/religion/articulo/de-libros/gregorio-lopez-bravo-miembro-opus-dei-servicio-progreso-espana/20241007004039050434.html (https://www.elconfidencialdigital.com/religion/articulo/de-libros/gregorio-lopez-bravo-miembro-opus-dei-servicio-progreso-espana/20241007004039050434.html)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Omnes — https://www.omnesmag.com/en/news/gabriel-perez-lopez-lopez-bravo-acted-freely/ (https://www.omnesmag.com/en/news/gabriel-perez-lopez-lopez-bravo-acted-freely/)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Treccani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4 volte)</w:t>
      </w:r>
    </w:p>
    <w:p>
      <w:pPr>
        <w:pStyle w:val="Heading3"/>
        <w:spacing w:after="80" w:before="160"/>
      </w:pPr>
      <w:r>
        <w:rPr>
          <w:rFonts w:ascii="Barlow Semi Condensed" w:cs="Barlow Semi Condensed" w:eastAsia="Barlow Semi Condensed" w:hAnsi="Barlow Semi Condensed"/>
          <w:sz w:val="24"/>
          <w:szCs w:val="24"/>
        </w:rPr>
        <w:t xml:space="preserve">Libro dodicesimo · III — Germania e Opus Dei 1952-1985</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bistum-essen.de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katholisch.de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opusdei — https://opusdei.org/de-de/article/kurzdarstellung-der-anfange-des-opus-dei-in-deutschland/ (https://opusdei.org/de-de/article/kurzdarstellung-der-anfange-des-opus-dei-in-deutschland/)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Opus Dei — https://opusdei.org/en-us/article/commemorative-book-in-germany/ (https://opusdei.org/en-us/article/commemorative-book-in-germany/)</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Kath — https://kath.net/print/15147 (https://kath.net/print/15147)</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Blogger — http://hugendubelverdi.blogspot.com/2012/01/gottes-werk-und-des-kardinals-beitrag.html (http://hugendubelverdi.blogspot.com/2012/01/gottes-werk-und-des-kardinals-beitrag.html)</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taz.de — https://taz.de/Der-Mann-der-das-fringsen-erfand-und-alten-Nazis-half/%21664899/ (https://taz.de/Der-Mann-der-das-fringsen-erfand-und-alten-Nazis-half/%21664899/)</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fowid — https://fowid.de/sites/default/files/download/religionszugehoerigkeit_bevoelkerung_1950-2005.pdf (https://fowid.de/sites/default/files/download/religionszugehoerigkeit_bevoelkerung_1950-2005.pdf)</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Clio Online — https://www.europa.clio-online.de/essay/id/fdae-1690 (https://www.europa.clio-online.de/essay/id/fdae-1690)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fowid — https://fowid.de/meldung/religionszugehoerigkeiten-deutschland-2015 (https://fowid.de/meldung/religionszugehoerigkeiten-deutschland-2015)</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fowid — https://fowid.de/meldung/deutschland-konfessionen (https://fowid.de/meldung/deutschland-konfessionen)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fowid — https://fowid.de/meldung/deutschland-3-katholische-sueden-und-westen (https://fowid.de/meldung/deutschland-3-katholische-sueden-und-westen)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Perlentaucher — https://www.perlentaucher.de/buch/michael-hirschfeld/katholisches-milieu-und-vertriebene.html?r=print (https://www.perlentaucher.de/buch/michael-hirschfeld/katholisches-milieu-und-vertriebene.html?r=print)</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Wikipedia — https://en.wikipedia.org/wiki/Josef_Frings (https://en.wikipedia.org/wiki/Josef_Frings)</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Springer — https://link.springer.com/chapter/10.1007/978-3-322-88718-4_27 (https://link.springer.com/chapter/10.1007/978-3-322-88718-4_27)</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Opus Dei — https://opusdei.org/en/article/fragments-of-history-campus-muengersdorf/ (https://opusdei.org/en/article/fragments-of-history-campus-muengersdorf/)</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DeWiki — https://dewiki.de/Lexikon/Opus_Dei (https://dewiki.de/Lexikon/Opus_Dei)</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ISJE — https://www.isje.org/en/history-of-opus-dei/ (https://www.isje.org/en/history-of-opus-dei/)</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Opus Dei — https://opusdei.org/de-de/article/pressemitteilung-die-praelatur-opus-dei-in-mitteleuropa-stellt-sich-neu-auf-de/ (https://opusdei.org/de-de/article/pressemitteilung-die-praelatur-opus-dei-in-mitteleuropa-stellt-sich-neu-auf-de/)</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University of Navarra — https://en.unav.edu/web/josemaria-escriva-study-centre/opus-dei-y-prelados (https://en.unav.edu/web/josemaria-escriva-study-centre/opus-dei-y-prelados)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Opus Dei — https://opusdei.org/en-uk/article/history-of-opus-dei-in-britain/ (https://opusdei.org/en-uk/article/history-of-opus-dei-in-britain/)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opus-info.org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Opus-Info — https://www.opus-info.org/index.php/Statistik_der_Mitglieder_des_Opus_Dei (https://www.opus-info.org/index.php/Statistik_der_Mitglieder_des_Opus_Dei)</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Novaradio — https://novaradio.ch/deutsch/opus-dei/ (https://novaradio.ch/deutsch/opus-dei/)</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Antifaschistisches Infoblatt — https://antifainfoblatt.de/aib85/opus-dei-kampftruppe-gottes (https://antifainfoblatt.de/aib85/opus-dei-kampftruppe-gottes)</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Opus Dei — https://opusdei.org/de-de/article/dauerbrenner-opus-dei-verdachtigung/ (https://opusdei.org/de-de/article/dauerbrenner-opus-dei-verdachtigung/)</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Springer — https://link.springer.com/chapter/10.1007/978-3-322-95152-6_2 (https://link.springer.com/chapter/10.1007/978-3-322-95152-6_2)</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IBKA — https://www.ibka.org/artikel/miz86/opusdei.html (https://www.ibka.org/artikel/miz86/opusdei.html)</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Christian Science Monitor — https://www.csmonitor.com/1984/1231/123131.html (https://www.csmonitor.com/1984/1231/123131.html)</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Opus Dei — https://opusdei.org/de/article/die-personalpraelatur-opus-dei-wie-sie-organisiert-ist-und-wie-sie-arbeitet/ (https://opusdei.org/de/article/die-personalpraelatur-opus-dei-wie-sie-organisiert-ist-und-wie-sie-arbeitet/)</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Opus Dei — https://opusdei.org/it-it/article/prelatura-personale/ (https://opusdei.org/it-it/article/prelatura-personale/)</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Opus Dei — https://multimedia.opusdei.org/pdf/de/vorwuerfe.pdf (https://multimedia.opusdei.org/pdf/de/vorwuerfe.pdf)</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Esteri — https://www.esteri.it/it/ministero/storia/ministri_esteri/ (https://www.esteri.it/it/ministero/storia/ministri_esteri/)</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willy-brandt-biography +2 — https://www.willy-brandt-biography.com/travels/1967-1974/ (https://www.willy-brandt-biography.com/travels/1967-1974/)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Wikipedia — https://en.wikipedia.org/wiki/Kniefall_von_Warschau (https://en.wikipedia.org/wiki/Kniefall_von_Warschau)</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Dizie — https://www.dizie.eu/dizionario/ostpolitik/?print=pdf (https://www.dizie.eu/dizionario/ostpolitik/?print=pdf)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LuissThesis — https://tesi.luiss.it/34225/1/090762_DI%20NARDO_FRANCESCO.pdf (https://tesi.luiss.it/34225/1/090762_DI%20NARDO_FRANCESCO.pdf)</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Berchet — https://liceoberchet.edu.it/ricerche/geo5d_06/csi/ostpolitik.htm (https://liceoberchet.edu.it/ricerche/geo5d_06/csi/ostpolitik.htm)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SISSCO — https://www.sissco.it/recensione-annale/la-ddr-e-litalia-politica-commercio-e-ideologia-nelleuropa-del-cambiamento-1973-1985/ (https://www.sissco.it/recensione-annale/la-ddr-e-litalia-politica-commercio-e-ideologia-nelleuropa-del-cambiamento-1973-1985/)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Fbk — https://aro-isig.fbk.eu/issues/2018/1/la-ddr-e-litalia-teresa-malice/pdf/ (https://aro-isig.fbk.eu/issues/2018/1/la-ddr-e-litalia-teresa-malice/pdf/)</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SEHEPUNKTE — https://www.sehepunkte.de/2018/04/31274.html (https://www.sehepunkte.de/2018/04/31274.html)</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Wordpress — https://diplosor.wordpress.com/documentario-con-i-filmati-dellamb-mario-luciolli-1964-1984/ (https://diplosor.wordpress.com/documentario-con-i-filmati-dellamb-mario-luciolli-1964-1984/)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Archive of European Integration — https://aei.pitt.edu/1451/1/hague_1969.pdf (https://aei.pitt.edu/1451/1/hague_1969.pdf)</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bpb — https://www.bpb.de/kurz-knapp/hintergrund-aktuell/324552/erstes-anwerbeabkommen-vor-65-jahren/ (https://www.bpb.de/kurz-knapp/hintergrund-aktuell/324552/erstes-anwerbeabkommen-vor-65-jahren/)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Fondazione Migrantes — https://www.migrantes.it/1955-2015-gastarbeiter-un-viaggio-lungo-60-anni/ (https://www.migrantes.it/1955-2015-gastarbeiter-un-viaggio-lungo-60-anni/)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Stampa Parlamento — https://www.stampaparlamento.it/2022/03/04/laccordo-italo-tedesco-del-20-dicembre-1955/ (https://www.stampaparlamento.it/2022/03/04/laccordo-italo-tedesco-del-20-dicembre-1955/)</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bpb.de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Wikipedia — https://de.wikipedia.org/wiki/Anwerbeabkommen_zwischen_der_Bundesrepublik_Deutschland_und_Italien (https://de.wikipedia.org/wiki/Anwerbeabkommen_zwischen_der_Bundesrepublik_Deutschland_und_Italien)</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Storicamente — https://storicamente.org/migrazioni-prontera (https://storicamente.org/migrazioni-prontera)</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CVCE — https://www.cvce.eu/en/recherche/unit-content/-/unit/02bb76df-d066-4c08-a58a-d4686a3e68ff/a4b76b9e-9b8b-4752-9657-05e26c5a1f5d (https://www.cvce.eu/en/recherche/unit-content/-/unit/02bb76df-d066-4c08-a58a-d4686a3e68ff/a4b76b9e-9b8b-4752-9657-05e26c5a1f5d)</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Officinadellastoria — https://www.officinadellastoria.eu/it/2018/07/19/leuropa-tra-crisi-e-rilancio-il-vertice-dellaja-del-1969/ (https://www.officinadellastoria.eu/it/2018/07/19/leuropa-tra-crisi-e-rilancio-il-vertice-dellaja-del-1969/)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vLex — https://eu.vlex.com/vid/werner-istituzioni-governo-monetario-264867494 (https://eu.vlex.com/vid/werner-istituzioni-governo-monetario-264867494)</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Unibo — https://aldomorodigitale.unibo.it/additional_resources/?id=141&amp;type=essay (https://aldomorodigitale.unibo.it/additional_resources/?id=141&amp;type=essay)</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Unipd — https://thesis.unipd.it/retrieve/a718646f-1fb5-445a-9b20-aeb407baaafb/Petrila_Andreea_Roxana.pdf (https://thesis.unipd.it/retrieve/a718646f-1fb5-445a-9b20-aeb407baaafb/Petrila_Andreea_Roxana.pdf)</w:t>
      </w:r>
    </w:p>
    <w:p>
      <w:pPr>
        <w:spacing w:after="120" w:line="276"/>
        <w:jc w:val="both"/>
      </w:pPr>
      <w:r>
        <w:rPr>
          <w:rFonts w:ascii="Barlow Semi Condensed" w:cs="Barlow Semi Condensed" w:eastAsia="Barlow Semi Condensed" w:hAnsi="Barlow Semi Condensed"/>
          <w:b/>
          <w:bCs/>
          <w:sz w:val="24"/>
          <w:szCs w:val="24"/>
        </w:rPr>
        <w:t xml:space="preserve">287.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288.</w:t>
      </w:r>
      <w:r>
        <w:rPr>
          <w:rFonts w:ascii="Barlow Semi Condensed" w:cs="Barlow Semi Condensed" w:eastAsia="Barlow Semi Condensed" w:hAnsi="Barlow Semi Condensed"/>
          <w:sz w:val="24"/>
          <w:szCs w:val="24"/>
        </w:rPr>
        <w:t xml:space="preserve"> Freie Universität Berlin — https://www.geisteswissenschaften.fu-berlin.de/it/italienzentrum/forschung-lehre/Gastdozent_innen/Ex-docenti/Filippo-Triola/index.html (https://www.geisteswissenschaften.fu-berlin.de/it/italienzentrum/forschung-lehre/Gastdozent_innen/Ex-docenti/Filippo-Triola/index.html)</w:t>
      </w:r>
    </w:p>
    <w:p>
      <w:pPr>
        <w:spacing w:after="120" w:line="276"/>
        <w:jc w:val="both"/>
      </w:pPr>
      <w:r>
        <w:rPr>
          <w:rFonts w:ascii="Barlow Semi Condensed" w:cs="Barlow Semi Condensed" w:eastAsia="Barlow Semi Condensed" w:hAnsi="Barlow Semi Condensed"/>
          <w:b/>
          <w:bCs/>
          <w:sz w:val="24"/>
          <w:szCs w:val="24"/>
        </w:rPr>
        <w:t xml:space="preserve">289.</w:t>
      </w:r>
      <w:r>
        <w:rPr>
          <w:rFonts w:ascii="Barlow Semi Condensed" w:cs="Barlow Semi Condensed" w:eastAsia="Barlow Semi Condensed" w:hAnsi="Barlow Semi Condensed"/>
          <w:sz w:val="24"/>
          <w:szCs w:val="24"/>
        </w:rPr>
        <w:t xml:space="preserve"> Unibo — https://amsdottorato.unibo.it/id/eprint/5721/1/Triola_Flippo_Tesi.pdf (https://amsdottorato.unibo.it/id/eprint/5721/1/Triola_Flippo_Tesi.pdf)</w:t>
      </w:r>
    </w:p>
    <w:p>
      <w:pPr>
        <w:pStyle w:val="Heading3"/>
        <w:spacing w:after="80" w:before="160"/>
      </w:pPr>
      <w:r>
        <w:rPr>
          <w:rFonts w:ascii="Barlow Semi Condensed" w:cs="Barlow Semi Condensed" w:eastAsia="Barlow Semi Condensed" w:hAnsi="Barlow Semi Condensed"/>
          <w:sz w:val="24"/>
          <w:szCs w:val="24"/>
        </w:rPr>
        <w:t xml:space="preserve">Libro dodicesimo · IV — La Santa Sede e le due Germanie: la sequenza Oder-Neisse</w:t>
      </w:r>
    </w:p>
    <w:p>
      <w:pPr>
        <w:spacing w:after="120" w:line="276"/>
        <w:jc w:val="both"/>
      </w:pPr>
      <w:r>
        <w:rPr>
          <w:rFonts w:ascii="Barlow Semi Condensed" w:cs="Barlow Semi Condensed" w:eastAsia="Barlow Semi Condensed" w:hAnsi="Barlow Semi Condensed"/>
          <w:b/>
          <w:bCs/>
          <w:sz w:val="24"/>
          <w:szCs w:val="24"/>
        </w:rPr>
        <w:t xml:space="preserve">290.</w:t>
      </w:r>
      <w:r>
        <w:rPr>
          <w:rFonts w:ascii="Barlow Semi Condensed" w:cs="Barlow Semi Condensed" w:eastAsia="Barlow Semi Condensed" w:hAnsi="Barlow Semi Condensed"/>
          <w:sz w:val="24"/>
          <w:szCs w:val="24"/>
        </w:rPr>
        <w:t xml:space="preserve"> Vatican — https://www.vatican.va/content/paul-vi/la/apost_constitutions/documents/hf_p-vi_apc_19720628_vratislaviensis.html (https://www.vatican.va/content/paul-vi/la/apost_constitutions/documents/hf_p-vi_apc_19720628_vratislaviensis.html)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291.</w:t>
      </w:r>
      <w:r>
        <w:rPr>
          <w:rFonts w:ascii="Barlow Semi Condensed" w:cs="Barlow Semi Condensed" w:eastAsia="Barlow Semi Condensed" w:hAnsi="Barlow Semi Condensed"/>
          <w:sz w:val="24"/>
          <w:szCs w:val="24"/>
        </w:rPr>
        <w:t xml:space="preserve"> zapiskihistoryczne — https://www.zapiskihistoryczne.pl/files/issues/3eec121a6dde7c3b4e34b1c06bd7524a_ZH_2017_3_07_ENG_Bialkowski_N.pdf (https://www.zapiskihistoryczne.pl/files/issues/3eec121a6dde7c3b4e34b1c06bd7524a_ZH_2017_3_07_ENG_Bialkowski_N.pdf)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292.</w:t>
      </w:r>
      <w:r>
        <w:rPr>
          <w:rFonts w:ascii="Barlow Semi Condensed" w:cs="Barlow Semi Condensed" w:eastAsia="Barlow Semi Condensed" w:hAnsi="Barlow Semi Condensed"/>
          <w:sz w:val="24"/>
          <w:szCs w:val="24"/>
        </w:rPr>
        <w:t xml:space="preserve"> uni-oldenburg — https://ome-lexikon.uni-oldenburg.de/begriffe/briefwechsel-der-polnischen-und-deutschen-bischoefe (https://ome-lexikon.uni-oldenburg.de/begriffe/briefwechsel-der-polnischen-und-deutschen-bischoefe)</w:t>
      </w:r>
    </w:p>
    <w:p>
      <w:pPr>
        <w:spacing w:after="120" w:line="276"/>
        <w:jc w:val="both"/>
      </w:pPr>
      <w:r>
        <w:rPr>
          <w:rFonts w:ascii="Barlow Semi Condensed" w:cs="Barlow Semi Condensed" w:eastAsia="Barlow Semi Condensed" w:hAnsi="Barlow Semi Condensed"/>
          <w:b/>
          <w:bCs/>
          <w:sz w:val="24"/>
          <w:szCs w:val="24"/>
        </w:rPr>
        <w:t xml:space="preserve">293.</w:t>
      </w:r>
      <w:r>
        <w:rPr>
          <w:rFonts w:ascii="Barlow Semi Condensed" w:cs="Barlow Semi Condensed" w:eastAsia="Barlow Semi Condensed" w:hAnsi="Barlow Semi Condensed"/>
          <w:sz w:val="24"/>
          <w:szCs w:val="24"/>
        </w:rPr>
        <w:t xml:space="preserve"> SettimanaNews — https://www.settimananews.it/vescovi/guerra-fragile-memoria/ (https://www.settimananews.it/vescovi/guerra-fragile-memoria/)</w:t>
      </w:r>
    </w:p>
    <w:p>
      <w:pPr>
        <w:spacing w:after="120" w:line="276"/>
        <w:jc w:val="both"/>
      </w:pPr>
      <w:r>
        <w:rPr>
          <w:rFonts w:ascii="Barlow Semi Condensed" w:cs="Barlow Semi Condensed" w:eastAsia="Barlow Semi Condensed" w:hAnsi="Barlow Semi Condensed"/>
          <w:b/>
          <w:bCs/>
          <w:sz w:val="24"/>
          <w:szCs w:val="24"/>
        </w:rPr>
        <w:t xml:space="preserve">294.</w:t>
      </w:r>
      <w:r>
        <w:rPr>
          <w:rFonts w:ascii="Barlow Semi Condensed" w:cs="Barlow Semi Condensed" w:eastAsia="Barlow Semi Condensed" w:hAnsi="Barlow Semi Condensed"/>
          <w:sz w:val="24"/>
          <w:szCs w:val="24"/>
        </w:rPr>
        <w:t xml:space="preserve"> SettimanaNews — https://www.settimananews.it/chiesa/polonia-il-primate-del-millennio/ (https://www.settimananews.it/chiesa/polonia-il-primate-del-millennio/)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295.</w:t>
      </w:r>
      <w:r>
        <w:rPr>
          <w:rFonts w:ascii="Barlow Semi Condensed" w:cs="Barlow Semi Condensed" w:eastAsia="Barlow Semi Condensed" w:hAnsi="Barlow Semi Condensed"/>
          <w:sz w:val="24"/>
          <w:szCs w:val="24"/>
        </w:rPr>
        <w:t xml:space="preserve"> Zenit — https://it.zenit.org/2015/10/26/un-messaggio-che-fu-un-atto-di-coraggio-dell-episcopato-polacco/ (https://it.zenit.org/2015/10/26/un-messaggio-che-fu-un-atto-di-coraggio-dell-episcopato-polacco/)</w:t>
      </w:r>
    </w:p>
    <w:p>
      <w:pPr>
        <w:spacing w:after="120" w:line="276"/>
        <w:jc w:val="both"/>
      </w:pPr>
      <w:r>
        <w:rPr>
          <w:rFonts w:ascii="Barlow Semi Condensed" w:cs="Barlow Semi Condensed" w:eastAsia="Barlow Semi Condensed" w:hAnsi="Barlow Semi Condensed"/>
          <w:b/>
          <w:bCs/>
          <w:sz w:val="24"/>
          <w:szCs w:val="24"/>
        </w:rPr>
        <w:t xml:space="preserve">296.</w:t>
      </w:r>
      <w:r>
        <w:rPr>
          <w:rFonts w:ascii="Barlow Semi Condensed" w:cs="Barlow Semi Condensed" w:eastAsia="Barlow Semi Condensed" w:hAnsi="Barlow Semi Condensed"/>
          <w:sz w:val="24"/>
          <w:szCs w:val="24"/>
        </w:rPr>
        <w:t xml:space="preserve"> Konrad-Adenauer-Stiftung — https://www.kas.de/en/web/geschichte-der-cdu/calendar-detail/-/content/der-bundestag-ratifiziert-den-moskauer-und-den-warschauer-vertrag-und-stimmt-der-gemeinsamen-entschl (https://www.kas.de/en/web/geschichte-der-cdu/calendar-detail/-/content/der-bundestag-ratifiziert-den-moskauer-und-den-warschauer-vertrag-und-stimmt-der-gemeinsamen-entschl)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297.</w:t>
      </w:r>
      <w:r>
        <w:rPr>
          <w:rFonts w:ascii="Barlow Semi Condensed" w:cs="Barlow Semi Condensed" w:eastAsia="Barlow Semi Condensed" w:hAnsi="Barlow Semi Condensed"/>
          <w:sz w:val="24"/>
          <w:szCs w:val="24"/>
        </w:rPr>
        <w:t xml:space="preserve"> dpa Picture-Alliance — https://www.picture-alliance.com/en/webseries/2022-05-17-50-years-ago-eastern-treaties-with-the-soviet-union-and-poland-passed-in-the-bundestag-w287155 (https://www.picture-alliance.com/en/webseries/2022-05-17-50-years-ago-eastern-treaties-with-the-soviet-union-and-poland-passed-in-the-bundestag-w287155)</w:t>
      </w:r>
    </w:p>
    <w:p>
      <w:pPr>
        <w:spacing w:after="120" w:line="276"/>
        <w:jc w:val="both"/>
      </w:pPr>
      <w:r>
        <w:rPr>
          <w:rFonts w:ascii="Barlow Semi Condensed" w:cs="Barlow Semi Condensed" w:eastAsia="Barlow Semi Condensed" w:hAnsi="Barlow Semi Condensed"/>
          <w:b/>
          <w:bCs/>
          <w:sz w:val="24"/>
          <w:szCs w:val="24"/>
        </w:rPr>
        <w:t xml:space="preserve">298.</w:t>
      </w:r>
      <w:r>
        <w:rPr>
          <w:rFonts w:ascii="Barlow Semi Condensed" w:cs="Barlow Semi Condensed" w:eastAsia="Barlow Semi Condensed" w:hAnsi="Barlow Semi Condensed"/>
          <w:sz w:val="24"/>
          <w:szCs w:val="24"/>
        </w:rPr>
        <w:t xml:space="preserve"> Wikipedia — https://pl.wikipedia.org/wiki/Episcoporum_Poloniae_coetus (https://pl.wikipedia.org/wiki/Episcoporum_Poloniae_coetus)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299.</w:t>
      </w:r>
      <w:r>
        <w:rPr>
          <w:rFonts w:ascii="Barlow Semi Condensed" w:cs="Barlow Semi Condensed" w:eastAsia="Barlow Semi Condensed" w:hAnsi="Barlow Semi Condensed"/>
          <w:sz w:val="24"/>
          <w:szCs w:val="24"/>
        </w:rPr>
        <w:t xml:space="preserve"> En Academic — https://en-academic.com/dic.nsf/enwiki/3499690 (https://en-academic.com/dic.nsf/enwiki/3499690)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 diecezjakoszalin — https://www.diecezjakoszalin.pl/bulla-episcoporum-poloniae-coetus (https://www.diecezjakoszalin.pl/bulla-episcoporum-poloniae-coetus)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301.</w:t>
      </w:r>
      <w:r>
        <w:rPr>
          <w:rFonts w:ascii="Barlow Semi Condensed" w:cs="Barlow Semi Condensed" w:eastAsia="Barlow Semi Condensed" w:hAnsi="Barlow Semi Condensed"/>
          <w:sz w:val="24"/>
          <w:szCs w:val="24"/>
        </w:rPr>
        <w:t xml:space="preserve"> Diecezji Zielonogórsko-Gorzowskiej — https://diecezjazg.pl/45-lat-episcoporum-poloniae-coetus/ (https://diecezjazg.pl/45-lat-episcoporum-poloniae-coetus/)</w:t>
      </w:r>
    </w:p>
    <w:p>
      <w:pPr>
        <w:spacing w:after="120" w:line="276"/>
        <w:jc w:val="both"/>
      </w:pPr>
      <w:r>
        <w:rPr>
          <w:rFonts w:ascii="Barlow Semi Condensed" w:cs="Barlow Semi Condensed" w:eastAsia="Barlow Semi Condensed" w:hAnsi="Barlow Semi Condensed"/>
          <w:b/>
          <w:bCs/>
          <w:sz w:val="24"/>
          <w:szCs w:val="24"/>
        </w:rPr>
        <w:t xml:space="preserve">302.</w:t>
      </w:r>
      <w:r>
        <w:rPr>
          <w:rFonts w:ascii="Barlow Semi Condensed" w:cs="Barlow Semi Condensed" w:eastAsia="Barlow Semi Condensed" w:hAnsi="Barlow Semi Condensed"/>
          <w:sz w:val="24"/>
          <w:szCs w:val="24"/>
        </w:rPr>
        <w:t xml:space="preserve"> Cambridge Core — https://www.cambridge.org/core/journals/church-history/article/diplomatic-relations-between-poland-and-the-holy-see-and-the-vaticans-ostpolitik-from-the-perspective-of-cardinal-stefan-wyszynski-primate-of-poland-19481981/FFE51F5CC9F89D956808883C94F59F37 (https://www.cambridge.org/core/journals/church-history/article/diplomatic-relations-between-poland-and-the-holy-see-and-the-vaticans-ostpolitik-from-the-perspective-of-cardinal-stefan-wyszynski-primate-of-poland-19481981/FFE51F5CC9F89D956808883C94F59F37)</w:t>
      </w:r>
    </w:p>
    <w:p>
      <w:pPr>
        <w:spacing w:after="120" w:line="276"/>
        <w:jc w:val="both"/>
      </w:pPr>
      <w:r>
        <w:rPr>
          <w:rFonts w:ascii="Barlow Semi Condensed" w:cs="Barlow Semi Condensed" w:eastAsia="Barlow Semi Condensed" w:hAnsi="Barlow Semi Condensed"/>
          <w:b/>
          <w:bCs/>
          <w:sz w:val="24"/>
          <w:szCs w:val="24"/>
        </w:rPr>
        <w:t xml:space="preserve">303.</w:t>
      </w:r>
      <w:r>
        <w:rPr>
          <w:rFonts w:ascii="Barlow Semi Condensed" w:cs="Barlow Semi Condensed" w:eastAsia="Barlow Semi Condensed" w:hAnsi="Barlow Semi Condensed"/>
          <w:sz w:val="24"/>
          <w:szCs w:val="24"/>
        </w:rPr>
        <w:t xml:space="preserve"> owep — https://www.owep.de/artikel/472-getrennte-vergangenheit-gemeinsame-zukunft-polnische-und-deutsche-katholiken-1945-1978 (https://www.owep.de/artikel/472-getrennte-vergangenheit-gemeinsame-zukunft-polnische-und-deutsche-katholiken-1945-1978)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304.</w:t>
      </w:r>
      <w:r>
        <w:rPr>
          <w:rFonts w:ascii="Barlow Semi Condensed" w:cs="Barlow Semi Condensed" w:eastAsia="Barlow Semi Condensed" w:hAnsi="Barlow Semi Condensed"/>
          <w:sz w:val="24"/>
          <w:szCs w:val="24"/>
        </w:rPr>
        <w:t xml:space="preserve"> DOMRADIO.DE — https://www.domradio.de/artikel/bischoefe-lassen-besondere-vertriebenenseelsorge-auslaufen (https://www.domradio.de/artikel/bischoefe-lassen-besondere-vertriebenenseelsorge-auslaufen)</w:t>
      </w:r>
    </w:p>
    <w:p>
      <w:pPr>
        <w:spacing w:after="120" w:line="276"/>
        <w:jc w:val="both"/>
      </w:pPr>
      <w:r>
        <w:rPr>
          <w:rFonts w:ascii="Barlow Semi Condensed" w:cs="Barlow Semi Condensed" w:eastAsia="Barlow Semi Condensed" w:hAnsi="Barlow Semi Condensed"/>
          <w:b/>
          <w:bCs/>
          <w:sz w:val="24"/>
          <w:szCs w:val="24"/>
        </w:rPr>
        <w:t xml:space="preserve">305.</w:t>
      </w:r>
      <w:r>
        <w:rPr>
          <w:rFonts w:ascii="Barlow Semi Condensed" w:cs="Barlow Semi Condensed" w:eastAsia="Barlow Semi Condensed" w:hAnsi="Barlow Semi Condensed"/>
          <w:sz w:val="24"/>
          <w:szCs w:val="24"/>
        </w:rPr>
        <w:t xml:space="preserve"> Ikamien — https://ikamien.pl/artykuly/14945/ (https://ikamien.pl/artykuly/14945/)</w:t>
      </w:r>
    </w:p>
    <w:p>
      <w:pPr>
        <w:spacing w:after="120" w:line="276"/>
        <w:jc w:val="both"/>
      </w:pPr>
      <w:r>
        <w:rPr>
          <w:rFonts w:ascii="Barlow Semi Condensed" w:cs="Barlow Semi Condensed" w:eastAsia="Barlow Semi Condensed" w:hAnsi="Barlow Semi Condensed"/>
          <w:b/>
          <w:bCs/>
          <w:sz w:val="24"/>
          <w:szCs w:val="24"/>
        </w:rPr>
        <w:t xml:space="preserve">306.</w:t>
      </w:r>
      <w:r>
        <w:rPr>
          <w:rFonts w:ascii="Barlow Semi Condensed" w:cs="Barlow Semi Condensed" w:eastAsia="Barlow Semi Condensed" w:hAnsi="Barlow Semi Condensed"/>
          <w:sz w:val="24"/>
          <w:szCs w:val="24"/>
        </w:rPr>
        <w:t xml:space="preserve"> Cambridge Core — https://www.cambridge.org/core/journals/review-of-politics/article/abs/vaticans-ostpolitik/AC442D87BDF81829CD57653F878EB16A (https://www.cambridge.org/core/journals/review-of-politics/article/abs/vaticans-ostpolitik/AC442D87BDF81829CD57653F878EB16A)</w:t>
      </w:r>
    </w:p>
    <w:p>
      <w:pPr>
        <w:spacing w:after="120" w:line="276"/>
        <w:jc w:val="both"/>
      </w:pPr>
      <w:r>
        <w:rPr>
          <w:rFonts w:ascii="Barlow Semi Condensed" w:cs="Barlow Semi Condensed" w:eastAsia="Barlow Semi Condensed" w:hAnsi="Barlow Semi Condensed"/>
          <w:b/>
          <w:bCs/>
          <w:sz w:val="24"/>
          <w:szCs w:val="24"/>
        </w:rPr>
        <w:t xml:space="preserve">307.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ddr-im-blick.de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308.</w:t>
      </w:r>
      <w:r>
        <w:rPr>
          <w:rFonts w:ascii="Barlow Semi Condensed" w:cs="Barlow Semi Condensed" w:eastAsia="Barlow Semi Condensed" w:hAnsi="Barlow Semi Condensed"/>
          <w:sz w:val="24"/>
          <w:szCs w:val="24"/>
        </w:rPr>
        <w:t xml:space="preserve"> Wikipedia — https://en.wikipedia.org/wiki/Archdiocese_of_Wroc%C5%82aw (https://en.wikipedia.org/wiki/Archdiocese_of_Wroc%C5%82aw)</w:t>
      </w:r>
    </w:p>
    <w:p>
      <w:pPr>
        <w:spacing w:after="120" w:line="276"/>
        <w:jc w:val="both"/>
      </w:pPr>
      <w:r>
        <w:rPr>
          <w:rFonts w:ascii="Barlow Semi Condensed" w:cs="Barlow Semi Condensed" w:eastAsia="Barlow Semi Condensed" w:hAnsi="Barlow Semi Condensed"/>
          <w:b/>
          <w:bCs/>
          <w:sz w:val="24"/>
          <w:szCs w:val="24"/>
        </w:rPr>
        <w:t xml:space="preserve">309.</w:t>
      </w:r>
      <w:r>
        <w:rPr>
          <w:rFonts w:ascii="Barlow Semi Condensed" w:cs="Barlow Semi Condensed" w:eastAsia="Barlow Semi Condensed" w:hAnsi="Barlow Semi Condensed"/>
          <w:sz w:val="24"/>
          <w:szCs w:val="24"/>
        </w:rPr>
        <w:t xml:space="preserve"> Wikipedia — https://en.wikipedia.org/wiki/Aldo_Moro (https://en.wikipedia.org/wiki/Aldo_Moro)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310.</w:t>
      </w:r>
      <w:r>
        <w:rPr>
          <w:rFonts w:ascii="Barlow Semi Condensed" w:cs="Barlow Semi Condensed" w:eastAsia="Barlow Semi Condensed" w:hAnsi="Barlow Semi Condensed"/>
          <w:sz w:val="24"/>
          <w:szCs w:val="24"/>
        </w:rPr>
        <w:t xml:space="preserve"> katholisch.de — https://katholisch.de/artikel/54136-das-reichskonkordat-kontroversen-um-einen-teufelspakt (https://katholisch.de/artikel/54136-das-reichskonkordat-kontroversen-um-einen-teufelspakt)</w:t>
      </w:r>
    </w:p>
    <w:p>
      <w:pPr>
        <w:pStyle w:val="Heading3"/>
        <w:spacing w:after="80" w:before="160"/>
      </w:pPr>
      <w:r>
        <w:rPr>
          <w:rFonts w:ascii="Barlow Semi Condensed" w:cs="Barlow Semi Condensed" w:eastAsia="Barlow Semi Condensed" w:hAnsi="Barlow Semi Condensed"/>
          <w:sz w:val="24"/>
          <w:szCs w:val="24"/>
        </w:rPr>
        <w:t xml:space="preserve">Libro dodicesimo · V — Portogallo e Opus Dei</w:t>
      </w:r>
    </w:p>
    <w:p>
      <w:pPr>
        <w:spacing w:after="120" w:line="276"/>
        <w:jc w:val="both"/>
      </w:pPr>
      <w:r>
        <w:rPr>
          <w:rFonts w:ascii="Barlow Semi Condensed" w:cs="Barlow Semi Condensed" w:eastAsia="Barlow Semi Condensed" w:hAnsi="Barlow Semi Condensed"/>
          <w:b/>
          <w:bCs/>
          <w:sz w:val="24"/>
          <w:szCs w:val="24"/>
        </w:rPr>
        <w:t xml:space="preserve">311.</w:t>
      </w:r>
      <w:r>
        <w:rPr>
          <w:rFonts w:ascii="Barlow Semi Condensed" w:cs="Barlow Semi Condensed" w:eastAsia="Barlow Semi Condensed" w:hAnsi="Barlow Semi Condensed"/>
          <w:sz w:val="24"/>
          <w:szCs w:val="24"/>
        </w:rPr>
        <w:t xml:space="preserve"> CNN Portugal — https://cnnportugal.iol.pt/religiao/igreja-catolica/o-papa-francisco-usou-cilicio-entrevista-rara-do-lider-do-opus-dei-que-assume-acolhimento-de-homossexuais/20220205/61fd3b150cf2cc58e7e10649 (https://cnnportugal.iol.pt/religiao/igreja-catolica/o-papa-francisco-usou-cilicio-entrevista-rara-do-lider-do-opus-dei-que-assume-acolhimento-de-homossexuais/20220205/61fd3b150cf2cc58e7e10649)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312.</w:t>
      </w:r>
      <w:r>
        <w:rPr>
          <w:rFonts w:ascii="Barlow Semi Condensed" w:cs="Barlow Semi Condensed" w:eastAsia="Barlow Semi Condensed" w:hAnsi="Barlow Semi Condensed"/>
          <w:sz w:val="24"/>
          <w:szCs w:val="24"/>
        </w:rPr>
        <w:t xml:space="preserve"> WOOK — https://www.wook.pt/livro/salazar-e-a-conspiracao-do-opus-dei-antonio-jose-vilela/10952303 (https://www.wook.pt/livro/salazar-e-a-conspiracao-do-opus-dei-antonio-jose-vilela/10952303)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313.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314.</w:t>
      </w:r>
      <w:r>
        <w:rPr>
          <w:rFonts w:ascii="Barlow Semi Condensed" w:cs="Barlow Semi Condensed" w:eastAsia="Barlow Semi Condensed" w:hAnsi="Barlow Semi Condensed"/>
          <w:sz w:val="24"/>
          <w:szCs w:val="24"/>
        </w:rPr>
        <w:t xml:space="preserve"> DN — https://www.dn.pt/sociedade/opus-dei-em-portugal-com-um-empurrao-da-irma-lucia--14256887.html (https://www.dn.pt/sociedade/opus-dei-em-portugal-com-um-empurrao-da-irma-lucia--14256887.html)</w:t>
      </w:r>
    </w:p>
    <w:p>
      <w:pPr>
        <w:spacing w:after="120" w:line="276"/>
        <w:jc w:val="both"/>
      </w:pPr>
      <w:r>
        <w:rPr>
          <w:rFonts w:ascii="Barlow Semi Condensed" w:cs="Barlow Semi Condensed" w:eastAsia="Barlow Semi Condensed" w:hAnsi="Barlow Semi Condensed"/>
          <w:b/>
          <w:bCs/>
          <w:sz w:val="24"/>
          <w:szCs w:val="24"/>
        </w:rPr>
        <w:t xml:space="preserve">315.</w:t>
      </w:r>
      <w:r>
        <w:rPr>
          <w:rFonts w:ascii="Barlow Semi Condensed" w:cs="Barlow Semi Condensed" w:eastAsia="Barlow Semi Condensed" w:hAnsi="Barlow Semi Condensed"/>
          <w:sz w:val="24"/>
          <w:szCs w:val="24"/>
        </w:rPr>
        <w:t xml:space="preserve"> Opus Dei — https://opusdei.org/pt-pt/article/historia-opus-dei-portugal/ (https://opusdei.org/pt-pt/article/historia-opus-dei-portugal/)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316.</w:t>
      </w:r>
      <w:r>
        <w:rPr>
          <w:rFonts w:ascii="Barlow Semi Condensed" w:cs="Barlow Semi Condensed" w:eastAsia="Barlow Semi Condensed" w:hAnsi="Barlow Semi Condensed"/>
          <w:sz w:val="24"/>
          <w:szCs w:val="24"/>
        </w:rPr>
        <w:t xml:space="preserve"> ucp — https://journals.ucp.pt/index.php/lusitaniasacra/article/download/11811/11315 (https://journals.ucp.pt/index.php/lusitaniasacra/article/download/11811/11315)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317.</w:t>
      </w:r>
      <w:r>
        <w:rPr>
          <w:rFonts w:ascii="Barlow Semi Condensed" w:cs="Barlow Semi Condensed" w:eastAsia="Barlow Semi Condensed" w:hAnsi="Barlow Semi Condensed"/>
          <w:sz w:val="24"/>
          <w:szCs w:val="24"/>
        </w:rPr>
        <w:t xml:space="preserve"> Sul 21 — https://sul21.com.br/opiniao/2011/07/infiltrados-no-estado-novo/ (https://sul21.com.br/opiniao/2011/07/infiltrados-no-estado-novo/)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318.</w:t>
      </w:r>
      <w:r>
        <w:rPr>
          <w:rFonts w:ascii="Barlow Semi Condensed" w:cs="Barlow Semi Condensed" w:eastAsia="Barlow Semi Condensed" w:hAnsi="Barlow Semi Condensed"/>
          <w:sz w:val="24"/>
          <w:szCs w:val="24"/>
        </w:rPr>
        <w:t xml:space="preserve"> RTP — https://www.rtp.pt/noticias/pais/opus-dei-com-75-anos-em-portugal-e-uma-influencia-maior-do-que-os-1625-membros_n1358555 (https://www.rtp.pt/noticias/pais/opus-dei-com-75-anos-em-portugal-e-uma-influencia-maior-do-que-os-1625-membros_n1358555)</w:t>
      </w:r>
    </w:p>
    <w:p>
      <w:pPr>
        <w:spacing w:after="120" w:line="276"/>
        <w:jc w:val="both"/>
      </w:pPr>
      <w:r>
        <w:rPr>
          <w:rFonts w:ascii="Barlow Semi Condensed" w:cs="Barlow Semi Condensed" w:eastAsia="Barlow Semi Condensed" w:hAnsi="Barlow Semi Condensed"/>
          <w:b/>
          <w:bCs/>
          <w:sz w:val="24"/>
          <w:szCs w:val="24"/>
        </w:rPr>
        <w:t xml:space="preserve">319.</w:t>
      </w:r>
      <w:r>
        <w:rPr>
          <w:rFonts w:ascii="Barlow Semi Condensed" w:cs="Barlow Semi Condensed" w:eastAsia="Barlow Semi Condensed" w:hAnsi="Barlow Semi Condensed"/>
          <w:sz w:val="24"/>
          <w:szCs w:val="24"/>
        </w:rPr>
        <w:t xml:space="preserve"> Fnac — https://www.fnac.pt/Salazar-e-a-Conspiracao-do-Opus-Dei-Pedro-Ramos-Brandao/a361319 (https://www.fnac.pt/Salazar-e-a-Conspiracao-do-Opus-Dei-Pedro-Ramos-Brandao/a361319)</w:t>
      </w:r>
    </w:p>
    <w:p>
      <w:pPr>
        <w:spacing w:after="120" w:line="276"/>
        <w:jc w:val="both"/>
      </w:pPr>
      <w:r>
        <w:rPr>
          <w:rFonts w:ascii="Barlow Semi Condensed" w:cs="Barlow Semi Condensed" w:eastAsia="Barlow Semi Condensed" w:hAnsi="Barlow Semi Condensed"/>
          <w:b/>
          <w:bCs/>
          <w:sz w:val="24"/>
          <w:szCs w:val="24"/>
        </w:rPr>
        <w:t xml:space="preserve">320.</w:t>
      </w:r>
      <w:r>
        <w:rPr>
          <w:rFonts w:ascii="Barlow Semi Condensed" w:cs="Barlow Semi Condensed" w:eastAsia="Barlow Semi Condensed" w:hAnsi="Barlow Semi Condensed"/>
          <w:sz w:val="24"/>
          <w:szCs w:val="24"/>
        </w:rPr>
        <w:t xml:space="preserve"> Livraria Almedina — https://www.almedina.net/salazar-e-a-conspira-o-do-opus-dei-1563875565.html (https://www.almedina.net/salazar-e-a-conspira-o-do-opus-dei-1563875565.html)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321.</w:t>
      </w:r>
      <w:r>
        <w:rPr>
          <w:rFonts w:ascii="Barlow Semi Condensed" w:cs="Barlow Semi Condensed" w:eastAsia="Barlow Semi Condensed" w:hAnsi="Barlow Semi Condensed"/>
          <w:sz w:val="24"/>
          <w:szCs w:val="24"/>
        </w:rPr>
        <w:t xml:space="preserve"> SÁBADO — https://www.sabado.pt/vida/detalhe/a-vigilancia-secreta-de-salazar-ao-opus-dei (https://www.sabado.pt/vida/detalhe/a-vigilancia-secreta-de-salazar-ao-opus-dei)</w:t>
      </w:r>
    </w:p>
    <w:p>
      <w:pPr>
        <w:spacing w:after="120" w:line="276"/>
        <w:jc w:val="both"/>
      </w:pPr>
      <w:r>
        <w:rPr>
          <w:rFonts w:ascii="Barlow Semi Condensed" w:cs="Barlow Semi Condensed" w:eastAsia="Barlow Semi Condensed" w:hAnsi="Barlow Semi Condensed"/>
          <w:b/>
          <w:bCs/>
          <w:sz w:val="24"/>
          <w:szCs w:val="24"/>
        </w:rPr>
        <w:t xml:space="preserve">322.</w:t>
      </w:r>
      <w:r>
        <w:rPr>
          <w:rFonts w:ascii="Barlow Semi Condensed" w:cs="Barlow Semi Condensed" w:eastAsia="Barlow Semi Condensed" w:hAnsi="Barlow Semi Condensed"/>
          <w:sz w:val="24"/>
          <w:szCs w:val="24"/>
        </w:rPr>
        <w:t xml:space="preserve"> Pro Roma Mariana — https://promariana.wordpress.com/2015/12/10/o-opus-dei-na-historia-de-fatima/ (https://promariana.wordpress.com/2015/12/10/o-opus-dei-na-historia-de-fatima/)</w:t>
      </w:r>
    </w:p>
    <w:p>
      <w:pPr>
        <w:spacing w:after="120" w:line="276"/>
        <w:jc w:val="both"/>
      </w:pPr>
      <w:r>
        <w:rPr>
          <w:rFonts w:ascii="Barlow Semi Condensed" w:cs="Barlow Semi Condensed" w:eastAsia="Barlow Semi Condensed" w:hAnsi="Barlow Semi Condensed"/>
          <w:b/>
          <w:bCs/>
          <w:sz w:val="24"/>
          <w:szCs w:val="24"/>
        </w:rPr>
        <w:t xml:space="preserve">323.</w:t>
      </w:r>
      <w:r>
        <w:rPr>
          <w:rFonts w:ascii="Barlow Semi Condensed" w:cs="Barlow Semi Condensed" w:eastAsia="Barlow Semi Condensed" w:hAnsi="Barlow Semi Condensed"/>
          <w:sz w:val="24"/>
          <w:szCs w:val="24"/>
        </w:rPr>
        <w:t xml:space="preserve"> Palrador D'el Rei — https://denunciation.wordpress.com/2011/06/22/%C2%ABsalazar-e-a-conspiracao-do-opus-dei%C2%BB-de-antonio-jose-vilela-e-pedro-ramos-brandao/ (https://denunciation.wordpress.com/2011/06/22/%C2%ABsalazar-e-a-conspiracao-do-opus-dei%C2%BB-de-antonio-jose-vilela-e-pedro-ramos-brandao/)</w:t>
      </w:r>
    </w:p>
    <w:p>
      <w:pPr>
        <w:spacing w:after="120" w:line="276"/>
        <w:jc w:val="both"/>
      </w:pPr>
      <w:r>
        <w:rPr>
          <w:rFonts w:ascii="Barlow Semi Condensed" w:cs="Barlow Semi Condensed" w:eastAsia="Barlow Semi Condensed" w:hAnsi="Barlow Semi Condensed"/>
          <w:b/>
          <w:bCs/>
          <w:sz w:val="24"/>
          <w:szCs w:val="24"/>
        </w:rPr>
        <w:t xml:space="preserve">324.</w:t>
      </w:r>
      <w:r>
        <w:rPr>
          <w:rFonts w:ascii="Barlow Semi Condensed" w:cs="Barlow Semi Condensed" w:eastAsia="Barlow Semi Condensed" w:hAnsi="Barlow Semi Condensed"/>
          <w:sz w:val="24"/>
          <w:szCs w:val="24"/>
        </w:rPr>
        <w:t xml:space="preserve"> Bertrand — https://www.bertrand.pt/livro/salazar-e-a-conspiracao-do-opus-dei-antonio-jose-vilela/10952303 (https://www.bertrand.pt/livro/salazar-e-a-conspiracao-do-opus-dei-antonio-jose-vilela/10952303)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325.</w:t>
      </w:r>
      <w:r>
        <w:rPr>
          <w:rFonts w:ascii="Barlow Semi Condensed" w:cs="Barlow Semi Condensed" w:eastAsia="Barlow Semi Condensed" w:hAnsi="Barlow Semi Condensed"/>
          <w:sz w:val="24"/>
          <w:szCs w:val="24"/>
        </w:rPr>
        <w:t xml:space="preserve"> Recursosacademicos — https://www.recursosacademicos.net/tecnocratas-del-opus-dei/ (https://www.recursosacademicos.net/tecnocratas-del-opus-dei/)</w:t>
      </w:r>
    </w:p>
    <w:p>
      <w:pPr>
        <w:spacing w:after="120" w:line="276"/>
        <w:jc w:val="both"/>
      </w:pPr>
      <w:r>
        <w:rPr>
          <w:rFonts w:ascii="Barlow Semi Condensed" w:cs="Barlow Semi Condensed" w:eastAsia="Barlow Semi Condensed" w:hAnsi="Barlow Semi Condensed"/>
          <w:b/>
          <w:bCs/>
          <w:sz w:val="24"/>
          <w:szCs w:val="24"/>
        </w:rPr>
        <w:t xml:space="preserve">326.</w:t>
      </w:r>
      <w:r>
        <w:rPr>
          <w:rFonts w:ascii="Barlow Semi Condensed" w:cs="Barlow Semi Condensed" w:eastAsia="Barlow Semi Condensed" w:hAnsi="Barlow Semi Condensed"/>
          <w:sz w:val="24"/>
          <w:szCs w:val="24"/>
        </w:rPr>
        <w:t xml:space="preserve"> U.S. Department of State — https://history.state.gov/historicaldocuments/frus1969-76v41/d303 (https://history.state.gov/historicaldocuments/frus1969-76v41/d303)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327.</w:t>
      </w:r>
      <w:r>
        <w:rPr>
          <w:rFonts w:ascii="Barlow Semi Condensed" w:cs="Barlow Semi Condensed" w:eastAsia="Barlow Semi Condensed" w:hAnsi="Barlow Semi Condensed"/>
          <w:sz w:val="24"/>
          <w:szCs w:val="24"/>
        </w:rPr>
        <w:t xml:space="preserve"> Contrainformacion — https://contrainformacion.es/opus-dei-y-los-ministros-miembros/ (https://contrainformacion.es/opus-dei-y-los-ministros-miembros/)</w:t>
      </w:r>
    </w:p>
    <w:p>
      <w:pPr>
        <w:spacing w:after="120" w:line="276"/>
        <w:jc w:val="both"/>
      </w:pPr>
      <w:r>
        <w:rPr>
          <w:rFonts w:ascii="Barlow Semi Condensed" w:cs="Barlow Semi Condensed" w:eastAsia="Barlow Semi Condensed" w:hAnsi="Barlow Semi Condensed"/>
          <w:b/>
          <w:bCs/>
          <w:sz w:val="24"/>
          <w:szCs w:val="24"/>
        </w:rPr>
        <w:t xml:space="preserve">328.</w:t>
      </w:r>
      <w:r>
        <w:rPr>
          <w:rFonts w:ascii="Barlow Semi Condensed" w:cs="Barlow Semi Condensed" w:eastAsia="Barlow Semi Condensed" w:hAnsi="Barlow Semi Condensed"/>
          <w:sz w:val="24"/>
          <w:szCs w:val="24"/>
        </w:rPr>
        <w:t xml:space="preserve"> Religión en Libertad — https://www.religionenlibertad.com/cultura/150215/ni-todos-los-tecnocratas-fueron-del-opus-dei-ni-todos-los_32125.html (https://www.religionenlibertad.com/cultura/150215/ni-todos-los-tecnocratas-fueron-del-opus-dei-ni-todos-los_32125.html)</w:t>
      </w:r>
    </w:p>
    <w:p>
      <w:pPr>
        <w:spacing w:after="120" w:line="276"/>
        <w:jc w:val="both"/>
      </w:pPr>
      <w:r>
        <w:rPr>
          <w:rFonts w:ascii="Barlow Semi Condensed" w:cs="Barlow Semi Condensed" w:eastAsia="Barlow Semi Condensed" w:hAnsi="Barlow Semi Condensed"/>
          <w:b/>
          <w:bCs/>
          <w:sz w:val="24"/>
          <w:szCs w:val="24"/>
        </w:rPr>
        <w:t xml:space="preserve">329.</w:t>
      </w:r>
      <w:r>
        <w:rPr>
          <w:rFonts w:ascii="Barlow Semi Condensed" w:cs="Barlow Semi Condensed" w:eastAsia="Barlow Semi Condensed" w:hAnsi="Barlow Semi Condensed"/>
          <w:sz w:val="24"/>
          <w:szCs w:val="24"/>
        </w:rPr>
        <w:t xml:space="preserve"> ECCLESIA — https://agencia.ecclesia.pt/portal/vaticano-ii-portugal-o-mundo-e-a-convocacao-do-concilio/ (https://agencia.ecclesia.pt/portal/vaticano-ii-portugal-o-mundo-e-a-convocacao-do-concilio/)</w:t>
      </w:r>
    </w:p>
    <w:p>
      <w:pPr>
        <w:spacing w:after="120" w:line="276"/>
        <w:jc w:val="both"/>
      </w:pPr>
      <w:r>
        <w:rPr>
          <w:rFonts w:ascii="Barlow Semi Condensed" w:cs="Barlow Semi Condensed" w:eastAsia="Barlow Semi Condensed" w:hAnsi="Barlow Semi Condensed"/>
          <w:b/>
          <w:bCs/>
          <w:sz w:val="24"/>
          <w:szCs w:val="24"/>
        </w:rPr>
        <w:t xml:space="preserve">330.</w:t>
      </w:r>
      <w:r>
        <w:rPr>
          <w:rFonts w:ascii="Barlow Semi Condensed" w:cs="Barlow Semi Condensed" w:eastAsia="Barlow Semi Condensed" w:hAnsi="Barlow Semi Condensed"/>
          <w:sz w:val="24"/>
          <w:szCs w:val="24"/>
        </w:rPr>
        <w:t xml:space="preserve"> RUN — https://run.unl.pt/entities/publication/4bd29800-b1ac-4187-bcc6-897130f67b44 (https://run.unl.pt/entities/publication/4bd29800-b1ac-4187-bcc6-897130f67b44)</w:t>
      </w:r>
    </w:p>
    <w:p>
      <w:pPr>
        <w:spacing w:after="120" w:line="276"/>
        <w:jc w:val="both"/>
      </w:pPr>
      <w:r>
        <w:rPr>
          <w:rFonts w:ascii="Barlow Semi Condensed" w:cs="Barlow Semi Condensed" w:eastAsia="Barlow Semi Condensed" w:hAnsi="Barlow Semi Condensed"/>
          <w:b/>
          <w:bCs/>
          <w:sz w:val="24"/>
          <w:szCs w:val="24"/>
        </w:rPr>
        <w:t xml:space="preserve">331.</w:t>
      </w:r>
      <w:r>
        <w:rPr>
          <w:rFonts w:ascii="Barlow Semi Condensed" w:cs="Barlow Semi Condensed" w:eastAsia="Barlow Semi Condensed" w:hAnsi="Barlow Semi Condensed"/>
          <w:sz w:val="24"/>
          <w:szCs w:val="24"/>
        </w:rPr>
        <w:t xml:space="preserve"> Revistas Científicas da UCP — https://revistas.ucp.pt/index.php/lusitaniasacra/article/view/16035 (https://revistas.ucp.pt/index.php/lusitaniasacra/article/view/16035)</w:t>
      </w:r>
    </w:p>
    <w:p>
      <w:pPr>
        <w:spacing w:after="120" w:line="276"/>
        <w:jc w:val="both"/>
      </w:pPr>
      <w:r>
        <w:rPr>
          <w:rFonts w:ascii="Barlow Semi Condensed" w:cs="Barlow Semi Condensed" w:eastAsia="Barlow Semi Condensed" w:hAnsi="Barlow Semi Condensed"/>
          <w:b/>
          <w:bCs/>
          <w:sz w:val="24"/>
          <w:szCs w:val="24"/>
        </w:rPr>
        <w:t xml:space="preserve">332.</w:t>
      </w:r>
      <w:r>
        <w:rPr>
          <w:rFonts w:ascii="Barlow Semi Condensed" w:cs="Barlow Semi Condensed" w:eastAsia="Barlow Semi Condensed" w:hAnsi="Barlow Semi Condensed"/>
          <w:sz w:val="24"/>
          <w:szCs w:val="24"/>
        </w:rPr>
        <w:t xml:space="preserve"> Guerracolonial — https://guerracolonial.pt/1970-a-ilusao-das-grandes-operacoes/a-igreja-catolica-e-a-guerra-colonial/ (https://guerracolonial.pt/1970-a-ilusao-das-grandes-operacoes/a-igreja-catolica-e-a-guerra-colonial/)</w:t>
      </w:r>
    </w:p>
    <w:p>
      <w:pPr>
        <w:spacing w:after="120" w:line="276"/>
        <w:jc w:val="both"/>
      </w:pPr>
      <w:r>
        <w:rPr>
          <w:rFonts w:ascii="Barlow Semi Condensed" w:cs="Barlow Semi Condensed" w:eastAsia="Barlow Semi Condensed" w:hAnsi="Barlow Semi Condensed"/>
          <w:b/>
          <w:bCs/>
          <w:sz w:val="24"/>
          <w:szCs w:val="24"/>
        </w:rPr>
        <w:t xml:space="preserve">333.</w:t>
      </w:r>
      <w:r>
        <w:rPr>
          <w:rFonts w:ascii="Barlow Semi Condensed" w:cs="Barlow Semi Condensed" w:eastAsia="Barlow Semi Condensed" w:hAnsi="Barlow Semi Condensed"/>
          <w:sz w:val="24"/>
          <w:szCs w:val="24"/>
        </w:rPr>
        <w:t xml:space="preserve"> Parlamento — https://www.parlamento.pt/VisitaParlamento/Paginas/BiogAdelinoAmarodaCosta.aspx (https://www.parlamento.pt/VisitaParlamento/Paginas/BiogAdelinoAmarodaCosta.aspx)</w:t>
      </w:r>
    </w:p>
    <w:p>
      <w:pPr>
        <w:spacing w:after="120" w:line="276"/>
        <w:jc w:val="both"/>
      </w:pPr>
      <w:r>
        <w:rPr>
          <w:rFonts w:ascii="Barlow Semi Condensed" w:cs="Barlow Semi Condensed" w:eastAsia="Barlow Semi Condensed" w:hAnsi="Barlow Semi Condensed"/>
          <w:b/>
          <w:bCs/>
          <w:sz w:val="24"/>
          <w:szCs w:val="24"/>
        </w:rPr>
        <w:t xml:space="preserve">334.</w:t>
      </w:r>
      <w:r>
        <w:rPr>
          <w:rFonts w:ascii="Barlow Semi Condensed" w:cs="Barlow Semi Condensed" w:eastAsia="Barlow Semi Condensed" w:hAnsi="Barlow Semi Condensed"/>
          <w:sz w:val="24"/>
          <w:szCs w:val="24"/>
        </w:rPr>
        <w:t xml:space="preserve"> Infopedia — https://www.infopedia.pt/artigos/%24adelino-amaro-da-costa (https://www.infopedia.pt/artigos/%24adelino-amaro-da-costa)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335.</w:t>
      </w:r>
      <w:r>
        <w:rPr>
          <w:rFonts w:ascii="Barlow Semi Condensed" w:cs="Barlow Semi Condensed" w:eastAsia="Barlow Semi Condensed" w:hAnsi="Barlow Semi Condensed"/>
          <w:sz w:val="24"/>
          <w:szCs w:val="24"/>
        </w:rPr>
        <w:t xml:space="preserve"> ucp — https://revistas.ucp.pt/index.php/povoseculturas/article/download/8975/8843 (https://revistas.ucp.pt/index.php/povoseculturas/article/download/8975/8843)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336.</w:t>
      </w:r>
      <w:r>
        <w:rPr>
          <w:rFonts w:ascii="Barlow Semi Condensed" w:cs="Barlow Semi Condensed" w:eastAsia="Barlow Semi Condensed" w:hAnsi="Barlow Semi Condensed"/>
          <w:sz w:val="24"/>
          <w:szCs w:val="24"/>
        </w:rPr>
        <w:t xml:space="preserve"> Livraria Almedina +2 — https://www.almedina.net/adelino-amaro-da-costa-hist-rias-de-uma-vida-interrompida-1563875470.html (https://www.almedina.net/adelino-amaro-da-costa-hist-rias-de-uma-vida-interrompida-1563875470.html)</w:t>
      </w:r>
    </w:p>
    <w:p>
      <w:pPr>
        <w:spacing w:after="120" w:line="276"/>
        <w:jc w:val="both"/>
      </w:pPr>
      <w:r>
        <w:rPr>
          <w:rFonts w:ascii="Barlow Semi Condensed" w:cs="Barlow Semi Condensed" w:eastAsia="Barlow Semi Condensed" w:hAnsi="Barlow Semi Condensed"/>
          <w:b/>
          <w:bCs/>
          <w:sz w:val="24"/>
          <w:szCs w:val="24"/>
        </w:rPr>
        <w:t xml:space="preserve">337.</w:t>
      </w:r>
      <w:r>
        <w:rPr>
          <w:rFonts w:ascii="Barlow Semi Condensed" w:cs="Barlow Semi Condensed" w:eastAsia="Barlow Semi Condensed" w:hAnsi="Barlow Semi Condensed"/>
          <w:sz w:val="24"/>
          <w:szCs w:val="24"/>
        </w:rPr>
        <w:t xml:space="preserve"> Nuovarivistastorica — https://nuovarivistastorica.it/?p=7636 (https://nuovarivistastorica.it/?p=7636)</w:t>
      </w:r>
    </w:p>
    <w:p>
      <w:pPr>
        <w:spacing w:after="120" w:line="276"/>
        <w:jc w:val="both"/>
      </w:pPr>
      <w:r>
        <w:rPr>
          <w:rFonts w:ascii="Barlow Semi Condensed" w:cs="Barlow Semi Condensed" w:eastAsia="Barlow Semi Condensed" w:hAnsi="Barlow Semi Condensed"/>
          <w:b/>
          <w:bCs/>
          <w:sz w:val="24"/>
          <w:szCs w:val="24"/>
        </w:rPr>
        <w:t xml:space="preserve">338.</w:t>
      </w:r>
      <w:r>
        <w:rPr>
          <w:rFonts w:ascii="Barlow Semi Condensed" w:cs="Barlow Semi Condensed" w:eastAsia="Barlow Semi Condensed" w:hAnsi="Barlow Semi Condensed"/>
          <w:sz w:val="24"/>
          <w:szCs w:val="24"/>
        </w:rPr>
        <w:t xml:space="preserve"> state — https://history.state.gov/historicaldocuments/frus1969-76ve15p2/d153 (https://history.state.gov/historicaldocuments/frus1969-76ve15p2/d153)</w:t>
      </w:r>
    </w:p>
    <w:p>
      <w:pPr>
        <w:spacing w:after="120" w:line="276"/>
        <w:jc w:val="both"/>
      </w:pPr>
      <w:r>
        <w:rPr>
          <w:rFonts w:ascii="Barlow Semi Condensed" w:cs="Barlow Semi Condensed" w:eastAsia="Barlow Semi Condensed" w:hAnsi="Barlow Semi Condensed"/>
          <w:b/>
          <w:bCs/>
          <w:sz w:val="24"/>
          <w:szCs w:val="24"/>
        </w:rPr>
        <w:t xml:space="preserve">339.</w:t>
      </w:r>
      <w:r>
        <w:rPr>
          <w:rFonts w:ascii="Barlow Semi Condensed" w:cs="Barlow Semi Condensed" w:eastAsia="Barlow Semi Condensed" w:hAnsi="Barlow Semi Condensed"/>
          <w:sz w:val="24"/>
          <w:szCs w:val="24"/>
        </w:rPr>
        <w:t xml:space="preserve"> Quotidiano Nazionale — https://www.quotidiano.net/cronaca/aldo-moro-libro-iannuzzi-losacco-vk0b33xf (https://www.quotidiano.net/cronaca/aldo-moro-libro-iannuzzi-losacco-vk0b33xf)</w:t>
      </w:r>
    </w:p>
    <w:p>
      <w:pPr>
        <w:spacing w:after="120" w:line="276"/>
        <w:jc w:val="both"/>
      </w:pPr>
      <w:r>
        <w:rPr>
          <w:rFonts w:ascii="Barlow Semi Condensed" w:cs="Barlow Semi Condensed" w:eastAsia="Barlow Semi Condensed" w:hAnsi="Barlow Semi Condensed"/>
          <w:b/>
          <w:bCs/>
          <w:sz w:val="24"/>
          <w:szCs w:val="24"/>
        </w:rPr>
        <w:t xml:space="preserve">340.</w:t>
      </w:r>
      <w:r>
        <w:rPr>
          <w:rFonts w:ascii="Barlow Semi Condensed" w:cs="Barlow Semi Condensed" w:eastAsia="Barlow Semi Condensed" w:hAnsi="Barlow Semi Condensed"/>
          <w:sz w:val="24"/>
          <w:szCs w:val="24"/>
        </w:rPr>
        <w:t xml:space="preserve"> Fox News — https://www.foxnews.com/politics/consumer-group-helps-student-suing-cia-over-opus-dei-records.amp (https://www.foxnews.com/politics/consumer-group-helps-student-suing-cia-over-opus-dei-records.amp)</w:t>
      </w:r>
    </w:p>
    <w:p>
      <w:pPr>
        <w:spacing w:after="120" w:line="276"/>
        <w:jc w:val="both"/>
      </w:pPr>
      <w:r>
        <w:rPr>
          <w:rFonts w:ascii="Barlow Semi Condensed" w:cs="Barlow Semi Condensed" w:eastAsia="Barlow Semi Condensed" w:hAnsi="Barlow Semi Condensed"/>
          <w:b/>
          <w:bCs/>
          <w:sz w:val="24"/>
          <w:szCs w:val="24"/>
        </w:rPr>
        <w:t xml:space="preserve">341.</w:t>
      </w:r>
      <w:r>
        <w:rPr>
          <w:rFonts w:ascii="Barlow Semi Condensed" w:cs="Barlow Semi Condensed" w:eastAsia="Barlow Semi Condensed" w:hAnsi="Barlow Semi Condensed"/>
          <w:sz w:val="24"/>
          <w:szCs w:val="24"/>
        </w:rPr>
        <w:t xml:space="preserve"> cia — https://cia.gov/readingroom/docs/MARCELO%20CAETANO%20%28PORTUGAL%5B15678188%5D.pdf (https://cia.gov/readingroom/docs/MARCELO%20CAETANO%20%28PORTUGAL%5B15678188%5D.pdf)</w:t>
      </w:r>
    </w:p>
    <w:p>
      <w:pPr>
        <w:spacing w:after="120" w:line="276"/>
        <w:jc w:val="both"/>
      </w:pPr>
      <w:r>
        <w:rPr>
          <w:rFonts w:ascii="Barlow Semi Condensed" w:cs="Barlow Semi Condensed" w:eastAsia="Barlow Semi Condensed" w:hAnsi="Barlow Semi Condensed"/>
          <w:b/>
          <w:bCs/>
          <w:sz w:val="24"/>
          <w:szCs w:val="24"/>
        </w:rPr>
        <w:t xml:space="preserve">342.</w:t>
      </w:r>
      <w:r>
        <w:rPr>
          <w:rFonts w:ascii="Barlow Semi Condensed" w:cs="Barlow Semi Condensed" w:eastAsia="Barlow Semi Condensed" w:hAnsi="Barlow Semi Condensed"/>
          <w:sz w:val="24"/>
          <w:szCs w:val="24"/>
        </w:rPr>
        <w:t xml:space="preserve"> cia — https://www.cia.gov/readingroom/docs/MARCELO%20CAETANO%20%28PORTUGAL%5B15678189%5D.pdf (https://www.cia.gov/readingroom/docs/MARCELO%20CAETANO%20%28PORTUGAL%5B15678189%5D.pdf)</w:t>
      </w:r>
    </w:p>
    <w:p>
      <w:pPr>
        <w:spacing w:after="120" w:line="276"/>
        <w:jc w:val="both"/>
      </w:pPr>
      <w:r>
        <w:rPr>
          <w:rFonts w:ascii="Barlow Semi Condensed" w:cs="Barlow Semi Condensed" w:eastAsia="Barlow Semi Condensed" w:hAnsi="Barlow Semi Condensed"/>
          <w:b/>
          <w:bCs/>
          <w:sz w:val="24"/>
          <w:szCs w:val="24"/>
        </w:rPr>
        <w:t xml:space="preserve">343.</w:t>
      </w:r>
      <w:r>
        <w:rPr>
          <w:rFonts w:ascii="Barlow Semi Condensed" w:cs="Barlow Semi Condensed" w:eastAsia="Barlow Semi Condensed" w:hAnsi="Barlow Semi Condensed"/>
          <w:sz w:val="24"/>
          <w:szCs w:val="24"/>
        </w:rPr>
        <w:t xml:space="preserve"> state — https://history.state.gov/historicaldocuments/frus1969-76ve15p2Ed2 (https://history.state.gov/historicaldocuments/frus1969-76ve15p2Ed2)</w:t>
      </w:r>
    </w:p>
    <w:p>
      <w:pPr>
        <w:spacing w:after="120" w:line="276"/>
        <w:jc w:val="both"/>
      </w:pP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Dglab — https://antt.dglab.gov.pt/servicos/leitura-e-referencia/ (https://antt.dglab.gov.pt/servicos/leitura-e-referencia/)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345.</w:t>
      </w:r>
      <w:r>
        <w:rPr>
          <w:rFonts w:ascii="Barlow Semi Condensed" w:cs="Barlow Semi Condensed" w:eastAsia="Barlow Semi Condensed" w:hAnsi="Barlow Semi Condensed"/>
          <w:sz w:val="24"/>
          <w:szCs w:val="24"/>
        </w:rPr>
        <w:t xml:space="preserve"> TSF Rádio Notícias — https://www.tsf.pt/sociedade/artigo/metade-do-arquivo-da-pide-nunca-foi-consultado-e-um-mundo-por-descobrir/10825928 (https://www.tsf.pt/sociedade/artigo/metade-do-arquivo-da-pide-nunca-foi-consultado-e-um-mundo-por-descobrir/10825928)</w:t>
      </w:r>
    </w:p>
    <w:p>
      <w:pPr>
        <w:spacing w:after="120" w:line="276"/>
        <w:jc w:val="both"/>
      </w:pPr>
      <w:r>
        <w:rPr>
          <w:rFonts w:ascii="Barlow Semi Condensed" w:cs="Barlow Semi Condensed" w:eastAsia="Barlow Semi Condensed" w:hAnsi="Barlow Semi Condensed"/>
          <w:b/>
          <w:bCs/>
          <w:sz w:val="24"/>
          <w:szCs w:val="24"/>
        </w:rPr>
        <w:t xml:space="preserve">346.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idi.mne.gov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Portogallo e Santa Sede 1969-1974</w:t>
      </w:r>
    </w:p>
    <w:p>
      <w:pPr>
        <w:spacing w:after="120" w:line="276"/>
        <w:jc w:val="both"/>
      </w:pPr>
      <w:r>
        <w:rPr>
          <w:rFonts w:ascii="Barlow Semi Condensed" w:cs="Barlow Semi Condensed" w:eastAsia="Barlow Semi Condensed" w:hAnsi="Barlow Semi Condensed"/>
          <w:b/>
          <w:bCs/>
          <w:sz w:val="24"/>
          <w:szCs w:val="24"/>
        </w:rPr>
        <w:t xml:space="preserve">347.</w:t>
      </w:r>
      <w:r>
        <w:rPr>
          <w:rFonts w:ascii="Barlow Semi Condensed" w:cs="Barlow Semi Condensed" w:eastAsia="Barlow Semi Condensed" w:hAnsi="Barlow Semi Condensed"/>
          <w:sz w:val="24"/>
          <w:szCs w:val="24"/>
        </w:rPr>
        <w:t xml:space="preserve"> Unibo — https://aldomorodigitale.unibo.it/additionalResources/142/essay/Zampieri_vol4_notastorica.pdf (https://aldomorodigitale.unibo.it/additionalResources/142/essay/Zampieri_vol4_notastorica.pdf)</w:t>
      </w:r>
    </w:p>
    <w:p>
      <w:pPr>
        <w:spacing w:after="120" w:line="276"/>
        <w:jc w:val="both"/>
      </w:pPr>
      <w:r>
        <w:rPr>
          <w:rFonts w:ascii="Barlow Semi Condensed" w:cs="Barlow Semi Condensed" w:eastAsia="Barlow Semi Condensed" w:hAnsi="Barlow Semi Condensed"/>
          <w:b/>
          <w:bCs/>
          <w:sz w:val="24"/>
          <w:szCs w:val="24"/>
        </w:rPr>
        <w:t xml:space="preserve">348.</w:t>
      </w:r>
      <w:r>
        <w:rPr>
          <w:rFonts w:ascii="Barlow Semi Condensed" w:cs="Barlow Semi Condensed" w:eastAsia="Barlow Semi Condensed" w:hAnsi="Barlow Semi Condensed"/>
          <w:sz w:val="24"/>
          <w:szCs w:val="24"/>
        </w:rPr>
        <w:t xml:space="preserve"> Wikipedia — https://pt.wikipedia.org/wiki/Rela%C3%A7%C3%B5es_entre_It%C3%A1lia_e_Santa_S%C3%A9 (https://pt.wikipedia.org/wiki/Rela%C3%A7%C3%B5es_entre_It%C3%A1lia_e_Santa_S%C3%A9)</w:t>
      </w:r>
    </w:p>
    <w:p>
      <w:pPr>
        <w:spacing w:after="120" w:line="276"/>
        <w:jc w:val="both"/>
      </w:pPr>
      <w:r>
        <w:rPr>
          <w:rFonts w:ascii="Barlow Semi Condensed" w:cs="Barlow Semi Condensed" w:eastAsia="Barlow Semi Condensed" w:hAnsi="Barlow Semi Condensed"/>
          <w:b/>
          <w:bCs/>
          <w:sz w:val="24"/>
          <w:szCs w:val="24"/>
        </w:rPr>
        <w:t xml:space="preserve">349.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air.unimi.it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Università di Milano — https://air.unimi.it/retrieve/dfa8b9a2-2341-748b-e053-3a05fe0a3a96/Russo_ResistenzaContinua%20ST.pdf (https://air.unimi.it/retrieve/dfa8b9a2-2341-748b-e053-3a05fe0a3a96/Russo_ResistenzaContinua%20ST.pdf)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351.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patrimonio.aamod.it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352.</w:t>
      </w:r>
      <w:r>
        <w:rPr>
          <w:rFonts w:ascii="Barlow Semi Condensed" w:cs="Barlow Semi Condensed" w:eastAsia="Barlow Semi Condensed" w:hAnsi="Barlow Semi Condensed"/>
          <w:sz w:val="24"/>
          <w:szCs w:val="24"/>
        </w:rPr>
        <w:t xml:space="preserve"> Confronti — https://confronti.net/2020/06/i-movimenti-di-liberazione-portoghesi-e-lincontro-con-paolo-vi/ (https://confronti.net/2020/06/i-movimenti-di-liberazione-portoghesi-e-lincontro-con-paolo-vi/)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archivi.ibc.regione.emilia-romagna.it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354.</w:t>
      </w:r>
      <w:r>
        <w:rPr>
          <w:rFonts w:ascii="Barlow Semi Condensed" w:cs="Barlow Semi Condensed" w:eastAsia="Barlow Semi Condensed" w:hAnsi="Barlow Semi Condensed"/>
          <w:sz w:val="24"/>
          <w:szCs w:val="24"/>
        </w:rPr>
        <w:t xml:space="preserve"> Regione —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w:t>
      </w:r>
    </w:p>
    <w:p>
      <w:pPr>
        <w:spacing w:after="120" w:line="276"/>
        <w:jc w:val="both"/>
      </w:pPr>
      <w:r>
        <w:rPr>
          <w:rFonts w:ascii="Barlow Semi Condensed" w:cs="Barlow Semi Condensed" w:eastAsia="Barlow Semi Condensed" w:hAnsi="Barlow Semi Condensed"/>
          <w:b/>
          <w:bCs/>
          <w:sz w:val="24"/>
          <w:szCs w:val="24"/>
        </w:rPr>
        <w:t xml:space="preserve">355.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aics.gov.it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livello9.it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357.</w:t>
      </w:r>
      <w:r>
        <w:rPr>
          <w:rFonts w:ascii="Barlow Semi Condensed" w:cs="Barlow Semi Condensed" w:eastAsia="Barlow Semi Condensed" w:hAnsi="Barlow Semi Condensed"/>
          <w:sz w:val="24"/>
          <w:szCs w:val="24"/>
        </w:rPr>
        <w:t xml:space="preserve"> Livello9 — https://www.livello9.it/amicizia-reggio-africa/arcispedale-santa-maria-nuova (https://www.livello9.it/amicizia-reggio-africa/arcispedale-santa-maria-nuova)</w:t>
      </w:r>
    </w:p>
    <w:p>
      <w:pPr>
        <w:spacing w:after="120" w:line="276"/>
        <w:jc w:val="both"/>
      </w:pPr>
      <w:r>
        <w:rPr>
          <w:rFonts w:ascii="Barlow Semi Condensed" w:cs="Barlow Semi Condensed" w:eastAsia="Barlow Semi Condensed" w:hAnsi="Barlow Semi Condensed"/>
          <w:b/>
          <w:bCs/>
          <w:sz w:val="24"/>
          <w:szCs w:val="24"/>
        </w:rPr>
        <w:t xml:space="preserve">358.</w:t>
      </w:r>
      <w:r>
        <w:rPr>
          <w:rFonts w:ascii="Barlow Semi Condensed" w:cs="Barlow Semi Condensed" w:eastAsia="Barlow Semi Condensed" w:hAnsi="Barlow Semi Condensed"/>
          <w:sz w:val="24"/>
          <w:szCs w:val="24"/>
        </w:rPr>
        <w:t xml:space="preserve"> Oltremare — https://www.aics.gov.it/oltremare/articoli/partnership/samito-a-reggio-emilia-50-anni-dopo-viva-mocambique/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b/>
          <w:bCs/>
          <w:sz w:val="24"/>
          <w:szCs w:val="24"/>
        </w:rPr>
        <w:t xml:space="preserve">359.</w:t>
      </w:r>
      <w:r>
        <w:rPr>
          <w:rFonts w:ascii="Barlow Semi Condensed" w:cs="Barlow Semi Condensed" w:eastAsia="Barlow Semi Condensed" w:hAnsi="Barlow Semi Condensed"/>
          <w:sz w:val="24"/>
          <w:szCs w:val="24"/>
        </w:rPr>
        <w:t xml:space="preserve"> Guerracolonial — https://guerracolonial.pt/1972-negar-uma-solucao-politica-para-a-guerra/wiriyamu-de-mocambique-para-o-mundo/ (https://guerracolonial.pt/1972-negar-uma-solucao-politica-para-a-guerra/wiriyamu-de-mocambique-para-o-mundo/)</w:t>
      </w:r>
    </w:p>
    <w:p>
      <w:pPr>
        <w:spacing w:after="120" w:line="276"/>
        <w:jc w:val="both"/>
      </w:pPr>
      <w:r>
        <w:rPr>
          <w:rFonts w:ascii="Barlow Semi Condensed" w:cs="Barlow Semi Condensed" w:eastAsia="Barlow Semi Condensed" w:hAnsi="Barlow Semi Condensed"/>
          <w:b/>
          <w:bCs/>
          <w:sz w:val="24"/>
          <w:szCs w:val="24"/>
        </w:rPr>
        <w:t xml:space="preserve">360.</w:t>
      </w:r>
      <w:r>
        <w:rPr>
          <w:rFonts w:ascii="Barlow Semi Condensed" w:cs="Barlow Semi Condensed" w:eastAsia="Barlow Semi Condensed" w:hAnsi="Barlow Semi Condensed"/>
          <w:sz w:val="24"/>
          <w:szCs w:val="24"/>
        </w:rPr>
        <w:t xml:space="preserve"> Wikipedia — https://it.wikipedia.org/wiki/Guerra_d'indipendenza_del_Mozambico (https://it.wikipedia.org/wiki/Guerra_d'indipendenza_del_Mozambico)</w:t>
      </w:r>
    </w:p>
    <w:p>
      <w:pPr>
        <w:spacing w:after="120" w:line="276"/>
        <w:jc w:val="both"/>
      </w:pPr>
      <w:r>
        <w:rPr>
          <w:rFonts w:ascii="Barlow Semi Condensed" w:cs="Barlow Semi Condensed" w:eastAsia="Barlow Semi Condensed" w:hAnsi="Barlow Semi Condensed"/>
          <w:b/>
          <w:bCs/>
          <w:sz w:val="24"/>
          <w:szCs w:val="24"/>
        </w:rPr>
        <w:t xml:space="preserve">361.</w:t>
      </w:r>
      <w:r>
        <w:rPr>
          <w:rFonts w:ascii="Barlow Semi Condensed" w:cs="Barlow Semi Condensed" w:eastAsia="Barlow Semi Condensed" w:hAnsi="Barlow Semi Condensed"/>
          <w:sz w:val="24"/>
          <w:szCs w:val="24"/>
        </w:rPr>
        <w:t xml:space="preserve"> Wikipedia — https://en.wikipedia.org/wiki/Wiriyamu_Massacre (https://en.wikipedia.org/wiki/Wiriyamu_Massacre)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362.</w:t>
      </w:r>
      <w:r>
        <w:rPr>
          <w:rFonts w:ascii="Barlow Semi Condensed" w:cs="Barlow Semi Condensed" w:eastAsia="Barlow Semi Condensed" w:hAnsi="Barlow Semi Condensed"/>
          <w:sz w:val="24"/>
          <w:szCs w:val="24"/>
        </w:rPr>
        <w:t xml:space="preserve"> Wikipedia — https://pt.wikipedia.org/wiki/Massacre_de_Wiriyamu (https://pt.wikipedia.org/wiki/Massacre_de_Wiriyamu)</w:t>
      </w:r>
    </w:p>
    <w:p>
      <w:pPr>
        <w:spacing w:after="120" w:line="276"/>
        <w:jc w:val="both"/>
      </w:pPr>
      <w:r>
        <w:rPr>
          <w:rFonts w:ascii="Barlow Semi Condensed" w:cs="Barlow Semi Condensed" w:eastAsia="Barlow Semi Condensed" w:hAnsi="Barlow Semi Condensed"/>
          <w:b/>
          <w:bCs/>
          <w:sz w:val="24"/>
          <w:szCs w:val="24"/>
        </w:rPr>
        <w:t xml:space="preserve">363.</w:t>
      </w:r>
      <w:r>
        <w:rPr>
          <w:rFonts w:ascii="Barlow Semi Condensed" w:cs="Barlow Semi Condensed" w:eastAsia="Barlow Semi Condensed" w:hAnsi="Barlow Semi Condensed"/>
          <w:sz w:val="24"/>
          <w:szCs w:val="24"/>
        </w:rPr>
        <w:t xml:space="preserve"> Uc — https://www.cd25a.uc.pt/storage/media/pdf/Biblioteca%20digital/Artigos/APP_Cx23-13_The%20Wiriyamu%20Massacre%20In%20Mozambique%20The%20Search%20For%20Answers.pdf (https://www.cd25a.uc.pt/storage/media/pdf/Biblioteca%20digital/Artigos/APP_Cx23-13_The%20Wiriyamu%20Massacre%20In%20Mozambique%20The%20Search%20For%20Answers.pdf)</w:t>
      </w:r>
    </w:p>
    <w:p>
      <w:pPr>
        <w:spacing w:after="120" w:line="276"/>
        <w:jc w:val="both"/>
      </w:pPr>
      <w:r>
        <w:rPr>
          <w:rFonts w:ascii="Barlow Semi Condensed" w:cs="Barlow Semi Condensed" w:eastAsia="Barlow Semi Condensed" w:hAnsi="Barlow Semi Condensed"/>
          <w:b/>
          <w:bCs/>
          <w:sz w:val="24"/>
          <w:szCs w:val="24"/>
        </w:rPr>
        <w:t xml:space="preserve">364.</w:t>
      </w:r>
      <w:r>
        <w:rPr>
          <w:rFonts w:ascii="Barlow Semi Condensed" w:cs="Barlow Semi Condensed" w:eastAsia="Barlow Semi Condensed" w:hAnsi="Barlow Semi Condensed"/>
          <w:sz w:val="24"/>
          <w:szCs w:val="24"/>
        </w:rPr>
        <w:t xml:space="preserve"> Taylor \&amp; Francis Online — https://www.tandfonline.com/doi/abs/10.1080/13698249.2012.654690 (https://www.tandfonline.com/doi/abs/10.1080/13698249.2012.654690)</w:t>
      </w:r>
    </w:p>
    <w:p>
      <w:pPr>
        <w:spacing w:after="120" w:line="276"/>
        <w:jc w:val="both"/>
      </w:pPr>
      <w:r>
        <w:rPr>
          <w:rFonts w:ascii="Barlow Semi Condensed" w:cs="Barlow Semi Condensed" w:eastAsia="Barlow Semi Condensed" w:hAnsi="Barlow Semi Condensed"/>
          <w:b/>
          <w:bCs/>
          <w:sz w:val="24"/>
          <w:szCs w:val="24"/>
        </w:rPr>
        <w:t xml:space="preserve">365.</w:t>
      </w:r>
      <w:r>
        <w:rPr>
          <w:rFonts w:ascii="Barlow Semi Condensed" w:cs="Barlow Semi Condensed" w:eastAsia="Barlow Semi Condensed" w:hAnsi="Barlow Semi Condensed"/>
          <w:sz w:val="24"/>
          <w:szCs w:val="24"/>
        </w:rPr>
        <w:t xml:space="preserve"> Wikipedia — https://en.wikipedia.org/wiki/Adrian_Hastings (https://en.wikipedia.org/wiki/Adrian_Hastings)</w:t>
      </w:r>
    </w:p>
    <w:p>
      <w:pPr>
        <w:spacing w:after="120" w:line="276"/>
        <w:jc w:val="both"/>
      </w:pPr>
      <w:r>
        <w:rPr>
          <w:rFonts w:ascii="Barlow Semi Condensed" w:cs="Barlow Semi Condensed" w:eastAsia="Barlow Semi Condensed" w:hAnsi="Barlow Semi Condensed"/>
          <w:b/>
          <w:bCs/>
          <w:sz w:val="24"/>
          <w:szCs w:val="24"/>
        </w:rPr>
        <w:t xml:space="preserve">366.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comboni.org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367.</w:t>
      </w:r>
      <w:r>
        <w:rPr>
          <w:rFonts w:ascii="Barlow Semi Condensed" w:cs="Barlow Semi Condensed" w:eastAsia="Barlow Semi Condensed" w:hAnsi="Barlow Semi Condensed"/>
          <w:sz w:val="24"/>
          <w:szCs w:val="24"/>
        </w:rPr>
        <w:t xml:space="preserve"> Comboni — https://www.comboni.org/fratelli/106604 (https://www.comboni.org/fratelli/106604)</w:t>
      </w:r>
    </w:p>
    <w:p>
      <w:pPr>
        <w:spacing w:after="120" w:line="276"/>
        <w:jc w:val="both"/>
      </w:pPr>
      <w:r>
        <w:rPr>
          <w:rFonts w:ascii="Barlow Semi Condensed" w:cs="Barlow Semi Condensed" w:eastAsia="Barlow Semi Condensed" w:hAnsi="Barlow Semi Condensed"/>
          <w:b/>
          <w:bCs/>
          <w:sz w:val="24"/>
          <w:szCs w:val="24"/>
        </w:rPr>
        <w:t xml:space="preserve">368.</w:t>
      </w:r>
      <w:r>
        <w:rPr>
          <w:rFonts w:ascii="Barlow Semi Condensed" w:cs="Barlow Semi Condensed" w:eastAsia="Barlow Semi Condensed" w:hAnsi="Barlow Semi Condensed"/>
          <w:sz w:val="24"/>
          <w:szCs w:val="24"/>
        </w:rPr>
        <w:t xml:space="preserve"> Comboni — https://www.comboni.org/fratelli/106111 (https://www.comboni.org/fratelli/106111)</w:t>
      </w:r>
    </w:p>
    <w:p>
      <w:pPr>
        <w:spacing w:after="120" w:line="276"/>
        <w:jc w:val="both"/>
      </w:pPr>
      <w:r>
        <w:rPr>
          <w:rFonts w:ascii="Barlow Semi Condensed" w:cs="Barlow Semi Condensed" w:eastAsia="Barlow Semi Condensed" w:hAnsi="Barlow Semi Condensed"/>
          <w:b/>
          <w:bCs/>
          <w:sz w:val="24"/>
          <w:szCs w:val="24"/>
        </w:rPr>
        <w:t xml:space="preserve">369.</w:t>
      </w:r>
      <w:r>
        <w:rPr>
          <w:rFonts w:ascii="Barlow Semi Condensed" w:cs="Barlow Semi Condensed" w:eastAsia="Barlow Semi Condensed" w:hAnsi="Barlow Semi Condensed"/>
          <w:sz w:val="24"/>
          <w:szCs w:val="24"/>
        </w:rPr>
        <w:t xml:space="preserve"> Comboni — https://www.comboni.org/fratelli/105544 (https://www.comboni.org/fratelli/105544)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setemargens.com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371.</w:t>
      </w:r>
      <w:r>
        <w:rPr>
          <w:rFonts w:ascii="Barlow Semi Condensed" w:cs="Barlow Semi Condensed" w:eastAsia="Barlow Semi Condensed" w:hAnsi="Barlow Semi Condensed"/>
          <w:sz w:val="24"/>
          <w:szCs w:val="24"/>
        </w:rPr>
        <w:t xml:space="preserve"> Sete Margens — https://setemargens.com/testemunhos-sobre-manuel-vieira-pinto-um-bispo-que-deixou-marcas-profundas-em-portugal-e-mocambique/ (https://setemargens.com/testemunhos-sobre-manuel-vieira-pinto-um-bispo-que-deixou-marcas-profundas-em-portugal-e-mocambique/)</w:t>
      </w:r>
    </w:p>
    <w:p>
      <w:pPr>
        <w:spacing w:after="120" w:line="276"/>
        <w:jc w:val="both"/>
      </w:pPr>
      <w:r>
        <w:rPr>
          <w:rFonts w:ascii="Barlow Semi Condensed" w:cs="Barlow Semi Condensed" w:eastAsia="Barlow Semi Condensed" w:hAnsi="Barlow Semi Condensed"/>
          <w:b/>
          <w:bCs/>
          <w:sz w:val="24"/>
          <w:szCs w:val="24"/>
        </w:rPr>
        <w:t xml:space="preserve">372.</w:t>
      </w:r>
      <w:r>
        <w:rPr>
          <w:rFonts w:ascii="Barlow Semi Condensed" w:cs="Barlow Semi Condensed" w:eastAsia="Barlow Semi Condensed" w:hAnsi="Barlow Semi Condensed"/>
          <w:sz w:val="24"/>
          <w:szCs w:val="24"/>
        </w:rPr>
        <w:t xml:space="preserve"> Comboni — https://www.comboni.org/fratelli/105086 (https://www.comboni.org/fratelli/105086)</w:t>
      </w:r>
    </w:p>
    <w:p>
      <w:pPr>
        <w:spacing w:after="120" w:line="276"/>
        <w:jc w:val="both"/>
      </w:pPr>
      <w:r>
        <w:rPr>
          <w:rFonts w:ascii="Barlow Semi Condensed" w:cs="Barlow Semi Condensed" w:eastAsia="Barlow Semi Condensed" w:hAnsi="Barlow Semi Condensed"/>
          <w:b/>
          <w:bCs/>
          <w:sz w:val="24"/>
          <w:szCs w:val="24"/>
        </w:rPr>
        <w:t xml:space="preserve">373.</w:t>
      </w:r>
      <w:r>
        <w:rPr>
          <w:rFonts w:ascii="Barlow Semi Condensed" w:cs="Barlow Semi Condensed" w:eastAsia="Barlow Semi Condensed" w:hAnsi="Barlow Semi Condensed"/>
          <w:sz w:val="24"/>
          <w:szCs w:val="24"/>
        </w:rPr>
        <w:t xml:space="preserve"> Comboni — https://www.comboni.org/pt/contenuti/100237 (https://www.comboni.org/pt/contenuti/100237)</w:t>
      </w:r>
    </w:p>
    <w:p>
      <w:pPr>
        <w:spacing w:after="120" w:line="276"/>
        <w:jc w:val="both"/>
      </w:pPr>
      <w:r>
        <w:rPr>
          <w:rFonts w:ascii="Barlow Semi Condensed" w:cs="Barlow Semi Condensed" w:eastAsia="Barlow Semi Condensed" w:hAnsi="Barlow Semi Condensed"/>
          <w:b/>
          <w:bCs/>
          <w:sz w:val="24"/>
          <w:szCs w:val="24"/>
        </w:rPr>
        <w:t xml:space="preserve">374.</w:t>
      </w:r>
      <w:r>
        <w:rPr>
          <w:rFonts w:ascii="Barlow Semi Condensed" w:cs="Barlow Semi Condensed" w:eastAsia="Barlow Semi Condensed" w:hAnsi="Barlow Semi Condensed"/>
          <w:sz w:val="24"/>
          <w:szCs w:val="24"/>
        </w:rPr>
        <w:t xml:space="preserve"> Revistas Científicas da UCP — https://revistas.ucp.pt/index.php/lusitaniasacra/article/view/16897 (https://revistas.ucp.pt/index.php/lusitaniasacra/article/view/16897)</w:t>
      </w:r>
    </w:p>
    <w:p>
      <w:pPr>
        <w:spacing w:after="120" w:line="276"/>
        <w:jc w:val="both"/>
      </w:pPr>
      <w:r>
        <w:rPr>
          <w:rFonts w:ascii="Barlow Semi Condensed" w:cs="Barlow Semi Condensed" w:eastAsia="Barlow Semi Condensed" w:hAnsi="Barlow Semi Condensed"/>
          <w:b/>
          <w:bCs/>
          <w:sz w:val="24"/>
          <w:szCs w:val="24"/>
        </w:rPr>
        <w:t xml:space="preserve">375.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legislature.camera.it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diplomaciaerevolucao.mne.gov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377.</w:t>
      </w:r>
      <w:r>
        <w:rPr>
          <w:rFonts w:ascii="Barlow Semi Condensed" w:cs="Barlow Semi Condensed" w:eastAsia="Barlow Semi Condensed" w:hAnsi="Barlow Semi Condensed"/>
          <w:sz w:val="24"/>
          <w:szCs w:val="24"/>
        </w:rPr>
        <w:t xml:space="preserve"> Mne — https://diplomaciaerevolucao.mne.gov.pt/pt/visto-de-fora (https://diplomaciaerevolucao.mne.gov.pt/pt/visto-de-fora)</w:t>
      </w:r>
    </w:p>
    <w:p>
      <w:pPr>
        <w:spacing w:after="120" w:line="276"/>
        <w:jc w:val="both"/>
      </w:pPr>
      <w:r>
        <w:rPr>
          <w:rFonts w:ascii="Barlow Semi Condensed" w:cs="Barlow Semi Condensed" w:eastAsia="Barlow Semi Condensed" w:hAnsi="Barlow Semi Condensed"/>
          <w:b/>
          <w:bCs/>
          <w:sz w:val="24"/>
          <w:szCs w:val="24"/>
        </w:rPr>
        <w:t xml:space="preserve">378.</w:t>
      </w:r>
      <w:r>
        <w:rPr>
          <w:rFonts w:ascii="Barlow Semi Condensed" w:cs="Barlow Semi Condensed" w:eastAsia="Barlow Semi Condensed" w:hAnsi="Barlow Semi Condensed"/>
          <w:sz w:val="24"/>
          <w:szCs w:val="24"/>
        </w:rPr>
        <w:t xml:space="preserve"> state — https://history.state.gov/historicaldocuments/frus1969-76ve15p2Ed2/d133 (https://history.state.gov/historicaldocuments/frus1969-76ve15p2Ed2/d133)</w:t>
      </w:r>
    </w:p>
    <w:p>
      <w:pPr>
        <w:spacing w:after="120" w:line="276"/>
        <w:jc w:val="both"/>
      </w:pPr>
      <w:r>
        <w:rPr>
          <w:rFonts w:ascii="Barlow Semi Condensed" w:cs="Barlow Semi Condensed" w:eastAsia="Barlow Semi Condensed" w:hAnsi="Barlow Semi Condensed"/>
          <w:b/>
          <w:bCs/>
          <w:sz w:val="24"/>
          <w:szCs w:val="24"/>
        </w:rPr>
        <w:t xml:space="preserve">379.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portaldiplomatico.mne.gov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380.</w:t>
      </w:r>
      <w:r>
        <w:rPr>
          <w:rFonts w:ascii="Barlow Semi Condensed" w:cs="Barlow Semi Condensed" w:eastAsia="Barlow Semi Condensed" w:hAnsi="Barlow Semi Condensed"/>
          <w:sz w:val="24"/>
          <w:szCs w:val="24"/>
        </w:rPr>
        <w:t xml:space="preserve"> Portal Diplomático — https://portaldiplomatico.mne.gov.pt/relacoesbilaterais/historia-diplomatica?view=article&amp;id=366%3Asanta-se&amp;catid=119%3Arelacoes-diplomaticas (https://portaldiplomatico.mne.gov.pt/relacoesbilaterais/historia-diplomatica?view=article&amp;id=366%3Asanta-se&amp;catid=119%3Arelacoes-diplomaticas)</w:t>
      </w:r>
    </w:p>
    <w:p>
      <w:pPr>
        <w:spacing w:after="120" w:line="276"/>
        <w:jc w:val="both"/>
      </w:pPr>
      <w:r>
        <w:rPr>
          <w:rFonts w:ascii="Barlow Semi Condensed" w:cs="Barlow Semi Condensed" w:eastAsia="Barlow Semi Condensed" w:hAnsi="Barlow Semi Condensed"/>
          <w:b/>
          <w:bCs/>
          <w:sz w:val="24"/>
          <w:szCs w:val="24"/>
        </w:rPr>
        <w:t xml:space="preserve">381.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382.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peresblancs.org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383.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mafrome.org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384.</w:t>
      </w:r>
      <w:r>
        <w:rPr>
          <w:rFonts w:ascii="Barlow Semi Condensed" w:cs="Barlow Semi Condensed" w:eastAsia="Barlow Semi Condensed" w:hAnsi="Barlow Semi Condensed"/>
          <w:sz w:val="24"/>
          <w:szCs w:val="24"/>
        </w:rPr>
        <w:t xml:space="preserve"> Wikipedia — https://en.wikipedia.org/wiki/Lusaka_Accord (https://en.wikipedia.org/wiki/Lusaka_Accord)</w:t>
      </w:r>
    </w:p>
    <w:p>
      <w:pPr>
        <w:spacing w:after="120" w:line="276"/>
        <w:jc w:val="both"/>
      </w:pPr>
      <w:r>
        <w:rPr>
          <w:rFonts w:ascii="Barlow Semi Condensed" w:cs="Barlow Semi Condensed" w:eastAsia="Barlow Semi Condensed" w:hAnsi="Barlow Semi Condensed"/>
          <w:b/>
          <w:bCs/>
          <w:sz w:val="24"/>
          <w:szCs w:val="24"/>
        </w:rPr>
        <w:t xml:space="preserve">385.</w:t>
      </w:r>
      <w:r>
        <w:rPr>
          <w:rFonts w:ascii="Barlow Semi Condensed" w:cs="Barlow Semi Condensed" w:eastAsia="Barlow Semi Condensed" w:hAnsi="Barlow Semi Condensed"/>
          <w:sz w:val="24"/>
          <w:szCs w:val="24"/>
        </w:rPr>
        <w:t xml:space="preserve"> Wikipedia — https://en.wikipedia.org/wiki/Alvor_Agreement (https://en.wikipedia.org/wiki/Alvor_Agreement)</w:t>
      </w:r>
    </w:p>
    <w:p>
      <w:pPr>
        <w:spacing w:after="120" w:line="276"/>
        <w:jc w:val="both"/>
      </w:pPr>
      <w:r>
        <w:rPr>
          <w:rFonts w:ascii="Barlow Semi Condensed" w:cs="Barlow Semi Condensed" w:eastAsia="Barlow Semi Condensed" w:hAnsi="Barlow Semi Condensed"/>
          <w:b/>
          <w:bCs/>
          <w:sz w:val="24"/>
          <w:szCs w:val="24"/>
        </w:rPr>
        <w:t xml:space="preserve">386.</w:t>
      </w:r>
      <w:r>
        <w:rPr>
          <w:rFonts w:ascii="Barlow Semi Condensed" w:cs="Barlow Semi Condensed" w:eastAsia="Barlow Semi Condensed" w:hAnsi="Barlow Semi Condensed"/>
          <w:sz w:val="24"/>
          <w:szCs w:val="24"/>
        </w:rPr>
        <w:t xml:space="preserve"> Storicamente — https://storicamente.org/pimenta-indipendenza-mozambico-decolonizzazione (https://storicamente.org/pimenta-indipendenza-mozambico-decolonizzazione)</w:t>
      </w:r>
    </w:p>
    <w:p>
      <w:pPr>
        <w:spacing w:after="120" w:line="276"/>
        <w:jc w:val="both"/>
      </w:pPr>
      <w:r>
        <w:rPr>
          <w:rFonts w:ascii="Barlow Semi Condensed" w:cs="Barlow Semi Condensed" w:eastAsia="Barlow Semi Condensed" w:hAnsi="Barlow Semi Condensed"/>
          <w:b/>
          <w:bCs/>
          <w:sz w:val="24"/>
          <w:szCs w:val="24"/>
        </w:rPr>
        <w:t xml:space="preserve">387.</w:t>
      </w:r>
      <w:r>
        <w:rPr>
          <w:rFonts w:ascii="Barlow Semi Condensed" w:cs="Barlow Semi Condensed" w:eastAsia="Barlow Semi Condensed" w:hAnsi="Barlow Semi Condensed"/>
          <w:sz w:val="24"/>
          <w:szCs w:val="24"/>
        </w:rPr>
        <w:t xml:space="preserve"> Wikipedia — https://it.wikipedia.org/wiki/Rivoluzione_dei_garofani (https://it.wikipedia.org/wiki/Rivoluzione_dei_garofani)</w:t>
      </w:r>
    </w:p>
    <w:p>
      <w:pPr>
        <w:spacing w:after="120" w:line="276"/>
        <w:jc w:val="both"/>
      </w:pPr>
      <w:r>
        <w:rPr>
          <w:rFonts w:ascii="Barlow Semi Condensed" w:cs="Barlow Semi Condensed" w:eastAsia="Barlow Semi Condensed" w:hAnsi="Barlow Semi Condensed"/>
          <w:b/>
          <w:bCs/>
          <w:sz w:val="24"/>
          <w:szCs w:val="24"/>
        </w:rPr>
        <w:t xml:space="preserve">388.</w:t>
      </w:r>
      <w:r>
        <w:rPr>
          <w:rFonts w:ascii="Barlow Semi Condensed" w:cs="Barlow Semi Condensed" w:eastAsia="Barlow Semi Condensed" w:hAnsi="Barlow Semi Condensed"/>
          <w:sz w:val="24"/>
          <w:szCs w:val="24"/>
        </w:rPr>
        <w:t xml:space="preserve"> BeeMagazine — https://beemagazine.it/moro-1975-quando-litalia-era-davvero-battistrada-delleuropa/ (https://beemagazine.it/moro-1975-quando-litalia-era-davvero-battistrada-delleuropa/)</w:t>
      </w:r>
    </w:p>
    <w:p>
      <w:pPr>
        <w:spacing w:after="120" w:line="276"/>
        <w:jc w:val="both"/>
      </w:pPr>
      <w:r>
        <w:rPr>
          <w:rFonts w:ascii="Barlow Semi Condensed" w:cs="Barlow Semi Condensed" w:eastAsia="Barlow Semi Condensed" w:hAnsi="Barlow Semi Condensed"/>
          <w:b/>
          <w:bCs/>
          <w:sz w:val="24"/>
          <w:szCs w:val="24"/>
        </w:rPr>
        <w:t xml:space="preserve">389.</w:t>
      </w:r>
      <w:r>
        <w:rPr>
          <w:rFonts w:ascii="Barlow Semi Condensed" w:cs="Barlow Semi Condensed" w:eastAsia="Barlow Semi Condensed" w:hAnsi="Barlow Semi Condensed"/>
          <w:sz w:val="24"/>
          <w:szCs w:val="24"/>
        </w:rPr>
        <w:t xml:space="preserve"> Avvenire — https://www.avvenire.it/agora/cultura/ripartire-dallo-spirito-di-helsinki-per-costruire-la-pace_93849 (https://www.avvenire.it/agora/cultura/ripartire-dallo-spirito-di-helsinki-per-costruire-la-pace_93849)</w:t>
      </w:r>
    </w:p>
    <w:p>
      <w:pPr>
        <w:spacing w:after="120" w:line="276"/>
        <w:jc w:val="both"/>
      </w:pPr>
      <w:r>
        <w:rPr>
          <w:rFonts w:ascii="Barlow Semi Condensed" w:cs="Barlow Semi Condensed" w:eastAsia="Barlow Semi Condensed" w:hAnsi="Barlow Semi Condensed"/>
          <w:b/>
          <w:bCs/>
          <w:sz w:val="24"/>
          <w:szCs w:val="24"/>
        </w:rPr>
        <w:t xml:space="preserve">390.</w:t>
      </w:r>
      <w:r>
        <w:rPr>
          <w:rFonts w:ascii="Barlow Semi Condensed" w:cs="Barlow Semi Condensed" w:eastAsia="Barlow Semi Condensed" w:hAnsi="Barlow Semi Condensed"/>
          <w:sz w:val="24"/>
          <w:szCs w:val="24"/>
        </w:rPr>
        <w:t xml:space="preserve"> Nuovarivistastorica — https://www.nuovarivistastorica.it/litalia-nellorganizzazione-per-la-sicurezza-e-la-cooperazione-in-europa/ (https://www.nuovarivistastorica.it/litalia-nellorganizzazione-per-la-sicurezza-e-la-cooperazione-in-europa/)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antt.dglab.gov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portal.ehri-project.eu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VII — Grecia e Opus Dei 1969-1985</w:t>
      </w:r>
    </w:p>
    <w:p>
      <w:pPr>
        <w:spacing w:after="120" w:line="276"/>
        <w:jc w:val="both"/>
      </w:pPr>
      <w:r>
        <w:rPr>
          <w:rFonts w:ascii="Barlow Semi Condensed" w:cs="Barlow Semi Condensed" w:eastAsia="Barlow Semi Condensed" w:hAnsi="Barlow Semi Condensed"/>
          <w:b/>
          <w:bCs/>
          <w:sz w:val="24"/>
          <w:szCs w:val="24"/>
        </w:rPr>
        <w:t xml:space="preserve">393.</w:t>
      </w:r>
      <w:r>
        <w:rPr>
          <w:rFonts w:ascii="Barlow Semi Condensed" w:cs="Barlow Semi Condensed" w:eastAsia="Barlow Semi Condensed" w:hAnsi="Barlow Semi Condensed"/>
          <w:sz w:val="24"/>
          <w:szCs w:val="24"/>
        </w:rPr>
        <w:t xml:space="preserve"> Camera — https://dati.camera.it/ocd/aic.rdf/aic4_03754_16 (https://dati.camera.it/ocd/aic.rdf/aic4_03754_16)</w:t>
      </w:r>
    </w:p>
    <w:p>
      <w:pPr>
        <w:spacing w:after="120" w:line="276"/>
        <w:jc w:val="both"/>
      </w:pPr>
      <w:r>
        <w:rPr>
          <w:rFonts w:ascii="Barlow Semi Condensed" w:cs="Barlow Semi Condensed" w:eastAsia="Barlow Semi Condensed" w:hAnsi="Barlow Semi Condensed"/>
          <w:b/>
          <w:bCs/>
          <w:sz w:val="24"/>
          <w:szCs w:val="24"/>
        </w:rPr>
        <w:t xml:space="preserve">394.</w:t>
      </w:r>
      <w:r>
        <w:rPr>
          <w:rFonts w:ascii="Barlow Semi Condensed" w:cs="Barlow Semi Condensed" w:eastAsia="Barlow Semi Condensed" w:hAnsi="Barlow Semi Condensed"/>
          <w:sz w:val="24"/>
          <w:szCs w:val="24"/>
        </w:rPr>
        <w:t xml:space="preserve"> Wikipedia — https://it.wikipedia.org/wiki/Questione_di_Cipro (https://it.wikipedia.org/wiki/Questione_di_Cipro)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395.</w:t>
      </w:r>
      <w:r>
        <w:rPr>
          <w:rFonts w:ascii="Barlow Semi Condensed" w:cs="Barlow Semi Condensed" w:eastAsia="Barlow Semi Condensed" w:hAnsi="Barlow Semi Condensed"/>
          <w:sz w:val="24"/>
          <w:szCs w:val="24"/>
        </w:rPr>
        <w:t xml:space="preserve"> U.S. Department of State — https://history.state.gov/historicaldocuments/frus1969-76v30/d194 (https://history.state.gov/historicaldocuments/frus1969-76v30/d194)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396.</w:t>
      </w:r>
      <w:r>
        <w:rPr>
          <w:rFonts w:ascii="Barlow Semi Condensed" w:cs="Barlow Semi Condensed" w:eastAsia="Barlow Semi Condensed" w:hAnsi="Barlow Semi Condensed"/>
          <w:sz w:val="24"/>
          <w:szCs w:val="24"/>
        </w:rPr>
        <w:t xml:space="preserve"> Paese Italia Press — https://www.paeseitaliapress.it/esteri/2025/08/27/scudo-inter-etnico-o-limite-alla-guerra-il-ruolo-delle-forze-di-pace-onu-a-cipro/ (https://www.paeseitaliapress.it/esteri/2025/08/27/scudo-inter-etnico-o-limite-alla-guerra-il-ruolo-delle-forze-di-pace-onu-a-cipro/)</w:t>
      </w:r>
    </w:p>
    <w:p>
      <w:pPr>
        <w:spacing w:after="120" w:line="276"/>
        <w:jc w:val="both"/>
      </w:pPr>
      <w:r>
        <w:rPr>
          <w:rFonts w:ascii="Barlow Semi Condensed" w:cs="Barlow Semi Condensed" w:eastAsia="Barlow Semi Condensed" w:hAnsi="Barlow Semi Condensed"/>
          <w:b/>
          <w:bCs/>
          <w:sz w:val="24"/>
          <w:szCs w:val="24"/>
        </w:rPr>
        <w:t xml:space="preserve">397.</w:t>
      </w:r>
      <w:r>
        <w:rPr>
          <w:rFonts w:ascii="Barlow Semi Condensed" w:cs="Barlow Semi Condensed" w:eastAsia="Barlow Semi Condensed" w:hAnsi="Barlow Semi Condensed"/>
          <w:sz w:val="24"/>
          <w:szCs w:val="24"/>
        </w:rPr>
        <w:t xml:space="preserve"> Esteri — https://ambatene.esteri.it/ambasciata_atene/it/i_rapporti_bilaterali/ (https://ambatene.esteri.it/ambasciata_atene/it/i_rapporti_bilaterali/)</w:t>
      </w:r>
    </w:p>
    <w:p>
      <w:pPr>
        <w:spacing w:after="120" w:line="276"/>
        <w:jc w:val="both"/>
      </w:pPr>
      <w:r>
        <w:rPr>
          <w:rFonts w:ascii="Barlow Semi Condensed" w:cs="Barlow Semi Condensed" w:eastAsia="Barlow Semi Condensed" w:hAnsi="Barlow Semi Condensed"/>
          <w:b/>
          <w:bCs/>
          <w:sz w:val="24"/>
          <w:szCs w:val="24"/>
        </w:rPr>
        <w:t xml:space="preserve">398.</w:t>
      </w:r>
      <w:r>
        <w:rPr>
          <w:rFonts w:ascii="Barlow Semi Condensed" w:cs="Barlow Semi Condensed" w:eastAsia="Barlow Semi Condensed" w:hAnsi="Barlow Semi Condensed"/>
          <w:sz w:val="24"/>
          <w:szCs w:val="24"/>
        </w:rPr>
        <w:t xml:space="preserve"> East Journal — https://www.eastjournal.net/archives/9505 (https://www.eastjournal.net/archives/9505)</w:t>
      </w:r>
    </w:p>
    <w:p>
      <w:pPr>
        <w:spacing w:after="120" w:line="276"/>
        <w:jc w:val="both"/>
      </w:pPr>
      <w:r>
        <w:rPr>
          <w:rFonts w:ascii="Barlow Semi Condensed" w:cs="Barlow Semi Condensed" w:eastAsia="Barlow Semi Condensed" w:hAnsi="Barlow Semi Condensed"/>
          <w:b/>
          <w:bCs/>
          <w:sz w:val="24"/>
          <w:szCs w:val="24"/>
        </w:rPr>
        <w:t xml:space="preserve">399.</w:t>
      </w:r>
      <w:r>
        <w:rPr>
          <w:rFonts w:ascii="Barlow Semi Condensed" w:cs="Barlow Semi Condensed" w:eastAsia="Barlow Semi Condensed" w:hAnsi="Barlow Semi Condensed"/>
          <w:sz w:val="24"/>
          <w:szCs w:val="24"/>
        </w:rPr>
        <w:t xml:space="preserve"> La Voce e il Tempo — https://vocetempo.it/sessantanni-fa-la-fine-delle-scomuniche-fra-cattolici-e-ortodossi/ (https://vocetempo.it/sessantanni-fa-la-fine-delle-scomuniche-fra-cattolici-e-ortodossi/)</w:t>
      </w:r>
    </w:p>
    <w:p>
      <w:pPr>
        <w:spacing w:after="120" w:line="276"/>
        <w:jc w:val="both"/>
      </w:pP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Wikipedia — https://it.wikipedia.org/wiki/Dichiarazione_comune_cattolico-ortodossa_del_1965 (https://it.wikipedia.org/wiki/Dichiarazione_comune_cattolico-ortodossa_del_1965)</w:t>
      </w:r>
    </w:p>
    <w:p>
      <w:pPr>
        <w:spacing w:after="120" w:line="276"/>
        <w:jc w:val="both"/>
      </w:pPr>
      <w:r>
        <w:rPr>
          <w:rFonts w:ascii="Barlow Semi Condensed" w:cs="Barlow Semi Condensed" w:eastAsia="Barlow Semi Condensed" w:hAnsi="Barlow Semi Condensed"/>
          <w:b/>
          <w:bCs/>
          <w:sz w:val="24"/>
          <w:szCs w:val="24"/>
        </w:rPr>
        <w:t xml:space="preserve">401.</w:t>
      </w:r>
      <w:r>
        <w:rPr>
          <w:rFonts w:ascii="Barlow Semi Condensed" w:cs="Barlow Semi Condensed" w:eastAsia="Barlow Semi Condensed" w:hAnsi="Barlow Semi Condensed"/>
          <w:sz w:val="24"/>
          <w:szCs w:val="24"/>
        </w:rPr>
        <w:t xml:space="preserve"> opusdei — https://opusdei.org/it-it/article/storia/ (https://opusdei.org/it-it/article/storia/)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402.</w:t>
      </w:r>
      <w:r>
        <w:rPr>
          <w:rFonts w:ascii="Barlow Semi Condensed" w:cs="Barlow Semi Condensed" w:eastAsia="Barlow Semi Condensed" w:hAnsi="Barlow Semi Condensed"/>
          <w:sz w:val="24"/>
          <w:szCs w:val="24"/>
        </w:rPr>
        <w:t xml:space="preserve"> opusdei — https://opusdei.org/en-us/article/regional-circumscriptions-opus-dei/ (https://opusdei.org/en-us/article/regional-circumscriptions-opus-dei/)</w:t>
      </w:r>
    </w:p>
    <w:p>
      <w:pPr>
        <w:spacing w:after="120" w:line="276"/>
        <w:jc w:val="both"/>
      </w:pPr>
      <w:r>
        <w:rPr>
          <w:rFonts w:ascii="Barlow Semi Condensed" w:cs="Barlow Semi Condensed" w:eastAsia="Barlow Semi Condensed" w:hAnsi="Barlow Semi Condensed"/>
          <w:b/>
          <w:bCs/>
          <w:sz w:val="24"/>
          <w:szCs w:val="24"/>
        </w:rPr>
        <w:t xml:space="preserve">403.</w:t>
      </w:r>
      <w:r>
        <w:rPr>
          <w:rFonts w:ascii="Barlow Semi Condensed" w:cs="Barlow Semi Condensed" w:eastAsia="Barlow Semi Condensed" w:hAnsi="Barlow Semi Condensed"/>
          <w:sz w:val="24"/>
          <w:szCs w:val="24"/>
        </w:rPr>
        <w:t xml:space="preserve"> Wikipedia — https://en.wikipedia.org/wiki/Josemar%C3%ADa_Escriv%C3%A1 (https://en.wikipedia.org/wiki/Josemar%C3%ADa_Escriv%C3%A1)</w:t>
      </w:r>
    </w:p>
    <w:p>
      <w:pPr>
        <w:spacing w:after="120" w:line="276"/>
        <w:jc w:val="both"/>
      </w:pPr>
      <w:r>
        <w:rPr>
          <w:rFonts w:ascii="Barlow Semi Condensed" w:cs="Barlow Semi Condensed" w:eastAsia="Barlow Semi Condensed" w:hAnsi="Barlow Semi Condensed"/>
          <w:b/>
          <w:bCs/>
          <w:sz w:val="24"/>
          <w:szCs w:val="24"/>
        </w:rPr>
        <w:t xml:space="preserve">404.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catholicmedia.org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405.</w:t>
      </w:r>
      <w:r>
        <w:rPr>
          <w:rFonts w:ascii="Barlow Semi Condensed" w:cs="Barlow Semi Condensed" w:eastAsia="Barlow Semi Condensed" w:hAnsi="Barlow Semi Condensed"/>
          <w:sz w:val="24"/>
          <w:szCs w:val="24"/>
        </w:rPr>
        <w:t xml:space="preserve"> ACI Stampa — https://www.acistampa.com/story/18666/i-greco-cattolici-in-grecia-pietra-di-inciampo-che-vuole-costruire-ponti-18666 (https://www.acistampa.com/story/18666/i-greco-cattolici-in-grecia-pietra-di-inciampo-che-vuole-costruire-ponti-18666)</w:t>
      </w:r>
    </w:p>
    <w:p>
      <w:pPr>
        <w:spacing w:after="120" w:line="276"/>
        <w:jc w:val="both"/>
      </w:pPr>
      <w:r>
        <w:rPr>
          <w:rFonts w:ascii="Barlow Semi Condensed" w:cs="Barlow Semi Condensed" w:eastAsia="Barlow Semi Condensed" w:hAnsi="Barlow Semi Condensed"/>
          <w:b/>
          <w:bCs/>
          <w:sz w:val="24"/>
          <w:szCs w:val="24"/>
        </w:rPr>
        <w:t xml:space="preserve">406.</w:t>
      </w:r>
      <w:r>
        <w:rPr>
          <w:rFonts w:ascii="Barlow Semi Condensed" w:cs="Barlow Semi Condensed" w:eastAsia="Barlow Semi Condensed" w:hAnsi="Barlow Semi Condensed"/>
          <w:sz w:val="24"/>
          <w:szCs w:val="24"/>
        </w:rPr>
        <w:t xml:space="preserve"> La Nuova Bussola Quotidiana — https://lanuovabq.it/it/cristiani-divisi-in-grecia (https://lanuovabq.it/it/cristiani-divisi-in-grecia)</w:t>
      </w:r>
    </w:p>
    <w:p>
      <w:pPr>
        <w:spacing w:after="120" w:line="276"/>
        <w:jc w:val="both"/>
      </w:pPr>
      <w:r>
        <w:rPr>
          <w:rFonts w:ascii="Barlow Semi Condensed" w:cs="Barlow Semi Condensed" w:eastAsia="Barlow Semi Condensed" w:hAnsi="Barlow Semi Condensed"/>
          <w:b/>
          <w:bCs/>
          <w:sz w:val="24"/>
          <w:szCs w:val="24"/>
        </w:rPr>
        <w:t xml:space="preserve">407.</w:t>
      </w:r>
      <w:r>
        <w:rPr>
          <w:rFonts w:ascii="Barlow Semi Condensed" w:cs="Barlow Semi Condensed" w:eastAsia="Barlow Semi Condensed" w:hAnsi="Barlow Semi Condensed"/>
          <w:sz w:val="24"/>
          <w:szCs w:val="24"/>
        </w:rPr>
        <w:t xml:space="preserve"> state — https://history.state.gov/historicaldocuments/frus1969-76v30 (https://history.state.gov/historicaldocuments/frus1969-76v30)</w:t>
      </w:r>
    </w:p>
    <w:p>
      <w:pPr>
        <w:spacing w:after="120" w:line="276"/>
        <w:jc w:val="both"/>
      </w:pPr>
      <w:r>
        <w:rPr>
          <w:rFonts w:ascii="Barlow Semi Condensed" w:cs="Barlow Semi Condensed" w:eastAsia="Barlow Semi Condensed" w:hAnsi="Barlow Semi Condensed"/>
          <w:b/>
          <w:bCs/>
          <w:sz w:val="24"/>
          <w:szCs w:val="24"/>
        </w:rPr>
        <w:t xml:space="preserve">408.</w:t>
      </w:r>
      <w:r>
        <w:rPr>
          <w:rFonts w:ascii="Barlow Semi Condensed" w:cs="Barlow Semi Condensed" w:eastAsia="Barlow Semi Condensed" w:hAnsi="Barlow Semi Condensed"/>
          <w:sz w:val="24"/>
          <w:szCs w:val="24"/>
        </w:rPr>
        <w:t xml:space="preserve"> Esteri — https://www.esteri.it/it/temi/uap/archivio-storico-e-biblioteca/archivio-storico-diplomatico/ (https://www.esteri.it/it/temi/uap/archivio-storico-e-biblioteca/archivio-storico-diplomatico/)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409.</w:t>
      </w:r>
      <w:r>
        <w:rPr>
          <w:rFonts w:ascii="Barlow Semi Condensed" w:cs="Barlow Semi Condensed" w:eastAsia="Barlow Semi Condensed" w:hAnsi="Barlow Semi Condensed"/>
          <w:sz w:val="24"/>
          <w:szCs w:val="24"/>
        </w:rPr>
        <w:t xml:space="preserve"> Esteri — https://www.esteri.it/it/temi/uap/archivio-storico-e-biblioteca/archivio-storico-diplomatico/storia-e-fondi/ (https://www.esteri.it/it/temi/uap/archivio-storico-e-biblioteca/archivio-storico-diplomatico/storia-e-fondi/)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410.</w:t>
      </w:r>
      <w:r>
        <w:rPr>
          <w:rFonts w:ascii="Barlow Semi Condensed" w:cs="Barlow Semi Condensed" w:eastAsia="Barlow Semi Condensed" w:hAnsi="Barlow Semi Condensed"/>
          <w:sz w:val="24"/>
          <w:szCs w:val="24"/>
        </w:rPr>
        <w:t xml:space="preserve"> Senato della Repubblica — https://www.senato.it/leg16/3182?newsletter_item=1296&amp;newsletter_numero=122 (https://www.senato.it/leg16/3182?newsletter_item=1296&amp;newsletter_numero=122)</w:t>
      </w:r>
    </w:p>
    <w:p>
      <w:pPr>
        <w:spacing w:after="120" w:line="276"/>
        <w:jc w:val="both"/>
      </w:pPr>
      <w:r>
        <w:rPr>
          <w:rFonts w:ascii="Barlow Semi Condensed" w:cs="Barlow Semi Condensed" w:eastAsia="Barlow Semi Condensed" w:hAnsi="Barlow Semi Condensed"/>
          <w:b/>
          <w:bCs/>
          <w:sz w:val="24"/>
          <w:szCs w:val="24"/>
        </w:rPr>
        <w:t xml:space="preserve">411.</w:t>
      </w:r>
      <w:r>
        <w:rPr>
          <w:rFonts w:ascii="Barlow Semi Condensed" w:cs="Barlow Semi Condensed" w:eastAsia="Barlow Semi Condensed" w:hAnsi="Barlow Semi Condensed"/>
          <w:sz w:val="24"/>
          <w:szCs w:val="24"/>
        </w:rPr>
        <w:t xml:space="preserve"> Esteri — https://www.esteri.it/it/uapsds/archivio-storico-e-biblioteca/archivio-storico-diplomatico/servizi-allutenza/ (https://www.esteri.it/it/uapsds/archivio-storico-e-biblioteca/archivio-storico-diplomatico/servizi-allutenza/)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412.</w:t>
      </w:r>
      <w:r>
        <w:rPr>
          <w:rFonts w:ascii="Barlow Semi Condensed" w:cs="Barlow Semi Condensed" w:eastAsia="Barlow Semi Condensed" w:hAnsi="Barlow Semi Condensed"/>
          <w:sz w:val="24"/>
          <w:szCs w:val="24"/>
        </w:rPr>
        <w:t xml:space="preserve"> EHRI — https://portal.ehri-project.eu/institutions/it-002863 (https://portal.ehri-project.eu/institutions/it-002863)</w:t>
      </w:r>
    </w:p>
    <w:p>
      <w:pPr>
        <w:pStyle w:val="Heading3"/>
        <w:spacing w:after="80" w:before="160"/>
      </w:pPr>
      <w:r>
        <w:rPr>
          <w:rFonts w:ascii="Barlow Semi Condensed" w:cs="Barlow Semi Condensed" w:eastAsia="Barlow Semi Condensed" w:hAnsi="Barlow Semi Condensed"/>
          <w:sz w:val="24"/>
          <w:szCs w:val="24"/>
        </w:rPr>
        <w:t xml:space="preserve">Libro dodicesimo · VIII — Turchia e Opus Dei 1969-1975</w:t>
      </w:r>
    </w:p>
    <w:p>
      <w:pPr>
        <w:spacing w:after="120" w:line="276"/>
        <w:jc w:val="both"/>
      </w:pPr>
      <w:r>
        <w:rPr>
          <w:rFonts w:ascii="Barlow Semi Condensed" w:cs="Barlow Semi Condensed" w:eastAsia="Barlow Semi Condensed" w:hAnsi="Barlow Semi Condensed"/>
          <w:b/>
          <w:bCs/>
          <w:sz w:val="24"/>
          <w:szCs w:val="24"/>
        </w:rPr>
        <w:t xml:space="preserve">413.</w:t>
      </w:r>
      <w:r>
        <w:rPr>
          <w:rFonts w:ascii="Barlow Semi Condensed" w:cs="Barlow Semi Condensed" w:eastAsia="Barlow Semi Condensed" w:hAnsi="Barlow Semi Condensed"/>
          <w:sz w:val="24"/>
          <w:szCs w:val="24"/>
        </w:rPr>
        <w:t xml:space="preserve"> Wikipedia — https://it.wikipedia.org/wiki/Accordo_di_Ankara_(1963 (https://it.wikipedia.org/wiki/Accordo_di_Ankara_(1963)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415.</w:t>
      </w:r>
      <w:r>
        <w:rPr>
          <w:rFonts w:ascii="Barlow Semi Condensed" w:cs="Barlow Semi Condensed" w:eastAsia="Barlow Semi Condensed" w:hAnsi="Barlow Semi Condensed"/>
          <w:sz w:val="24"/>
          <w:szCs w:val="24"/>
        </w:rPr>
        <w:t xml:space="preserve"> AB Bașkanlığı — https://www.ab.gov.tr/111_en.html (https://www.ab.gov.tr/111_en.html)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416.</w:t>
      </w:r>
      <w:r>
        <w:rPr>
          <w:rFonts w:ascii="Barlow Semi Condensed" w:cs="Barlow Semi Condensed" w:eastAsia="Barlow Semi Condensed" w:hAnsi="Barlow Semi Condensed"/>
          <w:sz w:val="24"/>
          <w:szCs w:val="24"/>
        </w:rPr>
        <w:t xml:space="preserve"> European Parliament — https://www.europarl.europa.eu/delegations/en/d-tr/documents/eu-texts (https://www.europarl.europa.eu/delegations/en/d-tr/documents/eu-texts)</w:t>
      </w:r>
    </w:p>
    <w:p>
      <w:pPr>
        <w:spacing w:after="120" w:line="276"/>
        <w:jc w:val="both"/>
      </w:pPr>
      <w:r>
        <w:rPr>
          <w:rFonts w:ascii="Barlow Semi Condensed" w:cs="Barlow Semi Condensed" w:eastAsia="Barlow Semi Condensed" w:hAnsi="Barlow Semi Condensed"/>
          <w:b/>
          <w:bCs/>
          <w:sz w:val="24"/>
          <w:szCs w:val="24"/>
        </w:rPr>
        <w:t xml:space="preserve">417.</w:t>
      </w:r>
      <w:r>
        <w:rPr>
          <w:rFonts w:ascii="Barlow Semi Condensed" w:cs="Barlow Semi Condensed" w:eastAsia="Barlow Semi Condensed" w:hAnsi="Barlow Semi Condensed"/>
          <w:sz w:val="24"/>
          <w:szCs w:val="24"/>
        </w:rPr>
        <w:t xml:space="preserve"> EUR-Lex — https://eur-lex.europa.eu/LexUriServ/LexUriServ.do?uri=CELEX%3A31971R1842%3AIT%3AHTML (https://eur-lex.europa.eu/LexUriServ/LexUriServ.do?uri=CELEX%3A31971R1842%3AIT%3AHTML)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418.</w:t>
      </w:r>
      <w:r>
        <w:rPr>
          <w:rFonts w:ascii="Barlow Semi Condensed" w:cs="Barlow Semi Condensed" w:eastAsia="Barlow Semi Condensed" w:hAnsi="Barlow Semi Condensed"/>
          <w:sz w:val="24"/>
          <w:szCs w:val="24"/>
        </w:rPr>
        <w:t xml:space="preserve"> EUR-Lex — https://eur-lex.europa.eu/legal-content/IT/TXT/?uri=CELEX%3A31973R0428 (https://eur-lex.europa.eu/legal-content/IT/TXT/?uri=CELEX%3A31973R0428)</w:t>
      </w:r>
    </w:p>
    <w:p>
      <w:pPr>
        <w:spacing w:after="120" w:line="276"/>
        <w:jc w:val="both"/>
      </w:pPr>
      <w:r>
        <w:rPr>
          <w:rFonts w:ascii="Barlow Semi Condensed" w:cs="Barlow Semi Condensed" w:eastAsia="Barlow Semi Condensed" w:hAnsi="Barlow Semi Condensed"/>
          <w:b/>
          <w:bCs/>
          <w:sz w:val="24"/>
          <w:szCs w:val="24"/>
        </w:rPr>
        <w:t xml:space="preserve">419.</w:t>
      </w:r>
      <w:r>
        <w:rPr>
          <w:rFonts w:ascii="Barlow Semi Condensed" w:cs="Barlow Semi Condensed" w:eastAsia="Barlow Semi Condensed" w:hAnsi="Barlow Semi Condensed"/>
          <w:sz w:val="24"/>
          <w:szCs w:val="24"/>
        </w:rPr>
        <w:t xml:space="preserve"> Cambridge Core — https://www.cambridge.org/core/journals/international-and-comparative-law-quarterly/article/abs/ii-the-ankara-agreement-turkey-and-the-eu/F0EB341D436F195721DC25D49CE61DC0 (https://www.cambridge.org/core/journals/international-and-comparative-law-quarterly/article/abs/ii-the-ankara-agreement-turkey-and-the-eu/F0EB341D436F195721DC25D49CE61DC0)</w:t>
      </w:r>
    </w:p>
    <w:p>
      <w:pPr>
        <w:spacing w:after="120" w:line="276"/>
        <w:jc w:val="both"/>
      </w:pPr>
      <w:r>
        <w:rPr>
          <w:rFonts w:ascii="Barlow Semi Condensed" w:cs="Barlow Semi Condensed" w:eastAsia="Barlow Semi Condensed" w:hAnsi="Barlow Semi Condensed"/>
          <w:b/>
          <w:bCs/>
          <w:sz w:val="24"/>
          <w:szCs w:val="24"/>
        </w:rPr>
        <w:t xml:space="preserve">420.</w:t>
      </w:r>
      <w:r>
        <w:rPr>
          <w:rFonts w:ascii="Barlow Semi Condensed" w:cs="Barlow Semi Condensed" w:eastAsia="Barlow Semi Condensed" w:hAnsi="Barlow Semi Condensed"/>
          <w:sz w:val="24"/>
          <w:szCs w:val="24"/>
        </w:rPr>
        <w:t xml:space="preserve"> EUR-Lex — https://eur-lex.europa.eu/legal-content/IT/TXT/PDF/?uri=CELEX:01964A1229(01 (https://eur-lex.europa.eu/legal-content/IT/TXT/PDF/?uri=CELEX:01964A1229(01)</w:t>
      </w:r>
    </w:p>
    <w:p>
      <w:pPr>
        <w:spacing w:after="120" w:line="276"/>
        <w:jc w:val="both"/>
      </w:pPr>
      <w:r>
        <w:rPr>
          <w:rFonts w:ascii="Barlow Semi Condensed" w:cs="Barlow Semi Condensed" w:eastAsia="Barlow Semi Condensed" w:hAnsi="Barlow Semi Condensed"/>
          <w:b/>
          <w:bCs/>
          <w:sz w:val="24"/>
          <w:szCs w:val="24"/>
        </w:rPr>
        <w:t xml:space="preserve">421.</w:t>
      </w:r>
      <w:r>
        <w:rPr>
          <w:rFonts w:ascii="Barlow Semi Condensed" w:cs="Barlow Semi Condensed" w:eastAsia="Barlow Semi Condensed" w:hAnsi="Barlow Semi Condensed"/>
          <w:sz w:val="24"/>
          <w:szCs w:val="24"/>
        </w:rPr>
        <w:t xml:space="preserve"> EUR-Lex — https://eur-lex.europa.eu/LexUriServ/LexUriServ.do?uri=CELEX:21970A1123(01 (https://eur-lex.europa.eu/LexUriServ/LexUriServ.do?uri=CELEX:21970A1123(01)</w:t>
      </w:r>
    </w:p>
    <w:p>
      <w:pPr>
        <w:spacing w:after="120" w:line="276"/>
        <w:jc w:val="both"/>
      </w:pPr>
      <w:r>
        <w:rPr>
          <w:rFonts w:ascii="Barlow Semi Condensed" w:cs="Barlow Semi Condensed" w:eastAsia="Barlow Semi Condensed" w:hAnsi="Barlow Semi Condensed"/>
          <w:b/>
          <w:bCs/>
          <w:sz w:val="24"/>
          <w:szCs w:val="24"/>
        </w:rPr>
        <w:t xml:space="preserve">422.</w:t>
      </w:r>
      <w:r>
        <w:rPr>
          <w:rFonts w:ascii="Barlow Semi Condensed" w:cs="Barlow Semi Condensed" w:eastAsia="Barlow Semi Condensed" w:hAnsi="Barlow Semi Condensed"/>
          <w:sz w:val="24"/>
          <w:szCs w:val="24"/>
        </w:rPr>
        <w:t xml:space="preserve"> EUR-Lex — https://eur-lex.europa.eu/legal-content/IT/TXT/HTML/?uri=CELEX:62013CC0138&amp;from=IT (https://eur-lex.europa.eu/legal-content/IT/TXT/HTML/?uri=CELEX:62013CC0138&amp;from=IT)</w:t>
      </w:r>
    </w:p>
    <w:p>
      <w:pPr>
        <w:spacing w:after="120" w:line="276"/>
        <w:jc w:val="both"/>
      </w:pPr>
      <w:r>
        <w:rPr>
          <w:rFonts w:ascii="Barlow Semi Condensed" w:cs="Barlow Semi Condensed" w:eastAsia="Barlow Semi Condensed" w:hAnsi="Barlow Semi Condensed"/>
          <w:b/>
          <w:bCs/>
          <w:sz w:val="24"/>
          <w:szCs w:val="24"/>
        </w:rPr>
        <w:t xml:space="preserve">423.</w:t>
      </w:r>
      <w:r>
        <w:rPr>
          <w:rFonts w:ascii="Barlow Semi Condensed" w:cs="Barlow Semi Condensed" w:eastAsia="Barlow Semi Condensed" w:hAnsi="Barlow Semi Condensed"/>
          <w:sz w:val="24"/>
          <w:szCs w:val="24"/>
        </w:rPr>
        <w:t xml:space="preserve"> EUR-Lex — https://eur-lex.europa.eu/legal-content/IT/TXT/HTML/?amp=&amp;from=IT&amp;uri=CELEX%3A22014A0507%2801%29 (https://eur-lex.europa.eu/legal-content/IT/TXT/HTML/?amp=&amp;from=IT&amp;uri=CELEX%3A22014A0507%2801%29)</w:t>
      </w:r>
    </w:p>
    <w:p>
      <w:pPr>
        <w:spacing w:after="120" w:line="276"/>
        <w:jc w:val="both"/>
      </w:pPr>
      <w:r>
        <w:rPr>
          <w:rFonts w:ascii="Barlow Semi Condensed" w:cs="Barlow Semi Condensed" w:eastAsia="Barlow Semi Condensed" w:hAnsi="Barlow Semi Condensed"/>
          <w:b/>
          <w:bCs/>
          <w:sz w:val="24"/>
          <w:szCs w:val="24"/>
        </w:rPr>
        <w:t xml:space="preserve">424.</w:t>
      </w:r>
      <w:r>
        <w:rPr>
          <w:rFonts w:ascii="Barlow Semi Condensed" w:cs="Barlow Semi Condensed" w:eastAsia="Barlow Semi Condensed" w:hAnsi="Barlow Semi Condensed"/>
          <w:sz w:val="24"/>
          <w:szCs w:val="24"/>
        </w:rPr>
        <w:t xml:space="preserve"> EUR-Lex — https://eur-lex.europa.eu/legal-content/EN/ALL/?uri=CELEX%3A21970A1123%2801%29 (https://eur-lex.europa.eu/legal-content/EN/ALL/?uri=CELEX%3A21970A1123%2801%29)</w:t>
      </w:r>
    </w:p>
    <w:p>
      <w:pPr>
        <w:spacing w:after="120" w:line="276"/>
        <w:jc w:val="both"/>
      </w:pPr>
      <w:r>
        <w:rPr>
          <w:rFonts w:ascii="Barlow Semi Condensed" w:cs="Barlow Semi Condensed" w:eastAsia="Barlow Semi Condensed" w:hAnsi="Barlow Semi Condensed"/>
          <w:b/>
          <w:bCs/>
          <w:sz w:val="24"/>
          <w:szCs w:val="24"/>
        </w:rPr>
        <w:t xml:space="preserve">425.</w:t>
      </w:r>
      <w:r>
        <w:rPr>
          <w:rFonts w:ascii="Barlow Semi Condensed" w:cs="Barlow Semi Condensed" w:eastAsia="Barlow Semi Condensed" w:hAnsi="Barlow Semi Condensed"/>
          <w:sz w:val="24"/>
          <w:szCs w:val="24"/>
        </w:rPr>
        <w:t xml:space="preserve"> EUR-Lex — https://eur-lex.europa.eu/legal-content/IT/ALL/?uri=CELEX%3A21964A1229%2801%29 (https://eur-lex.europa.eu/legal-content/IT/ALL/?uri=CELEX%3A21964A1229%2801%29)</w:t>
      </w:r>
    </w:p>
    <w:p>
      <w:pPr>
        <w:spacing w:after="120" w:line="276"/>
        <w:jc w:val="both"/>
      </w:pPr>
      <w:r>
        <w:rPr>
          <w:rFonts w:ascii="Barlow Semi Condensed" w:cs="Barlow Semi Condensed" w:eastAsia="Barlow Semi Condensed" w:hAnsi="Barlow Semi Condensed"/>
          <w:b/>
          <w:bCs/>
          <w:sz w:val="24"/>
          <w:szCs w:val="24"/>
        </w:rPr>
        <w:t xml:space="preserve">426.</w:t>
      </w:r>
      <w:r>
        <w:rPr>
          <w:rFonts w:ascii="Barlow Semi Condensed" w:cs="Barlow Semi Condensed" w:eastAsia="Barlow Semi Condensed" w:hAnsi="Barlow Semi Condensed"/>
          <w:sz w:val="24"/>
          <w:szCs w:val="24"/>
        </w:rPr>
        <w:t xml:space="preserve"> EUR-Lex — https://eur-lex.europa.eu/LexUriServ/LexUriServ.do?uri=CELEX%3A21973A1003%2801%29%3AIT%3AHTML (https://eur-lex.europa.eu/LexUriServ/LexUriServ.do?uri=CELEX%3A21973A1003%2801%29%3AIT%3AHTML)</w:t>
      </w:r>
    </w:p>
    <w:p>
      <w:pPr>
        <w:spacing w:after="120" w:line="276"/>
        <w:jc w:val="both"/>
      </w:pPr>
      <w:r>
        <w:rPr>
          <w:rFonts w:ascii="Barlow Semi Condensed" w:cs="Barlow Semi Condensed" w:eastAsia="Barlow Semi Condensed" w:hAnsi="Barlow Semi Condensed"/>
          <w:b/>
          <w:bCs/>
          <w:sz w:val="24"/>
          <w:szCs w:val="24"/>
        </w:rPr>
        <w:t xml:space="preserve">427.</w:t>
      </w:r>
      <w:r>
        <w:rPr>
          <w:rFonts w:ascii="Barlow Semi Condensed" w:cs="Barlow Semi Condensed" w:eastAsia="Barlow Semi Condensed" w:hAnsi="Barlow Semi Condensed"/>
          <w:sz w:val="24"/>
          <w:szCs w:val="24"/>
        </w:rPr>
        <w:t xml:space="preserve"> Senato della Repubblica — https://www.senato.it/service/PDF/PDFServer/DF/311398.pdf (https://www.senato.it/service/PDF/PDFServer/DF/311398.pdf)</w:t>
      </w:r>
    </w:p>
    <w:p>
      <w:pPr>
        <w:spacing w:after="120" w:line="276"/>
        <w:jc w:val="both"/>
      </w:pPr>
      <w:r>
        <w:rPr>
          <w:rFonts w:ascii="Barlow Semi Condensed" w:cs="Barlow Semi Condensed" w:eastAsia="Barlow Semi Condensed" w:hAnsi="Barlow Semi Condensed"/>
          <w:b/>
          <w:bCs/>
          <w:sz w:val="24"/>
          <w:szCs w:val="24"/>
        </w:rPr>
        <w:t xml:space="preserve">428.</w:t>
      </w:r>
      <w:r>
        <w:rPr>
          <w:rFonts w:ascii="Barlow Semi Condensed" w:cs="Barlow Semi Condensed" w:eastAsia="Barlow Semi Condensed" w:hAnsi="Barlow Semi Condensed"/>
          <w:sz w:val="24"/>
          <w:szCs w:val="24"/>
        </w:rPr>
        <w:t xml:space="preserve"> Wikipedia — https://en.wikipedia.org/wiki/Turan_G%C3%BCne%C5%9F (https://en.wikipedia.org/wiki/Turan_G%C3%BCne%C5%9F)</w:t>
      </w:r>
    </w:p>
    <w:p>
      <w:pPr>
        <w:spacing w:after="120" w:line="276"/>
        <w:jc w:val="both"/>
      </w:pPr>
      <w:r>
        <w:rPr>
          <w:rFonts w:ascii="Barlow Semi Condensed" w:cs="Barlow Semi Condensed" w:eastAsia="Barlow Semi Condensed" w:hAnsi="Barlow Semi Condensed"/>
          <w:b/>
          <w:bCs/>
          <w:sz w:val="24"/>
          <w:szCs w:val="24"/>
        </w:rPr>
        <w:t xml:space="preserve">429.</w:t>
      </w:r>
      <w:r>
        <w:rPr>
          <w:rFonts w:ascii="Barlow Semi Condensed" w:cs="Barlow Semi Condensed" w:eastAsia="Barlow Semi Condensed" w:hAnsi="Barlow Semi Condensed"/>
          <w:sz w:val="24"/>
          <w:szCs w:val="24"/>
        </w:rPr>
        <w:t xml:space="preserve"> New World Encyclopedia — https://www.newworldencyclopedia.org/entry/Turkish_invasion_of_Cyprus (https://www.newworldencyclopedia.org/entry/Turkish_invasion_of_Cyprus)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430.</w:t>
      </w:r>
      <w:r>
        <w:rPr>
          <w:rFonts w:ascii="Barlow Semi Condensed" w:cs="Barlow Semi Condensed" w:eastAsia="Barlow Semi Condensed" w:hAnsi="Barlow Semi Condensed"/>
          <w:sz w:val="24"/>
          <w:szCs w:val="24"/>
        </w:rPr>
        <w:t xml:space="preserve"> Government of Cyprus — https://www.gov.cy/mfa/en/documents/turkish-military-invasion-and-occupation/ (https://www.gov.cy/mfa/en/documents/turkish-military-invasion-and-occupation/)</w:t>
      </w:r>
    </w:p>
    <w:p>
      <w:pPr>
        <w:spacing w:after="120" w:line="276"/>
        <w:jc w:val="both"/>
      </w:pPr>
      <w:r>
        <w:rPr>
          <w:rFonts w:ascii="Barlow Semi Condensed" w:cs="Barlow Semi Condensed" w:eastAsia="Barlow Semi Condensed" w:hAnsi="Barlow Semi Condensed"/>
          <w:b/>
          <w:bCs/>
          <w:sz w:val="24"/>
          <w:szCs w:val="24"/>
        </w:rPr>
        <w:t xml:space="preserve">431.</w:t>
      </w:r>
      <w:r>
        <w:rPr>
          <w:rFonts w:ascii="Barlow Semi Condensed" w:cs="Barlow Semi Condensed" w:eastAsia="Barlow Semi Condensed" w:hAnsi="Barlow Semi Condensed"/>
          <w:sz w:val="24"/>
          <w:szCs w:val="24"/>
        </w:rPr>
        <w:t xml:space="preserve"> Cyprus Mail — https://cyprus-mail.com/2026/08/14/cyprus-commemorates-anniversary-of-second-phase-of-invasion (https://cyprus-mail.com/2026/08/14/cyprus-commemorates-anniversary-of-second-phase-of-invasion)</w:t>
      </w:r>
    </w:p>
    <w:p>
      <w:pPr>
        <w:spacing w:after="120" w:line="276"/>
        <w:jc w:val="both"/>
      </w:pPr>
      <w:r>
        <w:rPr>
          <w:rFonts w:ascii="Barlow Semi Condensed" w:cs="Barlow Semi Condensed" w:eastAsia="Barlow Semi Condensed" w:hAnsi="Barlow Semi Condensed"/>
          <w:b/>
          <w:bCs/>
          <w:sz w:val="24"/>
          <w:szCs w:val="24"/>
        </w:rPr>
        <w:t xml:space="preserve">432.</w:t>
      </w:r>
      <w:r>
        <w:rPr>
          <w:rFonts w:ascii="Barlow Semi Condensed" w:cs="Barlow Semi Condensed" w:eastAsia="Barlow Semi Condensed" w:hAnsi="Barlow Semi Condensed"/>
          <w:sz w:val="24"/>
          <w:szCs w:val="24"/>
        </w:rPr>
        <w:t xml:space="preserve"> state — https://history.state.gov/historicaldocuments/frus1977-80v21/d117 (https://history.state.gov/historicaldocuments/frus1977-80v21/d117)</w:t>
      </w:r>
    </w:p>
    <w:p>
      <w:pPr>
        <w:spacing w:after="120" w:line="276"/>
        <w:jc w:val="both"/>
      </w:pPr>
      <w:r>
        <w:rPr>
          <w:rFonts w:ascii="Barlow Semi Condensed" w:cs="Barlow Semi Condensed" w:eastAsia="Barlow Semi Condensed" w:hAnsi="Barlow Semi Condensed"/>
          <w:b/>
          <w:bCs/>
          <w:sz w:val="24"/>
          <w:szCs w:val="24"/>
        </w:rPr>
        <w:t xml:space="preserve">433.</w:t>
      </w:r>
      <w:r>
        <w:rPr>
          <w:rFonts w:ascii="Barlow Semi Condensed" w:cs="Barlow Semi Condensed" w:eastAsia="Barlow Semi Condensed" w:hAnsi="Barlow Semi Condensed"/>
          <w:sz w:val="24"/>
          <w:szCs w:val="24"/>
        </w:rPr>
        <w:t xml:space="preserve"> Parikiaki — https://www.parikiaki.com/2026/08/%CF%84oday-marks-second-phase-of-1974-barbaric-turkish-invasion-of-cyprus/ (https://www.parikiaki.com/2026/08/%CF%84oday-marks-second-phase-of-1974-barbaric-turkish-invasion-of-cyprus/)</w:t>
      </w:r>
    </w:p>
    <w:p>
      <w:pPr>
        <w:spacing w:after="120" w:line="276"/>
        <w:jc w:val="both"/>
      </w:pPr>
      <w:r>
        <w:rPr>
          <w:rFonts w:ascii="Barlow Semi Condensed" w:cs="Barlow Semi Condensed" w:eastAsia="Barlow Semi Condensed" w:hAnsi="Barlow Semi Condensed"/>
          <w:b/>
          <w:bCs/>
          <w:sz w:val="24"/>
          <w:szCs w:val="24"/>
        </w:rPr>
        <w:t xml:space="preserve">434.</w:t>
      </w:r>
      <w:r>
        <w:rPr>
          <w:rFonts w:ascii="Barlow Semi Condensed" w:cs="Barlow Semi Condensed" w:eastAsia="Barlow Semi Condensed" w:hAnsi="Barlow Semi Condensed"/>
          <w:sz w:val="24"/>
          <w:szCs w:val="24"/>
        </w:rPr>
        <w:t xml:space="preserve"> Unibo — https://aldomorodigitale.unibo.it/additional_resources/?id=141&amp;type=introduction (https://aldomorodigitale.unibo.it/additional_resources/?id=141&amp;type=introduction)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435.</w:t>
      </w:r>
      <w:r>
        <w:rPr>
          <w:rFonts w:ascii="Barlow Semi Condensed" w:cs="Barlow Semi Condensed" w:eastAsia="Barlow Semi Condensed" w:hAnsi="Barlow Semi Condensed"/>
          <w:sz w:val="24"/>
          <w:szCs w:val="24"/>
        </w:rPr>
        <w:t xml:space="preserve"> Martinkramer — https://martinkramer.org/wp-content/uploads/2025/09/cyprus-1974.pdf (https://martinkramer.org/wp-content/uploads/2025/09/cyprus-1974.pdf)</w:t>
      </w:r>
    </w:p>
    <w:p>
      <w:pPr>
        <w:spacing w:after="120" w:line="276"/>
        <w:jc w:val="both"/>
      </w:pPr>
      <w:r>
        <w:rPr>
          <w:rFonts w:ascii="Barlow Semi Condensed" w:cs="Barlow Semi Condensed" w:eastAsia="Barlow Semi Condensed" w:hAnsi="Barlow Semi Condensed"/>
          <w:b/>
          <w:bCs/>
          <w:sz w:val="24"/>
          <w:szCs w:val="24"/>
        </w:rPr>
        <w:t xml:space="preserve">436.</w:t>
      </w:r>
      <w:r>
        <w:rPr>
          <w:rFonts w:ascii="Barlow Semi Condensed" w:cs="Barlow Semi Condensed" w:eastAsia="Barlow Semi Condensed" w:hAnsi="Barlow Semi Condensed"/>
          <w:sz w:val="24"/>
          <w:szCs w:val="24"/>
        </w:rPr>
        <w:t xml:space="preserve"> umich — https://digital.bentley.umich.edu/midaily/mdp.39015071754639/361/download_text (https://digital.bentley.umich.edu/midaily/mdp.39015071754639/361/download_text)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437.</w:t>
      </w:r>
      <w:r>
        <w:rPr>
          <w:rFonts w:ascii="Barlow Semi Condensed" w:cs="Barlow Semi Condensed" w:eastAsia="Barlow Semi Condensed" w:hAnsi="Barlow Semi Condensed"/>
          <w:sz w:val="24"/>
          <w:szCs w:val="24"/>
        </w:rPr>
        <w:t xml:space="preserve"> msu — https://archive.lib.msu.edu/DMC/state_news/1975/state_news_19750725.pdf (https://archive.lib.msu.edu/DMC/state_news/1975/state_news_19750725.pdf)</w:t>
      </w:r>
    </w:p>
    <w:p>
      <w:pPr>
        <w:spacing w:after="120" w:line="276"/>
        <w:jc w:val="both"/>
      </w:pPr>
      <w:r>
        <w:rPr>
          <w:rFonts w:ascii="Barlow Semi Condensed" w:cs="Barlow Semi Condensed" w:eastAsia="Barlow Semi Condensed" w:hAnsi="Barlow Semi Condensed"/>
          <w:b/>
          <w:bCs/>
          <w:sz w:val="24"/>
          <w:szCs w:val="24"/>
        </w:rPr>
        <w:t xml:space="preserve">438.</w:t>
      </w:r>
      <w:r>
        <w:rPr>
          <w:rFonts w:ascii="Barlow Semi Condensed" w:cs="Barlow Semi Condensed" w:eastAsia="Barlow Semi Condensed" w:hAnsi="Barlow Semi Condensed"/>
          <w:sz w:val="24"/>
          <w:szCs w:val="24"/>
        </w:rPr>
        <w:t xml:space="preserve"> state — https://history.state.gov/historicaldocuments/frus1977-80v21/d121 (https://history.state.gov/historicaldocuments/frus1977-80v21/d121)</w:t>
      </w:r>
    </w:p>
    <w:p>
      <w:pPr>
        <w:spacing w:after="120" w:line="276"/>
        <w:jc w:val="both"/>
      </w:pPr>
      <w:r>
        <w:rPr>
          <w:rFonts w:ascii="Barlow Semi Condensed" w:cs="Barlow Semi Condensed" w:eastAsia="Barlow Semi Condensed" w:hAnsi="Barlow Semi Condensed"/>
          <w:b/>
          <w:bCs/>
          <w:sz w:val="24"/>
          <w:szCs w:val="24"/>
        </w:rPr>
        <w:t xml:space="preserve">439.</w:t>
      </w:r>
      <w:r>
        <w:rPr>
          <w:rFonts w:ascii="Barlow Semi Condensed" w:cs="Barlow Semi Condensed" w:eastAsia="Barlow Semi Condensed" w:hAnsi="Barlow Semi Condensed"/>
          <w:sz w:val="24"/>
          <w:szCs w:val="24"/>
        </w:rPr>
        <w:t xml:space="preserve"> DEU University — https://web.deu.edu.tr/kibris/articles/aftermath.html (https://web.deu.edu.tr/kibris/articles/aftermath.html)</w:t>
      </w:r>
    </w:p>
    <w:p>
      <w:pPr>
        <w:spacing w:after="120" w:line="276"/>
        <w:jc w:val="both"/>
      </w:pPr>
      <w:r>
        <w:rPr>
          <w:rFonts w:ascii="Barlow Semi Condensed" w:cs="Barlow Semi Condensed" w:eastAsia="Barlow Semi Condensed" w:hAnsi="Barlow Semi Condensed"/>
          <w:b/>
          <w:bCs/>
          <w:sz w:val="24"/>
          <w:szCs w:val="24"/>
        </w:rPr>
        <w:t xml:space="preserve">440.</w:t>
      </w:r>
      <w:r>
        <w:rPr>
          <w:rFonts w:ascii="Barlow Semi Condensed" w:cs="Barlow Semi Condensed" w:eastAsia="Barlow Semi Condensed" w:hAnsi="Barlow Semi Condensed"/>
          <w:sz w:val="24"/>
          <w:szCs w:val="24"/>
        </w:rPr>
        <w:t xml:space="preserve"> Eliamep — https://www.eliamep.gr/en/oi-ellinotourkikes-diafores-sto-thalassio-choro-apo-tin-optiki-tou-diethnous-dikaiou/ (https://www.eliamep.gr/en/oi-ellinotourkikes-diafores-sto-thalassio-choro-apo-tin-optiki-tou-diethnous-dikaiou/)</w:t>
      </w:r>
    </w:p>
    <w:p>
      <w:pPr>
        <w:spacing w:after="120" w:line="276"/>
        <w:jc w:val="both"/>
      </w:pPr>
      <w:r>
        <w:rPr>
          <w:rFonts w:ascii="Barlow Semi Condensed" w:cs="Barlow Semi Condensed" w:eastAsia="Barlow Semi Condensed" w:hAnsi="Barlow Semi Condensed"/>
          <w:b/>
          <w:bCs/>
          <w:sz w:val="24"/>
          <w:szCs w:val="24"/>
        </w:rPr>
        <w:t xml:space="preserve">441.</w:t>
      </w:r>
      <w:r>
        <w:rPr>
          <w:rFonts w:ascii="Barlow Semi Condensed" w:cs="Barlow Semi Condensed" w:eastAsia="Barlow Semi Condensed" w:hAnsi="Barlow Semi Condensed"/>
          <w:sz w:val="24"/>
          <w:szCs w:val="24"/>
        </w:rPr>
        <w:t xml:space="preserve"> International Court of Justice — https://www.icj-cij.org/node/103115 (https://www.icj-cij.org/node/103115)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442.</w:t>
      </w:r>
      <w:r>
        <w:rPr>
          <w:rFonts w:ascii="Barlow Semi Condensed" w:cs="Barlow Semi Condensed" w:eastAsia="Barlow Semi Condensed" w:hAnsi="Barlow Semi Condensed"/>
          <w:sz w:val="24"/>
          <w:szCs w:val="24"/>
        </w:rPr>
        <w:t xml:space="preserve"> ResearchGate — https://www.researchgate.net/publication/340592573_Aegean_Sea_Continental_Shelf_Greece_v_Turkey (https://www.researchgate.net/publication/340592573_Aegean_Sea_Continental_Shelf_Greece_v_Turkey)</w:t>
      </w:r>
    </w:p>
    <w:p>
      <w:pPr>
        <w:spacing w:after="120" w:line="276"/>
        <w:jc w:val="both"/>
      </w:pPr>
      <w:r>
        <w:rPr>
          <w:rFonts w:ascii="Barlow Semi Condensed" w:cs="Barlow Semi Condensed" w:eastAsia="Barlow Semi Condensed" w:hAnsi="Barlow Semi Condensed"/>
          <w:b/>
          <w:bCs/>
          <w:sz w:val="24"/>
          <w:szCs w:val="24"/>
        </w:rPr>
        <w:t xml:space="preserve">443.</w:t>
      </w:r>
      <w:r>
        <w:rPr>
          <w:rFonts w:ascii="Barlow Semi Condensed" w:cs="Barlow Semi Condensed" w:eastAsia="Barlow Semi Condensed" w:hAnsi="Barlow Semi Condensed"/>
          <w:sz w:val="24"/>
          <w:szCs w:val="24"/>
        </w:rPr>
        <w:t xml:space="preserve"> Taylor &amp; Francis Online — https://www.tandfonline.com/doi/abs/10.1080/00908320590909088 (https://www.tandfonline.com/doi/abs/10.1080/00908320590909088)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444.</w:t>
      </w:r>
      <w:r>
        <w:rPr>
          <w:rFonts w:ascii="Barlow Semi Condensed" w:cs="Barlow Semi Condensed" w:eastAsia="Barlow Semi Condensed" w:hAnsi="Barlow Semi Condensed"/>
          <w:sz w:val="24"/>
          <w:szCs w:val="24"/>
        </w:rPr>
        <w:t xml:space="preserve"> Agenzia Nova — https://www.agenzianova.com/news/ucraina-russia-erdogan-applicheremo-convenzione-montreux-per-limitare-conflitto/ (https://www.agenzianova.com/news/ucraina-russia-erdogan-applicheremo-convenzione-montreux-per-limitare-conflitto/)</w:t>
      </w:r>
    </w:p>
    <w:p>
      <w:pPr>
        <w:spacing w:after="120" w:line="276"/>
        <w:jc w:val="both"/>
      </w:pPr>
      <w:r>
        <w:rPr>
          <w:rFonts w:ascii="Barlow Semi Condensed" w:cs="Barlow Semi Condensed" w:eastAsia="Barlow Semi Condensed" w:hAnsi="Barlow Semi Condensed"/>
          <w:b/>
          <w:bCs/>
          <w:sz w:val="24"/>
          <w:szCs w:val="24"/>
        </w:rPr>
        <w:t xml:space="preserve">445.</w:t>
      </w:r>
      <w:r>
        <w:rPr>
          <w:rFonts w:ascii="Barlow Semi Condensed" w:cs="Barlow Semi Condensed" w:eastAsia="Barlow Semi Condensed" w:hAnsi="Barlow Semi Condensed"/>
          <w:sz w:val="24"/>
          <w:szCs w:val="24"/>
        </w:rPr>
        <w:t xml:space="preserve"> it.google-info.cn — https://amp.it.google-info.cn/2723395/1/convenzione-di-montreux.html (https://amp.it.google-info.cn/2723395/1/convenzione-di-montreux.html)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446.</w:t>
      </w:r>
      <w:r>
        <w:rPr>
          <w:rFonts w:ascii="Barlow Semi Condensed" w:cs="Barlow Semi Condensed" w:eastAsia="Barlow Semi Condensed" w:hAnsi="Barlow Semi Condensed"/>
          <w:sz w:val="24"/>
          <w:szCs w:val="24"/>
        </w:rPr>
        <w:t xml:space="preserve"> Wikipedia — https://it.wikipedia.org/wiki/Convenzione_di_Montreux (https://it.wikipedia.org/wiki/Convenzione_di_Montreux)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447.</w:t>
      </w:r>
      <w:r>
        <w:rPr>
          <w:rFonts w:ascii="Barlow Semi Condensed" w:cs="Barlow Semi Condensed" w:eastAsia="Barlow Semi Condensed" w:hAnsi="Barlow Semi Condensed"/>
          <w:sz w:val="24"/>
          <w:szCs w:val="24"/>
        </w:rPr>
        <w:t xml:space="preserve"> Esteri — https://ambankara.esteri.it/it/italia-e-turchia/ (https://ambankara.esteri.it/it/italia-e-turchia/)</w:t>
      </w:r>
    </w:p>
    <w:p>
      <w:pPr>
        <w:spacing w:after="120" w:line="276"/>
        <w:jc w:val="both"/>
      </w:pPr>
      <w:r>
        <w:rPr>
          <w:rFonts w:ascii="Barlow Semi Condensed" w:cs="Barlow Semi Condensed" w:eastAsia="Barlow Semi Condensed" w:hAnsi="Barlow Semi Condensed"/>
          <w:b/>
          <w:bCs/>
          <w:sz w:val="24"/>
          <w:szCs w:val="24"/>
        </w:rPr>
        <w:t xml:space="preserve">448.</w:t>
      </w:r>
      <w:r>
        <w:rPr>
          <w:rFonts w:ascii="Barlow Semi Condensed" w:cs="Barlow Semi Condensed" w:eastAsia="Barlow Semi Condensed" w:hAnsi="Barlow Semi Condensed"/>
          <w:sz w:val="24"/>
          <w:szCs w:val="24"/>
        </w:rPr>
        <w:t xml:space="preserve"> Cespi — https://www.cespi.it/sites/default/files/osservatori/allegati/apr._2_marsili_italia-turchia.pdf (https://www.cespi.it/sites/default/files/osservatori/allegati/apr._2_marsili_italia-turchia.pdf)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449.</w:t>
      </w:r>
      <w:r>
        <w:rPr>
          <w:rFonts w:ascii="Barlow Semi Condensed" w:cs="Barlow Semi Condensed" w:eastAsia="Barlow Semi Condensed" w:hAnsi="Barlow Semi Condensed"/>
          <w:sz w:val="24"/>
          <w:szCs w:val="24"/>
        </w:rPr>
        <w:t xml:space="preserve"> Wikipedia — https://it.wikipedia.org/wiki/Relazioni_bilaterali_tra_Italia_e_Turchia (https://it.wikipedia.org/wiki/Relazioni_bilaterali_tra_Italia_e_Turchia)</w:t>
      </w:r>
    </w:p>
    <w:p>
      <w:pPr>
        <w:spacing w:after="120" w:line="276"/>
        <w:jc w:val="both"/>
      </w:pPr>
      <w:r>
        <w:rPr>
          <w:rFonts w:ascii="Barlow Semi Condensed" w:cs="Barlow Semi Condensed" w:eastAsia="Barlow Semi Condensed" w:hAnsi="Barlow Semi Condensed"/>
          <w:b/>
          <w:bCs/>
          <w:sz w:val="24"/>
          <w:szCs w:val="24"/>
        </w:rPr>
        <w:t xml:space="preserve">450.</w:t>
      </w:r>
      <w:r>
        <w:rPr>
          <w:rFonts w:ascii="Barlow Semi Condensed" w:cs="Barlow Semi Condensed" w:eastAsia="Barlow Semi Condensed" w:hAnsi="Barlow Semi Condensed"/>
          <w:sz w:val="24"/>
          <w:szCs w:val="24"/>
        </w:rPr>
        <w:t xml:space="preserve"> Gazzetta Ufficiale — https://www.gazzettaufficiale.it/atto/vediMenuHTML?atto.dataPubblicazioneGazzetta=1993-10-15&amp;atto.codiceRedazionale=093A5659&amp;tipoSerie=serie_generale&amp;tipoVigenza=originario (https://www.gazzettaufficiale.it/atto/vediMenuHTML?atto.dataPubblicazioneGazzetta=1993-10-15&amp;atto.codiceRedazionale=093A5659&amp;tipoSerie=serie_generale&amp;tipoVigenza=originario)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451.</w:t>
      </w:r>
      <w:r>
        <w:rPr>
          <w:rFonts w:ascii="Barlow Semi Condensed" w:cs="Barlow Semi Condensed" w:eastAsia="Barlow Semi Condensed" w:hAnsi="Barlow Semi Condensed"/>
          <w:sz w:val="24"/>
          <w:szCs w:val="24"/>
        </w:rPr>
        <w:t xml:space="preserve"> state — https://history.state.gov/historicaldocuments/frus1969-76v30/d208 (https://history.state.gov/historicaldocuments/frus1969-76v30/d208)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452.</w:t>
      </w:r>
      <w:r>
        <w:rPr>
          <w:rFonts w:ascii="Barlow Semi Condensed" w:cs="Barlow Semi Condensed" w:eastAsia="Barlow Semi Condensed" w:hAnsi="Barlow Semi Condensed"/>
          <w:sz w:val="24"/>
          <w:szCs w:val="24"/>
        </w:rPr>
        <w:t xml:space="preserve"> ResearchGate — https://www.researchgate.net/publication/262013273_A_Very_Gradual_Suppression_A_History_of_Turkish_Opium_Controls_1933-1974 (https://www.researchgate.net/publication/262013273_A_Very_Gradual_Suppression_A_History_of_Turkish_Opium_Controls_1933-1974)</w:t>
      </w:r>
    </w:p>
    <w:p>
      <w:pPr>
        <w:spacing w:after="120" w:line="276"/>
        <w:jc w:val="both"/>
      </w:pPr>
      <w:r>
        <w:rPr>
          <w:rFonts w:ascii="Barlow Semi Condensed" w:cs="Barlow Semi Condensed" w:eastAsia="Barlow Semi Condensed" w:hAnsi="Barlow Semi Condensed"/>
          <w:b/>
          <w:bCs/>
          <w:sz w:val="24"/>
          <w:szCs w:val="24"/>
        </w:rPr>
        <w:t xml:space="preserve">453.</w:t>
      </w:r>
      <w:r>
        <w:rPr>
          <w:rFonts w:ascii="Barlow Semi Condensed" w:cs="Barlow Semi Condensed" w:eastAsia="Barlow Semi Condensed" w:hAnsi="Barlow Semi Condensed"/>
          <w:sz w:val="24"/>
          <w:szCs w:val="24"/>
        </w:rPr>
        <w:t xml:space="preserve"> state — https://history.state.gov/historicaldocuments/frus1969-76v30/d204 (https://history.state.gov/historicaldocuments/frus1969-76v30/d204)</w:t>
      </w:r>
    </w:p>
    <w:p>
      <w:pPr>
        <w:spacing w:after="120" w:line="276"/>
        <w:jc w:val="both"/>
      </w:pPr>
      <w:r>
        <w:rPr>
          <w:rFonts w:ascii="Barlow Semi Condensed" w:cs="Barlow Semi Condensed" w:eastAsia="Barlow Semi Condensed" w:hAnsi="Barlow Semi Condensed"/>
          <w:b/>
          <w:bCs/>
          <w:sz w:val="24"/>
          <w:szCs w:val="24"/>
        </w:rPr>
        <w:t xml:space="preserve">454.</w:t>
      </w:r>
      <w:r>
        <w:rPr>
          <w:rFonts w:ascii="Barlow Semi Condensed" w:cs="Barlow Semi Condensed" w:eastAsia="Barlow Semi Condensed" w:hAnsi="Barlow Semi Condensed"/>
          <w:sz w:val="24"/>
          <w:szCs w:val="24"/>
        </w:rPr>
        <w:t xml:space="preserve"> state — https://history.state.gov/historicaldocuments/frus1969-76ve03/d154 (https://history.state.gov/historicaldocuments/frus1969-76ve03/d154)</w:t>
      </w:r>
    </w:p>
    <w:p>
      <w:pPr>
        <w:spacing w:after="120" w:line="276"/>
        <w:jc w:val="both"/>
      </w:pPr>
      <w:r>
        <w:rPr>
          <w:rFonts w:ascii="Barlow Semi Condensed" w:cs="Barlow Semi Condensed" w:eastAsia="Barlow Semi Condensed" w:hAnsi="Barlow Semi Condensed"/>
          <w:b/>
          <w:bCs/>
          <w:sz w:val="24"/>
          <w:szCs w:val="24"/>
        </w:rPr>
        <w:t xml:space="preserve">455.</w:t>
      </w:r>
      <w:r>
        <w:rPr>
          <w:rFonts w:ascii="Barlow Semi Condensed" w:cs="Barlow Semi Condensed" w:eastAsia="Barlow Semi Condensed" w:hAnsi="Barlow Semi Condensed"/>
          <w:sz w:val="24"/>
          <w:szCs w:val="24"/>
        </w:rPr>
        <w:t xml:space="preserve"> state — https://history.state.gov/historicaldocuments/frus1969-76v30/d209 (https://history.state.gov/historicaldocuments/frus1969-76v30/d209)</w:t>
      </w:r>
    </w:p>
    <w:p>
      <w:pPr>
        <w:spacing w:after="120" w:line="276"/>
        <w:jc w:val="both"/>
      </w:pPr>
      <w:r>
        <w:rPr>
          <w:rFonts w:ascii="Barlow Semi Condensed" w:cs="Barlow Semi Condensed" w:eastAsia="Barlow Semi Condensed" w:hAnsi="Barlow Semi Condensed"/>
          <w:b/>
          <w:bCs/>
          <w:sz w:val="24"/>
          <w:szCs w:val="24"/>
        </w:rPr>
        <w:t xml:space="preserve">456.</w:t>
      </w:r>
      <w:r>
        <w:rPr>
          <w:rFonts w:ascii="Barlow Semi Condensed" w:cs="Barlow Semi Condensed" w:eastAsia="Barlow Semi Condensed" w:hAnsi="Barlow Semi Condensed"/>
          <w:sz w:val="24"/>
          <w:szCs w:val="24"/>
        </w:rPr>
        <w:t xml:space="preserve"> state — https://history.state.gov/historicaldocuments/frus1969-76ve03/d164 (https://history.state.gov/historicaldocuments/frus1969-76ve03/d164)</w:t>
      </w:r>
    </w:p>
    <w:p>
      <w:pPr>
        <w:spacing w:after="120" w:line="276"/>
        <w:jc w:val="both"/>
      </w:pPr>
      <w:r>
        <w:rPr>
          <w:rFonts w:ascii="Barlow Semi Condensed" w:cs="Barlow Semi Condensed" w:eastAsia="Barlow Semi Condensed" w:hAnsi="Barlow Semi Condensed"/>
          <w:b/>
          <w:bCs/>
          <w:sz w:val="24"/>
          <w:szCs w:val="24"/>
        </w:rPr>
        <w:t xml:space="preserve">457.</w:t>
      </w:r>
      <w:r>
        <w:rPr>
          <w:rFonts w:ascii="Barlow Semi Condensed" w:cs="Barlow Semi Condensed" w:eastAsia="Barlow Semi Condensed" w:hAnsi="Barlow Semi Condensed"/>
          <w:sz w:val="24"/>
          <w:szCs w:val="24"/>
        </w:rPr>
        <w:t xml:space="preserve"> Grokipedia — https://grokipedia.com/page/Turkish_mafia (https://grokipedia.com/page/Turkish_mafia)</w:t>
      </w:r>
    </w:p>
    <w:p>
      <w:pPr>
        <w:spacing w:after="120" w:line="276"/>
        <w:jc w:val="both"/>
      </w:pPr>
      <w:r>
        <w:rPr>
          <w:rFonts w:ascii="Barlow Semi Condensed" w:cs="Barlow Semi Condensed" w:eastAsia="Barlow Semi Condensed" w:hAnsi="Barlow Semi Condensed"/>
          <w:b/>
          <w:bCs/>
          <w:sz w:val="24"/>
          <w:szCs w:val="24"/>
        </w:rPr>
        <w:t xml:space="preserve">458.</w:t>
      </w:r>
      <w:r>
        <w:rPr>
          <w:rFonts w:ascii="Barlow Semi Condensed" w:cs="Barlow Semi Condensed" w:eastAsia="Barlow Semi Condensed" w:hAnsi="Barlow Semi Condensed"/>
          <w:sz w:val="24"/>
          <w:szCs w:val="24"/>
        </w:rPr>
        <w:t xml:space="preserve"> Discover Walks — https://www.discoverwalks.com/blog/paris/all-about-the-french-connection/ (https://www.discoverwalks.com/blog/paris/all-about-the-french-connection/)</w:t>
      </w:r>
    </w:p>
    <w:p>
      <w:pPr>
        <w:spacing w:after="120" w:line="276"/>
        <w:jc w:val="both"/>
      </w:pPr>
      <w:r>
        <w:rPr>
          <w:rFonts w:ascii="Barlow Semi Condensed" w:cs="Barlow Semi Condensed" w:eastAsia="Barlow Semi Condensed" w:hAnsi="Barlow Semi Condensed"/>
          <w:b/>
          <w:bCs/>
          <w:sz w:val="24"/>
          <w:szCs w:val="24"/>
        </w:rPr>
        <w:t xml:space="preserve">459.</w:t>
      </w:r>
      <w:r>
        <w:rPr>
          <w:rFonts w:ascii="Barlow Semi Condensed" w:cs="Barlow Semi Condensed" w:eastAsia="Barlow Semi Condensed" w:hAnsi="Barlow Semi Condensed"/>
          <w:sz w:val="24"/>
          <w:szCs w:val="24"/>
        </w:rPr>
        <w:t xml:space="preserve"> Wikipedia — https://en.wikipedia.org/wiki/Balkan_Route (https://en.wikipedia.org/wiki/Balkan_Route)</w:t>
      </w:r>
    </w:p>
    <w:p>
      <w:pPr>
        <w:spacing w:after="120" w:line="276"/>
        <w:jc w:val="both"/>
      </w:pPr>
      <w:r>
        <w:rPr>
          <w:rFonts w:ascii="Barlow Semi Condensed" w:cs="Barlow Semi Condensed" w:eastAsia="Barlow Semi Condensed" w:hAnsi="Barlow Semi Condensed"/>
          <w:b/>
          <w:bCs/>
          <w:sz w:val="24"/>
          <w:szCs w:val="24"/>
        </w:rPr>
        <w:t xml:space="preserve">460.</w:t>
      </w:r>
      <w:r>
        <w:rPr>
          <w:rFonts w:ascii="Barlow Semi Condensed" w:cs="Barlow Semi Condensed" w:eastAsia="Barlow Semi Condensed" w:hAnsi="Barlow Semi Condensed"/>
          <w:sz w:val="24"/>
          <w:szCs w:val="24"/>
        </w:rPr>
        <w:t xml:space="preserve"> Wikipedia — https://en.wikipedia.org/wiki/Halki_seminary (https://en.wikipedia.org/wiki/Halki_seminary)</w:t>
      </w:r>
    </w:p>
    <w:p>
      <w:pPr>
        <w:spacing w:after="120" w:line="276"/>
        <w:jc w:val="both"/>
      </w:pPr>
      <w:r>
        <w:rPr>
          <w:rFonts w:ascii="Barlow Semi Condensed" w:cs="Barlow Semi Condensed" w:eastAsia="Barlow Semi Condensed" w:hAnsi="Barlow Semi Condensed"/>
          <w:b/>
          <w:bCs/>
          <w:sz w:val="24"/>
          <w:szCs w:val="24"/>
        </w:rPr>
        <w:t xml:space="preserve">461.</w:t>
      </w:r>
      <w:r>
        <w:rPr>
          <w:rFonts w:ascii="Barlow Semi Condensed" w:cs="Barlow Semi Condensed" w:eastAsia="Barlow Semi Condensed" w:hAnsi="Barlow Semi Condensed"/>
          <w:sz w:val="24"/>
          <w:szCs w:val="24"/>
        </w:rPr>
        <w:t xml:space="preserve"> Asia News — https://www.asianews.it/notizie-it/Halki-e-la-chiesa-biblioteca-di-Adana:-il-futuro-(incerto (https://www.asianews.it/notizie-it/Halki-e-la-chiesa-biblioteca-di-Adana:-il-futuro-(incerto)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462.</w:t>
      </w:r>
      <w:r>
        <w:rPr>
          <w:rFonts w:ascii="Barlow Semi Condensed" w:cs="Barlow Semi Condensed" w:eastAsia="Barlow Semi Condensed" w:hAnsi="Barlow Semi Condensed"/>
          <w:sz w:val="24"/>
          <w:szCs w:val="24"/>
        </w:rPr>
        <w:t xml:space="preserve"> Türkiye Today — https://www.turkiyetoday.com/nation/turkiye-plans-to-reopen-halki-seminary-as-university-after-more-than-50-years-3222222 (https://www.turkiyetoday.com/nation/turkiye-plans-to-reopen-halki-seminary-as-university-after-more-than-50-years-3222222)</w:t>
      </w:r>
    </w:p>
    <w:p>
      <w:pPr>
        <w:spacing w:after="120" w:line="276"/>
        <w:jc w:val="both"/>
      </w:pPr>
      <w:r>
        <w:rPr>
          <w:rFonts w:ascii="Barlow Semi Condensed" w:cs="Barlow Semi Condensed" w:eastAsia="Barlow Semi Condensed" w:hAnsi="Barlow Semi Condensed"/>
          <w:b/>
          <w:bCs/>
          <w:sz w:val="24"/>
          <w:szCs w:val="24"/>
        </w:rPr>
        <w:t xml:space="preserve">463.</w:t>
      </w:r>
      <w:r>
        <w:rPr>
          <w:rFonts w:ascii="Barlow Semi Condensed" w:cs="Barlow Semi Condensed" w:eastAsia="Barlow Semi Condensed" w:hAnsi="Barlow Semi Condensed"/>
          <w:sz w:val="24"/>
          <w:szCs w:val="24"/>
        </w:rPr>
        <w:t xml:space="preserve"> Greek Orthodox Archdiocese of America — https://www.goarch.org/-/he-halki (https://www.goarch.org/-/he-halki)</w:t>
      </w:r>
    </w:p>
    <w:p>
      <w:pPr>
        <w:spacing w:after="120" w:line="276"/>
        <w:jc w:val="both"/>
      </w:pPr>
      <w:r>
        <w:rPr>
          <w:rFonts w:ascii="Barlow Semi Condensed" w:cs="Barlow Semi Condensed" w:eastAsia="Barlow Semi Condensed" w:hAnsi="Barlow Semi Condensed"/>
          <w:b/>
          <w:bCs/>
          <w:sz w:val="24"/>
          <w:szCs w:val="24"/>
        </w:rPr>
        <w:t xml:space="preserve">464.</w:t>
      </w:r>
      <w:r>
        <w:rPr>
          <w:rFonts w:ascii="Barlow Semi Condensed" w:cs="Barlow Semi Condensed" w:eastAsia="Barlow Semi Condensed" w:hAnsi="Barlow Semi Condensed"/>
          <w:sz w:val="24"/>
          <w:szCs w:val="24"/>
        </w:rPr>
        <w:t xml:space="preserve"> La Fiaccola — https://www.lafiaccola.it/wp/alla-conferenza-dellosce-il-patriarcato-ecumenico-e-la-minoranza-greca-in-turchia/ (https://www.lafiaccola.it/wp/alla-conferenza-dellosce-il-patriarcato-ecumenico-e-la-minoranza-greca-in-turchia/)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465.</w:t>
      </w:r>
      <w:r>
        <w:rPr>
          <w:rFonts w:ascii="Barlow Semi Condensed" w:cs="Barlow Semi Condensed" w:eastAsia="Barlow Semi Condensed" w:hAnsi="Barlow Semi Condensed"/>
          <w:sz w:val="24"/>
          <w:szCs w:val="24"/>
        </w:rPr>
        <w:t xml:space="preserve"> Internazionale — https://www.internazionale.it/ultime-notizie-reuters/2026/06/21/erdogan-orders-talks-to-reopen-orthodox-christian-seminary-in-turkey-a-focus-for-trump (https://www.internazionale.it/ultime-notizie-reuters/2026/06/21/erdogan-orders-talks-to-reopen-orthodox-christian-seminary-in-turkey-a-focus-for-trump)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466.</w:t>
      </w:r>
      <w:r>
        <w:rPr>
          <w:rFonts w:ascii="Barlow Semi Condensed" w:cs="Barlow Semi Condensed" w:eastAsia="Barlow Semi Condensed" w:hAnsi="Barlow Semi Condensed"/>
          <w:sz w:val="24"/>
          <w:szCs w:val="24"/>
        </w:rPr>
        <w:t xml:space="preserve"> SettimanaNews — https://www.settimananews.it/chiesa/turchia-bartolomeo-fiducioso-sulla-riapertura-di-halki/ (https://www.settimananews.it/chiesa/turchia-bartolomeo-fiducioso-sulla-riapertura-di-halki/)</w:t>
      </w:r>
    </w:p>
    <w:p>
      <w:pPr>
        <w:spacing w:after="120" w:line="276"/>
        <w:jc w:val="both"/>
      </w:pPr>
      <w:r>
        <w:rPr>
          <w:rFonts w:ascii="Barlow Semi Condensed" w:cs="Barlow Semi Condensed" w:eastAsia="Barlow Semi Condensed" w:hAnsi="Barlow Semi Condensed"/>
          <w:b/>
          <w:bCs/>
          <w:sz w:val="24"/>
          <w:szCs w:val="24"/>
        </w:rPr>
        <w:t xml:space="preserve">467.</w:t>
      </w:r>
      <w:r>
        <w:rPr>
          <w:rFonts w:ascii="Barlow Semi Condensed" w:cs="Barlow Semi Condensed" w:eastAsia="Barlow Semi Condensed" w:hAnsi="Barlow Semi Condensed"/>
          <w:sz w:val="24"/>
          <w:szCs w:val="24"/>
        </w:rPr>
        <w:t xml:space="preserve"> Il Sole 24 ORE — https://www.ilsole24ore.com/art/notizie/2012-07-11/turchi-vogliono-chiudere-monastero-192229.shtml?uuid=AbqTFS6F (https://www.ilsole24ore.com/art/notizie/2012-07-11/turchi-vogliono-chiudere-monastero-192229.shtml?uuid=AbqTFS6F)</w:t>
      </w:r>
    </w:p>
    <w:p>
      <w:pPr>
        <w:spacing w:after="120" w:line="276"/>
        <w:jc w:val="both"/>
      </w:pPr>
      <w:r>
        <w:rPr>
          <w:rFonts w:ascii="Barlow Semi Condensed" w:cs="Barlow Semi Condensed" w:eastAsia="Barlow Semi Condensed" w:hAnsi="Barlow Semi Condensed"/>
          <w:b/>
          <w:bCs/>
          <w:sz w:val="24"/>
          <w:szCs w:val="24"/>
        </w:rPr>
        <w:t xml:space="preserve">468.</w:t>
      </w:r>
      <w:r>
        <w:rPr>
          <w:rFonts w:ascii="Barlow Semi Condensed" w:cs="Barlow Semi Condensed" w:eastAsia="Barlow Semi Condensed" w:hAnsi="Barlow Semi Condensed"/>
          <w:sz w:val="24"/>
          <w:szCs w:val="24"/>
        </w:rPr>
        <w:t xml:space="preserve"> Wikipedia — https://en.wikipedia.org/wiki/Athenagoras_I_of_Constantinople (https://en.wikipedia.org/wiki/Athenagoras_I_of_Constantinople)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469.</w:t>
      </w:r>
      <w:r>
        <w:rPr>
          <w:rFonts w:ascii="Barlow Semi Condensed" w:cs="Barlow Semi Condensed" w:eastAsia="Barlow Semi Condensed" w:hAnsi="Barlow Semi Condensed"/>
          <w:sz w:val="24"/>
          <w:szCs w:val="24"/>
        </w:rPr>
        <w:t xml:space="preserve"> UPSA — https://summa.upsa.es/high.raw?id=0000001470&amp;name=00000001.original.pdf (https://summa.upsa.es/high.raw?id=0000001470&amp;name=00000001.original.pdf)</w:t>
      </w:r>
    </w:p>
    <w:p>
      <w:pPr>
        <w:spacing w:after="120" w:line="276"/>
        <w:jc w:val="both"/>
      </w:pPr>
      <w:r>
        <w:rPr>
          <w:rFonts w:ascii="Barlow Semi Condensed" w:cs="Barlow Semi Condensed" w:eastAsia="Barlow Semi Condensed" w:hAnsi="Barlow Semi Condensed"/>
          <w:b/>
          <w:bCs/>
          <w:sz w:val="24"/>
          <w:szCs w:val="24"/>
        </w:rPr>
        <w:t xml:space="preserve">470.</w:t>
      </w:r>
      <w:r>
        <w:rPr>
          <w:rFonts w:ascii="Barlow Semi Condensed" w:cs="Barlow Semi Condensed" w:eastAsia="Barlow Semi Condensed" w:hAnsi="Barlow Semi Condensed"/>
          <w:sz w:val="24"/>
          <w:szCs w:val="24"/>
        </w:rPr>
        <w:t xml:space="preserve"> Arche — https://fraternita.arche.it/testimoni/atenagora-i/ (https://fraternita.arche.it/testimoni/atenagora-i/)</w:t>
      </w:r>
    </w:p>
    <w:p>
      <w:pPr>
        <w:spacing w:after="120" w:line="276"/>
        <w:jc w:val="both"/>
      </w:pPr>
      <w:r>
        <w:rPr>
          <w:rFonts w:ascii="Barlow Semi Condensed" w:cs="Barlow Semi Condensed" w:eastAsia="Barlow Semi Condensed" w:hAnsi="Barlow Semi Condensed"/>
          <w:b/>
          <w:bCs/>
          <w:sz w:val="24"/>
          <w:szCs w:val="24"/>
        </w:rPr>
        <w:t xml:space="preserve">471.</w:t>
      </w:r>
      <w:r>
        <w:rPr>
          <w:rFonts w:ascii="Barlow Semi Condensed" w:cs="Barlow Semi Condensed" w:eastAsia="Barlow Semi Condensed" w:hAnsi="Barlow Semi Condensed"/>
          <w:sz w:val="24"/>
          <w:szCs w:val="24"/>
        </w:rPr>
        <w:t xml:space="preserve"> Thearda — https://www.thearda.com/us-religion/history/timelines/entry?etype=5&amp;eid=141 (https://www.thearda.com/us-religion/history/timelines/entry?etype=5&amp;eid=141)</w:t>
      </w:r>
    </w:p>
    <w:p>
      <w:pPr>
        <w:spacing w:after="120" w:line="276"/>
        <w:jc w:val="both"/>
      </w:pPr>
      <w:r>
        <w:rPr>
          <w:rFonts w:ascii="Barlow Semi Condensed" w:cs="Barlow Semi Condensed" w:eastAsia="Barlow Semi Condensed" w:hAnsi="Barlow Semi Condensed"/>
          <w:b/>
          <w:bCs/>
          <w:sz w:val="24"/>
          <w:szCs w:val="24"/>
        </w:rPr>
        <w:t xml:space="preserve">472.</w:t>
      </w:r>
      <w:r>
        <w:rPr>
          <w:rFonts w:ascii="Barlow Semi Condensed" w:cs="Barlow Semi Condensed" w:eastAsia="Barlow Semi Condensed" w:hAnsi="Barlow Semi Condensed"/>
          <w:sz w:val="24"/>
          <w:szCs w:val="24"/>
        </w:rPr>
        <w:t xml:space="preserve"> SettimanaNews — https://www.settimananews.it/ecumenismo-dialogo/chiesa-latina-turchia-dal-dentro/ (https://www.settimananews.it/ecumenismo-dialogo/chiesa-latina-turchia-dal-dentro/)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473.</w:t>
      </w:r>
      <w:r>
        <w:rPr>
          <w:rFonts w:ascii="Barlow Semi Condensed" w:cs="Barlow Semi Condensed" w:eastAsia="Barlow Semi Condensed" w:hAnsi="Barlow Semi Condensed"/>
          <w:sz w:val="24"/>
          <w:szCs w:val="24"/>
        </w:rPr>
        <w:t xml:space="preserve"> Wikipedia — https://it.wikipedia.org/wiki/Vicariato_apostolico_di_Istanbul (https://it.wikipedia.org/wiki/Vicariato_apostolico_di_Istanbul)</w:t>
      </w:r>
    </w:p>
    <w:p>
      <w:pPr>
        <w:spacing w:after="120" w:line="276"/>
        <w:jc w:val="both"/>
      </w:pPr>
      <w:r>
        <w:rPr>
          <w:rFonts w:ascii="Barlow Semi Condensed" w:cs="Barlow Semi Condensed" w:eastAsia="Barlow Semi Condensed" w:hAnsi="Barlow Semi Condensed"/>
          <w:b/>
          <w:bCs/>
          <w:sz w:val="24"/>
          <w:szCs w:val="24"/>
        </w:rPr>
        <w:t xml:space="preserve">474.</w:t>
      </w:r>
      <w:r>
        <w:rPr>
          <w:rFonts w:ascii="Barlow Semi Condensed" w:cs="Barlow Semi Condensed" w:eastAsia="Barlow Semi Condensed" w:hAnsi="Barlow Semi Condensed"/>
          <w:sz w:val="24"/>
          <w:szCs w:val="24"/>
        </w:rPr>
        <w:t xml:space="preserve"> SettimanaNews — https://www.settimananews.it/chiesa/cattolici-in-turchia/ (https://www.settimananews.it/chiesa/cattolici-in-turchia/)</w:t>
      </w:r>
    </w:p>
    <w:p>
      <w:pPr>
        <w:spacing w:after="120" w:line="276"/>
        <w:jc w:val="both"/>
      </w:pPr>
      <w:r>
        <w:rPr>
          <w:rFonts w:ascii="Barlow Semi Condensed" w:cs="Barlow Semi Condensed" w:eastAsia="Barlow Semi Condensed" w:hAnsi="Barlow Semi Condensed"/>
          <w:b/>
          <w:bCs/>
          <w:sz w:val="24"/>
          <w:szCs w:val="24"/>
        </w:rPr>
        <w:t xml:space="preserve">475.</w:t>
      </w:r>
      <w:r>
        <w:rPr>
          <w:rFonts w:ascii="Barlow Semi Condensed" w:cs="Barlow Semi Condensed" w:eastAsia="Barlow Semi Condensed" w:hAnsi="Barlow Semi Condensed"/>
          <w:sz w:val="24"/>
          <w:szCs w:val="24"/>
        </w:rPr>
        <w:t xml:space="preserve"> SIR — https://www.agensir.it/chiesa/2025/11/27/le-comunita-cristiane-in-turchia-tra-storia-e-attualita/ (https://www.agensir.it/chiesa/2025/11/27/le-comunita-cristiane-in-turchia-tra-storia-e-attualita/)</w:t>
      </w:r>
    </w:p>
    <w:p>
      <w:pPr>
        <w:spacing w:after="120" w:line="276"/>
        <w:jc w:val="both"/>
      </w:pPr>
      <w:r>
        <w:rPr>
          <w:rFonts w:ascii="Barlow Semi Condensed" w:cs="Barlow Semi Condensed" w:eastAsia="Barlow Semi Condensed" w:hAnsi="Barlow Semi Condensed"/>
          <w:b/>
          <w:bCs/>
          <w:sz w:val="24"/>
          <w:szCs w:val="24"/>
        </w:rPr>
        <w:t xml:space="preserve">476.</w:t>
      </w:r>
      <w:r>
        <w:rPr>
          <w:rFonts w:ascii="Barlow Semi Condensed" w:cs="Barlow Semi Condensed" w:eastAsia="Barlow Semi Condensed" w:hAnsi="Barlow Semi Condensed"/>
          <w:sz w:val="24"/>
          <w:szCs w:val="24"/>
        </w:rPr>
        <w:t xml:space="preserve"> SIR — https://www.agensir.it/quotidiano/2026/4/9/turchia-rapporto-cespi-chiese-scuole-e-proprieta-sono-le-sfide-quotidiane-dei-cattolici-e-dei-cristiani-nel-paese/ (https://www.agensir.it/quotidiano/2026/4/9/turchia-rapporto-cespi-chiese-scuole-e-proprieta-sono-le-sfide-quotidiane-dei-cattolici-e-dei-cristiani-nel-paese/)</w:t>
      </w:r>
    </w:p>
    <w:p>
      <w:pPr>
        <w:spacing w:after="120" w:line="276"/>
        <w:jc w:val="both"/>
      </w:pPr>
      <w:r>
        <w:rPr>
          <w:rFonts w:ascii="Barlow Semi Condensed" w:cs="Barlow Semi Condensed" w:eastAsia="Barlow Semi Condensed" w:hAnsi="Barlow Semi Condensed"/>
          <w:b/>
          <w:bCs/>
          <w:sz w:val="24"/>
          <w:szCs w:val="24"/>
        </w:rPr>
        <w:t xml:space="preserve">477.</w:t>
      </w:r>
      <w:r>
        <w:rPr>
          <w:rFonts w:ascii="Barlow Semi Condensed" w:cs="Barlow Semi Condensed" w:eastAsia="Barlow Semi Condensed" w:hAnsi="Barlow Semi Condensed"/>
          <w:sz w:val="24"/>
          <w:szCs w:val="24"/>
        </w:rPr>
        <w:t xml:space="preserve"> Fratesole — https://turchia.fratesole.com/approfondimenti/i-cristiani-nellimpero-ottomano-e-nella-turchia-moderna/ (https://turchia.fratesole.com/approfondimenti/i-cristiani-nellimpero-ottomano-e-nella-turchia-moderna/)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turchia.fratesole.com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479.</w:t>
      </w:r>
      <w:r>
        <w:rPr>
          <w:rFonts w:ascii="Barlow Semi Condensed" w:cs="Barlow Semi Condensed" w:eastAsia="Barlow Semi Condensed" w:hAnsi="Barlow Semi Condensed"/>
          <w:sz w:val="24"/>
          <w:szCs w:val="24"/>
        </w:rPr>
        <w:t xml:space="preserve"> Vatican News — https://www.vaticannews.va/it/chiesa/news/2025-11/turchia-un-paese-che-e-ponte-mosaico-diamante.html (https://www.vaticannews.va/it/chiesa/news/2025-11/turchia-un-paese-che-e-ponte-mosaico-diamante.html)</w:t>
      </w:r>
    </w:p>
    <w:p>
      <w:pPr>
        <w:spacing w:after="120" w:line="276"/>
        <w:jc w:val="both"/>
      </w:pPr>
      <w:r>
        <w:rPr>
          <w:rFonts w:ascii="Barlow Semi Condensed" w:cs="Barlow Semi Condensed" w:eastAsia="Barlow Semi Condensed" w:hAnsi="Barlow Semi Condensed"/>
          <w:b/>
          <w:bCs/>
          <w:sz w:val="24"/>
          <w:szCs w:val="24"/>
        </w:rPr>
        <w:t xml:space="preserve">480.</w:t>
      </w:r>
      <w:r>
        <w:rPr>
          <w:rFonts w:ascii="Barlow Semi Condensed" w:cs="Barlow Semi Condensed" w:eastAsia="Barlow Semi Condensed" w:hAnsi="Barlow Semi Condensed"/>
          <w:sz w:val="24"/>
          <w:szCs w:val="24"/>
        </w:rPr>
        <w:t xml:space="preserve"> Cathopedia — https://it.cathopedia.org/wiki/Delegato_apostolico_in_Turchia (https://it.cathopedia.org/wiki/Delegato_apostolico_in_Turchia)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481.</w:t>
      </w:r>
      <w:r>
        <w:rPr>
          <w:rFonts w:ascii="Barlow Semi Condensed" w:cs="Barlow Semi Condensed" w:eastAsia="Barlow Semi Condensed" w:hAnsi="Barlow Semi Condensed"/>
          <w:sz w:val="24"/>
          <w:szCs w:val="24"/>
        </w:rPr>
        <w:t xml:space="preserve"> East Journal — https://www.eastjournal.net/archives/145757 (https://www.eastjournal.net/archives/145757)</w:t>
      </w:r>
    </w:p>
    <w:p>
      <w:pPr>
        <w:spacing w:after="120" w:line="276"/>
        <w:jc w:val="both"/>
      </w:pPr>
      <w:r>
        <w:rPr>
          <w:rFonts w:ascii="Barlow Semi Condensed" w:cs="Barlow Semi Condensed" w:eastAsia="Barlow Semi Condensed" w:hAnsi="Barlow Semi Condensed"/>
          <w:b/>
          <w:bCs/>
          <w:sz w:val="24"/>
          <w:szCs w:val="24"/>
        </w:rPr>
        <w:t xml:space="preserve">482.</w:t>
      </w:r>
      <w:r>
        <w:rPr>
          <w:rFonts w:ascii="Barlow Semi Condensed" w:cs="Barlow Semi Condensed" w:eastAsia="Barlow Semi Condensed" w:hAnsi="Barlow Semi Condensed"/>
          <w:sz w:val="24"/>
          <w:szCs w:val="24"/>
        </w:rPr>
        <w:t xml:space="preserve"> Terrasanta — https://www.terrasanta.net/2014/03/il-decennio-turco-di-monsignor-roncalli/ (https://www.terrasanta.net/2014/03/il-decennio-turco-di-monsignor-roncalli/)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483.</w:t>
      </w:r>
      <w:r>
        <w:rPr>
          <w:rFonts w:ascii="Barlow Semi Condensed" w:cs="Barlow Semi Condensed" w:eastAsia="Barlow Semi Condensed" w:hAnsi="Barlow Semi Condensed"/>
          <w:sz w:val="24"/>
          <w:szCs w:val="24"/>
        </w:rPr>
        <w:t xml:space="preserve"> Istanbulofm — https://www.istanbulofm.org/2021/11/le-relazioni-diplomatiche-turchia-santa.html (https://www.istanbulofm.org/2021/11/le-relazioni-diplomatiche-turchia-santa.html)</w:t>
      </w:r>
    </w:p>
    <w:p>
      <w:pPr>
        <w:spacing w:after="120" w:line="276"/>
        <w:jc w:val="both"/>
      </w:pPr>
      <w:r>
        <w:rPr>
          <w:rFonts w:ascii="Barlow Semi Condensed" w:cs="Barlow Semi Condensed" w:eastAsia="Barlow Semi Condensed" w:hAnsi="Barlow Semi Condensed"/>
          <w:b/>
          <w:bCs/>
          <w:sz w:val="24"/>
          <w:szCs w:val="24"/>
        </w:rPr>
        <w:t xml:space="preserve">484.</w:t>
      </w:r>
      <w:r>
        <w:rPr>
          <w:rFonts w:ascii="Barlow Semi Condensed" w:cs="Barlow Semi Condensed" w:eastAsia="Barlow Semi Condensed" w:hAnsi="Barlow Semi Condensed"/>
          <w:sz w:val="24"/>
          <w:szCs w:val="24"/>
        </w:rPr>
        <w:t xml:space="preserve"> Opus Dei — https://opusdei.org/it-it/page/lopus-dei/ (https://opusdei.org/it-it/page/lopus-dei/)</w:t>
      </w:r>
    </w:p>
    <w:p>
      <w:pPr>
        <w:spacing w:after="120" w:line="276"/>
        <w:jc w:val="both"/>
      </w:pPr>
      <w:r>
        <w:rPr>
          <w:rFonts w:ascii="Barlow Semi Condensed" w:cs="Barlow Semi Condensed" w:eastAsia="Barlow Semi Condensed" w:hAnsi="Barlow Semi Condensed"/>
          <w:b/>
          <w:bCs/>
          <w:sz w:val="24"/>
          <w:szCs w:val="24"/>
        </w:rPr>
        <w:t xml:space="preserve">485.</w:t>
      </w:r>
      <w:r>
        <w:rPr>
          <w:rFonts w:ascii="Barlow Semi Condensed" w:cs="Barlow Semi Condensed" w:eastAsia="Barlow Semi Condensed" w:hAnsi="Barlow Semi Condensed"/>
          <w:sz w:val="24"/>
          <w:szCs w:val="24"/>
        </w:rPr>
        <w:t xml:space="preserve"> Wikipedia — https://en.wikipedia.org/wiki/Opus_Dei (https://en.wikipedia.org/wiki/Opus_Dei)</w:t>
      </w:r>
    </w:p>
    <w:p>
      <w:pPr>
        <w:spacing w:after="120" w:line="276"/>
        <w:jc w:val="both"/>
      </w:pPr>
      <w:r>
        <w:rPr>
          <w:rFonts w:ascii="Barlow Semi Condensed" w:cs="Barlow Semi Condensed" w:eastAsia="Barlow Semi Condensed" w:hAnsi="Barlow Semi Condensed"/>
          <w:b/>
          <w:bCs/>
          <w:sz w:val="24"/>
          <w:szCs w:val="24"/>
        </w:rPr>
        <w:t xml:space="preserve">486.</w:t>
      </w:r>
      <w:r>
        <w:rPr>
          <w:rFonts w:ascii="Barlow Semi Condensed" w:cs="Barlow Semi Condensed" w:eastAsia="Barlow Semi Condensed" w:hAnsi="Barlow Semi Condensed"/>
          <w:sz w:val="24"/>
          <w:szCs w:val="24"/>
        </w:rPr>
        <w:t xml:space="preserve"> Opus Dei — https://opusdei.org/en/article/two-muslims-and-a-turkish-orthodox-life-in-nideck-residence/ (https://opusdei.org/en/article/two-muslims-and-a-turkish-orthodox-life-in-nideck-residence/)</w:t>
      </w:r>
    </w:p>
    <w:p>
      <w:pPr>
        <w:spacing w:after="120" w:line="276"/>
        <w:jc w:val="both"/>
      </w:pPr>
      <w:r>
        <w:rPr>
          <w:rFonts w:ascii="Barlow Semi Condensed" w:cs="Barlow Semi Condensed" w:eastAsia="Barlow Semi Condensed" w:hAnsi="Barlow Semi Condensed"/>
          <w:b/>
          <w:bCs/>
          <w:sz w:val="24"/>
          <w:szCs w:val="24"/>
        </w:rPr>
        <w:t xml:space="preserve">487.</w:t>
      </w:r>
      <w:r>
        <w:rPr>
          <w:rFonts w:ascii="Barlow Semi Condensed" w:cs="Barlow Semi Condensed" w:eastAsia="Barlow Semi Condensed" w:hAnsi="Barlow Semi Condensed"/>
          <w:sz w:val="24"/>
          <w:szCs w:val="24"/>
        </w:rPr>
        <w:t xml:space="preserve"> Daily Sabah — https://www.dailysabah.com/politics/2015/01/22/gulen-movement-displays-resemblance-to-opus-dei (https://www.dailysabah.com/politics/2015/01/22/gulen-movement-displays-resemblance-to-opus-dei)</w:t>
      </w:r>
    </w:p>
    <w:p>
      <w:pPr>
        <w:spacing w:after="120" w:line="276"/>
        <w:jc w:val="both"/>
      </w:pPr>
      <w:r>
        <w:rPr>
          <w:rFonts w:ascii="Barlow Semi Condensed" w:cs="Barlow Semi Condensed" w:eastAsia="Barlow Semi Condensed" w:hAnsi="Barlow Semi Condensed"/>
          <w:b/>
          <w:bCs/>
          <w:sz w:val="24"/>
          <w:szCs w:val="24"/>
        </w:rPr>
        <w:t xml:space="preserve">488.</w:t>
      </w:r>
      <w:r>
        <w:rPr>
          <w:rFonts w:ascii="Barlow Semi Condensed" w:cs="Barlow Semi Condensed" w:eastAsia="Barlow Semi Condensed" w:hAnsi="Barlow Semi Condensed"/>
          <w:sz w:val="24"/>
          <w:szCs w:val="24"/>
        </w:rPr>
        <w:t xml:space="preserve"> Opus Dei — https://opusdei.org/en-us/article/journey-pope-leo-xiv-turkey-lebanon-2025 (https://opusdei.org/en-us/article/journey-pope-leo-xiv-turkey-lebanon-2025)</w:t>
      </w:r>
    </w:p>
    <w:p>
      <w:pPr>
        <w:spacing w:after="120" w:line="276"/>
        <w:jc w:val="both"/>
      </w:pPr>
      <w:r>
        <w:rPr>
          <w:rFonts w:ascii="Barlow Semi Condensed" w:cs="Barlow Semi Condensed" w:eastAsia="Barlow Semi Condensed" w:hAnsi="Barlow Semi Condensed"/>
          <w:b/>
          <w:bCs/>
          <w:sz w:val="24"/>
          <w:szCs w:val="24"/>
        </w:rPr>
        <w:t xml:space="preserve">489.</w:t>
      </w:r>
      <w:r>
        <w:rPr>
          <w:rFonts w:ascii="Barlow Semi Condensed" w:cs="Barlow Semi Condensed" w:eastAsia="Barlow Semi Condensed" w:hAnsi="Barlow Semi Condensed"/>
          <w:sz w:val="24"/>
          <w:szCs w:val="24"/>
        </w:rPr>
        <w:t xml:space="preserve"> La Nuova Bussola Quotidiana — https://lanuovabq.it/it/istanbul-ha-un-nuovo-vicario-apostolico (https://lanuovabq.it/it/istanbul-ha-un-nuovo-vicario-apostolico)</w:t>
      </w:r>
    </w:p>
    <w:p>
      <w:pPr>
        <w:spacing w:after="120" w:line="276"/>
        <w:jc w:val="both"/>
      </w:pPr>
      <w:r>
        <w:rPr>
          <w:rFonts w:ascii="Barlow Semi Condensed" w:cs="Barlow Semi Condensed" w:eastAsia="Barlow Semi Condensed" w:hAnsi="Barlow Semi Condensed"/>
          <w:b/>
          <w:bCs/>
          <w:sz w:val="24"/>
          <w:szCs w:val="24"/>
        </w:rPr>
        <w:t xml:space="preserve">490.</w:t>
      </w:r>
      <w:r>
        <w:rPr>
          <w:rFonts w:ascii="Barlow Semi Condensed" w:cs="Barlow Semi Condensed" w:eastAsia="Barlow Semi Condensed" w:hAnsi="Barlow Semi Condensed"/>
          <w:sz w:val="24"/>
          <w:szCs w:val="24"/>
        </w:rPr>
        <w:t xml:space="preserve"> state — https://history.state.gov/historicaldocuments/frus1969-76v30/d200 (https://history.state.gov/historicaldocuments/frus1969-76v30/d200)</w:t>
      </w:r>
    </w:p>
    <w:p>
      <w:pPr>
        <w:spacing w:after="120" w:line="276"/>
        <w:jc w:val="both"/>
      </w:pPr>
      <w:r>
        <w:rPr>
          <w:rFonts w:ascii="Barlow Semi Condensed" w:cs="Barlow Semi Condensed" w:eastAsia="Barlow Semi Condensed" w:hAnsi="Barlow Semi Condensed"/>
          <w:b/>
          <w:bCs/>
          <w:sz w:val="24"/>
          <w:szCs w:val="24"/>
        </w:rPr>
        <w:t xml:space="preserve">491.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storiadelopusdei.org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IX — La Santa Sede, la Turchia e l’attentato del 1981</w:t>
      </w:r>
    </w:p>
    <w:p>
      <w:pPr>
        <w:spacing w:after="120" w:line="276"/>
        <w:jc w:val="both"/>
      </w:pPr>
      <w:r>
        <w:rPr>
          <w:rFonts w:ascii="Barlow Semi Condensed" w:cs="Barlow Semi Condensed" w:eastAsia="Barlow Semi Condensed" w:hAnsi="Barlow Semi Condensed"/>
          <w:b/>
          <w:bCs/>
          <w:sz w:val="24"/>
          <w:szCs w:val="24"/>
        </w:rPr>
        <w:t xml:space="preserve">492.</w:t>
      </w:r>
      <w:r>
        <w:rPr>
          <w:rFonts w:ascii="Barlow Semi Condensed" w:cs="Barlow Semi Condensed" w:eastAsia="Barlow Semi Condensed" w:hAnsi="Barlow Semi Condensed"/>
          <w:sz w:val="24"/>
          <w:szCs w:val="24"/>
        </w:rPr>
        <w:t xml:space="preserve"> Spazio70 — https://spazio70.com/post-anni-70/il-gioco-dei-potenti/mistero-della-fede-lattentato-al-papa-e-le-sue-ombre-la-falsa-pista-bulgara/ (https://spazio70.com/post-anni-70/il-gioco-dei-potenti/mistero-della-fede-lattentato-al-papa-e-le-sue-ombre-la-falsa-pista-bulgara/)</w:t>
      </w:r>
    </w:p>
    <w:p>
      <w:pPr>
        <w:spacing w:after="120" w:line="276"/>
        <w:jc w:val="both"/>
      </w:pPr>
      <w:r>
        <w:rPr>
          <w:rFonts w:ascii="Barlow Semi Condensed" w:cs="Barlow Semi Condensed" w:eastAsia="Barlow Semi Condensed" w:hAnsi="Barlow Semi Condensed"/>
          <w:b/>
          <w:bCs/>
          <w:sz w:val="24"/>
          <w:szCs w:val="24"/>
        </w:rPr>
        <w:t xml:space="preserve">493.</w:t>
      </w:r>
      <w:r>
        <w:rPr>
          <w:rFonts w:ascii="Barlow Semi Condensed" w:cs="Barlow Semi Condensed" w:eastAsia="Barlow Semi Condensed" w:hAnsi="Barlow Semi Condensed"/>
          <w:sz w:val="24"/>
          <w:szCs w:val="24"/>
        </w:rPr>
        <w:t xml:space="preserve"> Wikipedia — https://it.m.wikipedia.org/wiki/Chiesa_cattolica_in_Turchia (https://it.m.wikipedia.org/wiki/Chiesa_cattolica_in_Turchia)</w:t>
      </w:r>
    </w:p>
    <w:p>
      <w:pPr>
        <w:spacing w:after="120" w:line="276"/>
        <w:jc w:val="both"/>
      </w:pPr>
      <w:r>
        <w:rPr>
          <w:rFonts w:ascii="Barlow Semi Condensed" w:cs="Barlow Semi Condensed" w:eastAsia="Barlow Semi Condensed" w:hAnsi="Barlow Semi Condensed"/>
          <w:b/>
          <w:bCs/>
          <w:sz w:val="24"/>
          <w:szCs w:val="24"/>
        </w:rPr>
        <w:t xml:space="preserve">494.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christianunity.va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495.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dizie.eu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496.</w:t>
      </w:r>
      <w:r>
        <w:rPr>
          <w:rFonts w:ascii="Barlow Semi Condensed" w:cs="Barlow Semi Condensed" w:eastAsia="Barlow Semi Condensed" w:hAnsi="Barlow Semi Condensed"/>
          <w:sz w:val="24"/>
          <w:szCs w:val="24"/>
        </w:rPr>
        <w:t xml:space="preserve"> Wikipedia — https://en.wikipedia.org/wiki/Mehmet_Ali_A%C4%9Fca (https://en.wikipedia.org/wiki/Mehmet_Ali_A%C4%9Fca)</w:t>
      </w:r>
    </w:p>
    <w:p>
      <w:pPr>
        <w:spacing w:after="120" w:line="276"/>
        <w:jc w:val="both"/>
      </w:pPr>
      <w:r>
        <w:rPr>
          <w:rFonts w:ascii="Barlow Semi Condensed" w:cs="Barlow Semi Condensed" w:eastAsia="Barlow Semi Condensed" w:hAnsi="Barlow Semi Condensed"/>
          <w:b/>
          <w:bCs/>
          <w:sz w:val="24"/>
          <w:szCs w:val="24"/>
        </w:rPr>
        <w:t xml:space="preserve">497.</w:t>
      </w:r>
      <w:r>
        <w:rPr>
          <w:rFonts w:ascii="Barlow Semi Condensed" w:cs="Barlow Semi Condensed" w:eastAsia="Barlow Semi Condensed" w:hAnsi="Barlow Semi Condensed"/>
          <w:sz w:val="24"/>
          <w:szCs w:val="24"/>
        </w:rPr>
        <w:t xml:space="preserve"> Wikipedia — https://en.wikipedia.org/wiki/Milliyet (https://en.wikipedia.org/wiki/Milliyet)</w:t>
      </w:r>
    </w:p>
    <w:p>
      <w:pPr>
        <w:spacing w:after="120" w:line="276"/>
        <w:jc w:val="both"/>
      </w:pPr>
      <w:r>
        <w:rPr>
          <w:rFonts w:ascii="Barlow Semi Condensed" w:cs="Barlow Semi Condensed" w:eastAsia="Barlow Semi Condensed" w:hAnsi="Barlow Semi Condensed"/>
          <w:b/>
          <w:bCs/>
          <w:sz w:val="24"/>
          <w:szCs w:val="24"/>
        </w:rPr>
        <w:t xml:space="preserve">498.</w:t>
      </w:r>
      <w:r>
        <w:rPr>
          <w:rFonts w:ascii="Barlow Semi Condensed" w:cs="Barlow Semi Condensed" w:eastAsia="Barlow Semi Condensed" w:hAnsi="Barlow Semi Condensed"/>
          <w:sz w:val="24"/>
          <w:szCs w:val="24"/>
        </w:rPr>
        <w:t xml:space="preserve"> goodreads — https://www.goodreads.com/notes/41736831-operation-gladio/28440635-jos-mar-a-blancowhite/c0835082-842c-42f7-8825-b4fc114719a8 (https://www.goodreads.com/notes/41736831-operation-gladio/28440635-jos-mar-a-blancowhite/c0835082-842c-42f7-8825-b4fc114719a8)</w:t>
      </w:r>
    </w:p>
    <w:p>
      <w:pPr>
        <w:spacing w:after="120" w:line="276"/>
        <w:jc w:val="both"/>
      </w:pPr>
      <w:r>
        <w:rPr>
          <w:rFonts w:ascii="Barlow Semi Condensed" w:cs="Barlow Semi Condensed" w:eastAsia="Barlow Semi Condensed" w:hAnsi="Barlow Semi Condensed"/>
          <w:b/>
          <w:bCs/>
          <w:sz w:val="24"/>
          <w:szCs w:val="24"/>
        </w:rPr>
        <w:t xml:space="preserve">499.</w:t>
      </w:r>
      <w:r>
        <w:rPr>
          <w:rFonts w:ascii="Barlow Semi Condensed" w:cs="Barlow Semi Condensed" w:eastAsia="Barlow Semi Condensed" w:hAnsi="Barlow Semi Condensed"/>
          <w:sz w:val="24"/>
          <w:szCs w:val="24"/>
        </w:rPr>
        <w:t xml:space="preserve"> NPR — https://www.npr.org/2006/01/20/5164596/turkey-recoils-at-release-of-man-who-shot-pope (https://www.npr.org/2006/01/20/5164596/turkey-recoils-at-release-of-man-who-shot-pope)</w:t>
      </w:r>
    </w:p>
    <w:p>
      <w:pPr>
        <w:spacing w:after="120" w:line="276"/>
        <w:jc w:val="both"/>
      </w:pPr>
      <w:r>
        <w:rPr>
          <w:rFonts w:ascii="Barlow Semi Condensed" w:cs="Barlow Semi Condensed" w:eastAsia="Barlow Semi Condensed" w:hAnsi="Barlow Semi Condensed"/>
          <w:b/>
          <w:bCs/>
          <w:sz w:val="24"/>
          <w:szCs w:val="24"/>
        </w:rPr>
        <w:t xml:space="preserve">500.</w:t>
      </w:r>
      <w:r>
        <w:rPr>
          <w:rFonts w:ascii="Barlow Semi Condensed" w:cs="Barlow Semi Condensed" w:eastAsia="Barlow Semi Condensed" w:hAnsi="Barlow Semi Condensed"/>
          <w:sz w:val="24"/>
          <w:szCs w:val="24"/>
        </w:rPr>
        <w:t xml:space="preserve"> Il Giardino dei Libri — https://www.ilgiardinodeilibri.it/libri/__attentato-al-papa-elena-hilal-agca-libro.php (https://www.ilgiardinodeilibri.it/libri/__attentato-al-papa-elena-hilal-agca-libro.php)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501.</w:t>
      </w:r>
      <w:r>
        <w:rPr>
          <w:rFonts w:ascii="Barlow Semi Condensed" w:cs="Barlow Semi Condensed" w:eastAsia="Barlow Semi Condensed" w:hAnsi="Barlow Semi Condensed"/>
          <w:sz w:val="24"/>
          <w:szCs w:val="24"/>
        </w:rPr>
        <w:t xml:space="preserve"> CultWeb — https://cultweb.it/cultura/storia/che-fine-ha-fatto-ali-agca-lattentatore-di-giovanni-paolo-ii/ (https://cultweb.it/cultura/storia/che-fine-ha-fatto-ali-agca-lattentatore-di-giovanni-paolo-ii/)</w:t>
      </w:r>
    </w:p>
    <w:p>
      <w:pPr>
        <w:spacing w:after="120" w:line="276"/>
        <w:jc w:val="both"/>
      </w:pPr>
      <w:r>
        <w:rPr>
          <w:rFonts w:ascii="Barlow Semi Condensed" w:cs="Barlow Semi Condensed" w:eastAsia="Barlow Semi Condensed" w:hAnsi="Barlow Semi Condensed"/>
          <w:b/>
          <w:bCs/>
          <w:sz w:val="24"/>
          <w:szCs w:val="24"/>
        </w:rPr>
        <w:t xml:space="preserve">502.</w:t>
      </w:r>
      <w:r>
        <w:rPr>
          <w:rFonts w:ascii="Barlow Semi Condensed" w:cs="Barlow Semi Condensed" w:eastAsia="Barlow Semi Condensed" w:hAnsi="Barlow Semi Condensed"/>
          <w:sz w:val="24"/>
          <w:szCs w:val="24"/>
        </w:rPr>
        <w:t xml:space="preserve"> state — https://history.state.gov/historicaldocuments/frus1981-88v10/d370 (https://history.state.gov/historicaldocuments/frus1981-88v10/d370)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503.</w:t>
      </w:r>
      <w:r>
        <w:rPr>
          <w:rFonts w:ascii="Barlow Semi Condensed" w:cs="Barlow Semi Condensed" w:eastAsia="Barlow Semi Condensed" w:hAnsi="Barlow Semi Condensed"/>
          <w:sz w:val="24"/>
          <w:szCs w:val="24"/>
        </w:rPr>
        <w:t xml:space="preserve"> state — https://history.state.gov/historicaldocuments/frus1981-88v10/d376 (https://history.state.gov/historicaldocuments/frus1981-88v10/d376)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504.</w:t>
      </w:r>
      <w:r>
        <w:rPr>
          <w:rFonts w:ascii="Barlow Semi Condensed" w:cs="Barlow Semi Condensed" w:eastAsia="Barlow Semi Condensed" w:hAnsi="Barlow Semi Condensed"/>
          <w:sz w:val="24"/>
          <w:szCs w:val="24"/>
        </w:rPr>
        <w:t xml:space="preserve"> state — https://history.state.gov/historicaldocuments/frus1981-88v10/d377 (https://history.state.gov/historicaldocuments/frus1981-88v10/d377)</w:t>
      </w:r>
    </w:p>
    <w:p>
      <w:pPr>
        <w:spacing w:after="120" w:line="276"/>
        <w:jc w:val="both"/>
      </w:pPr>
      <w:r>
        <w:rPr>
          <w:rFonts w:ascii="Barlow Semi Condensed" w:cs="Barlow Semi Condensed" w:eastAsia="Barlow Semi Condensed" w:hAnsi="Barlow Semi Condensed"/>
          <w:b/>
          <w:bCs/>
          <w:sz w:val="24"/>
          <w:szCs w:val="24"/>
        </w:rPr>
        <w:t xml:space="preserve">505.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storiologia.it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Storiologia — https://www.storiologia.it/biografie/roncalli.htm (https://www.storiologia.it/biografie/roncalli.htm)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padovanet.it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508.</w:t>
      </w:r>
      <w:r>
        <w:rPr>
          <w:rFonts w:ascii="Barlow Semi Condensed" w:cs="Barlow Semi Condensed" w:eastAsia="Barlow Semi Condensed" w:hAnsi="Barlow Semi Condensed"/>
          <w:sz w:val="24"/>
          <w:szCs w:val="24"/>
        </w:rPr>
        <w:t xml:space="preserve"> Gariwo — https://it.gariwo.net/dl/202005180612_A.pdf (https://it.gariwo.net/dl/202005180612_A.pdf)</w:t>
      </w:r>
    </w:p>
    <w:p>
      <w:pPr>
        <w:spacing w:after="120" w:line="276"/>
        <w:jc w:val="both"/>
      </w:pPr>
      <w:r>
        <w:rPr>
          <w:rFonts w:ascii="Barlow Semi Condensed" w:cs="Barlow Semi Condensed" w:eastAsia="Barlow Semi Condensed" w:hAnsi="Barlow Semi Condensed"/>
          <w:b/>
          <w:bCs/>
          <w:sz w:val="24"/>
          <w:szCs w:val="24"/>
        </w:rPr>
        <w:t xml:space="preserve">509.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ladiscussione.com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510.</w:t>
      </w:r>
      <w:r>
        <w:rPr>
          <w:rFonts w:ascii="Barlow Semi Condensed" w:cs="Barlow Semi Condensed" w:eastAsia="Barlow Semi Condensed" w:hAnsi="Barlow Semi Condensed"/>
          <w:sz w:val="24"/>
          <w:szCs w:val="24"/>
        </w:rPr>
        <w:t xml:space="preserve"> La Discussione — https://ladiscussione.com/130659/cultura/roncalli-a-istanbul/ (https://ladiscussione.com/130659/cultura/roncalli-a-istanbul/)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511.</w:t>
      </w:r>
      <w:r>
        <w:rPr>
          <w:rFonts w:ascii="Barlow Semi Condensed" w:cs="Barlow Semi Condensed" w:eastAsia="Barlow Semi Condensed" w:hAnsi="Barlow Semi Condensed"/>
          <w:sz w:val="24"/>
          <w:szCs w:val="24"/>
        </w:rPr>
        <w:t xml:space="preserve"> Zenit — https://it.zenit.org/2010/12/01/il-metodo-roncalli-nell-incontro-tra-oriente-e-occidente/ (https://it.zenit.org/2010/12/01/il-metodo-roncalli-nell-incontro-tra-oriente-e-occidente/)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terrasanta.net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513.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zenit.org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514.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515.</w:t>
      </w:r>
      <w:r>
        <w:rPr>
          <w:rFonts w:ascii="Barlow Semi Condensed" w:cs="Barlow Semi Condensed" w:eastAsia="Barlow Semi Condensed" w:hAnsi="Barlow Semi Condensed"/>
          <w:sz w:val="24"/>
          <w:szCs w:val="24"/>
        </w:rPr>
        <w:t xml:space="preserve"> Vatican News — https://www.vaticannews.va/it/papa/news/2025-11/viaggi-apostolici-papi-turchia.html (https://www.vaticannews.va/it/papa/news/2025-11/viaggi-apostolici-papi-turchia.html)</w:t>
      </w:r>
    </w:p>
    <w:p>
      <w:pPr>
        <w:spacing w:after="120" w:line="276"/>
        <w:jc w:val="both"/>
      </w:pPr>
      <w:r>
        <w:rPr>
          <w:rFonts w:ascii="Barlow Semi Condensed" w:cs="Barlow Semi Condensed" w:eastAsia="Barlow Semi Condensed" w:hAnsi="Barlow Semi Condensed"/>
          <w:b/>
          <w:bCs/>
          <w:sz w:val="24"/>
          <w:szCs w:val="24"/>
        </w:rPr>
        <w:t xml:space="preserve">516.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orientecristiano.it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517.</w:t>
      </w:r>
      <w:r>
        <w:rPr>
          <w:rFonts w:ascii="Barlow Semi Condensed" w:cs="Barlow Semi Condensed" w:eastAsia="Barlow Semi Condensed" w:hAnsi="Barlow Semi Condensed"/>
          <w:sz w:val="24"/>
          <w:szCs w:val="24"/>
        </w:rPr>
        <w:t xml:space="preserve"> Diocesichieti — https://www.diocesichieti.it/sessione-plenaria-per-il-dialogo-teologico-tra-la-chiesa-cattolica-e-le-chiese-ortodosse/ (https://www.diocesichieti.it/sessione-plenaria-per-il-dialogo-teologico-tra-la-chiesa-cattolica-e-le-chiese-ortodosse/)</w:t>
      </w:r>
    </w:p>
    <w:p>
      <w:pPr>
        <w:spacing w:after="120" w:line="276"/>
        <w:jc w:val="both"/>
      </w:pPr>
      <w:r>
        <w:rPr>
          <w:rFonts w:ascii="Barlow Semi Condensed" w:cs="Barlow Semi Condensed" w:eastAsia="Barlow Semi Condensed" w:hAnsi="Barlow Semi Condensed"/>
          <w:b/>
          <w:bCs/>
          <w:sz w:val="24"/>
          <w:szCs w:val="24"/>
        </w:rPr>
        <w:t xml:space="preserve">518.</w:t>
      </w:r>
      <w:r>
        <w:rPr>
          <w:rFonts w:ascii="Barlow Semi Condensed" w:cs="Barlow Semi Condensed" w:eastAsia="Barlow Semi Condensed" w:hAnsi="Barlow Semi Condensed"/>
          <w:sz w:val="24"/>
          <w:szCs w:val="24"/>
        </w:rPr>
        <w:t xml:space="preserve"> L'Osservatore Romano — https://www.osservatoreromano.va/it/news/2020-11/quo-273/dialogo-sulla-chiesa.html (https://www.osservatoreromano.va/it/news/2020-11/quo-273/dialogo-sulla-chiesa.html)</w:t>
      </w:r>
    </w:p>
    <w:p>
      <w:pPr>
        <w:spacing w:after="120" w:line="276"/>
        <w:jc w:val="both"/>
      </w:pP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Ccee — https://www.ccee.eu/wp-content/uploads/sites/2/2019/09/Intervento-Rev.-Bouwen.pdf (https://www.ccee.eu/wp-content/uploads/sites/2/2019/09/Intervento-Rev.-Bouwen.pdf)</w:t>
      </w:r>
    </w:p>
    <w:p>
      <w:pPr>
        <w:spacing w:after="120" w:line="276"/>
        <w:jc w:val="both"/>
      </w:pPr>
      <w:r>
        <w:rPr>
          <w:rFonts w:ascii="Barlow Semi Condensed" w:cs="Barlow Semi Condensed" w:eastAsia="Barlow Semi Condensed" w:hAnsi="Barlow Semi Condensed"/>
          <w:b/>
          <w:bCs/>
          <w:sz w:val="24"/>
          <w:szCs w:val="24"/>
        </w:rPr>
        <w:t xml:space="preserve">520.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lafiaccola.it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funerali.org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522.</w:t>
      </w:r>
      <w:r>
        <w:rPr>
          <w:rFonts w:ascii="Barlow Semi Condensed" w:cs="Barlow Semi Condensed" w:eastAsia="Barlow Semi Condensed" w:hAnsi="Barlow Semi Condensed"/>
          <w:sz w:val="24"/>
          <w:szCs w:val="24"/>
        </w:rPr>
        <w:t xml:space="preserve"> Funerali — https://www.funerali.org/cimiteri/in-turchia-restituiti-tra-laltro-alle-minoranze-religiose-la-gestione-di-loro-cimiteri-2-42724.html (https://www.funerali.org/cimiteri/in-turchia-restituiti-tra-laltro-alle-minoranze-religiose-la-gestione-di-loro-cimiteri-2-42724.html)</w:t>
      </w:r>
    </w:p>
    <w:p>
      <w:pPr>
        <w:spacing w:after="120" w:line="276"/>
        <w:jc w:val="both"/>
      </w:pPr>
      <w:r>
        <w:rPr>
          <w:rFonts w:ascii="Barlow Semi Condensed" w:cs="Barlow Semi Condensed" w:eastAsia="Barlow Semi Condensed" w:hAnsi="Barlow Semi Condensed"/>
          <w:b/>
          <w:bCs/>
          <w:sz w:val="24"/>
          <w:szCs w:val="24"/>
        </w:rPr>
        <w:t xml:space="preserve">523.</w:t>
      </w:r>
      <w:r>
        <w:rPr>
          <w:rFonts w:ascii="Barlow Semi Condensed" w:cs="Barlow Semi Condensed" w:eastAsia="Barlow Semi Condensed" w:hAnsi="Barlow Semi Condensed"/>
          <w:sz w:val="24"/>
          <w:szCs w:val="24"/>
        </w:rPr>
        <w:t xml:space="preserve"> Alegsaonline — https://it.alegsaonline.com/art/65294 (https://it.alegsaonline.com/art/65294)</w:t>
      </w:r>
    </w:p>
    <w:p>
      <w:pPr>
        <w:spacing w:after="120" w:line="276"/>
        <w:jc w:val="both"/>
      </w:pPr>
      <w:r>
        <w:rPr>
          <w:rFonts w:ascii="Barlow Semi Condensed" w:cs="Barlow Semi Condensed" w:eastAsia="Barlow Semi Condensed" w:hAnsi="Barlow Semi Condensed"/>
          <w:b/>
          <w:bCs/>
          <w:sz w:val="24"/>
          <w:szCs w:val="24"/>
        </w:rPr>
        <w:t xml:space="preserve">524.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525.</w:t>
      </w:r>
      <w:r>
        <w:rPr>
          <w:rFonts w:ascii="Barlow Semi Condensed" w:cs="Barlow Semi Condensed" w:eastAsia="Barlow Semi Condensed" w:hAnsi="Barlow Semi Condensed"/>
          <w:sz w:val="24"/>
          <w:szCs w:val="24"/>
        </w:rPr>
        <w:t xml:space="preserve"> Treccani — https://www.treccani.it/enciclopedia/agostino-casaroli_(Dizionario-Biografico (https://www.treccani.it/enciclopedia/agostino-casaroli_(Dizionario-Biografico)</w:t>
      </w:r>
    </w:p>
    <w:p>
      <w:pPr>
        <w:spacing w:after="120" w:line="276"/>
        <w:jc w:val="both"/>
      </w:pPr>
      <w:r>
        <w:rPr>
          <w:rFonts w:ascii="Barlow Semi Condensed" w:cs="Barlow Semi Condensed" w:eastAsia="Barlow Semi Condensed" w:hAnsi="Barlow Semi Condensed"/>
          <w:b/>
          <w:bCs/>
          <w:sz w:val="24"/>
          <w:szCs w:val="24"/>
        </w:rPr>
        <w:t xml:space="preserve">526.</w:t>
      </w:r>
      <w:r>
        <w:rPr>
          <w:rFonts w:ascii="Barlow Semi Condensed" w:cs="Barlow Semi Condensed" w:eastAsia="Barlow Semi Condensed" w:hAnsi="Barlow Semi Condensed"/>
          <w:sz w:val="24"/>
          <w:szCs w:val="24"/>
        </w:rPr>
        <w:t xml:space="preserve"> Cespi — https://www.cespi.it/sites/default/files/osservatori/allegati/brief_62_comunita_levantina_di_istanbul_imparato.pdf (https://www.cespi.it/sites/default/files/osservatori/allegati/brief_62_comunita_levantina_di_istanbul_imparato.pdf)</w:t>
      </w:r>
    </w:p>
    <w:p>
      <w:pPr>
        <w:spacing w:after="120" w:line="276"/>
        <w:jc w:val="both"/>
      </w:pPr>
      <w:r>
        <w:rPr>
          <w:rFonts w:ascii="Barlow Semi Condensed" w:cs="Barlow Semi Condensed" w:eastAsia="Barlow Semi Condensed" w:hAnsi="Barlow Semi Condensed"/>
          <w:b/>
          <w:bCs/>
          <w:sz w:val="24"/>
          <w:szCs w:val="24"/>
        </w:rPr>
        <w:t xml:space="preserve">527.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vaticannews.va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archivioapostolicovaticano.va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acistampa.com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530.</w:t>
      </w:r>
      <w:r>
        <w:rPr>
          <w:rFonts w:ascii="Barlow Semi Condensed" w:cs="Barlow Semi Condensed" w:eastAsia="Barlow Semi Condensed" w:hAnsi="Barlow Semi Condensed"/>
          <w:sz w:val="24"/>
          <w:szCs w:val="24"/>
        </w:rPr>
        <w:t xml:space="preserve"> Esteri — https://italiana.esteri.it/italiana/en/culture/la-farnesina-apre-al-pubblico-la-biblioteca-e-larchivio-storico-diplomatico/ (https://italiana.esteri.it/italiana/en/culture/la-farnesina-apre-al-pubblico-la-biblioteca-e-larchivio-storico-diplomatico/)</w:t>
      </w:r>
    </w:p>
    <w:p>
      <w:pPr>
        <w:spacing w:after="120" w:line="276"/>
        <w:jc w:val="both"/>
      </w:pPr>
      <w:r>
        <w:rPr>
          <w:rFonts w:ascii="Barlow Semi Condensed" w:cs="Barlow Semi Condensed" w:eastAsia="Barlow Semi Condensed" w:hAnsi="Barlow Semi Condensed"/>
          <w:b/>
          <w:bCs/>
          <w:sz w:val="24"/>
          <w:szCs w:val="24"/>
        </w:rPr>
        <w:t xml:space="preserve">531.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italiana.esteri.it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Parlamento Italiano — https://www.parlamento.it/application/xmanager/projects/parlamento/file/commissione_mitrokhin_14leg/mitrokhindoc.377.pdf (https://www.parlamento.it/application/xmanager/projects/parlamento/file/commissione_mitrokhin_14leg/mitrokhindoc.377.pdf)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X — Documenti italiani e spagnoli, e l’Opus Dei</w:t>
      </w:r>
    </w:p>
    <w:p>
      <w:pPr>
        <w:spacing w:after="120" w:line="276"/>
        <w:jc w:val="both"/>
      </w:pPr>
      <w:r>
        <w:rPr>
          <w:rFonts w:ascii="Barlow Semi Condensed" w:cs="Barlow Semi Condensed" w:eastAsia="Barlow Semi Condensed" w:hAnsi="Barlow Semi Condensed"/>
          <w:b/>
          <w:bCs/>
          <w:sz w:val="24"/>
          <w:szCs w:val="24"/>
        </w:rPr>
        <w:t xml:space="preserve">533.</w:t>
      </w:r>
      <w:r>
        <w:rPr>
          <w:rFonts w:ascii="Barlow Semi Condensed" w:cs="Barlow Semi Condensed" w:eastAsia="Barlow Semi Condensed" w:hAnsi="Barlow Semi Condensed"/>
          <w:sz w:val="24"/>
          <w:szCs w:val="24"/>
        </w:rPr>
        <w:t xml:space="preserve"> Wikipedia — https://it.wikipedia.org/wiki/Trattato_di_Osimo (https://it.wikipedia.org/wiki/Trattato_di_Osimo)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534.</w:t>
      </w:r>
      <w:r>
        <w:rPr>
          <w:rFonts w:ascii="Barlow Semi Condensed" w:cs="Barlow Semi Condensed" w:eastAsia="Barlow Semi Condensed" w:hAnsi="Barlow Semi Condensed"/>
          <w:sz w:val="24"/>
          <w:szCs w:val="24"/>
        </w:rPr>
        <w:t xml:space="preserve"> Circolo della Storia — https://circolodellastoria.it/gli-accordi-di-osimo-cinquantanni-fa-il-trattato-che-chiuse-unepoca/ (https://circolodellastoria.it/gli-accordi-di-osimo-cinquantanni-fa-il-trattato-che-chiuse-unepoca/)</w:t>
      </w:r>
    </w:p>
    <w:p>
      <w:pPr>
        <w:spacing w:after="120" w:line="276"/>
        <w:jc w:val="both"/>
      </w:pPr>
      <w:r>
        <w:rPr>
          <w:rFonts w:ascii="Barlow Semi Condensed" w:cs="Barlow Semi Condensed" w:eastAsia="Barlow Semi Condensed" w:hAnsi="Barlow Semi Condensed"/>
          <w:b/>
          <w:bCs/>
          <w:sz w:val="24"/>
          <w:szCs w:val="24"/>
        </w:rPr>
        <w:t xml:space="preserve">535.</w:t>
      </w:r>
      <w:r>
        <w:rPr>
          <w:rFonts w:ascii="Barlow Semi Condensed" w:cs="Barlow Semi Condensed" w:eastAsia="Barlow Semi Condensed" w:hAnsi="Barlow Semi Condensed"/>
          <w:sz w:val="24"/>
          <w:szCs w:val="24"/>
        </w:rPr>
        <w:t xml:space="preserve"> Il Bo Live UniPD — https://ilbolive.unipd.it/it/news/societa/spirito-osimo-diplomazia-memoria (https://ilbolive.unipd.it/it/news/societa/spirito-osimo-diplomazia-memoria)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536.</w:t>
      </w:r>
      <w:r>
        <w:rPr>
          <w:rFonts w:ascii="Barlow Semi Condensed" w:cs="Barlow Semi Condensed" w:eastAsia="Barlow Semi Condensed" w:hAnsi="Barlow Semi Condensed"/>
          <w:sz w:val="24"/>
          <w:szCs w:val="24"/>
        </w:rPr>
        <w:t xml:space="preserve"> La Nazione — https://www.lanazione.it/cronaca/almanacco-trattato-osimo-italia-jugoslavia-d52b0197 (https://www.lanazione.it/cronaca/almanacco-trattato-osimo-italia-jugoslavia-d52b0197)</w:t>
      </w:r>
    </w:p>
    <w:p>
      <w:pPr>
        <w:spacing w:after="120" w:line="276"/>
        <w:jc w:val="both"/>
      </w:pPr>
      <w:r>
        <w:rPr>
          <w:rFonts w:ascii="Barlow Semi Condensed" w:cs="Barlow Semi Condensed" w:eastAsia="Barlow Semi Condensed" w:hAnsi="Barlow Semi Condensed"/>
          <w:b/>
          <w:bCs/>
          <w:sz w:val="24"/>
          <w:szCs w:val="24"/>
        </w:rPr>
        <w:t xml:space="preserve">537.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storico.org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538.</w:t>
      </w:r>
      <w:r>
        <w:rPr>
          <w:rFonts w:ascii="Barlow Semi Condensed" w:cs="Barlow Semi Condensed" w:eastAsia="Barlow Semi Condensed" w:hAnsi="Barlow Semi Condensed"/>
          <w:sz w:val="24"/>
          <w:szCs w:val="24"/>
        </w:rPr>
        <w:t xml:space="preserve"> Storico — https://storico.org/italia_boom_economico/trattato_osimo.html (https://storico.org/italia_boom_economico/trattato_osimo.html)</w:t>
      </w:r>
    </w:p>
    <w:p>
      <w:pPr>
        <w:spacing w:after="120" w:line="276"/>
        <w:jc w:val="both"/>
      </w:pPr>
      <w:r>
        <w:rPr>
          <w:rFonts w:ascii="Barlow Semi Condensed" w:cs="Barlow Semi Condensed" w:eastAsia="Barlow Semi Condensed" w:hAnsi="Barlow Semi Condensed"/>
          <w:b/>
          <w:bCs/>
          <w:sz w:val="24"/>
          <w:szCs w:val="24"/>
        </w:rPr>
        <w:t xml:space="preserve">539.</w:t>
      </w:r>
      <w:r>
        <w:rPr>
          <w:rFonts w:ascii="Barlow Semi Condensed" w:cs="Barlow Semi Condensed" w:eastAsia="Barlow Semi Condensed" w:hAnsi="Barlow Semi Condensed"/>
          <w:sz w:val="24"/>
          <w:szCs w:val="24"/>
        </w:rPr>
        <w:t xml:space="preserve"> Google Books — https://books.google.com/books/about/Aldo_Moro_l_Italia_repubblicana_e_i_Balc.html?id=ftcEywAACAAJ (https://books.google.com/books/about/Aldo_Moro_l_Italia_repubblicana_e_i_Balc.html?id=ftcEywAACAAJ)</w:t>
      </w:r>
    </w:p>
    <w:p>
      <w:pPr>
        <w:spacing w:after="120" w:line="276"/>
        <w:jc w:val="both"/>
      </w:pPr>
      <w:r>
        <w:rPr>
          <w:rFonts w:ascii="Barlow Semi Condensed" w:cs="Barlow Semi Condensed" w:eastAsia="Barlow Semi Condensed" w:hAnsi="Barlow Semi Condensed"/>
          <w:b/>
          <w:bCs/>
          <w:sz w:val="24"/>
          <w:szCs w:val="24"/>
        </w:rPr>
        <w:t xml:space="preserve">540.</w:t>
      </w:r>
      <w:r>
        <w:rPr>
          <w:rFonts w:ascii="Barlow Semi Condensed" w:cs="Barlow Semi Condensed" w:eastAsia="Barlow Semi Condensed" w:hAnsi="Barlow Semi Condensed"/>
          <w:sz w:val="24"/>
          <w:szCs w:val="24"/>
        </w:rPr>
        <w:t xml:space="preserve"> Archivioflamigni — https://www.archivioflamigni.org/doc/bibliografia-aldo-moro.pdf (https://www.archivioflamigni.org/doc/bibliografia-aldo-moro.pdf)</w:t>
      </w:r>
    </w:p>
    <w:p>
      <w:pPr>
        <w:spacing w:after="120" w:line="276"/>
        <w:jc w:val="both"/>
      </w:pPr>
      <w:r>
        <w:rPr>
          <w:rFonts w:ascii="Barlow Semi Condensed" w:cs="Barlow Semi Condensed" w:eastAsia="Barlow Semi Condensed" w:hAnsi="Barlow Semi Condensed"/>
          <w:b/>
          <w:bCs/>
          <w:sz w:val="24"/>
          <w:szCs w:val="24"/>
        </w:rPr>
        <w:t xml:space="preserve">541.</w:t>
      </w:r>
      <w:r>
        <w:rPr>
          <w:rFonts w:ascii="Barlow Semi Condensed" w:cs="Barlow Semi Condensed" w:eastAsia="Barlow Semi Condensed" w:hAnsi="Barlow Semi Condensed"/>
          <w:sz w:val="24"/>
          <w:szCs w:val="24"/>
        </w:rPr>
        <w:t xml:space="preserve"> Uniba — https://ricerca.uniba.it/handle/11586/419934 (https://ricerca.uniba.it/handle/11586/419934)</w:t>
      </w:r>
    </w:p>
    <w:p>
      <w:pPr>
        <w:spacing w:after="120" w:line="276"/>
        <w:jc w:val="both"/>
      </w:pPr>
      <w:r>
        <w:rPr>
          <w:rFonts w:ascii="Barlow Semi Condensed" w:cs="Barlow Semi Condensed" w:eastAsia="Barlow Semi Condensed" w:hAnsi="Barlow Semi Condensed"/>
          <w:b/>
          <w:bCs/>
          <w:sz w:val="24"/>
          <w:szCs w:val="24"/>
        </w:rPr>
        <w:t xml:space="preserve">542.</w:t>
      </w:r>
      <w:r>
        <w:rPr>
          <w:rFonts w:ascii="Barlow Semi Condensed" w:cs="Barlow Semi Condensed" w:eastAsia="Barlow Semi Condensed" w:hAnsi="Barlow Semi Condensed"/>
          <w:sz w:val="24"/>
          <w:szCs w:val="24"/>
        </w:rPr>
        <w:t xml:space="preserve"> Dialnet — https://dialnet.unirioja.es/descarga/articulo/9578489.pdf (https://dialnet.unirioja.es/descarga/articulo/9578489.pdf)</w:t>
      </w:r>
    </w:p>
    <w:p>
      <w:pPr>
        <w:spacing w:after="120" w:line="276"/>
        <w:jc w:val="both"/>
      </w:pPr>
      <w:r>
        <w:rPr>
          <w:rFonts w:ascii="Barlow Semi Condensed" w:cs="Barlow Semi Condensed" w:eastAsia="Barlow Semi Condensed" w:hAnsi="Barlow Semi Condensed"/>
          <w:b/>
          <w:bCs/>
          <w:sz w:val="24"/>
          <w:szCs w:val="24"/>
        </w:rPr>
        <w:t xml:space="preserve">543.</w:t>
      </w:r>
      <w:r>
        <w:rPr>
          <w:rFonts w:ascii="Barlow Semi Condensed" w:cs="Barlow Semi Condensed" w:eastAsia="Barlow Semi Condensed" w:hAnsi="Barlow Semi Condensed"/>
          <w:sz w:val="24"/>
          <w:szCs w:val="24"/>
        </w:rPr>
        <w:t xml:space="preserve"> Camera — https://documenti.camera.it/leg17/resoconti/commissioni/stenografici/html/68/audiz2/audizione/2014/12/02/indice_stenografico.0013.html (https://documenti.camera.it/leg17/resoconti/commissioni/stenografici/html/68/audiz2/audizione/2014/12/02/indice_stenografico.0013.html)</w:t>
      </w:r>
    </w:p>
    <w:p>
      <w:pPr>
        <w:spacing w:after="120" w:line="276"/>
        <w:jc w:val="both"/>
      </w:pPr>
      <w:r>
        <w:rPr>
          <w:rFonts w:ascii="Barlow Semi Condensed" w:cs="Barlow Semi Condensed" w:eastAsia="Barlow Semi Condensed" w:hAnsi="Barlow Semi Condensed"/>
          <w:b/>
          <w:bCs/>
          <w:sz w:val="24"/>
          <w:szCs w:val="24"/>
        </w:rPr>
        <w:t xml:space="preserve">544.</w:t>
      </w:r>
      <w:r>
        <w:rPr>
          <w:rFonts w:ascii="Barlow Semi Condensed" w:cs="Barlow Semi Condensed" w:eastAsia="Barlow Semi Condensed" w:hAnsi="Barlow Semi Condensed"/>
          <w:sz w:val="24"/>
          <w:szCs w:val="24"/>
        </w:rPr>
        <w:t xml:space="preserve"> Academia.edu — https://www.academia.edu/29372305/Aldo_Moro_l_Italia_e_la_questione_palestinese (https://www.academia.edu/29372305/Aldo_Moro_l_Italia_e_la_questione_palestinese)</w:t>
      </w:r>
    </w:p>
    <w:p>
      <w:pPr>
        <w:spacing w:after="120" w:line="276"/>
        <w:jc w:val="both"/>
      </w:pPr>
      <w:r>
        <w:rPr>
          <w:rFonts w:ascii="Barlow Semi Condensed" w:cs="Barlow Semi Condensed" w:eastAsia="Barlow Semi Condensed" w:hAnsi="Barlow Semi Condensed"/>
          <w:b/>
          <w:bCs/>
          <w:sz w:val="24"/>
          <w:szCs w:val="24"/>
        </w:rPr>
        <w:t xml:space="preserve">545.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diplomacy.edu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546.</w:t>
      </w:r>
      <w:r>
        <w:rPr>
          <w:rFonts w:ascii="Barlow Semi Condensed" w:cs="Barlow Semi Condensed" w:eastAsia="Barlow Semi Condensed" w:hAnsi="Barlow Semi Condensed"/>
          <w:sz w:val="24"/>
          <w:szCs w:val="24"/>
        </w:rPr>
        <w:t xml:space="preserve"> Diplomacy — https://baldi.diplomacy.edu/italy/Baldi_Monzali_Italia_Helsinki_50.pdf (https://baldi.diplomacy.edu/italy/Baldi_Monzali_Italia_Helsinki_50.pdf)</w:t>
      </w:r>
    </w:p>
    <w:p>
      <w:pPr>
        <w:spacing w:after="120" w:line="276"/>
        <w:jc w:val="both"/>
      </w:pPr>
      <w:r>
        <w:rPr>
          <w:rFonts w:ascii="Barlow Semi Condensed" w:cs="Barlow Semi Condensed" w:eastAsia="Barlow Semi Condensed" w:hAnsi="Barlow Semi Condensed"/>
          <w:b/>
          <w:bCs/>
          <w:sz w:val="24"/>
          <w:szCs w:val="24"/>
        </w:rPr>
        <w:t xml:space="preserve">547.</w:t>
      </w:r>
      <w:r>
        <w:rPr>
          <w:rFonts w:ascii="Barlow Semi Condensed" w:cs="Barlow Semi Condensed" w:eastAsia="Barlow Semi Condensed" w:hAnsi="Barlow Semi Condensed"/>
          <w:sz w:val="24"/>
          <w:szCs w:val="24"/>
        </w:rPr>
        <w:t xml:space="preserve"> L'Opinione — https://opinione.it/politica/2024/11/26/antonino-sala-aldo-moro-conferenza-di-helsinki-nuovo-ordine-mondiale/ (https://opinione.it/politica/2024/11/26/antonino-sala-aldo-moro-conferenza-di-helsinki-nuovo-ordine-mondiale/)</w:t>
      </w:r>
    </w:p>
    <w:p>
      <w:pPr>
        <w:spacing w:after="120" w:line="276"/>
        <w:jc w:val="both"/>
      </w:pPr>
      <w:r>
        <w:rPr>
          <w:rFonts w:ascii="Barlow Semi Condensed" w:cs="Barlow Semi Condensed" w:eastAsia="Barlow Semi Condensed" w:hAnsi="Barlow Semi Condensed"/>
          <w:b/>
          <w:bCs/>
          <w:sz w:val="24"/>
          <w:szCs w:val="24"/>
        </w:rPr>
        <w:t xml:space="preserve">548.</w:t>
      </w:r>
      <w:r>
        <w:rPr>
          <w:rFonts w:ascii="Barlow Semi Condensed" w:cs="Barlow Semi Condensed" w:eastAsia="Barlow Semi Condensed" w:hAnsi="Barlow Semi Condensed"/>
          <w:sz w:val="24"/>
          <w:szCs w:val="24"/>
        </w:rPr>
        <w:t xml:space="preserve"> Avvenire — https://www.avvenire.it/agora/pagine/ostpolitik- (https://www.avvenire.it/agora/pagine/ostpolitik-)</w:t>
      </w:r>
    </w:p>
    <w:p>
      <w:pPr>
        <w:spacing w:after="120" w:line="276"/>
        <w:jc w:val="both"/>
      </w:pPr>
      <w:r>
        <w:rPr>
          <w:rFonts w:ascii="Barlow Semi Condensed" w:cs="Barlow Semi Condensed" w:eastAsia="Barlow Semi Condensed" w:hAnsi="Barlow Semi Condensed"/>
          <w:b/>
          <w:bCs/>
          <w:sz w:val="24"/>
          <w:szCs w:val="24"/>
        </w:rPr>
        <w:t xml:space="preserve">549.</w:t>
      </w:r>
      <w:r>
        <w:rPr>
          <w:rFonts w:ascii="Barlow Semi Condensed" w:cs="Barlow Semi Condensed" w:eastAsia="Barlow Semi Condensed" w:hAnsi="Barlow Semi Condensed"/>
          <w:sz w:val="24"/>
          <w:szCs w:val="24"/>
        </w:rPr>
        <w:t xml:space="preserve"> Wikipedia — https://it.wikipedia.org/wiki/Invasione_turca_di_Cipro (https://it.wikipedia.org/wiki/Invasione_turca_di_Cipro)</w:t>
      </w:r>
    </w:p>
    <w:p>
      <w:pPr>
        <w:spacing w:after="120" w:line="276"/>
        <w:jc w:val="both"/>
      </w:pPr>
      <w:r>
        <w:rPr>
          <w:rFonts w:ascii="Barlow Semi Condensed" w:cs="Barlow Semi Condensed" w:eastAsia="Barlow Semi Condensed" w:hAnsi="Barlow Semi Condensed"/>
          <w:b/>
          <w:bCs/>
          <w:sz w:val="24"/>
          <w:szCs w:val="24"/>
        </w:rPr>
        <w:t xml:space="preserve">550.</w:t>
      </w:r>
      <w:r>
        <w:rPr>
          <w:rFonts w:ascii="Barlow Semi Condensed" w:cs="Barlow Semi Condensed" w:eastAsia="Barlow Semi Condensed" w:hAnsi="Barlow Semi Condensed"/>
          <w:sz w:val="24"/>
          <w:szCs w:val="24"/>
        </w:rPr>
        <w:t xml:space="preserve"> Unipd-centrodirittiumani — https://unipd-centrodirittiumani.it/it/archivi/strumenti-internazionali/trattato-di-non-proliferazione-nucleare-1968 (https://unipd-centrodirittiumani.it/it/archivi/strumenti-internazionali/trattato-di-non-proliferazione-nucleare-1968)</w:t>
      </w:r>
    </w:p>
    <w:p>
      <w:pPr>
        <w:spacing w:after="120" w:line="276"/>
        <w:jc w:val="both"/>
      </w:pPr>
      <w:r>
        <w:rPr>
          <w:rFonts w:ascii="Barlow Semi Condensed" w:cs="Barlow Semi Condensed" w:eastAsia="Barlow Semi Condensed" w:hAnsi="Barlow Semi Condensed"/>
          <w:b/>
          <w:bCs/>
          <w:sz w:val="24"/>
          <w:szCs w:val="24"/>
        </w:rPr>
        <w:t xml:space="preserve">551.</w:t>
      </w:r>
      <w:r>
        <w:rPr>
          <w:rFonts w:ascii="Barlow Semi Condensed" w:cs="Barlow Semi Condensed" w:eastAsia="Barlow Semi Condensed" w:hAnsi="Barlow Semi Condensed"/>
          <w:sz w:val="24"/>
          <w:szCs w:val="24"/>
        </w:rPr>
        <w:t xml:space="preserve"> Spazio70 — https://spazio70.com/pre-anni-70/il-pre-sessantotto/latomica-infranta-la-breve-parabola-del-nucleare-militare-italiano/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b/>
          <w:bCs/>
          <w:sz w:val="24"/>
          <w:szCs w:val="24"/>
        </w:rPr>
        <w:t xml:space="preserve">552.</w:t>
      </w:r>
      <w:r>
        <w:rPr>
          <w:rFonts w:ascii="Barlow Semi Condensed" w:cs="Barlow Semi Condensed" w:eastAsia="Barlow Semi Condensed" w:hAnsi="Barlow Semi Condensed"/>
          <w:sz w:val="24"/>
          <w:szCs w:val="24"/>
        </w:rPr>
        <w:t xml:space="preserve"> Wikipedia — https://it.wikipedia.org/wiki/Programma_nucleare_militare_italiano (https://it.wikipedia.org/wiki/Programma_nucleare_militare_italiano)</w:t>
      </w:r>
    </w:p>
    <w:p>
      <w:pPr>
        <w:spacing w:after="120" w:line="276"/>
        <w:jc w:val="both"/>
      </w:pPr>
      <w:r>
        <w:rPr>
          <w:rFonts w:ascii="Barlow Semi Condensed" w:cs="Barlow Semi Condensed" w:eastAsia="Barlow Semi Condensed" w:hAnsi="Barlow Semi Condensed"/>
          <w:b/>
          <w:bCs/>
          <w:sz w:val="24"/>
          <w:szCs w:val="24"/>
        </w:rPr>
        <w:t xml:space="preserve">553.</w:t>
      </w:r>
      <w:r>
        <w:rPr>
          <w:rFonts w:ascii="Barlow Semi Condensed" w:cs="Barlow Semi Condensed" w:eastAsia="Barlow Semi Condensed" w:hAnsi="Barlow Semi Condensed"/>
          <w:sz w:val="24"/>
          <w:szCs w:val="24"/>
        </w:rPr>
        <w:t xml:space="preserve"> Radio Cina Internazionale — https://italian.cri.cn/mychina/notizie/3210/20201106/573336.html (https://italian.cri.cn/mychina/notizie/3210/20201106/573336.html)</w:t>
      </w:r>
    </w:p>
    <w:p>
      <w:pPr>
        <w:spacing w:after="120" w:line="276"/>
        <w:jc w:val="both"/>
      </w:pPr>
      <w:r>
        <w:rPr>
          <w:rFonts w:ascii="Barlow Semi Condensed" w:cs="Barlow Semi Condensed" w:eastAsia="Barlow Semi Condensed" w:hAnsi="Barlow Semi Condensed"/>
          <w:b/>
          <w:bCs/>
          <w:sz w:val="24"/>
          <w:szCs w:val="24"/>
        </w:rPr>
        <w:t xml:space="preserve">554.</w:t>
      </w:r>
      <w:r>
        <w:rPr>
          <w:rFonts w:ascii="Barlow Semi Condensed" w:cs="Barlow Semi Condensed" w:eastAsia="Barlow Semi Condensed" w:hAnsi="Barlow Semi Condensed"/>
          <w:sz w:val="24"/>
          <w:szCs w:val="24"/>
        </w:rPr>
        <w:t xml:space="preserve"> Rubbettino editore — https://www.store.rubbettinoeditore.it/catalogo/la-normalizzazione-delle-relazioni-diplomatiche-tra-la-repubblica-italiana-e-la-repubblica-popolare-cinese/ (https://www.store.rubbettinoeditore.it/catalogo/la-normalizzazione-delle-relazioni-diplomatiche-tra-la-repubblica-italiana-e-la-repubblica-popolare-cinese/)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555.</w:t>
      </w:r>
      <w:r>
        <w:rPr>
          <w:rFonts w:ascii="Barlow Semi Condensed" w:cs="Barlow Semi Condensed" w:eastAsia="Barlow Semi Condensed" w:hAnsi="Barlow Semi Condensed"/>
          <w:sz w:val="24"/>
          <w:szCs w:val="24"/>
        </w:rPr>
        <w:t xml:space="preserve"> University of Milan — https://air.unimi.it/handle/2434/16750 (https://air.unimi.it/handle/2434/16750)</w:t>
      </w:r>
    </w:p>
    <w:p>
      <w:pPr>
        <w:spacing w:after="120" w:line="276"/>
        <w:jc w:val="both"/>
      </w:pPr>
      <w:r>
        <w:rPr>
          <w:rFonts w:ascii="Barlow Semi Condensed" w:cs="Barlow Semi Condensed" w:eastAsia="Barlow Semi Condensed" w:hAnsi="Barlow Semi Condensed"/>
          <w:b/>
          <w:bCs/>
          <w:sz w:val="24"/>
          <w:szCs w:val="24"/>
        </w:rPr>
        <w:t xml:space="preserve">556.</w:t>
      </w:r>
      <w:r>
        <w:rPr>
          <w:rFonts w:ascii="Barlow Semi Condensed" w:cs="Barlow Semi Condensed" w:eastAsia="Barlow Semi Condensed" w:hAnsi="Barlow Semi Condensed"/>
          <w:sz w:val="24"/>
          <w:szCs w:val="24"/>
        </w:rPr>
        <w:t xml:space="preserve"> Uniurb — https://ora.uniurb.it/handle/11576/1890940 (https://ora.uniurb.it/handle/11576/1890940)</w:t>
      </w:r>
    </w:p>
    <w:p>
      <w:pPr>
        <w:spacing w:after="120" w:line="276"/>
        <w:jc w:val="both"/>
      </w:pPr>
      <w:r>
        <w:rPr>
          <w:rFonts w:ascii="Barlow Semi Condensed" w:cs="Barlow Semi Condensed" w:eastAsia="Barlow Semi Condensed" w:hAnsi="Barlow Semi Condensed"/>
          <w:b/>
          <w:bCs/>
          <w:sz w:val="24"/>
          <w:szCs w:val="24"/>
        </w:rPr>
        <w:t xml:space="preserve">557.</w:t>
      </w:r>
      <w:r>
        <w:rPr>
          <w:rFonts w:ascii="Barlow Semi Condensed" w:cs="Barlow Semi Condensed" w:eastAsia="Barlow Semi Condensed" w:hAnsi="Barlow Semi Condensed"/>
          <w:sz w:val="24"/>
          <w:szCs w:val="24"/>
        </w:rPr>
        <w:t xml:space="preserve"> LuissThesis — https://tesi.luiss.it/40220/1/102822_DE%20MARTINO_TOMMASO.pdf (https://tesi.luiss.it/40220/1/102822_DE%20MARTINO_TOMMASO.pdf)</w:t>
      </w:r>
    </w:p>
    <w:p>
      <w:pPr>
        <w:spacing w:after="120" w:line="276"/>
        <w:jc w:val="both"/>
      </w:pPr>
      <w:r>
        <w:rPr>
          <w:rFonts w:ascii="Barlow Semi Condensed" w:cs="Barlow Semi Condensed" w:eastAsia="Barlow Semi Condensed" w:hAnsi="Barlow Semi Condensed"/>
          <w:b/>
          <w:bCs/>
          <w:sz w:val="24"/>
          <w:szCs w:val="24"/>
        </w:rPr>
        <w:t xml:space="preserve">558.</w:t>
      </w:r>
      <w:r>
        <w:rPr>
          <w:rFonts w:ascii="Barlow Semi Condensed" w:cs="Barlow Semi Condensed" w:eastAsia="Barlow Semi Condensed" w:hAnsi="Barlow Semi Condensed"/>
          <w:sz w:val="24"/>
          <w:szCs w:val="24"/>
        </w:rPr>
        <w:t xml:space="preserve"> Aldomoro — http://www.aldomoro.eu/scritti.php (http://www.aldomoro.eu/scritti.php)</w:t>
      </w:r>
    </w:p>
    <w:p>
      <w:pPr>
        <w:spacing w:after="120" w:line="276"/>
        <w:jc w:val="both"/>
      </w:pPr>
      <w:r>
        <w:rPr>
          <w:rFonts w:ascii="Barlow Semi Condensed" w:cs="Barlow Semi Condensed" w:eastAsia="Barlow Semi Condensed" w:hAnsi="Barlow Semi Condensed"/>
          <w:b/>
          <w:bCs/>
          <w:sz w:val="24"/>
          <w:szCs w:val="24"/>
        </w:rPr>
        <w:t xml:space="preserve">559.</w:t>
      </w:r>
      <w:r>
        <w:rPr>
          <w:rFonts w:ascii="Barlow Semi Condensed" w:cs="Barlow Semi Condensed" w:eastAsia="Barlow Semi Condensed" w:hAnsi="Barlow Semi Condensed"/>
          <w:sz w:val="24"/>
          <w:szCs w:val="24"/>
        </w:rPr>
        <w:t xml:space="preserve"> Radio Radicale — https://www.radioradicale.it/scheda/82006/dalla-costituente-allunita-nazionale-gli-scritti-parlamentari-di-aldo-moro (https://www.radioradicale.it/scheda/82006/dalla-costituente-allunita-nazionale-gli-scritti-parlamentari-di-aldo-moro)</w:t>
      </w:r>
    </w:p>
    <w:p>
      <w:pPr>
        <w:spacing w:after="120" w:line="276"/>
        <w:jc w:val="both"/>
      </w:pPr>
      <w:r>
        <w:rPr>
          <w:rFonts w:ascii="Barlow Semi Condensed" w:cs="Barlow Semi Condensed" w:eastAsia="Barlow Semi Condensed" w:hAnsi="Barlow Semi Condensed"/>
          <w:b/>
          <w:bCs/>
          <w:sz w:val="24"/>
          <w:szCs w:val="24"/>
        </w:rPr>
        <w:t xml:space="preserve">560.</w:t>
      </w:r>
      <w:r>
        <w:rPr>
          <w:rFonts w:ascii="Barlow Semi Condensed" w:cs="Barlow Semi Condensed" w:eastAsia="Barlow Semi Condensed" w:hAnsi="Barlow Semi Condensed"/>
          <w:sz w:val="24"/>
          <w:szCs w:val="24"/>
        </w:rPr>
        <w:t xml:space="preserve"> Uniba — https://ojs.cimedoc.uniba.it/index.php/law/article/download/1152/966 (https://ojs.cimedoc.uniba.it/index.php/law/article/download/1152/966)</w:t>
      </w:r>
    </w:p>
    <w:p>
      <w:pPr>
        <w:spacing w:after="120" w:line="276"/>
        <w:jc w:val="both"/>
      </w:pPr>
      <w:r>
        <w:rPr>
          <w:rFonts w:ascii="Barlow Semi Condensed" w:cs="Barlow Semi Condensed" w:eastAsia="Barlow Semi Condensed" w:hAnsi="Barlow Semi Condensed"/>
          <w:b/>
          <w:bCs/>
          <w:sz w:val="24"/>
          <w:szCs w:val="24"/>
        </w:rPr>
        <w:t xml:space="preserve">561.</w:t>
      </w:r>
      <w:r>
        <w:rPr>
          <w:rFonts w:ascii="Barlow Semi Condensed" w:cs="Barlow Semi Condensed" w:eastAsia="Barlow Semi Condensed" w:hAnsi="Barlow Semi Condensed"/>
          <w:sz w:val="24"/>
          <w:szCs w:val="24"/>
        </w:rPr>
        <w:t xml:space="preserve"> Academia.edu — https://www.academia.edu/40539138/Fra_diplomazia_e_petrolio_Aldo_Moro_e_la_politica_italiana_in_Medio_Oriente (https://www.academia.edu/40539138/Fra_diplomazia_e_petrolio_Aldo_Moro_e_la_politica_italiana_in_Medio_Oriente)</w:t>
      </w:r>
    </w:p>
    <w:p>
      <w:pPr>
        <w:spacing w:after="120" w:line="276"/>
        <w:jc w:val="both"/>
      </w:pPr>
      <w:r>
        <w:rPr>
          <w:rFonts w:ascii="Barlow Semi Condensed" w:cs="Barlow Semi Condensed" w:eastAsia="Barlow Semi Condensed" w:hAnsi="Barlow Semi Condensed"/>
          <w:b/>
          <w:bCs/>
          <w:sz w:val="24"/>
          <w:szCs w:val="24"/>
        </w:rPr>
        <w:t xml:space="preserve">562.</w:t>
      </w:r>
      <w:r>
        <w:rPr>
          <w:rFonts w:ascii="Barlow Semi Condensed" w:cs="Barlow Semi Condensed" w:eastAsia="Barlow Semi Condensed" w:hAnsi="Barlow Semi Condensed"/>
          <w:sz w:val="24"/>
          <w:szCs w:val="24"/>
        </w:rPr>
        <w:t xml:space="preserve"> cia — https://www.cia.gov/readingroom/print/1921790 (https://www.cia.gov/readingroom/print/1921790)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563.</w:t>
      </w:r>
      <w:r>
        <w:rPr>
          <w:rFonts w:ascii="Barlow Semi Condensed" w:cs="Barlow Semi Condensed" w:eastAsia="Barlow Semi Condensed" w:hAnsi="Barlow Semi Condensed"/>
          <w:sz w:val="24"/>
          <w:szCs w:val="24"/>
        </w:rPr>
        <w:t xml:space="preserve"> Wikipedia — https://es.wikipedia.org/wiki/Segundo_franquismo (https://es.wikipedia.org/wiki/Segundo_franquismo)</w:t>
      </w:r>
    </w:p>
    <w:p>
      <w:pPr>
        <w:spacing w:after="120" w:line="276"/>
        <w:jc w:val="both"/>
      </w:pPr>
      <w:r>
        <w:rPr>
          <w:rFonts w:ascii="Barlow Semi Condensed" w:cs="Barlow Semi Condensed" w:eastAsia="Barlow Semi Condensed" w:hAnsi="Barlow Semi Condensed"/>
          <w:b/>
          <w:bCs/>
          <w:sz w:val="24"/>
          <w:szCs w:val="24"/>
        </w:rPr>
        <w:t xml:space="preserve">564.</w:t>
      </w:r>
      <w:r>
        <w:rPr>
          <w:rFonts w:ascii="Barlow Semi Condensed" w:cs="Barlow Semi Condensed" w:eastAsia="Barlow Semi Condensed" w:hAnsi="Barlow Semi Condensed"/>
          <w:sz w:val="24"/>
          <w:szCs w:val="24"/>
        </w:rPr>
        <w:t xml:space="preserve"> Opus Dei — https://opusdei.org/es-es/article/2-sobre-la-existencia-de-un-grupo-de-ministros-denominados-tecnocratas-y-su-identificacion-con-el-opus-dei/ (https://opusdei.org/es-es/article/2-sobre-la-existencia-de-un-grupo-de-ministros-denominados-tecnocratas-y-su-identificacion-con-el-opus-dei/)</w:t>
      </w:r>
    </w:p>
    <w:p>
      <w:pPr>
        <w:spacing w:after="120" w:line="276"/>
        <w:jc w:val="both"/>
      </w:pPr>
      <w:r>
        <w:rPr>
          <w:rFonts w:ascii="Barlow Semi Condensed" w:cs="Barlow Semi Condensed" w:eastAsia="Barlow Semi Condensed" w:hAnsi="Barlow Semi Condensed"/>
          <w:b/>
          <w:bCs/>
          <w:sz w:val="24"/>
          <w:szCs w:val="24"/>
        </w:rPr>
        <w:t xml:space="preserve">565.</w:t>
      </w:r>
      <w:r>
        <w:rPr>
          <w:rFonts w:ascii="Barlow Semi Condensed" w:cs="Barlow Semi Condensed" w:eastAsia="Barlow Semi Condensed" w:hAnsi="Barlow Semi Condensed"/>
          <w:sz w:val="24"/>
          <w:szCs w:val="24"/>
        </w:rPr>
        <w:t xml:space="preserve"> CEPC — https://www.cepc.gob.es/sites/default/files/2022-06/365127-carlos-barrera.pdf (https://www.cepc.gob.es/sites/default/files/2022-06/365127-carlos-barrera.pdf)</w:t>
      </w:r>
    </w:p>
    <w:p>
      <w:pPr>
        <w:spacing w:after="120" w:line="276"/>
        <w:jc w:val="both"/>
      </w:pPr>
      <w:r>
        <w:rPr>
          <w:rFonts w:ascii="Barlow Semi Condensed" w:cs="Barlow Semi Condensed" w:eastAsia="Barlow Semi Condensed" w:hAnsi="Barlow Semi Condensed"/>
          <w:b/>
          <w:bCs/>
          <w:sz w:val="24"/>
          <w:szCs w:val="24"/>
        </w:rPr>
        <w:t xml:space="preserve">566.</w:t>
      </w:r>
      <w:r>
        <w:rPr>
          <w:rFonts w:ascii="Barlow Semi Condensed" w:cs="Barlow Semi Condensed" w:eastAsia="Barlow Semi Condensed" w:hAnsi="Barlow Semi Condensed"/>
          <w:sz w:val="24"/>
          <w:szCs w:val="24"/>
        </w:rPr>
        <w:t xml:space="preserve"> cambridge — https://cambridge.org/core/journals/government-and-opposition/article/political-ideas-of-the-opus-dei-in-spain/DC7BF5C84A19EE970C79D3C0C4D98505 (https://cambridge.org/core/journals/government-and-opposition/article/political-ideas-of-the-opus-dei-in-spain/DC7BF5C84A19EE970C79D3C0C4D98505)</w:t>
      </w:r>
    </w:p>
    <w:p>
      <w:pPr>
        <w:spacing w:after="120" w:line="276"/>
        <w:jc w:val="both"/>
      </w:pPr>
      <w:r>
        <w:rPr>
          <w:rFonts w:ascii="Barlow Semi Condensed" w:cs="Barlow Semi Condensed" w:eastAsia="Barlow Semi Condensed" w:hAnsi="Barlow Semi Condensed"/>
          <w:b/>
          <w:bCs/>
          <w:sz w:val="24"/>
          <w:szCs w:val="24"/>
        </w:rPr>
        <w:t xml:space="preserve">567.</w:t>
      </w:r>
      <w:r>
        <w:rPr>
          <w:rFonts w:ascii="Barlow Semi Condensed" w:cs="Barlow Semi Condensed" w:eastAsia="Barlow Semi Condensed" w:hAnsi="Barlow Semi Condensed"/>
          <w:sz w:val="24"/>
          <w:szCs w:val="24"/>
        </w:rPr>
        <w:t xml:space="preserve"> Opus Dei — https://opusdei.org/it-it/article/opus-dei-trenta-anni-di-prelatura-personale/ (https://opusdei.org/it-it/article/opus-dei-trenta-anni-di-prelatura-personale/)</w:t>
      </w:r>
    </w:p>
    <w:p>
      <w:pPr>
        <w:spacing w:after="120" w:line="276"/>
        <w:jc w:val="both"/>
      </w:pPr>
      <w:r>
        <w:rPr>
          <w:rFonts w:ascii="Barlow Semi Condensed" w:cs="Barlow Semi Condensed" w:eastAsia="Barlow Semi Condensed" w:hAnsi="Barlow Semi Condensed"/>
          <w:b/>
          <w:bCs/>
          <w:sz w:val="24"/>
          <w:szCs w:val="24"/>
        </w:rPr>
        <w:t xml:space="preserve">568.</w:t>
      </w:r>
      <w:r>
        <w:rPr>
          <w:rFonts w:ascii="Barlow Semi Condensed" w:cs="Barlow Semi Condensed" w:eastAsia="Barlow Semi Condensed" w:hAnsi="Barlow Semi Condensed"/>
          <w:sz w:val="24"/>
          <w:szCs w:val="24"/>
        </w:rPr>
        <w:t xml:space="preserve"> Storiadellachiesa — https://www.storiadellachiesa.it/glossary/prelatura-personale-e-la-chiesa-in-italia/ (https://www.storiadellachiesa.it/glossary/prelatura-personale-e-la-chiesa-in-italia/)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569.</w:t>
      </w:r>
      <w:r>
        <w:rPr>
          <w:rFonts w:ascii="Barlow Semi Condensed" w:cs="Barlow Semi Condensed" w:eastAsia="Barlow Semi Condensed" w:hAnsi="Barlow Semi Condensed"/>
          <w:sz w:val="24"/>
          <w:szCs w:val="24"/>
        </w:rPr>
        <w:t xml:space="preserve"> Wikipedia — https://en.wikipedia.org/wiki/Laureano_L%C3%B3pez_Rod%C3%B3 (https://en.wikipedia.org/wiki/Laureano_L%C3%B3pez_Rod%C3%B3)</w:t>
      </w:r>
    </w:p>
    <w:p>
      <w:pPr>
        <w:spacing w:after="120" w:line="276"/>
        <w:jc w:val="both"/>
      </w:pPr>
      <w:r>
        <w:rPr>
          <w:rFonts w:ascii="Barlow Semi Condensed" w:cs="Barlow Semi Condensed" w:eastAsia="Barlow Semi Condensed" w:hAnsi="Barlow Semi Condensed"/>
          <w:b/>
          <w:bCs/>
          <w:sz w:val="24"/>
          <w:szCs w:val="24"/>
        </w:rPr>
        <w:t xml:space="preserve">570.</w:t>
      </w:r>
      <w:r>
        <w:rPr>
          <w:rFonts w:ascii="Barlow Semi Condensed" w:cs="Barlow Semi Condensed" w:eastAsia="Barlow Semi Condensed" w:hAnsi="Barlow Semi Condensed"/>
          <w:sz w:val="24"/>
          <w:szCs w:val="24"/>
        </w:rPr>
        <w:t xml:space="preserve"> Wikipedia — https://es.wikipedia.org/wiki/Relaciones_OTAN-Espa%C3%B1a (https://es.wikipedia.org/wiki/Relaciones_OTAN-Espa%C3%B1a)</w:t>
      </w:r>
    </w:p>
    <w:p>
      <w:pPr>
        <w:spacing w:after="120" w:line="276"/>
        <w:jc w:val="both"/>
      </w:pPr>
      <w:r>
        <w:rPr>
          <w:rFonts w:ascii="Barlow Semi Condensed" w:cs="Barlow Semi Condensed" w:eastAsia="Barlow Semi Condensed" w:hAnsi="Barlow Semi Condensed"/>
          <w:b/>
          <w:bCs/>
          <w:sz w:val="24"/>
          <w:szCs w:val="24"/>
        </w:rPr>
        <w:t xml:space="preserve">571.</w:t>
      </w:r>
      <w:r>
        <w:rPr>
          <w:rFonts w:ascii="Barlow Semi Condensed" w:cs="Barlow Semi Condensed" w:eastAsia="Barlow Semi Condensed" w:hAnsi="Barlow Semi Condensed"/>
          <w:sz w:val="24"/>
          <w:szCs w:val="24"/>
        </w:rPr>
        <w:t xml:space="preserve"> L'Osservatore Romano — https://www.osservatoreromano.va/it/news/2023-02/quo-045/si-vis-pacem-para-pacem.html (https://www.osservatoreromano.va/it/news/2023-02/quo-045/si-vis-pacem-para-pacem.html)</w:t>
      </w:r>
    </w:p>
    <w:p>
      <w:pPr>
        <w:spacing w:after="120" w:line="276"/>
        <w:jc w:val="both"/>
      </w:pPr>
      <w:r>
        <w:rPr>
          <w:rFonts w:ascii="Barlow Semi Condensed" w:cs="Barlow Semi Condensed" w:eastAsia="Barlow Semi Condensed" w:hAnsi="Barlow Semi Condensed"/>
          <w:b/>
          <w:bCs/>
          <w:sz w:val="24"/>
          <w:szCs w:val="24"/>
        </w:rPr>
        <w:t xml:space="preserve">572.</w:t>
      </w:r>
      <w:r>
        <w:rPr>
          <w:rFonts w:ascii="Barlow Semi Condensed" w:cs="Barlow Semi Condensed" w:eastAsia="Barlow Semi Condensed" w:hAnsi="Barlow Semi Condensed"/>
          <w:sz w:val="24"/>
          <w:szCs w:val="24"/>
        </w:rPr>
        <w:t xml:space="preserve"> Treccani — https://www.treccani.it/enciclopedia/agostino-casaroli_%28Dizionario-Biografico%29/ (https://www.treccani.it/enciclopedia/agostino-casaroli_%28Dizionario-Biografico%29/)</w:t>
      </w:r>
    </w:p>
    <w:p>
      <w:pPr>
        <w:pStyle w:val="Heading3"/>
        <w:spacing w:after="80" w:before="160"/>
      </w:pPr>
      <w:r>
        <w:rPr>
          <w:rFonts w:ascii="Barlow Semi Condensed" w:cs="Barlow Semi Condensed" w:eastAsia="Barlow Semi Condensed" w:hAnsi="Barlow Semi Condensed"/>
          <w:sz w:val="24"/>
          <w:szCs w:val="24"/>
        </w:rPr>
        <w:t xml:space="preserve">Libro dodicesimo · XI — La triangolazione della seconda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573.</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574.</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575.</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576.</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577.</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578.</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579.</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580.</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dodicesimo · IV — 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dodicesimo · V — 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 — 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 — 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VIII — 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IX — 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 — 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 — Moro, La Germania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 — Strauss E Aginter Press</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XIII — I Sette Casi Extraeuropei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XIV — 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 — 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 — 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 — 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XVIII — 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XIX — 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 —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 — 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 — 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XXIII — Quarto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XXIV — Quinto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 — Sesto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 — Settimo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 — 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XXVIII — La triangolazione della terza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581.</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582.</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583.</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584.</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585.</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586.</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587.</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588.</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589.</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590.</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591.</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592.</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Libro tredicesimo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593.</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594.</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595.</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596.</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597.</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598.</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599.</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600.</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601.</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602.</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tredicesimo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603.</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604.</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605.</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606.</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607.</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608.</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609.</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610.</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611.</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612.</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613.</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614.</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615.</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616.</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617.</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618.</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619.</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620.</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621.</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622.</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623.</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624.</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625.</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626.</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tredicesimo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627.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12 volte)</w:t>
      </w:r>
    </w:p>
    <w:p>
      <w:pPr>
        <w:spacing w:after="120" w:line="276"/>
        <w:jc w:val="both"/>
      </w:pPr>
      <w:r>
        <w:rPr>
          <w:rFonts w:ascii="Barlow Semi Condensed" w:cs="Barlow Semi Condensed" w:eastAsia="Barlow Semi Condensed" w:hAnsi="Barlow Semi Condensed"/>
          <w:b/>
          <w:bCs/>
          <w:sz w:val="24"/>
          <w:szCs w:val="24"/>
        </w:rPr>
        <w:t xml:space="preserve">629.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tredicesimo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637.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tredicesimo · VII — Il codice e la sua trasmissione (4.999 blocchi)</w:t>
      </w:r>
    </w:p>
    <w:p>
      <w:pPr>
        <w:spacing w:after="120" w:line="276"/>
        <w:jc w:val="both"/>
      </w:pPr>
      <w:r>
        <w:rPr>
          <w:rFonts w:ascii="Barlow Semi Condensed" w:cs="Barlow Semi Condensed" w:eastAsia="Barlow Semi Condensed" w:hAnsi="Barlow Semi Condensed"/>
          <w:b/>
          <w:bCs/>
          <w:sz w:val="24"/>
          <w:szCs w:val="24"/>
        </w:rPr>
        <w:t xml:space="preserve">638.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quattordicesimo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quindicesimo — Il Registro dei cinquantacinque giorni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III — Verifica di un elenco esterno</w:t>
      </w:r>
    </w:p>
    <w:p>
      <w:pPr>
        <w:spacing w:after="120" w:line="276"/>
        <w:jc w:val="both"/>
      </w:pPr>
      <w:r>
        <w:rPr>
          <w:rFonts w:ascii="Barlow Semi Condensed" w:cs="Barlow Semi Condensed" w:eastAsia="Barlow Semi Condensed" w:hAnsi="Barlow Semi Condensed"/>
          <w:b/>
          <w:bCs/>
          <w:sz w:val="24"/>
          <w:szCs w:val="24"/>
        </w:rPr>
        <w:t xml:space="preserve">639.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it.wikisource.org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11 volte)</w:t>
      </w:r>
    </w:p>
    <w:p>
      <w:pPr>
        <w:spacing w:after="120" w:line="276"/>
        <w:jc w:val="both"/>
      </w:pPr>
      <w:r>
        <w:rPr>
          <w:rFonts w:ascii="Barlow Semi Condensed" w:cs="Barlow Semi Condensed" w:eastAsia="Barlow Semi Condensed" w:hAnsi="Barlow Semi Condensed"/>
          <w:b/>
          <w:bCs/>
          <w:sz w:val="24"/>
          <w:szCs w:val="24"/>
        </w:rPr>
        <w:t xml:space="preserve">641.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37 volte)</w:t>
      </w:r>
    </w:p>
    <w:p>
      <w:pPr>
        <w:pStyle w:val="Heading3"/>
        <w:spacing w:after="80" w:before="160"/>
      </w:pPr>
      <w:r>
        <w:rPr>
          <w:rFonts w:ascii="Barlow Semi Condensed" w:cs="Barlow Semi Condensed" w:eastAsia="Barlow Semi Condensed" w:hAnsi="Barlow Semi Condensed"/>
          <w:sz w:val="24"/>
          <w:szCs w:val="24"/>
        </w:rPr>
        <w:t xml:space="preserve">Appendice IV.i — L'apparato di navigazione — La guida alla lettura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 — L'apparato di navigazione — L'indice dei documenti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IV.iii — Il dossier di invio — La mappa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IV.iv — Il dossier di invio — La scheda dell'opera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 — Il dossier di invio — Il capitolo campione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IV.vi — Il dossier di invio — La mappa dei destinatari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IV.vii — Il dossier di invio — Il registro dei canali e delle PEC</w:t>
      </w:r>
    </w:p>
    <w:p>
      <w:pPr>
        <w:spacing w:after="120" w:line="276"/>
        <w:jc w:val="both"/>
      </w:pPr>
      <w:r>
        <w:rPr>
          <w:rFonts w:ascii="Barlow Semi Condensed" w:cs="Barlow Semi Condensed" w:eastAsia="Barlow Semi Condensed" w:hAnsi="Barlow Semi Condensed"/>
          <w:b/>
          <w:bCs/>
          <w:sz w:val="24"/>
          <w:szCs w:val="24"/>
        </w:rPr>
        <w:t xml:space="preserve">642.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643.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archivioantimafia.org/p2/commissione_parlamentare/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644.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memoria.san.beniculturali.it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645.</w:t>
      </w:r>
      <w:r>
        <w:rPr>
          <w:rFonts w:ascii="Barlow Semi Condensed" w:cs="Barlow Semi Condensed" w:eastAsia="Barlow Semi Condensed" w:hAnsi="Barlow Semi Condensed"/>
          <w:sz w:val="24"/>
          <w:szCs w:val="24"/>
        </w:rPr>
        <w:t xml:space="preserve"> zenodo.org (https://zenodo.org)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646.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pStyle w:val="Heading3"/>
        <w:spacing w:after="80" w:before="160"/>
      </w:pPr>
      <w:r>
        <w:rPr>
          <w:rFonts w:ascii="Barlow Semi Condensed" w:cs="Barlow Semi Condensed" w:eastAsia="Barlow Semi Condensed" w:hAnsi="Barlow Semi Condensed"/>
          <w:sz w:val="24"/>
          <w:szCs w:val="24"/>
        </w:rPr>
        <w:t xml:space="preserve">Appendice IV.viii — Il dossier di invio — La checklist di invio</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IV.ix — Il dossier di invio — Il curriculum, modello da compilare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 — Il dossier di invio — 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 — Il dossier di invio — PEC all'Archivio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 — Il dossier di invio — Relazione al Centro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IV.xiii — Il dossier di invio — Proposta all'editrice Laterza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IV.xiv — Il dossier di invio — Proposte a il Mulino, Carocci, Einaudi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IV.xv — Il dossier di invio — Proposte a Chiarelettere e Bompiani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IV.xvi — Il dossier di invio — Il deposito Zenodo, foglio operativo</w:t>
      </w:r>
    </w:p>
    <w:p>
      <w:pPr>
        <w:spacing w:after="120" w:line="276"/>
        <w:jc w:val="both"/>
      </w:pPr>
      <w:r>
        <w:rPr>
          <w:rFonts w:ascii="Barlow Semi Condensed" w:cs="Barlow Semi Condensed" w:eastAsia="Barlow Semi Condensed" w:hAnsi="Barlow Semi Condensed"/>
          <w:b/>
          <w:bCs/>
          <w:sz w:val="24"/>
          <w:szCs w:val="24"/>
        </w:rPr>
        <w:t xml:space="preserve">647.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orcid.org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Appendice IV.xvii — Il dossier di invio — La richiesta all'Archivio storico della Camera</w:t>
      </w:r>
    </w:p>
    <w:p>
      <w:pPr>
        <w:spacing w:after="120" w:line="276"/>
        <w:jc w:val="both"/>
      </w:pPr>
      <w:r>
        <w:rPr>
          <w:rFonts w:ascii="Barlow Semi Condensed" w:cs="Barlow Semi Condensed" w:eastAsia="Barlow Semi Condensed" w:hAnsi="Barlow Semi Condensed"/>
          <w:b/>
          <w:bCs/>
          <w:sz w:val="24"/>
          <w:szCs w:val="24"/>
        </w:rPr>
        <w:t xml:space="preserve">648.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archivioflamigni.org/doc/indice-atti-commissione-p2.pdf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Appendice IV.xviii — Il dossier di invio — La PEC unica formale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IV.xix — Il dossier di invio — La PEC di presentazione per le case editrici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V.i — L'apparato della verifica — La certificazione dei numeri P2</w:t>
      </w:r>
    </w:p>
    <w:p>
      <w:pPr>
        <w:spacing w:after="120" w:line="276"/>
        <w:jc w:val="both"/>
      </w:pPr>
      <w:r>
        <w:rPr>
          <w:rFonts w:ascii="Barlow Semi Condensed" w:cs="Barlow Semi Condensed" w:eastAsia="Barlow Semi Condensed" w:hAnsi="Barlow Semi Condensed"/>
          <w:b/>
          <w:bCs/>
          <w:sz w:val="24"/>
          <w:szCs w:val="24"/>
        </w:rPr>
        <w:t xml:space="preserve">651.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girodivite.it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26 volte)</w:t>
      </w:r>
    </w:p>
    <w:p>
      <w:pPr>
        <w:spacing w:after="120" w:line="276"/>
        <w:jc w:val="both"/>
      </w:pPr>
      <w:r>
        <w:rPr>
          <w:rFonts w:ascii="Barlow Semi Condensed" w:cs="Barlow Semi Condensed" w:eastAsia="Barlow Semi Condensed" w:hAnsi="Barlow Semi Condensed"/>
          <w:b/>
          <w:bCs/>
          <w:sz w:val="24"/>
          <w:szCs w:val="24"/>
        </w:rPr>
        <w:t xml:space="preserve">653.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altervista.org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girodivite.it/IMG/pdf/elenco_p2.pdf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archivio900.it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16 volte)</w:t>
      </w:r>
    </w:p>
    <w:p>
      <w:pPr>
        <w:pStyle w:val="Heading3"/>
        <w:spacing w:after="80" w:before="160"/>
      </w:pPr>
      <w:r>
        <w:rPr>
          <w:rFonts w:ascii="Barlow Semi Condensed" w:cs="Barlow Semi Condensed" w:eastAsia="Barlow Semi Condensed" w:hAnsi="Barlow Semi Condensed"/>
          <w:sz w:val="24"/>
          <w:szCs w:val="24"/>
        </w:rPr>
        <w:t xml:space="preserve">Appendice V.ii — L'apparato della verifica — La relazione della campagna</w:t>
      </w:r>
    </w:p>
    <w:p>
      <w:pPr>
        <w:spacing w:after="120" w:line="276"/>
        <w:jc w:val="both"/>
      </w:pPr>
      <w:r>
        <w:rPr>
          <w:rFonts w:ascii="Barlow Semi Condensed" w:cs="Barlow Semi Condensed" w:eastAsia="Barlow Semi Condensed" w:hAnsi="Barlow Semi Condensed"/>
          <w:b/>
          <w:bCs/>
          <w:sz w:val="24"/>
          <w:szCs w:val="24"/>
        </w:rPr>
        <w:t xml:space="preserve">656.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stragi.it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20 volte)</w:t>
      </w:r>
    </w:p>
    <w:p>
      <w:pPr>
        <w:spacing w:after="120" w:line="276"/>
        <w:jc w:val="both"/>
      </w:pPr>
      <w:r>
        <w:rPr>
          <w:rFonts w:ascii="Barlow Semi Condensed" w:cs="Barlow Semi Condensed" w:eastAsia="Barlow Semi Condensed" w:hAnsi="Barlow Semi Condensed"/>
          <w:b/>
          <w:bCs/>
          <w:sz w:val="24"/>
          <w:szCs w:val="24"/>
        </w:rPr>
        <w:t xml:space="preserve">657.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strano.net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26 volte)</w:t>
      </w:r>
    </w:p>
    <w:p>
      <w:pPr>
        <w:spacing w:after="120" w:line="276"/>
        <w:jc w:val="both"/>
      </w:pPr>
      <w:r>
        <w:rPr>
          <w:rFonts w:ascii="Barlow Semi Condensed" w:cs="Barlow Semi Condensed" w:eastAsia="Barlow Semi Condensed" w:hAnsi="Barlow Semi Condensed"/>
          <w:b/>
          <w:bCs/>
          <w:sz w:val="24"/>
          <w:szCs w:val="24"/>
        </w:rPr>
        <w:t xml:space="preserve">658.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emanuelaorlandi.altervista.org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12 volte)</w:t>
      </w:r>
    </w:p>
    <w:p>
      <w:pPr>
        <w:spacing w:after="120" w:line="276"/>
        <w:jc w:val="both"/>
      </w:pPr>
      <w:r>
        <w:rPr>
          <w:rFonts w:ascii="Barlow Semi Condensed" w:cs="Barlow Semi Condensed" w:eastAsia="Barlow Semi Condensed" w:hAnsi="Barlow Semi Condensed"/>
          <w:b/>
          <w:bCs/>
          <w:sz w:val="24"/>
          <w:szCs w:val="24"/>
        </w:rPr>
        <w:t xml:space="preserve">659.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centrostudimalfatti.eu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660.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maurizioturco.it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661.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19luglio1992.com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662.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peacelink.it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8 volte)</w:t>
      </w:r>
    </w:p>
    <w:p>
      <w:pPr>
        <w:spacing w:after="120" w:line="276"/>
        <w:jc w:val="both"/>
      </w:pPr>
      <w:r>
        <w:rPr>
          <w:rFonts w:ascii="Barlow Semi Condensed" w:cs="Barlow Semi Condensed" w:eastAsia="Barlow Semi Condensed" w:hAnsi="Barlow Semi Condensed"/>
          <w:b/>
          <w:bCs/>
          <w:sz w:val="24"/>
          <w:szCs w:val="24"/>
        </w:rPr>
        <w:t xml:space="preserve">663.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brogi.info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664.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cosmogonia.org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spacing w:after="120" w:line="276"/>
        <w:jc w:val="both"/>
      </w:pPr>
      <w:r>
        <w:rPr>
          <w:rFonts w:ascii="Barlow Semi Condensed" w:cs="Barlow Semi Condensed" w:eastAsia="Barlow Semi Condensed" w:hAnsi="Barlow Semi Condensed"/>
          <w:b/>
          <w:bCs/>
          <w:sz w:val="24"/>
          <w:szCs w:val="24"/>
        </w:rPr>
        <w:t xml:space="preserve">665.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powerbase.info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profilbaru.com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667.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articolo21.org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668.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worstitaly.wordpress.com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associazioneomilos.wordpress.com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ilfattoquotidiano.it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it.wikipedia.org/wiki/Appartenenti_alla_P2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lercio.it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issuu.com/giornalecangrande.it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it.wikipedia.org/wiki/P2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corrieredellumbria.corr.it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lespresso.it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677.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archivioflamigni.org/indice-atti-commissione-p2.pdf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questionegiustizia.it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difesa.it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marina.difesa.it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lavocedelmarinaio.com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unita2.org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ifarabutti.wordpress.com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gdf.gov.it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sitocomunista.it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strano.net/stragi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girodivite.it/IMG/pdf/elenco_p2.pdf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strano.net/stragi/stragi/p2/elep2.htm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stragi.it/archivio/doc/66.pdf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strano.net/stragi.it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archive.nuovaresistenza.org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692.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questionecivile.it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Appendice V.iii — L'apparato della verifica — Il registro degli ingressi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1258 volte 692 indirizzi distinti su 358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(33)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(29) ·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(21) ·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(17)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(10) · </w:t>
      </w:r>
      <w:r>
        <w:rPr>
          <w:rFonts w:ascii="Barlow Semi Condensed" w:cs="Barlow Semi Condensed" w:eastAsia="Barlow Semi Condensed" w:hAnsi="Barlow Semi Condensed"/>
          <w:i/>
          <w:iCs/>
          <w:sz w:val="24"/>
          <w:szCs w:val="24"/>
        </w:rPr>
        <w:t xml:space="preserve">eur-lex.europa.eu</w:t>
      </w:r>
      <w:r>
        <w:rPr>
          <w:rFonts w:ascii="Barlow Semi Condensed" w:cs="Barlow Semi Condensed" w:eastAsia="Barlow Semi Condensed" w:hAnsi="Barlow Semi Condensed"/>
          <w:sz w:val="24"/>
          <w:szCs w:val="24"/>
        </w:rPr>
        <w:t xml:space="preserve"> (9) ·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parlamento.it</w:t>
      </w:r>
      <w:r>
        <w:rPr>
          <w:rFonts w:ascii="Barlow Semi Condensed" w:cs="Barlow Semi Condensed" w:eastAsia="Barlow Semi Condensed" w:hAnsi="Barlow Semi Condensed"/>
          <w:sz w:val="24"/>
          <w:szCs w:val="24"/>
        </w:rPr>
        <w:t xml:space="preserve"> (6).</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692.</w:t>
      </w:r>
    </w:p>
    <w:p>
      <w:pPr>
        <w:pStyle w:val="Heading3"/>
        <w:spacing w:after="80" w:before="240"/>
      </w:pPr>
      <w:r>
        <w:rPr>
          <w:rFonts w:ascii="Barlow Semi Condensed" w:cs="Barlow Semi Condensed" w:eastAsia="Barlow Semi Condensed" w:hAnsi="Barlow Semi Condensed"/>
          <w:sz w:val="24"/>
          <w:szCs w:val="24"/>
        </w:rPr>
        <w:t xml:space="preserve">Apparato grafico — Apparato conclusivo · Le note bibliografiche (dalla prima all'ultima)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692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692 indirizzi citati (1258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ba8248ef44fee2e8519f8b615d614e419bbeef8.png"/><Relationship Id="rId8" Type="http://schemas.openxmlformats.org/officeDocument/2006/relationships/image" Target="media/32a5a721e0a76db25f9477641e34a7c093eba906.png"/><Relationship Id="rId9" Type="http://schemas.openxmlformats.org/officeDocument/2006/relationships/image" Target="media/e8e51ad94fcc1f04f184eab060a09a6fbec719f2.png"/><Relationship Id="rId10" Type="http://schemas.openxmlformats.org/officeDocument/2006/relationships/image" Target="media/94500b7b005c264d98a725de7f2ecf5cefddf1e0.png"/><Relationship Id="rId11" Type="http://schemas.openxmlformats.org/officeDocument/2006/relationships/image" Target="media/8f935fde8873b92d387573cb82a5bb81c5aac96f.png"/><Relationship Id="rId12" Type="http://schemas.openxmlformats.org/officeDocument/2006/relationships/image" Target="media/edde4a01bbcf7626b3166773818f2d15f2b7ea56.png"/><Relationship Id="rId13" Type="http://schemas.openxmlformats.org/officeDocument/2006/relationships/image" Target="media/3be6d51c2425752cbb9e1a5c09d17d2715999652.png"/><Relationship Id="rId14" Type="http://schemas.openxmlformats.org/officeDocument/2006/relationships/image" Target="media/6308a4cfc2263088d81809d16d6649dbd4d99fd0.png"/><Relationship Id="rId15" Type="http://schemas.openxmlformats.org/officeDocument/2006/relationships/image" Target="media/9f751797fbe60d2713d0a784c900866334cac048.png"/><Relationship Id="rId16" Type="http://schemas.openxmlformats.org/officeDocument/2006/relationships/image" Target="media/5ef613a599d947f36424cb5b0bdd8f5879afeba0.png"/><Relationship Id="rId17" Type="http://schemas.openxmlformats.org/officeDocument/2006/relationships/image" Target="media/906ae2de65630c9cd75c85f3fce4e8e99ce76727.png"/><Relationship Id="rId18" Type="http://schemas.openxmlformats.org/officeDocument/2006/relationships/image" Target="media/971de7faddb35f02a660554eb8c32d8e53381c09.png"/><Relationship Id="rId19" Type="http://schemas.openxmlformats.org/officeDocument/2006/relationships/image" Target="media/1ac2a47ed53f64f42d3529422900dcb089642e98.png"/><Relationship Id="rId20" Type="http://schemas.openxmlformats.org/officeDocument/2006/relationships/image" Target="media/5027f39bca9aa9b29466a95d35a35c482de261ce.png"/><Relationship Id="rId21" Type="http://schemas.openxmlformats.org/officeDocument/2006/relationships/image" Target="media/71a79635a398fd514004d6c99e7494a824a076d6.png"/><Relationship Id="rId22" Type="http://schemas.openxmlformats.org/officeDocument/2006/relationships/image" Target="media/0e8e14607e4ee14aa6c2fbeac3e0c2f598381ffa.png"/><Relationship Id="rId23" Type="http://schemas.openxmlformats.org/officeDocument/2006/relationships/image" Target="media/d176cd69cc014b47a074ff6833c090188f1b351a.png"/><Relationship Id="rId24" Type="http://schemas.openxmlformats.org/officeDocument/2006/relationships/image" Target="media/1bcca827024fa59ec9bed7caea3efc5ff19dfeca.png"/><Relationship Id="rId25" Type="http://schemas.openxmlformats.org/officeDocument/2006/relationships/image" Target="media/f07c650ea9b1c57f8e97a212ae85f07fbcdae133.png"/><Relationship Id="rId26" Type="http://schemas.openxmlformats.org/officeDocument/2006/relationships/image" Target="media/4cf409cb93593844faad070dcc9a7b7c2e3e2023.png"/><Relationship Id="rId27" Type="http://schemas.openxmlformats.org/officeDocument/2006/relationships/image" Target="media/5788b3d86b982c0ca1c79cdb71fcdd6bc5232dc5.png"/><Relationship Id="rId28" Type="http://schemas.openxmlformats.org/officeDocument/2006/relationships/image" Target="media/87104f6a066eb0a7ec194e04dbf51e7198957582.png"/><Relationship Id="rId29" Type="http://schemas.openxmlformats.org/officeDocument/2006/relationships/image" Target="media/55b7679a22c76a27436b739f85b977a8242b6298.png"/><Relationship Id="rId30" Type="http://schemas.openxmlformats.org/officeDocument/2006/relationships/image" Target="media/7ad7d962c62ed851e369e7d217bb6427f211cbf1.png"/><Relationship Id="rId31" Type="http://schemas.openxmlformats.org/officeDocument/2006/relationships/image" Target="media/624ba6ec73b2d7b0d744101a8ff4a3ece38f322a.png"/><Relationship Id="rId32" Type="http://schemas.openxmlformats.org/officeDocument/2006/relationships/image" Target="media/f455bfd3bdf698928f45fc1f9fcf3fd61649cd14.png"/><Relationship Id="rId33" Type="http://schemas.openxmlformats.org/officeDocument/2006/relationships/image" Target="media/30e907307e92e559d873f03efd2d5ad189c98e3a.png"/><Relationship Id="rId34" Type="http://schemas.openxmlformats.org/officeDocument/2006/relationships/image" Target="media/92888b83e854250ece5b885727f212b2074ea8a6.png"/><Relationship Id="rId35" Type="http://schemas.openxmlformats.org/officeDocument/2006/relationships/image" Target="media/8687f16f0885efcc4edc4cdf9ed0296067285b1a.png"/><Relationship Id="rId36" Type="http://schemas.openxmlformats.org/officeDocument/2006/relationships/image" Target="media/198ec49c42fa79425d28114691c083e8224c206c.png"/><Relationship Id="rId37" Type="http://schemas.openxmlformats.org/officeDocument/2006/relationships/image" Target="media/86f24b2a31a57e0f2a415c2ff7d6d9c7cb15944b.png"/><Relationship Id="rId38" Type="http://schemas.openxmlformats.org/officeDocument/2006/relationships/image" Target="media/d61224587c9a7760d4b807eb6c23485ad7a8e612.png"/><Relationship Id="rId39" Type="http://schemas.openxmlformats.org/officeDocument/2006/relationships/image" Target="media/b3a810efce56ae989113664eb6c894645cce9ea1.png"/><Relationship Id="rId40" Type="http://schemas.openxmlformats.org/officeDocument/2006/relationships/image" Target="media/33c2a9e0188d87e3e19b9f399f02d0c8800b7197.png"/><Relationship Id="rId41" Type="http://schemas.openxmlformats.org/officeDocument/2006/relationships/image" Target="media/cff59bb99691c9bbd8bc72414eeead036000ff29.png"/><Relationship Id="rId42" Type="http://schemas.openxmlformats.org/officeDocument/2006/relationships/image" Target="media/48e6c35f8064f84710ea7c456e8e35e6caba2d83.png"/><Relationship Id="rId43" Type="http://schemas.openxmlformats.org/officeDocument/2006/relationships/image" Target="media/4e25f35624b7312cb43d2e5191a9111e724aa3d7.png"/><Relationship Id="rId44" Type="http://schemas.openxmlformats.org/officeDocument/2006/relationships/image" Target="media/23a6f290a086f9eec1678d127c796b2b3ebaa5a5.png"/><Relationship Id="rId45" Type="http://schemas.openxmlformats.org/officeDocument/2006/relationships/image" Target="media/2c5dc87b2b4777d6f80d52efe5a388d25fe34268.png"/><Relationship Id="rId46" Type="http://schemas.openxmlformats.org/officeDocument/2006/relationships/image" Target="media/5c0f27e3878301ab3434474b998c193ce108b4ea.png"/><Relationship Id="rId47" Type="http://schemas.openxmlformats.org/officeDocument/2006/relationships/image" Target="media/1c94e52fb3512a2b2e1a193c3b0268c959217e07.png"/><Relationship Id="rId48" Type="http://schemas.openxmlformats.org/officeDocument/2006/relationships/image" Target="media/3cd88d7c1e00ed825805458b70d4a676b1e713f2.png"/><Relationship Id="rId49" Type="http://schemas.openxmlformats.org/officeDocument/2006/relationships/image" Target="media/78f34c2cfafe2793fc9c21a2a8564b8bb8533f55.png"/><Relationship Id="rId50" Type="http://schemas.openxmlformats.org/officeDocument/2006/relationships/image" Target="media/261859a17352f42eae2cd36263c717998298ae53.png"/><Relationship Id="rId51" Type="http://schemas.openxmlformats.org/officeDocument/2006/relationships/image" Target="media/1905ab420c08bec8d516c08a48aa9dc9d127ec1b.png"/><Relationship Id="rId52" Type="http://schemas.openxmlformats.org/officeDocument/2006/relationships/image" Target="media/31ee31ba46fb20782555d8fbc3a0e410b5450b1c.png"/><Relationship Id="rId53" Type="http://schemas.openxmlformats.org/officeDocument/2006/relationships/image" Target="media/49c185e03cdbc298b30a0485eb69f17be65ecf56.png"/><Relationship Id="rId54" Type="http://schemas.openxmlformats.org/officeDocument/2006/relationships/image" Target="media/dd965c04f85dd487f71bb4b0220fbfa0df5de8fe.png"/><Relationship Id="rId55" Type="http://schemas.openxmlformats.org/officeDocument/2006/relationships/image" Target="media/3f38802898cc56ba7d670fe0440bc6493cce79cf.png"/><Relationship Id="rId56" Type="http://schemas.openxmlformats.org/officeDocument/2006/relationships/image" Target="media/8048081e6bfeacfb1df95c25de98e251a1c47e8d.png"/><Relationship Id="rId57" Type="http://schemas.openxmlformats.org/officeDocument/2006/relationships/image" Target="media/20f159cca944a35599b2786155d4064212d2a2b1.png"/><Relationship Id="rId58" Type="http://schemas.openxmlformats.org/officeDocument/2006/relationships/image" Target="media/877d6a8a670a806669a86da8669c08031cfde6ce.png"/><Relationship Id="rId59" Type="http://schemas.openxmlformats.org/officeDocument/2006/relationships/image" Target="media/31c5bd30e189b3fdfafd4874f7fda8d52f0a720c.png"/><Relationship Id="rId60" Type="http://schemas.openxmlformats.org/officeDocument/2006/relationships/image" Target="media/483516d14c768ca6e3c580a27b70453933167084.png"/><Relationship Id="rId61" Type="http://schemas.openxmlformats.org/officeDocument/2006/relationships/image" Target="media/58dbed0d197f3977b166e48f92084dd220031ed5.png"/><Relationship Id="rId62" Type="http://schemas.openxmlformats.org/officeDocument/2006/relationships/image" Target="media/f5627f48ed39a27c0aa002450878cafa548eb8e8.png"/><Relationship Id="rId63" Type="http://schemas.openxmlformats.org/officeDocument/2006/relationships/image" Target="media/def8a8dc2b9738ca43d8c83c05de30a6d6059533.png"/><Relationship Id="rId64" Type="http://schemas.openxmlformats.org/officeDocument/2006/relationships/image" Target="media/3533ce6f7eb35804b68e7452be615be87f93ee7b.png"/><Relationship Id="rId65" Type="http://schemas.openxmlformats.org/officeDocument/2006/relationships/image" Target="media/673d850d5ab83d48001b4c5b93f9204b833f61e6.png"/><Relationship Id="rId66" Type="http://schemas.openxmlformats.org/officeDocument/2006/relationships/image" Target="media/5c2451aef7af049e3c5e164f30941aa3febbbb12.png"/><Relationship Id="rId67" Type="http://schemas.openxmlformats.org/officeDocument/2006/relationships/image" Target="media/32ee8555d70a515e7aaabc6287c7589b6d917f7e.png"/><Relationship Id="rId68" Type="http://schemas.openxmlformats.org/officeDocument/2006/relationships/image" Target="media/db7d31cf770ba71e1f24042ddad18ff75d42d9ad.png"/><Relationship Id="rId69" Type="http://schemas.openxmlformats.org/officeDocument/2006/relationships/image" Target="media/1252dfa2f7c13db918467f03419e8f8d064a61e6.png"/><Relationship Id="rId70" Type="http://schemas.openxmlformats.org/officeDocument/2006/relationships/image" Target="media/175402fd38ff1fadbf95e7b36c601902ad87da61.png"/><Relationship Id="rId71" Type="http://schemas.openxmlformats.org/officeDocument/2006/relationships/image" Target="media/59ac39910edeb3b49c060dced5058843358f933f.png"/><Relationship Id="rId72" Type="http://schemas.openxmlformats.org/officeDocument/2006/relationships/image" Target="media/341c03a71f9f540d77632ae0230335e3502b2b4b.png"/><Relationship Id="rId73" Type="http://schemas.openxmlformats.org/officeDocument/2006/relationships/image" Target="media/07b8b6efed197ccfb9c3bef908f3666b7a234a23.png"/><Relationship Id="rId74" Type="http://schemas.openxmlformats.org/officeDocument/2006/relationships/image" Target="media/8ff3ec0586395ef1953f4fc062a1275dc6ba112e.png"/><Relationship Id="rId75" Type="http://schemas.openxmlformats.org/officeDocument/2006/relationships/image" Target="media/0bff2758213c757887157ebb26160062f2d42508.png"/><Relationship Id="rId76" Type="http://schemas.openxmlformats.org/officeDocument/2006/relationships/image" Target="media/5d415e27f8f437700adeaf748cad3908826c3b1d.png"/><Relationship Id="rId77" Type="http://schemas.openxmlformats.org/officeDocument/2006/relationships/image" Target="media/9ff1bde5fd282e43849ce724a2a51b6f250532e7.png"/><Relationship Id="rId78" Type="http://schemas.openxmlformats.org/officeDocument/2006/relationships/image" Target="media/1408297414e2c801a5ace04ab1700d3d4b41983f.png"/><Relationship Id="rId79" Type="http://schemas.openxmlformats.org/officeDocument/2006/relationships/image" Target="media/ae89eef86d33d911df2f0e808e72d57b5bacc798.png"/><Relationship Id="rId80" Type="http://schemas.openxmlformats.org/officeDocument/2006/relationships/image" Target="media/4161a658d8146f9fa4b7d7640a814472777adf00.png"/><Relationship Id="rId81" Type="http://schemas.openxmlformats.org/officeDocument/2006/relationships/image" Target="media/0095e9a460b744e33785451effbd4b3b0ba157fc.png"/><Relationship Id="rId82" Type="http://schemas.openxmlformats.org/officeDocument/2006/relationships/image" Target="media/8e33e4f7d88fe807d63d14bc2d8e048a5c021b83.png"/><Relationship Id="rId83" Type="http://schemas.openxmlformats.org/officeDocument/2006/relationships/image" Target="media/1ea69a5b484484ec4c2d158b32bb776a0c098da2.png"/><Relationship Id="rId84" Type="http://schemas.openxmlformats.org/officeDocument/2006/relationships/image" Target="media/cae607d9d136ade59dcfa20cac6c668a5662d9cd.png"/><Relationship Id="rId85" Type="http://schemas.openxmlformats.org/officeDocument/2006/relationships/image" Target="media/fe7cef990ef4b12411d05ba312d297cff9bd06ff.png"/><Relationship Id="rId86" Type="http://schemas.openxmlformats.org/officeDocument/2006/relationships/image" Target="media/c503844bb65f40de5ead44b59770d34182e8cf19.png"/><Relationship Id="rId87" Type="http://schemas.openxmlformats.org/officeDocument/2006/relationships/image" Target="media/77f105a33f10e9a84e9c800e906e37af697238a7.png"/><Relationship Id="rId88" Type="http://schemas.openxmlformats.org/officeDocument/2006/relationships/image" Target="media/bac3f94f451d39c73ceef6e91582063f331f254a.png"/><Relationship Id="rId89" Type="http://schemas.openxmlformats.org/officeDocument/2006/relationships/image" Target="media/e9fb11d528035a72040cbd2b0385ce85a58c84a6.png"/><Relationship Id="rId90" Type="http://schemas.openxmlformats.org/officeDocument/2006/relationships/image" Target="media/310e23b07cf7717e529c418a42dfdf2f79781df2.png"/><Relationship Id="rId91" Type="http://schemas.openxmlformats.org/officeDocument/2006/relationships/image" Target="media/7d1a813a0a376eb4fe006c29b59261d9f6514512.png"/><Relationship Id="rId92" Type="http://schemas.openxmlformats.org/officeDocument/2006/relationships/image" Target="media/14d0178ea35af990662d26aa203c9b0c0f787015.png"/><Relationship Id="rId93" Type="http://schemas.openxmlformats.org/officeDocument/2006/relationships/image" Target="media/3353c90f1d562cea63d15218cfe48cdc76b1cacf.png"/><Relationship Id="rId94" Type="http://schemas.openxmlformats.org/officeDocument/2006/relationships/image" Target="media/7b4a1b6a3693aa85e9c875944eeae149098f24da.png"/><Relationship Id="rId95" Type="http://schemas.openxmlformats.org/officeDocument/2006/relationships/image" Target="media/9ecff18fe888dfceefe9ce4ea03b8ea985352e03.png"/><Relationship Id="rId96" Type="http://schemas.openxmlformats.org/officeDocument/2006/relationships/image" Target="media/34ce7d43dc4cf276a25187bbe3b3bd667392147d.png"/><Relationship Id="rId97" Type="http://schemas.openxmlformats.org/officeDocument/2006/relationships/image" Target="media/48cf2f6d15b49c59c7ae832ada617cbdc4811b2e.png"/><Relationship Id="rId98" Type="http://schemas.openxmlformats.org/officeDocument/2006/relationships/image" Target="media/42b5f254583da760d153752bcdbccce03b4768cd.png"/><Relationship Id="rId99" Type="http://schemas.openxmlformats.org/officeDocument/2006/relationships/image" Target="media/455a40aa76af3a3b7b2220317e819e5746ace4b8.png"/><Relationship Id="rId100" Type="http://schemas.openxmlformats.org/officeDocument/2006/relationships/image" Target="media/8a647d4538ed75f30746978f3df322fac63a019c.png"/><Relationship Id="rId101" Type="http://schemas.openxmlformats.org/officeDocument/2006/relationships/image" Target="media/c3b501f6ea027da5ddc89a0e9c848be06bb933a3.png"/><Relationship Id="rId102" Type="http://schemas.openxmlformats.org/officeDocument/2006/relationships/image" Target="media/98ce40a7a1189aa172082949bcdc33ea86ecc797.png"/><Relationship Id="rId103" Type="http://schemas.openxmlformats.org/officeDocument/2006/relationships/image" Target="media/db155c30959e621ce024dd18d23630ff3d4e05d2.png"/><Relationship Id="rId104" Type="http://schemas.openxmlformats.org/officeDocument/2006/relationships/image" Target="media/142384c69b05a1ae8d125009d3d4755901f21bbe.png"/><Relationship Id="rId105" Type="http://schemas.openxmlformats.org/officeDocument/2006/relationships/image" Target="media/4b6ec73abe251a32444f996ce3b3d534d3c94bcb.png"/><Relationship Id="rId106" Type="http://schemas.openxmlformats.org/officeDocument/2006/relationships/image" Target="media/3639e6dd52015ce97affceff6844572f9d6d04a7.png"/><Relationship Id="rId107" Type="http://schemas.openxmlformats.org/officeDocument/2006/relationships/image" Target="media/e88199682b774f96f7efb2fe95e1c185fa5f57b3.png"/><Relationship Id="rId108" Type="http://schemas.openxmlformats.org/officeDocument/2006/relationships/image" Target="media/00f7913b4f2dd4fff454485954c966c466eecf2e.png"/><Relationship Id="rId109" Type="http://schemas.openxmlformats.org/officeDocument/2006/relationships/image" Target="media/d4dbc2747f34c9a92733696eb650d0e1eebfd6d1.png"/><Relationship Id="rId110" Type="http://schemas.openxmlformats.org/officeDocument/2006/relationships/image" Target="media/f468028a0318b2c8ed5ad5c28fcc721c825f5830.png"/><Relationship Id="rId111" Type="http://schemas.openxmlformats.org/officeDocument/2006/relationships/image" Target="media/fa67d4ea13d080c05b5bfb7307cef7699702d0a2.png"/><Relationship Id="rId112" Type="http://schemas.openxmlformats.org/officeDocument/2006/relationships/image" Target="media/801f1b78bc0600f600c41a7a0bb9357e5da88d21.png"/><Relationship Id="rId113" Type="http://schemas.openxmlformats.org/officeDocument/2006/relationships/image" Target="media/a286a4a09280e585513891120ceab83ceefb70e2.png"/><Relationship Id="rId114" Type="http://schemas.openxmlformats.org/officeDocument/2006/relationships/image" Target="media/ccc717ff6519df60576188221fb0f429df6f8ed8.png"/><Relationship Id="rId115" Type="http://schemas.openxmlformats.org/officeDocument/2006/relationships/image" Target="media/1f2acc59fe5bf895be0a1c44cd9a32264d3753b7.png"/><Relationship Id="rId116" Type="http://schemas.openxmlformats.org/officeDocument/2006/relationships/image" Target="media/0e75cf96745b87d7853a5c14cde34582e9663316.png"/><Relationship Id="rId117" Type="http://schemas.openxmlformats.org/officeDocument/2006/relationships/image" Target="media/2e1d764397720adb37b7550055a91a4fb71bb350.png"/><Relationship Id="rId118" Type="http://schemas.openxmlformats.org/officeDocument/2006/relationships/image" Target="media/cc06944cbb1e3477dea1a91424cf0104fb1b8415.png"/><Relationship Id="rId119" Type="http://schemas.openxmlformats.org/officeDocument/2006/relationships/image" Target="media/af4d8b4797afc4824142d4ddc2ced78c7bfb1d50.png"/><Relationship Id="rId120" Type="http://schemas.openxmlformats.org/officeDocument/2006/relationships/image" Target="media/7683f1cf95300efc2428eb3c6d3b1172b2257cb5.png"/><Relationship Id="rId121" Type="http://schemas.openxmlformats.org/officeDocument/2006/relationships/image" Target="media/f30f4e089234281e5988c689a030848250d9e2df.png"/><Relationship Id="rId122" Type="http://schemas.openxmlformats.org/officeDocument/2006/relationships/image" Target="media/f7cce7c67ea8657d5d27a062dec364269c4dd7e8.png"/><Relationship Id="rId123" Type="http://schemas.openxmlformats.org/officeDocument/2006/relationships/image" Target="media/90867bd694bc89213d8690425deb2c23d86fb8b1.png"/><Relationship Id="rId124" Type="http://schemas.openxmlformats.org/officeDocument/2006/relationships/image" Target="media/0e9e3a9ff91f6421dc4d95ce9a2e08b98eaa8402.png"/><Relationship Id="rId125" Type="http://schemas.openxmlformats.org/officeDocument/2006/relationships/image" Target="media/f9d640d390786bb8fb25c3fdebe4cd97adeb7dfa.png"/><Relationship Id="rId126" Type="http://schemas.openxmlformats.org/officeDocument/2006/relationships/image" Target="media/70fae5553be00898dfc00962b39b53213a621eef.png"/><Relationship Id="rId127" Type="http://schemas.openxmlformats.org/officeDocument/2006/relationships/image" Target="media/873783a0c7536d34423a6a1e963071d244cf59b1.png"/><Relationship Id="rId128" Type="http://schemas.openxmlformats.org/officeDocument/2006/relationships/image" Target="media/5c1261aac718c26b0287b12cb2fed86271b6ab19.png"/><Relationship Id="rId129" Type="http://schemas.openxmlformats.org/officeDocument/2006/relationships/image" Target="media/c25dd6008ec69de93fa2c9f5611760871ad7cd29.png"/><Relationship Id="rId130" Type="http://schemas.openxmlformats.org/officeDocument/2006/relationships/image" Target="media/6dd8173174637349f0673e849a4ffc072eb37c8b.png"/><Relationship Id="rId131" Type="http://schemas.openxmlformats.org/officeDocument/2006/relationships/image" Target="media/b1250dcbf5a5fbaf7c418f53b0cf81e53f1598bd.png"/><Relationship Id="rId132" Type="http://schemas.openxmlformats.org/officeDocument/2006/relationships/image" Target="media/c85e67f8a7bc01fb6307d5c2618b6fe0b433b323.png"/><Relationship Id="rId133" Type="http://schemas.openxmlformats.org/officeDocument/2006/relationships/image" Target="media/4f9f38c32970b1bcc5cc7862633eede60784e3ed.png"/><Relationship Id="rId134" Type="http://schemas.openxmlformats.org/officeDocument/2006/relationships/image" Target="media/f5942c7206b99c9d29ea87f1cb0450b666d81468.png"/><Relationship Id="rId135" Type="http://schemas.openxmlformats.org/officeDocument/2006/relationships/image" Target="media/4c293a0f98b73b1504b1ea9308ad358c75d5f0b0.png"/><Relationship Id="rId136" Type="http://schemas.openxmlformats.org/officeDocument/2006/relationships/image" Target="media/41c8a24a5ece9451a9646d0651eb8ef954264289.png"/><Relationship Id="rId137" Type="http://schemas.openxmlformats.org/officeDocument/2006/relationships/image" Target="media/a9323c688eaf45ac5b5e6cc30a0a7dc778908966.png"/><Relationship Id="rId138" Type="http://schemas.openxmlformats.org/officeDocument/2006/relationships/image" Target="media/301939eeb1bb1d6088f4b9b6e783b6ed610e18ca.png"/><Relationship Id="rId139" Type="http://schemas.openxmlformats.org/officeDocument/2006/relationships/image" Target="media/538e87d4bf5f95b3d857f471f9f8dd8b5a0873fe.png"/><Relationship Id="rId140" Type="http://schemas.openxmlformats.org/officeDocument/2006/relationships/image" Target="media/cb1febe89b9bc9416522a9f3dfa4b2aa582eaaca.png"/><Relationship Id="rId141" Type="http://schemas.openxmlformats.org/officeDocument/2006/relationships/image" Target="media/2571bb0e00206fc656411cd806dc3e05591cac25.png"/><Relationship Id="rId142" Type="http://schemas.openxmlformats.org/officeDocument/2006/relationships/image" Target="media/66f39e050276c49ea76d12a61aef505ce5784f3e.png"/><Relationship Id="rId143" Type="http://schemas.openxmlformats.org/officeDocument/2006/relationships/image" Target="media/025f07f67570222d950dd9de68139c1bb631596a.png"/><Relationship Id="rId144" Type="http://schemas.openxmlformats.org/officeDocument/2006/relationships/image" Target="media/ce589785b7a0e4804aa64d4ab731956c23f8b6a9.png"/><Relationship Id="rId145" Type="http://schemas.openxmlformats.org/officeDocument/2006/relationships/image" Target="media/5a5d46df838e9c1230ff2367ae956e271a530f3f.png"/><Relationship Id="rId146" Type="http://schemas.openxmlformats.org/officeDocument/2006/relationships/image" Target="media/994c56861207920d253a4554c2ccc2361af5349b.png"/><Relationship Id="rId147" Type="http://schemas.openxmlformats.org/officeDocument/2006/relationships/image" Target="media/827ec2d43f2d87fbb7906a974cbe0387469b339f.png"/><Relationship Id="rId148" Type="http://schemas.openxmlformats.org/officeDocument/2006/relationships/image" Target="media/bec95813d797c868b122aca09a28bcf28b6e03ce.png"/><Relationship Id="rId149" Type="http://schemas.openxmlformats.org/officeDocument/2006/relationships/image" Target="media/50419b64c7f8faa1cd403db89af57c1a77ee5315.png"/><Relationship Id="rId150" Type="http://schemas.openxmlformats.org/officeDocument/2006/relationships/image" Target="media/3a3c4b0a1ddd6cec9d841a6729c7b668b8a4e365.png"/><Relationship Id="rId151" Type="http://schemas.openxmlformats.org/officeDocument/2006/relationships/image" Target="media/cc9f3883d360588b63c2bfe2b7352471d7cfc41e.png"/><Relationship Id="rId152" Type="http://schemas.openxmlformats.org/officeDocument/2006/relationships/image" Target="media/77676302c0f0a33df4836bcb08dbcf88c5d32bac.png"/><Relationship Id="rId153" Type="http://schemas.openxmlformats.org/officeDocument/2006/relationships/image" Target="media/0de1f656531f40cb2331bcb4dbc13daf5ee4ba46.png"/><Relationship Id="rId154" Type="http://schemas.openxmlformats.org/officeDocument/2006/relationships/image" Target="media/0d662386d4237f5da5c223bc82fe4083b4841413.png"/><Relationship Id="rId155" Type="http://schemas.openxmlformats.org/officeDocument/2006/relationships/image" Target="media/3864fce117d1d9f6371a8bd3e7ab816e74486e5a.png"/><Relationship Id="rId156" Type="http://schemas.openxmlformats.org/officeDocument/2006/relationships/image" Target="media/3c1f1116d327deb8de58009d56141b3eac693463.png"/><Relationship Id="rId157" Type="http://schemas.openxmlformats.org/officeDocument/2006/relationships/image" Target="media/5e5393b78af51b946e5b82142d6afafbe3ee99b5.png"/><Relationship Id="rId158" Type="http://schemas.openxmlformats.org/officeDocument/2006/relationships/image" Target="media/2873713ac71ce52cf6ef174f122369725b7de0dd.png"/><Relationship Id="rId159" Type="http://schemas.openxmlformats.org/officeDocument/2006/relationships/image" Target="media/1ce89faf5f3ae82267cb19a9d926cd506f1addb6.png"/><Relationship Id="rId160" Type="http://schemas.openxmlformats.org/officeDocument/2006/relationships/image" Target="media/7a19ee96822890c5a3b5516e82d7878d03431b51.png"/><Relationship Id="rId161" Type="http://schemas.openxmlformats.org/officeDocument/2006/relationships/image" Target="media/a5c77e3b4a3952226b126af72f5997d19710d340.png"/><Relationship Id="rId162" Type="http://schemas.openxmlformats.org/officeDocument/2006/relationships/image" Target="media/d254755df85f870b1994969cb89b4c5b00267f24.png"/><Relationship Id="rId163" Type="http://schemas.openxmlformats.org/officeDocument/2006/relationships/image" Target="media/3843eb0b5d56b81298f9aaed5280649b269a027c.png"/><Relationship Id="rId164" Type="http://schemas.openxmlformats.org/officeDocument/2006/relationships/image" Target="media/74437c9bed9f1900c53804e39ed746782e5a83ac.png"/><Relationship Id="rId165" Type="http://schemas.openxmlformats.org/officeDocument/2006/relationships/image" Target="media/990e3cbc57117a4eb049eb3794d37b0eba98c055.png"/><Relationship Id="rId166" Type="http://schemas.openxmlformats.org/officeDocument/2006/relationships/image" Target="media/c60522c61d9ab959044959310c4ff7b56afe921c.png"/><Relationship Id="rId167" Type="http://schemas.openxmlformats.org/officeDocument/2006/relationships/image" Target="media/af18ba269c4ab36608873747052adc60def94868.png"/><Relationship Id="rId168" Type="http://schemas.openxmlformats.org/officeDocument/2006/relationships/image" Target="media/1140ab365ff40e0ea5a3ebf37bab854f48d60060.png"/><Relationship Id="rId169" Type="http://schemas.openxmlformats.org/officeDocument/2006/relationships/image" Target="media/d3cefef20d6c71705de44762b4b74e38d9fd656d.png"/><Relationship Id="rId170" Type="http://schemas.openxmlformats.org/officeDocument/2006/relationships/image" Target="media/f109d0c8b7fd54065f8495d98501fc1bed2bd5b8.png"/><Relationship Id="rId171" Type="http://schemas.openxmlformats.org/officeDocument/2006/relationships/image" Target="media/917ab6c0d5bbbd594e7e362761a5e1b9eaa4b9c3.png"/><Relationship Id="rId172" Type="http://schemas.openxmlformats.org/officeDocument/2006/relationships/image" Target="media/f2f69eab0151ca119e660a6d02cf487cbe2ee10b.png"/><Relationship Id="rId173" Type="http://schemas.openxmlformats.org/officeDocument/2006/relationships/image" Target="media/e64675cc6be3a1df6077a174900ef9f6f86d28a5.png"/><Relationship Id="rId174" Type="http://schemas.openxmlformats.org/officeDocument/2006/relationships/image" Target="media/3383abd62fbb38ab68439988c5b6ad5cc9e45648.png"/><Relationship Id="rId175" Type="http://schemas.openxmlformats.org/officeDocument/2006/relationships/image" Target="media/5e88a0efaf006219dbbc6a7e7fbf04d7a51c9c55.png"/><Relationship Id="rId176" Type="http://schemas.openxmlformats.org/officeDocument/2006/relationships/image" Target="media/f0ed806f9254801fb5519108239b6c436dfd19b3.png"/><Relationship Id="rId177" Type="http://schemas.openxmlformats.org/officeDocument/2006/relationships/image" Target="media/7d16ee7cf653a6c2b6233d23cb5a16bbeddcf92b.png"/><Relationship Id="rId178" Type="http://schemas.openxmlformats.org/officeDocument/2006/relationships/image" Target="media/47d12278b5adc82e957add673b0c287626e7b790.png"/><Relationship Id="rId179" Type="http://schemas.openxmlformats.org/officeDocument/2006/relationships/image" Target="media/6fa20b3db9e73c6d605556937ded7f719f987493.png"/><Relationship Id="rId180" Type="http://schemas.openxmlformats.org/officeDocument/2006/relationships/image" Target="media/6431660fa67d604f4313749a62411f66650cf0ed.png"/><Relationship Id="rId181" Type="http://schemas.openxmlformats.org/officeDocument/2006/relationships/image" Target="media/9e6a6dd17c6c4b8142333dbc0339849aea449ce0.png"/><Relationship Id="rId182" Type="http://schemas.openxmlformats.org/officeDocument/2006/relationships/image" Target="media/4e14c970e4203c3978c5533e2bdb5049f0b18d3f.png"/><Relationship Id="rId183" Type="http://schemas.openxmlformats.org/officeDocument/2006/relationships/image" Target="media/6a01f47d4dbd1a87af66aa4a49c038b86c3e90b1.png"/><Relationship Id="rId184" Type="http://schemas.openxmlformats.org/officeDocument/2006/relationships/image" Target="media/f70b2a12d422ac5595cd601d6e310a2d1dc96754.png"/><Relationship Id="rId185" Type="http://schemas.openxmlformats.org/officeDocument/2006/relationships/image" Target="media/76a773e5d84e5e824fff02254af1527779f327ba.png"/><Relationship Id="rId186" Type="http://schemas.openxmlformats.org/officeDocument/2006/relationships/image" Target="media/48e5d20d1d875aca61ebcd828c7b68afca41fa48.png"/><Relationship Id="rId187" Type="http://schemas.openxmlformats.org/officeDocument/2006/relationships/image" Target="media/5d1c391d52db1b700bf45782b0d43f039c690507.png"/><Relationship Id="rId188" Type="http://schemas.openxmlformats.org/officeDocument/2006/relationships/image" Target="media/76a9ca72cf3986a6e3118218a83965ffe670b049.png"/><Relationship Id="rId189" Type="http://schemas.openxmlformats.org/officeDocument/2006/relationships/image" Target="media/9c31af68a5f8fae9cf9b901c0d21e223c5a6de83.png"/><Relationship Id="rId190" Type="http://schemas.openxmlformats.org/officeDocument/2006/relationships/image" Target="media/5e3c84139d521dcad48879cde2a830adc4bf4348.png"/><Relationship Id="rId191" Type="http://schemas.openxmlformats.org/officeDocument/2006/relationships/image" Target="media/94668e464af67e213eb345fa5f7b8a6852094cb1.png"/><Relationship Id="rId192" Type="http://schemas.openxmlformats.org/officeDocument/2006/relationships/image" Target="media/3f4e5c865b1865bd8a5402ab2383895f31e2edbf.png"/><Relationship Id="rId193" Type="http://schemas.openxmlformats.org/officeDocument/2006/relationships/image" Target="media/b07dd75b7ec8c9556d327b0fcf32bd90387e2f38.png"/><Relationship Id="rId194" Type="http://schemas.openxmlformats.org/officeDocument/2006/relationships/image" Target="media/2543455efea53597c30234fb114e1464d4d7a1ae.png"/><Relationship Id="rId195" Type="http://schemas.openxmlformats.org/officeDocument/2006/relationships/image" Target="media/741db6cdc43b0e18a4ad5dcc337dfb960b6aceef.png"/><Relationship Id="rId196" Type="http://schemas.openxmlformats.org/officeDocument/2006/relationships/image" Target="media/95d0bc5c44515688b27b8a80ab403623ded16131.png"/><Relationship Id="rId197" Type="http://schemas.openxmlformats.org/officeDocument/2006/relationships/image" Target="media/cbb9e1a792a37e7d9041c8a5299ecca2fb141c67.png"/><Relationship Id="rId198" Type="http://schemas.openxmlformats.org/officeDocument/2006/relationships/image" Target="media/b09a45c248cfc3a8cab3330f977a48c73e0f9bf9.png"/><Relationship Id="rId199" Type="http://schemas.openxmlformats.org/officeDocument/2006/relationships/image" Target="media/745112a30e634ab0567dee21124ca8a418e4aca3.png"/><Relationship Id="rId200" Type="http://schemas.openxmlformats.org/officeDocument/2006/relationships/image" Target="media/b17b4d92cc9e8b2775c8d07c6e07ba7fd3a4c580.png"/><Relationship Id="rId201" Type="http://schemas.openxmlformats.org/officeDocument/2006/relationships/image" Target="media/7ac2bb9a6317ede8176c9e37b0962be0cb025a46.png"/><Relationship Id="rId202" Type="http://schemas.openxmlformats.org/officeDocument/2006/relationships/image" Target="media/2c76d9a68a160ee94ece0700cd7f1b4c9f9fa77f.png"/><Relationship Id="rId203" Type="http://schemas.openxmlformats.org/officeDocument/2006/relationships/image" Target="media/1db48e65e4cfa00a4b43d2b9b93a76b76937f37a.png"/><Relationship Id="rId204" Type="http://schemas.openxmlformats.org/officeDocument/2006/relationships/image" Target="media/600b594e4d4d1e00170ed4aa6b62a1b7d06a866f.png"/><Relationship Id="rId205" Type="http://schemas.openxmlformats.org/officeDocument/2006/relationships/image" Target="media/0f2984a4944a5e25b673d8a91ca1aafc3554f989.png"/><Relationship Id="rId206" Type="http://schemas.openxmlformats.org/officeDocument/2006/relationships/image" Target="media/e8cffa9395940a6d4b68eeaa937957ff807fde1f.png"/><Relationship Id="rId207" Type="http://schemas.openxmlformats.org/officeDocument/2006/relationships/image" Target="media/fb997ceaafc963cfb9e285e62c8b1dc3a274c1bc.png"/><Relationship Id="rId208" Type="http://schemas.openxmlformats.org/officeDocument/2006/relationships/image" Target="media/a1351802f1cb7ce8f358546dd467fafe6101c7a1.png"/><Relationship Id="rId209" Type="http://schemas.openxmlformats.org/officeDocument/2006/relationships/image" Target="media/ec56d48141f9d91456ae86d29cef55f99b20f26e.png"/><Relationship Id="rId210" Type="http://schemas.openxmlformats.org/officeDocument/2006/relationships/image" Target="media/ef0899e1765d724c1d48b150c62d4d21982b485c.png"/><Relationship Id="rId211" Type="http://schemas.openxmlformats.org/officeDocument/2006/relationships/image" Target="media/41c9b6e9036630036b17c479b9f27790faaa9e0a.png"/><Relationship Id="rId212" Type="http://schemas.openxmlformats.org/officeDocument/2006/relationships/image" Target="media/17bbe5ce964025154ea78ba707680ce108b283f6.png"/><Relationship Id="rId213" Type="http://schemas.openxmlformats.org/officeDocument/2006/relationships/image" Target="media/99aad23e3eef4eba9178bc2cea01ade419338b05.png"/><Relationship Id="rId214" Type="http://schemas.openxmlformats.org/officeDocument/2006/relationships/image" Target="media/04286cbb8191a47dc32886c9688d35b6b148d124.png"/><Relationship Id="rId215" Type="http://schemas.openxmlformats.org/officeDocument/2006/relationships/image" Target="media/1b7b01b48c4995bb40f16d48e401a3c5a1b3d44c.png"/><Relationship Id="rId216" Type="http://schemas.openxmlformats.org/officeDocument/2006/relationships/image" Target="media/099c24cacd483e39878e6daf96c2aea6a996cf0c.png"/><Relationship Id="rId217" Type="http://schemas.openxmlformats.org/officeDocument/2006/relationships/image" Target="media/b55e8ace1ab9744d328f8f2f56bdc2fa5adac256.png"/><Relationship Id="rId218" Type="http://schemas.openxmlformats.org/officeDocument/2006/relationships/image" Target="media/16983408b436a495a6a334a9222179333ccbe475.png"/><Relationship Id="rId219" Type="http://schemas.openxmlformats.org/officeDocument/2006/relationships/image" Target="media/0c1806b0dd8b94f8a90b40d214d98032ba38cf7c.png"/><Relationship Id="rId220" Type="http://schemas.openxmlformats.org/officeDocument/2006/relationships/image" Target="media/4890bff05f7fc248eb101da1bc3f1a6a53760183.png"/><Relationship Id="rId221" Type="http://schemas.openxmlformats.org/officeDocument/2006/relationships/image" Target="media/1236f4fac70e9708eeac5973ced1880ac76be761.png"/><Relationship Id="rId222" Type="http://schemas.openxmlformats.org/officeDocument/2006/relationships/image" Target="media/6e17f20e561cbb1d0c7dd07a9210ab3c9cba5516.png"/><Relationship Id="rId223" Type="http://schemas.openxmlformats.org/officeDocument/2006/relationships/image" Target="media/5a7698bf0f64d9796fbf4ef3c39c6679ae3db517.png"/><Relationship Id="rId224" Type="http://schemas.openxmlformats.org/officeDocument/2006/relationships/image" Target="media/12d08eab3fc4d2e77b26562f020a4b1cc821eeaa.png"/><Relationship Id="rId225" Type="http://schemas.openxmlformats.org/officeDocument/2006/relationships/image" Target="media/380f964d902b9a1ce61eac31be09e813bb0d77a4.png"/><Relationship Id="rId226" Type="http://schemas.openxmlformats.org/officeDocument/2006/relationships/image" Target="media/f350baa179c786f2288a8b4e45fd28beede9f808.png"/><Relationship Id="rId227" Type="http://schemas.openxmlformats.org/officeDocument/2006/relationships/image" Target="media/5f63993609e4f284292f4a4c549faaf5feea4eac.png"/><Relationship Id="rId228" Type="http://schemas.openxmlformats.org/officeDocument/2006/relationships/image" Target="media/fcf35779f47bb8fb79421974611975e0ca739293.png"/><Relationship Id="rId229" Type="http://schemas.openxmlformats.org/officeDocument/2006/relationships/image" Target="media/372284eecb6d901e010384151aa11eb5d05fa853.png"/><Relationship Id="rId230" Type="http://schemas.openxmlformats.org/officeDocument/2006/relationships/image" Target="media/aa521cff06b8d3d3e3c1f16198046691fa73cf4a.png"/><Relationship Id="rId231" Type="http://schemas.openxmlformats.org/officeDocument/2006/relationships/image" Target="media/313ec6c317ec9da01a669aadc8af0dd7ee4314dc.png"/><Relationship Id="rId232" Type="http://schemas.openxmlformats.org/officeDocument/2006/relationships/image" Target="media/8b5d54b936a9cf3e8a3fbe8aa3fb906d8807f22d.png"/><Relationship Id="rId233" Type="http://schemas.openxmlformats.org/officeDocument/2006/relationships/image" Target="media/2eb0296f7dc7a075a15d8437bff4ef9876f55673.png"/><Relationship Id="rId234" Type="http://schemas.openxmlformats.org/officeDocument/2006/relationships/image" Target="media/9d236c76133d8d10200104b934ea681635b75733.png"/><Relationship Id="rId235" Type="http://schemas.openxmlformats.org/officeDocument/2006/relationships/image" Target="media/4e4931254fb6e8433603740a2953129641f814a6.png"/><Relationship Id="rId236" Type="http://schemas.openxmlformats.org/officeDocument/2006/relationships/image" Target="media/47510a6d3fd47d388e097cca30c246744ead1cf1.png"/><Relationship Id="rId237" Type="http://schemas.openxmlformats.org/officeDocument/2006/relationships/image" Target="media/11c06b446d9da36dbda5281a95e83d6f32af7f50.png"/><Relationship Id="rId238" Type="http://schemas.openxmlformats.org/officeDocument/2006/relationships/image" Target="media/2a68a5c5a561035a918baa5e2a29523eaa7764b8.png"/><Relationship Id="rId239" Type="http://schemas.openxmlformats.org/officeDocument/2006/relationships/image" Target="media/42e9812637d661395bbf687035fa95240d273804.png"/><Relationship Id="rId240" Type="http://schemas.openxmlformats.org/officeDocument/2006/relationships/image" Target="media/1ba0912c1756916c02383b0c0213d8c240b10000.png"/><Relationship Id="rId241" Type="http://schemas.openxmlformats.org/officeDocument/2006/relationships/image" Target="media/4a4d14442b9bbab388bb5d83e02992a4e75efefe.png"/><Relationship Id="rId2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2026-08-28T21:31:56.509Z</dcterms:created>
  <dcterms:modified xsi:type="dcterms:W3CDTF">2026-08-28T21:31:56.525Z</dcterms:modified>
</cp:coreProperties>
</file>

<file path=docProps/custom.xml><?xml version="1.0" encoding="utf-8"?>
<Properties xmlns="http://schemas.openxmlformats.org/officeDocument/2006/custom-properties" xmlns:vt="http://schemas.openxmlformats.org/officeDocument/2006/docPropsVTypes"/>
</file>