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 apparato da valutare e da correggere. </w:t>
      </w:r>
      <w:r>
        <w:rPr>
          <w:rFonts w:ascii="Barlow Semi Condensed" w:cs="Barlow Semi Condensed" w:eastAsia="Barlow Semi Condensed" w:hAnsi="Barlow Semi Condensed"/>
          <w:b/>
          <w:bCs/>
          <w:sz w:val="24"/>
          <w:szCs w:val="24"/>
        </w:rPr>
        <w:t xml:space="preserve">Alla Fondazione Aldo Moro non si propone 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 esiste per la memoria e per le carte di una persona; non è un editore, non è un centro di documentazione sul terrorismo, e non ha alcun obbligo di occuparsi di un corpus generato con sistemi automatici. Arrivare da quella porta con 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 carta di Aldo Moro, e un accertamento che tocca una vicenda che da quarant'anni si racconta sul suo conto. Il secondo va comunicato </w:t>
      </w:r>
      <w:r>
        <w:rPr>
          <w:rFonts w:ascii="Barlow Semi Condensed" w:cs="Barlow Semi Condensed" w:eastAsia="Barlow Semi Condensed" w:hAnsi="Barlow Semi Condensed"/>
          <w:b/>
          <w:bCs/>
          <w:sz w:val="24"/>
          <w:szCs w:val="24"/>
        </w:rPr>
        <w:t xml:space="preserve">prima che lo si legga altrove</w:t>
      </w:r>
      <w:r>
        <w:rPr>
          <w:rFonts w:ascii="Barlow Semi Condensed" w:cs="Barlow Semi Condensed" w:eastAsia="Barlow Semi Condensed" w:hAnsi="Barlow Semi Condensed"/>
          <w:sz w:val="24"/>
          <w:szCs w:val="24"/>
        </w:rPr>
        <w:t xml:space="preser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 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 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 indirizzi istituzionali di persone, non della Fondazione come ente. Prima di scrivere a un indirizzo personale conviene cercare un recapito dell'ente — sul sito della Fondazione o attraverso l'Edizione Nazionale. Solo se non esiste si 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 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 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 comunicazione preventiva di un accertamento che riguarda il presunto colloquio 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 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 questa lettera nasce è stato prodotto con l'ausilio di sistemi di intelligenza artificiale, sotto mia direzione e responsabilità. Non ho consultato fondi, non ho letto documenti originali in archivio, non ho compiuto alcun accertamento in prima persona. Lo dico in apertura perché è il primo elemento che vi serve per 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 patrocinare o conservare alcunché. Il corpus da cui la lettera nasce non contiene rivelazioni e non aggiunge un fatto: è, per tredici dei suoi quattordici Libri, un elenco di domande d'archivio, ciascuna con la sede in cui andrebbe posta, e una di quelle domande riguarda una carta che potrebbe essere fra le vostre. Non è uno studio sul sequestro.</w:t>
      </w:r>
    </w:p>
    <w:p>
      <w:pPr>
        <w:spacing w:after="120" w:line="276"/>
        <w:jc w:val="both"/>
      </w:pPr>
      <w:r>
        <w:rPr>
          <w:rFonts w:ascii="Barlow Semi Condensed" w:cs="Barlow Semi Condensed" w:eastAsia="Barlow Semi Condensed" w:hAnsi="Barlow Semi Condensed"/>
          <w:b/>
          <w:bCs/>
          <w:sz w:val="24"/>
          <w:szCs w:val="24"/>
        </w:rPr>
        <w:t xml:space="preserve">Devo però dirvi subito ciò che rende inesatta, oggi, la formula che avrei usato un mese fa.</w:t>
      </w:r>
      <w:r>
        <w:rPr>
          <w:rFonts w:ascii="Barlow Semi Condensed" w:cs="Barlow Semi Condensed" w:eastAsia="Barlow Semi Condensed" w:hAnsi="Barlow Semi Condensed"/>
          <w:sz w:val="24"/>
          <w:szCs w:val="24"/>
        </w:rPr>
        <w:t xml:space="preserve"> Un solo Libro dei quattordici — un dossier d'autore anteriore al corpus, conservato per intero e non riscritto — nella seconda metà abbandona dichiaratamente la sospensione del giudizio e ordina secondo la plausibilità del coinvolgimento nel sequestro e nell'uccisione. Vi dico esattamente che cosa vi si trova, perché non lo scopriate da soli dopo aver 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 definitiva, gli apparati coinvolti nei depistaggi, i portatori d'interesse esterno tenuti al grado minimo; muove dal giudicato e </w:t>
      </w:r>
      <w:r>
        <w:rPr>
          <w:rFonts w:ascii="Barlow Semi Condensed" w:cs="Barlow Semi Condensed" w:eastAsia="Barlow Semi Condensed" w:hAnsi="Barlow Semi Condensed"/>
          <w:b/>
          <w:bCs/>
          <w:sz w:val="24"/>
          <w:szCs w:val="24"/>
        </w:rPr>
        <w:t xml:space="preserve">rifiuta di nominare un mandante esterno determinato</w:t>
      </w:r>
      <w:r>
        <w:rPr>
          <w:rFonts w:ascii="Barlow Semi Condensed" w:cs="Barlow Semi Condensed" w:eastAsia="Barlow Semi Condensed" w:hAnsi="Barlow Semi Condensed"/>
          <w:sz w:val="24"/>
          <w:szCs w:val="24"/>
        </w:rPr>
        <w:t xml:space="preserve">, perché la ricerca su quel punto ha dato per tre volte un esito negativo; ed è preceduta da una premessa che ribadisce, prima di ogni riga, la presunzione d'innocenza. Nelle quasi cinquemila parole di quelle pagine gli unici nomi propri di persona sono quello di Aldo Moro e quello dello studioso da cui un metodo prende nome. Gli altri tredici Libri si fermano al giudicato; la disciplina in copertina registra l'eccezione limitandola a 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 un colloquio fra il Presidente della Repubblica Giovanni Leone, il ministro degli Esteri Aldo Moro, il Presidente degli Stati Uniti Gerald Ford e il 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w:t>
      </w:r>
      <w:r>
        <w:rPr>
          <w:rFonts w:ascii="Barlow Semi Condensed" w:cs="Barlow Semi Condensed" w:eastAsia="Barlow Semi Condensed" w:hAnsi="Barlow Semi Condensed"/>
          <w:b/>
          <w:bCs/>
          <w:sz w:val="24"/>
          <w:szCs w:val="24"/>
        </w:rPr>
        <w:t xml:space="preserve">un solo verbale: quello redatto dallo staff americano</w:t>
      </w:r>
      <w:r>
        <w:rPr>
          <w:rFonts w:ascii="Barlow Semi Condensed" w:cs="Barlow Semi Condensed" w:eastAsia="Barlow Semi Condensed" w:hAnsi="Barlow Semi Condensed"/>
          <w:sz w:val="24"/>
          <w:szCs w:val="24"/>
        </w:rPr>
        <w:t xml:space="preserve">. È pubblicato, ha doppia segnatura d'archivio ed è 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 risulta un ritrovamento, e non risulta neppure una ricerca. Eppure un ministro degli Esteri che esce da un bilaterale col Presidente degli Stati Uniti fa stendere un appunto — un telespresso, una nota di gabinetto, un promemoria per 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 Ministero degli Affari Esteri, carteggi del gabinetto del ministro, annata 1974; l'Archivio centrale dello Stato, che dal 2010 è la sede della conservazione unificata della documentazione sul caso; e l'Archivio storico del Senato. </w:t>
      </w:r>
      <w:r>
        <w:rPr>
          <w:rFonts w:ascii="Barlow Semi Condensed" w:cs="Barlow Semi Condensed" w:eastAsia="Barlow Semi Condensed" w:hAnsi="Barlow Semi Condensed"/>
          <w:b/>
          <w:bCs/>
          <w:sz w:val="24"/>
          <w:szCs w:val="24"/>
        </w:rPr>
        <w:t xml:space="preserve">Ma la prima sede logica siete voi</w:t>
      </w:r>
      <w:r>
        <w:rPr>
          <w:rFonts w:ascii="Barlow Semi Condensed" w:cs="Barlow Semi Condensed" w:eastAsia="Barlow Semi Condensed" w:hAnsi="Barlow Semi Condensed"/>
          <w:sz w:val="24"/>
          <w:szCs w:val="24"/>
        </w:rPr>
        <w:t xml:space="preserve">, perché quella carta, se fu conservata come carta personale e non come atto d'ufficio, è fra le carte di Aldo Moro che la 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w:t>
      </w:r>
      <w:r>
        <w:rPr>
          <w:rFonts w:ascii="Barlow Semi Condensed" w:cs="Barlow Semi Condensed" w:eastAsia="Barlow Semi Condensed" w:hAnsi="Barlow Semi Condensed"/>
          <w:b/>
          <w:bCs/>
          <w:sz w:val="24"/>
          <w:szCs w:val="24"/>
        </w:rPr>
        <w:t xml:space="preserve">se sappiate dire dove quel documento sia, o se sappiate dire che non c'è.</w:t>
      </w:r>
      <w:r>
        <w:rPr>
          <w:rFonts w:ascii="Barlow Semi Condensed" w:cs="Barlow Semi Condensed" w:eastAsia="Barlow Semi Condensed" w:hAnsi="Barlow Semi Condensed"/>
          <w:sz w:val="24"/>
          <w:szCs w:val="24"/>
        </w:rPr>
        <w:t xml:space="preserve"> L'una e l'altra risposta hanno lo stesso valore per 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 sarebbe stata rivolta una minaccia personale, e la circolazione pubblica di quell'affermazione indica abitualmente </w:t>
      </w:r>
      <w:r>
        <w:rPr>
          <w:rFonts w:ascii="Barlow Semi Condensed" w:cs="Barlow Semi Condensed" w:eastAsia="Barlow Semi Condensed" w:hAnsi="Barlow Semi Condensed"/>
          <w:b/>
          <w:bCs/>
          <w:sz w:val="24"/>
          <w:szCs w:val="24"/>
        </w:rPr>
        <w:t xml:space="preserve">il verbale dello Studio Ovale come sua prova documentale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 detta più forte di quanto sia è essa stessa un errore. Ciò che ho accertato è 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 rese pubbliche del contenuto di quel documento non la contengono. </w:t>
      </w:r>
      <w:r>
        <w:rPr>
          <w:rFonts w:ascii="Barlow Semi Condensed" w:cs="Barlow Semi Condensed" w:eastAsia="Barlow Semi Condensed" w:hAnsi="Barlow Semi Condensed"/>
          <w:b/>
          <w:bCs/>
          <w:sz w:val="24"/>
          <w:szCs w:val="24"/>
        </w:rPr>
        <w:t xml:space="preserve">Non ho letto il documento originale riga per riga</w:t>
      </w:r>
      <w:r>
        <w:rPr>
          <w:rFonts w:ascii="Barlow Semi Condensed" w:cs="Barlow Semi Condensed" w:eastAsia="Barlow Semi Condensed" w:hAnsi="Barlow Semi Condensed"/>
          <w:sz w:val="24"/>
          <w:szCs w:val="24"/>
        </w:rPr>
        <w:t xml:space="preserve">: l'accesso diretto è risultato filtrato, e la verifica poggia su sintesi. Chiunque abbia accesso alla pagina può smentirmi in mezz'ora, ed è la ragione per cui scrivo la cosa in questa 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 risolutivo: secondo la testimonianza da cui l'episodio discende,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 verbale registra la riunione, non i corridoi.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toglie soltanto — ma in modo netto — l'appoggio documentale alla versione che lo colloca nell'incontro 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 otto anni dopo e per via indiretta, con la smentita dell'interessato annotata accanto, e con le divergenze sulla data e sul luogo riportate e non sciolte — perché la stessa vicenda è collocata da fonti diverse nel 1974, nel 1976 e nel 1977, e in stanze diverse.</w:t>
      </w:r>
    </w:p>
    <w:p>
      <w:pPr>
        <w:spacing w:after="120" w:line="276"/>
        <w:jc w:val="both"/>
      </w:pPr>
      <w:r>
        <w:rPr>
          <w:rFonts w:ascii="Barlow Semi Condensed" w:cs="Barlow Semi Condensed" w:eastAsia="Barlow Semi Condensed" w:hAnsi="Barlow Semi Condensed"/>
          <w:b/>
          <w:bCs/>
          <w:sz w:val="24"/>
          <w:szCs w:val="24"/>
        </w:rPr>
        <w:t xml:space="preserve">Vi comunico questo prima di ogni altra cosa, e prima che lo leggiate altrove, per una ragione precisa.</w:t>
      </w:r>
      <w:r>
        <w:rPr>
          <w:rFonts w:ascii="Barlow Semi Condensed" w:cs="Barlow Semi Condensed" w:eastAsia="Barlow Semi Condensed" w:hAnsi="Barlow Semi Condensed"/>
          <w:sz w:val="24"/>
          <w:szCs w:val="24"/>
        </w:rPr>
        <w:t xml:space="preserve"> Quell'affermazione riguarda una persona che non può più confermarla né smentirla, e la sua famiglia. Un accertamento che ne indebolisce l'appoggio documentale non è una buona notizia né una cattiva: è un dato, e chi ne cura la memoria ha diritto di conoscerlo per primo e di contestarlo.</w:t>
      </w:r>
    </w:p>
    <w:p>
      <w:pPr>
        <w:spacing w:after="120" w:line="276"/>
        <w:jc w:val="both"/>
      </w:pPr>
      <w:r>
        <w:rPr>
          <w:rFonts w:ascii="Barlow Semi Condensed" w:cs="Barlow Semi Condensed" w:eastAsia="Barlow Semi Condensed" w:hAnsi="Barlow Semi Condensed"/>
          <w:b/>
          <w:bCs/>
          <w:sz w:val="24"/>
          <w:szCs w:val="24"/>
        </w:rPr>
        <w:t xml:space="preserve">Se possedete una carta, una testimonianza o un riferimento che contraddica quanto ho scritto, lo recepirò per nota, accanto al testo errato e senza cancellarlo</w:t>
      </w:r>
      <w:r>
        <w:rPr>
          <w:rFonts w:ascii="Barlow Semi Condensed" w:cs="Barlow Semi Condensed" w:eastAsia="Barlow Semi Condensed" w:hAnsi="Barlow Semi Condensed"/>
          <w:sz w:val="24"/>
          <w:szCs w:val="24"/>
        </w:rPr>
        <w:t xml:space="preserve"> — che è il criterio con cui il corpus tratta ogni propria 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 vostro nome compaia accanto al mio in alcun luogo, e non chiedo di essere ricevuto. Se riteneste che questa materia non vi competa, o che il modo in cui è stata prodotta la renda inutilizzabile, quel giudizio sarebbe a sua volta 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 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 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 punto specifico, si invia allora — e solo allora — il capitolo campione, che 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w:t>
      </w:r>
      <w:r>
        <w:rPr>
          <w:rFonts w:ascii="Barlow Semi Condensed" w:cs="Barlow Semi Condensed" w:eastAsia="Barlow Semi Condensed" w:hAnsi="Barlow Semi Condensed"/>
          <w:b/>
          <w:bCs/>
          <w:sz w:val="24"/>
          <w:szCs w:val="24"/>
        </w:rPr>
        <w:t xml:space="preserve">la memoria di una persona determinata, e una famiglia che esiste</w:t>
      </w:r>
      <w:r>
        <w:rPr>
          <w:rFonts w:ascii="Barlow Semi Condensed" w:cs="Barlow Semi Condensed" w:eastAsia="Barlow Semi Condensed" w:hAnsi="Barlow Semi Condensed"/>
          <w:sz w:val="24"/>
          <w:szCs w:val="24"/>
        </w:rPr>
        <w:t xml:space="preserv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 scoperta. Non c'è alcuna scoperta: c'è un documento pubblico che dice altro da 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 una carta e di una data; se il tono scivola verso il caso, la vicenda o il 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 qualcosa in cambio — una risposta, un riconoscimento, un contatto — </w:t>
      </w:r>
      <w:r>
        <w:rPr>
          <w:rFonts w:ascii="Barlow Semi Condensed" w:cs="Barlow Semi Condensed" w:eastAsia="Barlow Semi Condensed" w:hAnsi="Barlow Semi Condensed"/>
          <w:b/>
          <w:bCs/>
          <w:sz w:val="24"/>
          <w:szCs w:val="24"/>
        </w:rPr>
        <w:t xml:space="preserve">va tagliata finché non chiede più nulla</w:t>
      </w:r>
      <w:r>
        <w:rPr>
          <w:rFonts w:ascii="Barlow Semi Condensed" w:cs="Barlow Semi Condensed" w:eastAsia="Barlow Semi Condensed" w:hAnsi="Barlow Semi Condensed"/>
          <w:sz w:val="24"/>
          <w:szCs w:val="24"/>
        </w:rPr>
        <w:t xml:space="preserve">. È l'unica forma in cui merita di essere 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 per una cosa distinta: non il quesito d'archivio, ma </w:t>
      </w:r>
      <w:r>
        <w:rPr>
          <w:rFonts w:ascii="Barlow Semi Condensed" w:cs="Barlow Semi Condensed" w:eastAsia="Barlow Semi Condensed" w:hAnsi="Barlow Semi Condensed"/>
          <w:b/>
          <w:bCs/>
          <w:sz w:val="24"/>
          <w:szCs w:val="24"/>
        </w:rPr>
        <w:t xml:space="preserve">l'apparato delle citazioni</w:t>
      </w:r>
      <w:r>
        <w:rPr>
          <w:rFonts w:ascii="Barlow Semi Condensed" w:cs="Barlow Semi Condensed" w:eastAsia="Barlow Semi Condensed" w:hAnsi="Barlow Semi Condensed"/>
          <w:sz w:val="24"/>
          <w:szCs w:val="24"/>
        </w:rPr>
        <w:t xml:space="preserve"> — 682 indirizzi distinti per 1.025 citazioni. Se qualcosa di questo lavoro può servire a chi cura un'edizione critica, è quello, e va proposto 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2026-08-26T18:40:40.026Z</dcterms:created>
  <dcterms:modified xsi:type="dcterms:W3CDTF">2026-08-26T18:40:40.026Z</dcterms:modified>
</cp:coreProperties>
</file>

<file path=docProps/custom.xml><?xml version="1.0" encoding="utf-8"?>
<Properties xmlns="http://schemas.openxmlformats.org/officeDocument/2006/custom-properties" xmlns:vt="http://schemas.openxmlformats.org/officeDocument/2006/docPropsVTypes"/>
</file>