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Checklist di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Da tenere in mano mentre si spedisce.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Terza edizione, 26 agosto 2026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— forma operativa: le ragioni delle scelte stanno nella mappa dei destinatari, qui stanno solo le cose da fare. Canali accertati il 26 agosto 2026, col grado di ciascuno.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copia sola, quella con le date scritte a mano.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Due copie parzialmente compilate sono peggio di nessuna.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tre regole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porta per volta.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Mai lo stesso testo a due editori lo stesso giorno. Archivi ed editori non sono in concorrenza e possono partire insieme.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giusto alla porta giusta.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Le proposte descrivono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libri diversi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saggio civile · testo adottabile · racconto. Scambiarli è l'errore più facile e il più costoso.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La dichiarazione sull'intelligenza artificiale sta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sempre. Non è cautela: è l'oggetto del libro.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Da fare una volta sola, prima di tutto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Curriculum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 (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curriculum-modello.md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) — intero per Einaudi, dieci righe per gli altri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Deposito Zenodo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 DOI ottenuto — si cita in ogni proposta successiva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Formula sullo stato del lavoro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fissata e usata identica ovunque: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corpus completo e verificato, quattordici Libri; struttura del saggio definita, capitolo campione scritto, resto da scrivere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Capitolo campione riletto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il pezzo su cui si viene giudicati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PEC Archivio Flamigni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(RUNTS · INI-PEC · archivioflamigni.org)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Email Fondazione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reperita (sito · Edizione Nazionale, Bologna)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L'avvertenza che riguarda ogni invio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L'opera ha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quattordici Libri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Tredici si fermano al giudicato.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Libro quarto 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nella seconda metà ordina per plausibilità del coinvolgimento — per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categorie di soggetti, non per nomi individuali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muovendo dai condannati in via definitiva e rifiutando di nominare un mandante esterno.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Ovunque si offra il corpus, questo si dichiara.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già scritto nei documenti; va solo non tolto.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quattro ondate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/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Quando</w:t>
            </w:r>
          </w:p>
        </w:tc>
        <w:tc>
          <w:tcPr>
            <w:tcW w:type="dxa" w:w="312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Chi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0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subito, non è in concorrenza con nulla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 · Fondazione Aldo Moro · Zenodo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 qualche giorno l'uno dall'altro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 · Chiarelettere · Carocci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dopo le prime risposte, o 60 giorni di silenzio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</w:tr>
      <w:tr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sz w:val="20"/>
                <w:szCs w:val="20"/>
              </w:rPr>
              <w:t xml:space="preserve">solo a saggio scritto</w:t>
            </w:r>
          </w:p>
        </w:tc>
        <w:tc>
          <w:tcPr>
            <w:tcW w:type="dxa" w:w="312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 · Einaudi</w:t>
            </w:r>
          </w:p>
        </w:tc>
      </w:tr>
    </w:tbl>
    <w:p>
      <w:pPr>
        <w:spacing w:after="80"/>
      </w:pP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Ondata 0, due cautele.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Flamigni e la Fondazione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 e non allo stesso modo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al primo si propone un apparato da valutare, alla seconda si porta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In parallelo, quando si vuole: la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 — l'oggetto più piccolo e il più facile da collocare.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Le schede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Grado del canale: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✓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accertato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?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da riverificare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✗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chiuso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 · Archivio «Flamigni» ETS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PEC (indirizzo da reperire) · Piazza B. Romano 6, 00154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pec-archivio-flamigni.md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RELAZIONE_SUL_PROGETTO.pdf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indice del ramo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collegamento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al deposito (l'opera supera i 24 MB: molti gestori PEC la rifiutano)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valutazione dell'apparato, segnalazione degli atti d'archivio, eventuale deposito.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la pubblicazione di un libro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0-bis · Fondazione Aldo Moro — ✓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email ordinaria · via dei Gracchi 29/B, 00192 Roma. Cercare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un recapito dell'ente; solo in mancanza al presidente,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 quanto presidente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lettera-fondazione-aldo-moro.md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nel corpo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uno solo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ALLEGATO_SCHEDA_DELL_OPERA.pdf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Qui il corpus non si allega: si offre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chiede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domanda sola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se esista, per la visita di Stato del 25-29 settembre 1974, un appunto italiano del colloquio dello Studio Ovale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Si comunica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l'accertamento sul verbale americano,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 che lo leggano altrove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col grado e con l'obiezione che lo rende non risolutivo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l'unica lettera che tocca la memoria di una persona determinata e una famiglia che esiste. Nessuna rivendicazione di scoperta.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alla rilettura sembrasse chiedere qualcosa in cambio, tagliare finché non chiede più nulla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recapito cercato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inviata il ………</w:t>
      </w:r>
    </w:p>
    <w:p>
      <w:pPr>
        <w:pBdr>
          <w:left w:val="single" w:color="1F3864" w:sz="18" w:space="8"/>
        </w:pBdr>
        <w:spacing w:after="80" w:before="80"/>
        <w:ind w:left="360" w:right="36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Porta vicina, oggetto diverso.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L'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Edizione Nazionale delle Opere di Aldo Moro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è interlocutore per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apparato delle citazioni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per il quesito d'archivio. Separata, in altra forma,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lo stesso giorno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- [ ] valutata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 · il Mulino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modulo online, previa registrazione.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email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1 — già nei campi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argomento · estratto · indice · descrizione estesa · pubblico · bio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Estratto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ALLEGATO_CAPITOLO_CAMPIONE.pdf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per intero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non frammenti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 · Chiarelettere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proposte.editoriali@chiarelettere.it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o modulo · corso Sempione 2, 20154 Milano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1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capitolo campione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è il catalogo più affine dei nove: proprio per questo un'imprecisione qui si nota.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Più cura, non 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 · Carocci — ✓ · testo adottabile in aula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pagina «Proposte editoriali» del sito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· capitolo campione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completo del suo esercizio finale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senza l'esercizio in coda la proposta perde il suo argomento principale.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invertire i due testi con quello del Mulino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 · Laterza — ✓ · saggio civile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info@laterza.it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accetta manoscritti a stampa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 plichi non vengono letti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proposta-editrice-laterza.md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Da inviare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scheda del volume · indice · bio-bibliografia · il capitolo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nessuna notizia entro un anno = rifiuto.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sollecita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5 · Bompiani — ✓ · saggio civile · un colpo solo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manoscritti.bompiani.it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(gruppo Giunti)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proposte-chiarelettere-bompiani.md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sezione 2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Formato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PDF sotto i 5 MB.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Niente bozze, testi incompleti, collegamenti o file su cloud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d'interesse. Niente telefonate, testi non restituiti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Regola che decide tutto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una sola proposta ogni dodici mesi.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spenderla su un libro non ancora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6 · Einaudi — ✓ · racconto · a opera scritta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einaudi@einaudi.it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(saggistica)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proposte-mulino-carocci-einaudi.md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sez. 3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Allegati obbligatori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curriculum · il testo dell'opera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Requisito che si dimentica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nome, indirizzo, email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allegato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risposta solo in caso d'interesse, intorno ai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sei mesi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Attenzione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l'opera, non l'idea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Inviare solo a saggio scritto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7 · Feltrinelli — ? · ricezione sospesa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il sito non si è aperto dall'ambiente di ricerca. Da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conflitto d'oggetto, che va detto e non aggirato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il corpus contiene uno studio monografico su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Giangiacomo 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la sua morte è uno dei nodi registrati. Proporre l'opera alla casa che egli fondò non è scorretto —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tacerlo sì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Se il canale riaprisse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la circostanza va dichiarata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nelle prime tre righe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con: i fatti del 14 marzo 1972 trattati con gli stessi gradi di tutto il resto; nessuna persona indicata come responsabile oltre il giudicato; e che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nel Libro quarto il nome Feltrinelli compare una sola volta, in un passo biografico, e mai nella graduatoria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Ometterlo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sembrare di non aver letto il proprio corpus, oppure di aver scelto quell'editore per provocazione. Entrambi rovinosi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inviato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8 · Bollati Boringhieri — ✗ · porta giusta senza maniglia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nessuno diretto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: non valuta manoscritti spontanei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Grado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incerto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stessa ragione di Feltrinelli. Riverificare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Via praticabile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un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agente letterario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e un agente si cerca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dopo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che il saggio è scritto, perché è l'unica cosa da mostrargli. Nota: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Bollati e Chiarelettere sono dello stesso gruppo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e un agente che lo copra raggiunge entrambi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canale riverificato il ……… · esito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9 · Astrolabio-Ubaldini — ✓ ma fuori catalogo · non inviare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Canale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b.ciampichetti@astrolabio-ubaldini.com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via Guido d'Arezzo 16, 00198 Roma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vincolo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valuta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psicologia del profondo e filosofie e religioni orientali. Il libro non appartiene al perimetro che l'editore dichiara. Non è un giudizio sull'editore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Omonimia da sciogliere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«L'Astrolabio»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il periodico di Ferruccio Parri, è tutt'altro: se l'intenzione era quella, il destinatario è l'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Istituto nazionale Ferruccio Parri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che è già in ondata 0, alla voce apparato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deciso di non inviare, il ………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oppure: ridiretto all'Istituto Parri, il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3"/>
        <w:spacing w:after="80" w:before="16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10 · Zenodo — deposito, non proposta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Che cosa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opera integrale · indice del ramo · note bibliografiche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Licenza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· da scegliere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prima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di caricare: cambiarla dopo è possibile ma sgradevole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depositato il ……… · DOI ………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Tracciamento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Destinatario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Ondata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Inviato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Risposta</w:t>
            </w:r>
          </w:p>
        </w:tc>
        <w:tc>
          <w:tcPr>
            <w:tcW w:type="dxa" w:w="1560"/>
            <w:shd w:fill="1F3864" w:val="clear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b/>
                <w:bCs/>
                <w:color w:val="FFFFFF"/>
                <w:sz w:val="20"/>
                <w:szCs w:val="20"/>
              </w:rPr>
              <w:t xml:space="preserve">Esito</w:t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Archivio Flamigni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0b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Fondazione Aldo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Zenodo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0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il Mulino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Chiarelettere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Carocci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4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Laterza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5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Bompiani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6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Einaudi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3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7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Feltrinelli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sospeso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8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Bollati Boringhieri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via agente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9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Astrolabio-Ubaldini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escluso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11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«Italia contemporanea»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parallelo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12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Edizione Nazionale Moro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>da valutare</w:t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  <w:tc>
          <w:tcPr>
            <w:tcW w:type="dxa" w:w="1560"/>
          </w:tcPr>
          <w:p>
            <w:pPr>
              <w:spacing w:after="20" w:before="20"/>
              <w:jc w:val="both"/>
            </w:pPr>
            <w:r>
              <w:rPr>
                <w:rFonts w:ascii="Barlow Semi Condensed" w:cs="Barlow Semi Condensed" w:eastAsia="Barlow Semi Condensed" w:hAnsi="Barlow Semi Condensed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Che cosa manca ancora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Tutte e sei le porte praticabili hanno il loro testo.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Restano due cose, e nessuna delle due è una proposta da scrivere.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Il saggio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che è il testo vero: la proposta a Bompiani non parte finché non è scritto, e quella a Einaudi nemmeno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(eventuale)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Feltrinelli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solo a canale riaperto, col conflitto d'oggetto in apertura</w:t>
      </w:r>
    </w:p>
    <w:p>
      <w:pPr>
        <w:spacing w:after="40"/>
        <w:ind w:left="18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☐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Nota di quattro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per una rivista di storia contemporanea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rifiuto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Non è un giudizio sul lavoro: quasi sempre è un giudizio sul catalogo di chi lo emette. Si registra nella tabella e basta.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Non si chiede il motivo.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Non si manda una versione rivista a chi non l'ha chiesta. Non si rispedisce la stessa proposta mesi dopo sperando in un lettore diverso: dove vige la regola dei dodici mesi, violarla chiude la porta anche per la volta buona.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Se arriva un interesse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Quale collana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determina lunghezza, tono e lettori.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Quali tempi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il testo è da scrivere, e una scadenza irreale è il modo più comune di rovinare un buon progetto.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Avvertire gli altri in attesa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costa tre righe e vale una reputazione.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4.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Verificare che la dichiarazione sull'intelligenza artificiale resti in apertura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qualunque forma il libro prenda. Se un editore chiedesse di spostarla in fondo o di attenuarla, non è una richiesta redazionale: è la richiesta di pubblicare un altro libro.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2026-08-26T19:56:14.468Z</dcterms:created>
  <dcterms:modified xsi:type="dcterms:W3CDTF">2026-08-26T19:56:14.468Z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