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Scheda dell'opera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Una pagina. È l'allegato che accompagna ogni proposta, invariato, in modo che tre editori diversi ricevano gli stessi numeri. Aggiornata al 26 agosto 2026.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cos'è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Un corpus di ricerca storica sul caso Moro e sul suo contesto internazionale, prodotto nel 2026 con sistemi di intelligenza artificiale sotto direzione umana e sotto una disciplina metodologica vincolante,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scritta prima di ciascun lotto di lavoro e riscritta ogni volta che un lotto la incrinava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L'accrescimento è datato: il registro delle revisioni assegna a ciascuna regola il giorno e l'ora del lavoro che l'ha resa necessaria.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corpus non è, nel suo impianto, una ricostruzione dei fatti del 1978.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propone una tesi sul sequestro, non indica responsabili, non rivela nulla. Produce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bersagli di ricerca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domande formulate in modo che qualcuno possa andare in archivio a rispondervi, ciascuna col grado di ciò che si sa già e con la sede in cui si cercherebbe.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 solo Libro fa eccezione, e la dichiara.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Libro quarto — il Dossier maggiore dell'autore, «Una Pace senza Pace · Tutta la verità», opera anteriore al corpus e qui conservata per intero anziché riscritta — ricostruisce i fatti e, nella sua seconda metà, congeda dichiaratamente la sospensione prudente per ordinare secondo la plausibilità del coinvolgimento.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Ordina categorie di soggetti, non nomi individuali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 condannati in via definitiva, gli apparati coinvolti nei depistaggi, i portatori d'interesse esterno. L'eccezione è registrata nella disciplina in copertina dell'opera, ripetuta nella nota che apre quel Libro, e vale per quel Libro soltanto.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 numeri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Misura</w:t>
            </w:r>
          </w:p>
        </w:tc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Valore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Blocchi mirati di ricerca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7.699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in cinque opere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Opera integrale rilegata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1.331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pagine,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47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documenti, doppia edizione DOCX e PDF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Documenti in markdown nel ramo pubblico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39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Volumi rilegati in doppia edizione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14 DOCX + 14 PDF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Riferimenti bibliografici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667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indirizzi distinti,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1.002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citazioni,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344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domini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Apparato grafico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113 grafici, mai meno di due per capitolo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cinque opere in blocchi: la triangolazione di un solo nome contro tutto il corpus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4.999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blocchi, 65 serie); i nove cantieri d'archivio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1.000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); la continuità dal Sud Africa dell'apartheid alle imprese tecnologiche californiane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1.000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); il manuale investigativo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400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); l'agenda di ricerca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300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La disciplina, in sei righe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Un legame è reale solo se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 documento di provenienza nomina entrambe le parti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La convergenza strutturale e l'affermazione di terza mano si registrano, ma su un altro piano, e il piano si dichiara ogni volta.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contemporaneità non è prova di nesso.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Due fatti dello stesso anno restano due fatti.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L'appartenenza a un'organizzazione non è prova di condotta.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4.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Nessuna persona è indicata come responsabile di reato oltre il giudicato definitivo.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Nessuna graduatoria di colpa è compilata, con una sola eccezione dichiarata: il Libro quarto, nella seconda metà, ordina secondo la plausibilità del coinvolgimento — per categorie di soggetti, non per nomi individuali — e lo avverte in apertura. Ordinare per plausibilità non è condannare, l'eccezione vale per quel Libro soltanto, e nessuna sua affermazione è trasportata negli altri.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5.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Le divergenze si riportano e non si scelgono in silenzio.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Quando due fonti danno date diverse, il testo dà due date.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6.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Le correzioni si fanno per nota, mai riscrivendo in silenzio.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L'opera registra il proprio tasso d'errore.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il corpus ha effettivamente accertato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Tre cose, tutte verificabili da terzi, tutte di natura documentale e nessuna di natura rivelatoria: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verbale dello Studio Ovale del 25 settembre 1974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pubblicato, dotato di doppia segnatura d'archivio — è correntemente citato come la prova documentale di un ultimatum ad Aldo Moro, e non contiene quella frase.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Di quel colloquio esiste un solo versante, quello americano.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L'appunto italiano dello stesso incontro non risulta mai cercato, in cinquant'anni. Sono indicate cinque sedi in cui cercarlo.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moltiplicazione delle fonti è apparente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decine di riprese pressoché identiche della stessa frase risalgono a un unico lancio d'agenzia del 30 novembre 2023. Cento copie di una fonte restano una fonte.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il corpus dichiara di non aver stabilito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la frase non sia stata pronunciata; che qualcuno menta; qualsiasi cosa riguardi la responsabilità del sequestro e dell'omicidio.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Henry Kissinger non fu condannato in alcun processo, non fu mai imputato né processato in alcun Paese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nessuna sentenza definitiva ha attribuito ad alcuna autorità statunitense responsabilità penali nel caso: le condanne definitive riguardano esponenti delle Brigate Rosse.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corpus dichiara inoltre i propri limiti d'accesso: per una parte dei materiali primari ha lavorato su sintesi e fonti secondarie, 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sui resoconti stenografici della Commissione parlamentare d'inchiesta né sui verbali d'udienza del processo.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libro proposto agli editori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è questo corpus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che resta apparato di consultazione. È il saggio breve che ne nasce: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140-200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sette capitoli, il resoconto dell'esperimento e dei suoi fallimenti metodologici. Il caso Moro vi funziona da banco di prova e non da oggetto.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Stato del lavoro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Corpus completo e verificato. Struttura del saggio definita, sette casi documentati,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capitolo campione scritto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Il resto del testo è da scrivere.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Regime dei diritti e disponibilità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corpus è depositato su un archivio pubblico ad accesso libero. Nulla di ciò che riguarda persone viventi con attribuzioni non verificate è pubblicato: quel materiale resta in un archivio separato e non divulgabile.</w:t>
      </w:r>
    </w:p>
    <w:p>
      <w:pPr>
        <w:pBdr>
          <w:bottom w:val="single" w:color="999999" w:sz="6" w:space="1"/>
        </w:pBd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Un'indagine produce atti, non colpevoli.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2026-08-26T18:48:04.607Z</dcterms:created>
  <dcterms:modified xsi:type="dcterms:W3CDTF">2026-08-26T18:48:04.607Z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