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Scheda dell'opera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Una pagina. È l'allegato che accompagna ogni proposta, invariato, in modo che tre editori diversi ricevano gli stessi numeri. Aggiornata al 27 agosto 2026, sesta edizione.</w:t>
      </w:r>
    </w:p>
    <w:p>
      <w:pPr>
        <w:pBdr>
          <w:bottom w:val="single" w:color="999999" w:sz="6" w:space="1"/>
        </w:pBdr>
        <w:spacing w:after="80"/>
      </w:pPr>
    </w:p>
    <w:p>
      <w:pPr>
        <w:pBdr>
          <w:left w:val="single" w:color="1F3864" w:sz="18" w:space="8"/>
        </w:pBdr>
        <w:spacing w:after="80" w:before="80"/>
        <w:ind w:left="360" w:right="36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Deposito pubblico.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L'opera è depositata e citabile all'indirizzo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{{DOI}}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Il manifesto delle impronte SHA-256 consente di verificare che i file ricevuti siano quelli depositati.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cos'è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Un corpus di ricerca storica sul caso Moro e sul suo contesto internazionale, prodotto nel 2026 con sistemi di intelligenza artificiale sotto direzione umana e sotto una disciplina metodologica vincolante,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scritta prima di ciascun lotto di lavoro e riscritta ogni volta che un lotto la incrinava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L'accrescimento è datato: il registro delle revisioni assegna a ciascuna regola il giorno e l'ora del lavoro che l'ha resa necessaria.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corpus non è, nel suo impianto, una ricostruzione dei fatti del 1978.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Non propone una tesi sul sequestro, non indica responsabili, non rivela nulla. Produce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bersagli di ricerca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domande formulate in modo che qualcuno possa andare in archivio a rispondervi, ciascuna col grado di ciò che si sa già e con la sede in cui si cercherebbe.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 solo Libro fa eccezione, e la dichiara.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Libro quarto — il Dossier maggiore dell'autore, «Una Pace senza Pace · Tutta la verità», opera anteriore al corpus e qui conservata per intero anziché riscritta — ricostruisce i fatti e, nella sua seconda metà, congeda dichiaratamente la sospensione prudente per ordinare secondo la plausibilità del coinvolgimento.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Ordina categorie di soggetti, non nomi individuali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 condannati in via definitiva, gli apparati coinvolti nei depistaggi, i portatori d'interesse esterno. L'eccezione è registrata nella disciplina in copertina dell'opera, ripetuta nella nota che apre quel Libro, e vale per quel Libro soltanto.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 numeri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Misura</w:t>
            </w:r>
          </w:p>
        </w:tc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Valore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Blocchi mirati di ricerca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7.699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in cinque opere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Opera integrale rilegata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oltre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2.400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pagine,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101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documenti su 104 del perimetro,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tredici Libri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e cinque Appendici, doppia edizione DOCX e PDF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Documenti in markdown nel ramo pubblico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104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Volumi rilegati in doppia edizione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14 DOCX + 14 PDF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Riferimenti bibliografici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736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indirizzi distinti,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1.332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citazioni,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390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domini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Apparato grafico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235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grafici su 102 capitoli, mai meno di due per capitolo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Sui tre documenti che non entrano.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registro delle impronte misura il volume e non può stare dentro ciò che misura; il memorandum operativo si esclude per statuto proprio; la nota sugli strumenti ricevuti riguarda codice e segue i generatori. Il conteggio delle pagine è dato in tondo per la stessa ragione per cui lo è nel foglio del deposito: questa scheda è rilegata nel volume che conta, e ogni volta che vi si scrive il numero esatto il numero cambia. La cifra si legge sulla copertina.*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Annotazione del 27 agosto 2026 — Questa tavola è stata aggiornata, e va detto\ da che cosa. Fino al 26 agosto vi si leggeva: opera integrale di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1.331 pagine\ e 47 documenti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,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39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documenti in markdown,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667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indirizzi distinti con\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1.002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citazioni su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344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domini,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113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grafici. Quelle cifre erano esatte\ alla loro data e sono diventate false quando l'opera è cresciuta della terza\ campagna Farnesina, dell'opera seconda sui cinquantacinque giorni e delle undici\ appendici alla Fase settima. Sono lasciate qui accanto alle nuove, e non\ cancellate, perché una scheda che si aggiorna in silenzio non permette a chi l'ha\ già ricevuta di accorgersi che i numeri sono cambiati. Chi ha in mano la\ redazione del 26 agosto legga questa riga: nessuna cifra è stata ritirata come\ sbagliata, tutte sono state superate dalla crescita del corpus. Un esemplare\ dell'allegato in quella redazione, in PDF, è stato ripresentato il 27 agosto ed è\ appunto quello che porta le cifre anteriori.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cinque opere in blocchi: la triangolazione di un solo nome contro tutto il corpus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4.999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blocchi, 65 serie); i nove cantieri d'archivio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1.000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); la continuità dal Sud Africa dell'apartheid alle imprese tecnologiche californiane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1.000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); il manuale investigativo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400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); l'agenda di ricerca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300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La disciplina, in sei righe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Un legame è reale solo se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 documento di provenienza nomina entrambe le parti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La convergenza strutturale e l'affermazione di terza mano si registrano, ma su un altro piano, e il piano si dichiara ogni volta.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contemporaneità non è prova di nesso.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Due fatti dello stesso anno restano due fatti.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L'appartenenza a un'organizzazione non è prova di condotta.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4.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Nessuna persona è indicata come responsabile di reato oltre il giudicato definitivo.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Nessuna graduatoria di colpa è compilata, con una sola eccezione dichiarata: il Libro quarto, nella seconda metà, ordina secondo la plausibilità del coinvolgimento — per categorie di soggetti, non per nomi individuali — e lo avverte in apertura. Ordinare per plausibilità non è condannare, l'eccezione vale per quel Libro soltanto, e nessuna sua affermazione è trasportata negli altri.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5.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Le divergenze si riportano e non si scelgono in silenzio.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Quando due fonti danno date diverse, il testo dà due date.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6.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Le correzioni si fanno per nota, mai riscrivendo in silenzio.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L'opera registra il proprio tasso d'errore.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il corpus ha effettivamente accertato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Tre cose, tutte verificabili da terzi, tutte di natura documentale e nessuna di natura rivelatoria: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verbale dello Studio Ovale del 25 settembre 1974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pubblicato, dotato di doppia segnatura d'archivio — è correntemente citato come la prova documentale di un ultimatum ad Aldo Moro, e non contiene quella frase.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Di quel colloquio esiste un solo versante, quello americano.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L'appunto italiano dello stesso incontro non risulta mai cercato, in cinquant'anni. Sono indicate cinque sedi in cui cercarlo.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moltiplicazione delle fonti è apparente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decine di riprese pressoché identiche della stessa frase risalgono a un unico lancio d'agenzia del 30 novembre 2023. Cento copie di una fonte restano una fonte.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il corpus dichiara di non aver stabilito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la frase non sia stata pronunciata; che qualcuno menta; qualsiasi cosa riguardi la responsabilità del sequestro e dell'omicidio.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Henry Kissinger non fu condannato in alcun processo, non fu mai imputato né processato in alcun Paese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nessuna sentenza definitiva ha attribuito ad alcuna autorità statunitense responsabilità penali nel caso: le condanne definitive riguardano esponenti delle Brigate Rosse.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corpus dichiara inoltre i propri limiti d'accesso: per una parte dei materiali primari ha lavorato su sintesi e fonti secondarie, 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sui resoconti stenografici della Commissione parlamentare d'inchiesta né sui verbali d'udienza del processo.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libro proposto agli editori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è questo corpus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che resta apparato di consultazione. È il libro che ne nasce: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«Ottanta anni di Pace», romanzo evidence-based in sette parti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il resoconto dell'esperimento e dei suoi fallimenti metodologici. Il caso Moro vi funziona da banco di prova e non da oggetto: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libro non è sul caso Moro, è su che cosa succede quando si prova a verificarlo.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libro parla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con la voce di Aldo Moro, in prosopopea dichiarata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a ogni apertura di capitolo — non sono sue parole — e con un limite che non si negozia: la voce prestata ragiona sulla prova, che fu la materia insegnata a Bari per vent'anni, e mai sui fatti del suo caso. Ogni capitolo è a due voci alternate: in corsivo la prosopopea, in tondo l'apparato coi gradi.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Stato del lavoro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Corpus completo e verificato.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Prima stesura del libro completa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sette parti su sette, più il registro di chiusura in diciannove voci; quarantaquattro pagine, circa 19.500 parole, rilegate in un volume unico nelle tre forme. La stesura è stata letta di seguito 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misurata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le due voci stanno fra il 52% e il 66% di corsivo, le sette parti fra 1.998 e 2.386 parole, la ripetizione fra capitoli è dello 0,5% in due soli incroci, entrambi voluti; le note di revisione sono nell'opera.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lunghezza resta una domanda aperta, e si dichiara come tale.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progetto prevedeva 250 pagine; la stesura ne fa quaranta, tenute strette. Il materiale per estenderle c'è; la misura giusta la decide l'editore che conosce il proprio catalogo, e diluire un libro che regge è più facile che scriverne uno che regga.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Regime dei diritti e disponibilità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corpus è depositato su un archivio pubblico ad accesso libero. Nulla di ciò che riguarda persone viventi con attribuzioni non verificate è pubblicato: quel materiale resta in un archivio separato e non divulgabile.</w:t>
      </w:r>
    </w:p>
    <w:p>
      <w:pPr>
        <w:pBdr>
          <w:bottom w:val="single" w:color="999999" w:sz="6" w:space="1"/>
        </w:pBd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Un'indagine produce atti, non colpevoli.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Annotazione del 27 agosto 2026 — la rimozione del materiale su Guevara.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Per decisione dell'autore l'opera è stata privata del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Libro secondo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 del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Libro terzo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il saggio-cerniera «Dal Che a Moro» e la parabola di Ernesto Guevara in sei parti, 17.769 parole — insieme al volume tematico che li rilegava a parte. Le cifre qui sopra sono quelle risultanti.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numerazione dei Libri superstiti non è stata rifatta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dopo il Libro primo viene il Libro quarto, e il salto è voluto, perché rinumerare renderebbe invisibile la rimozione e falsificherebbe ogni citazione anteriore.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 Semi Condensed" w:cs="Barlow Semi Condensed" w:eastAsia="Barlow Semi Condensed" w:hAnsi="Barlow Semi Condense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Barlow Semi Condensed" w:cs="Barlow Semi Condensed" w:eastAsia="Barlow Semi Condensed" w:hAnsi="Barlow Semi Condensed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Barlow Semi Condensed" w:cs="Barlow Semi Condensed" w:eastAsia="Barlow Semi Condensed" w:hAnsi="Barlow Semi Condensed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</w:pPr>
    <w:rPr>
      <w:rFonts w:ascii="Barlow Semi Condensed" w:cs="Barlow Semi Condensed" w:eastAsia="Barlow Semi Condensed" w:hAnsi="Barlow Semi Condensed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2026-08-30T17:28:27.425Z</dcterms:created>
  <dcterms:modified xsi:type="dcterms:W3CDTF">2026-08-30T17:28:27.425Z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