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Deposito pubblico.</w:t>
      </w:r>
      <w:r>
        <w:rPr>
          <w:rFonts w:ascii="Barlow Semi Condensed" w:cs="Barlow Semi Condensed" w:eastAsia="Barlow Semi Condensed" w:hAnsi="Barlow Semi Condensed"/>
          <w:sz w:val="24"/>
          <w:szCs w:val="24"/>
        </w:rPr>
        <w:t xml:space="preserve"> L'opera è depositata e citabile all'indirizzo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Il manifesto delle impronte SHA-256 allegato consente di verificare che i file ricevuti siano quelli depositati.</w:t>
      </w: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685 indirizzi distinti per 1.029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2026-08-30T17:28:27.532Z</dcterms:created>
  <dcterms:modified xsi:type="dcterms:W3CDTF">2026-08-30T17:28:27.532Z</dcterms:modified>
</cp:coreProperties>
</file>

<file path=docProps/custom.xml><?xml version="1.0" encoding="utf-8"?>
<Properties xmlns="http://schemas.openxmlformats.org/officeDocument/2006/custom-properties" xmlns:vt="http://schemas.openxmlformats.org/officeDocument/2006/docPropsVTypes"/>
</file>