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8A8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GUIDA TECNICA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0EEEF"/>
                <w:sz w:val="28"/>
                <w:szCs w:val="28"/>
              </w:rPr>
              <w:t xml:space="preserve">Tornado Diagram in Excel per l'Analisi di Sensibilità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CE2E7"/>
                <w:sz w:val="22"/>
                <w:szCs w:val="22"/>
              </w:rPr>
              <w:t xml:space="preserve">Modelli di Costo-Efficacia in Economia Sanitaria</w:t>
            </w:r>
          </w:p>
        </w:tc>
      </w:tr>
    </w:tbl>
    <w:p>
      <w:pPr>
        <w:spacing w:after="60" w:before="6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8900"/>
      </w:tblGrid>
      <w:tr>
        <w:tc>
          <w:tcPr>
            <w:tcW w:type="dxa" w:w="8900"/>
            <w:tcBorders>
              <w:top w:val="single" w:color="C8C8C4" w:sz="4"/>
              <w:left w:val="single" w:color="1B8A8F" w:sz="18"/>
              <w:bottom w:val="single" w:color="C8C8C4" w:sz="4"/>
              <w:right w:val="none" w:color="FFFFFF" w:sz="0"/>
            </w:tcBorders>
            <w:shd w:fill="E8F4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Contesto di riferimento: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Analisi Costo-Efficacia (CEA) secondo le linee guida ISPOR, HTAi e NICE. Il documento descrive come costruire, interpretare e validare un Tornado Diagram applicato a modelli con output ICER (Incremental Cost-Effectiveness Ratio).</w:t>
            </w:r>
          </w:p>
        </w:tc>
      </w:tr>
    </w:tbl>
    <w:p>
      <w:pPr>
        <w:spacing w:after="60" w:before="60"/>
      </w:pPr>
    </w:p>
    <w:p>
      <w:pPr>
        <w:pStyle w:val="Heading1"/>
        <w:shd w:fill="1B8A8F" w:val="clear"/>
        <w:spacing w:after="12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1. Struttura logica del modello CEA</w:t>
      </w:r>
    </w:p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1.1 Formula ICER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L'ICER è la metrica centrale di ogni analisi costo-efficacia: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0F0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ICER = ΔCosti / ΔEfficacia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     = (Costo_A − Costo_B) / (QALY_A − QALY_B)</w:t>
            </w:r>
          </w:p>
        </w:tc>
      </w:tr>
    </w:tbl>
    <w:p>
      <w:pPr>
        <w:spacing w:after="60" w:before="60"/>
      </w:pP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Prerequisiti formali prima di costruire il Tornado: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00"/>
        <w:gridCol w:w="3800"/>
      </w:tblGrid>
      <w:tr>
        <w:trPr>
          <w:tblHeader/>
        </w:trPr>
        <w:tc>
          <w:tcPr>
            <w:tcW w:type="dxa" w:w="25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Condizione</w:t>
            </w:r>
          </w:p>
        </w:tc>
        <w:tc>
          <w:tcPr>
            <w:tcW w:type="dxa" w:w="26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</w:t>
            </w:r>
          </w:p>
        </w:tc>
        <w:tc>
          <w:tcPr>
            <w:tcW w:type="dxa" w:w="38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Azione se non soddisfatta</w:t>
            </w:r>
          </w:p>
        </w:tc>
      </w:tr>
      <w:tr>
        <w:tc>
          <w:tcPr>
            <w:tcW w:type="dxa" w:w="25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ΔEfficacia &gt; 0</w:t>
            </w:r>
          </w:p>
        </w:tc>
        <w:tc>
          <w:tcPr>
            <w:tcW w:type="dxa" w:w="26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domina B per efficacia</w:t>
            </w:r>
          </w:p>
        </w:tc>
        <w:tc>
          <w:tcPr>
            <w:tcW w:type="dxa" w:w="38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Rivalutare la scelta del comparatore</w:t>
            </w:r>
          </w:p>
        </w:tc>
      </w:tr>
      <w:tr>
        <w:tc>
          <w:tcPr>
            <w:tcW w:type="dxa" w:w="25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ΔCosti &gt; 0</w:t>
            </w:r>
          </w:p>
        </w:tc>
        <w:tc>
          <w:tcPr>
            <w:tcW w:type="dxa" w:w="26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è più costoso di B</w:t>
            </w:r>
          </w:p>
        </w:tc>
        <w:tc>
          <w:tcPr>
            <w:tcW w:type="dxa" w:w="38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Verifica 4° quadrante del piano C/E</w:t>
            </w:r>
          </w:p>
        </w:tc>
      </w:tr>
      <w:tr>
        <w:tc>
          <w:tcPr>
            <w:tcW w:type="dxa" w:w="25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ICER &lt; WTP threshold</w:t>
            </w:r>
          </w:p>
        </w:tc>
        <w:tc>
          <w:tcPr>
            <w:tcW w:type="dxa" w:w="26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è cost-effective</w:t>
            </w:r>
          </w:p>
        </w:tc>
        <w:tc>
          <w:tcPr>
            <w:tcW w:type="dxa" w:w="38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Comunicare l'incertezza residua</w:t>
            </w:r>
          </w:p>
        </w:tc>
      </w:tr>
      <w:tr>
        <w:tc>
          <w:tcPr>
            <w:tcW w:type="dxa" w:w="25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Unità consistenti</w:t>
            </w:r>
          </w:p>
        </w:tc>
        <w:tc>
          <w:tcPr>
            <w:tcW w:type="dxa" w:w="26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Stessa valuta, stesso anno</w:t>
            </w:r>
          </w:p>
        </w:tc>
        <w:tc>
          <w:tcPr>
            <w:tcW w:type="dxa" w:w="38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Deflazionare/convertire prima del calcolo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1.2 Parametri tipici di un modello CEA farmaceconomico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Un modello strutturato include almeno quattro categorie di parametri: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Costi diretti sanitari: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farmaco, ospedalizzazione, visite, diagnostica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Parametri di efficacia: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QALY, LYG (life years gained), probabilità di eventi clinici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Parametri strutturali: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orizzonte temporale, tasso di sconto, prospettiva (SSN, società)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Utilità: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pesi di utilità per stato di salute (EQ-5D, SF-6D)</w:t>
      </w:r>
    </w:p>
    <w:p>
      <w:pPr>
        <w:spacing w:after="60" w:before="60"/>
      </w:pPr>
    </w:p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1.3 Struttura del foglio Excel di base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0F0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Colonna B: ID parametro (P1…Pn)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Colonna C: Nome parametro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Colonna D: Valore baseline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Colonna E: Unità di misura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Colonna F: Fonte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ICER baseline = C19 / C20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  dove C19 = ΔCosti = (CostoA + OspA) − (CostoB + OspB)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       C20 = ΔEfficacia = EfficaciaA − EfficaciaB</w:t>
            </w:r>
          </w:p>
        </w:tc>
      </w:tr>
    </w:tbl>
    <w:p>
      <w:pPr>
        <w:pBdr>
          <w:bottom w:val="single" w:color="D4D1CA" w:sz="4"/>
        </w:pBdr>
        <w:spacing w:after="160" w:before="160"/>
      </w:pPr>
    </w:p>
    <w:p>
      <w:pPr>
        <w:pStyle w:val="Heading1"/>
        <w:shd w:fill="1B8A8F" w:val="clear"/>
        <w:spacing w:after="12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2. Definizione dei range di variazione</w:t>
      </w:r>
    </w:p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2.1 Il metodo ±20%: quando e come applicarlo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Il range ±20% rispetto al valore baseline è la convenzione più diffusa nella DSA (Deterministic Sensitivity Analysis) per due ragioni: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Praticità: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è applicabile anche quando non esistono dati pubblicati sulla variabilità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Comparabilità: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permette di confrontare l'impatto relativo tra parametri con unità diverse</w:t>
      </w:r>
    </w:p>
    <w:p>
      <w:pPr>
        <w:spacing w:after="60" w:before="60"/>
      </w:pP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Formula Excel per il calcolo automatico dei range: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0F0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Low  = Baseline * (1 - 20%)     → esempio: =D6*(1-0.2)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High = Baseline * (1 + 20%)     → esempio: =D6*(1+0.2)</w:t>
            </w:r>
          </w:p>
        </w:tc>
      </w:tr>
    </w:tbl>
    <w:p>
      <w:pPr>
        <w:spacing w:after="60" w:before="6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8900"/>
      </w:tblGrid>
      <w:tr>
        <w:tc>
          <w:tcPr>
            <w:tcW w:type="dxa" w:w="8900"/>
            <w:tcBorders>
              <w:top w:val="single" w:color="C8C8C4" w:sz="4"/>
              <w:left w:val="single" w:color="1B8A8F" w:sz="18"/>
              <w:bottom w:val="single" w:color="C8C8C4" w:sz="4"/>
              <w:right w:val="none" w:color="FFFFFF" w:sz="0"/>
            </w:tcBorders>
            <w:shd w:fill="E8F4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⚠ Attenzione alle probabilità: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 un parametro è una probabilità, il range ±20% può produrre valori fuori dall'intervallo [0,1]. In questo caso applicare il ±20% in scala logit o limitare il range a [0.01, 0.99].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2.2 Alternative metodologicamente superiori al ±20% fisso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700"/>
      </w:tblGrid>
      <w:tr>
        <w:trPr>
          <w:tblHeader/>
        </w:trPr>
        <w:tc>
          <w:tcPr>
            <w:tcW w:type="dxa" w:w="26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6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 del range</w:t>
            </w:r>
          </w:p>
        </w:tc>
        <w:tc>
          <w:tcPr>
            <w:tcW w:type="dxa" w:w="37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usarlo</w:t>
            </w:r>
          </w:p>
        </w:tc>
      </w:tr>
      <w:tr>
        <w:tc>
          <w:tcPr>
            <w:tcW w:type="dxa" w:w="26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IC 95% da RCT</w:t>
            </w:r>
          </w:p>
        </w:tc>
        <w:tc>
          <w:tcPr>
            <w:tcW w:type="dxa" w:w="26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Trial pivotal del farmaco</w:t>
            </w:r>
          </w:p>
        </w:tc>
        <w:tc>
          <w:tcPr>
            <w:tcW w:type="dxa" w:w="37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Quando disponibile; preferito per HTA</w:t>
            </w:r>
          </w:p>
        </w:tc>
      </w:tr>
      <w:tr>
        <w:tc>
          <w:tcPr>
            <w:tcW w:type="dxa" w:w="26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Percentile 5°–95°</w:t>
            </w:r>
          </w:p>
        </w:tc>
        <w:tc>
          <w:tcPr>
            <w:tcW w:type="dxa" w:w="26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Metanalisi o pool di studi</w:t>
            </w:r>
          </w:p>
        </w:tc>
        <w:tc>
          <w:tcPr>
            <w:tcW w:type="dxa" w:w="37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 parametri con distribuzione nota</w:t>
            </w:r>
          </w:p>
        </w:tc>
      </w:tr>
      <w:tr>
        <w:tc>
          <w:tcPr>
            <w:tcW w:type="dxa" w:w="26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Range da linee guida</w:t>
            </w:r>
          </w:p>
        </w:tc>
        <w:tc>
          <w:tcPr>
            <w:tcW w:type="dxa" w:w="26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Es. sconto 0%–5% (LG HTA)</w:t>
            </w:r>
          </w:p>
        </w:tc>
        <w:tc>
          <w:tcPr>
            <w:tcW w:type="dxa" w:w="37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 parametri strutturali (sconto, orizzonte)</w:t>
            </w:r>
          </w:p>
        </w:tc>
      </w:tr>
      <w:tr>
        <w:tc>
          <w:tcPr>
            <w:tcW w:type="dxa" w:w="26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Expert elicitation</w:t>
            </w:r>
          </w:p>
        </w:tc>
        <w:tc>
          <w:tcPr>
            <w:tcW w:type="dxa" w:w="26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Panel clinici</w:t>
            </w:r>
          </w:p>
        </w:tc>
        <w:tc>
          <w:tcPr>
            <w:tcW w:type="dxa" w:w="37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 parametri senza letteratura primaria</w:t>
            </w:r>
          </w:p>
        </w:tc>
      </w:tr>
      <w:tr>
        <w:tc>
          <w:tcPr>
            <w:tcW w:type="dxa" w:w="26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Min–Max clinicamente plausibile</w:t>
            </w:r>
          </w:p>
        </w:tc>
        <w:tc>
          <w:tcPr>
            <w:tcW w:type="dxa" w:w="26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Giudizio clinico</w:t>
            </w:r>
          </w:p>
        </w:tc>
        <w:tc>
          <w:tcPr>
            <w:tcW w:type="dxa" w:w="37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Quando l'IC95% non è disponibile</w:t>
            </w:r>
          </w:p>
        </w:tc>
      </w:tr>
    </w:tbl>
    <w:p>
      <w:pPr>
        <w:spacing w:after="60" w:before="60"/>
      </w:pP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Regola pratica: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documentare sempre la fonte del range nella tabella dei parametri. I reviewer HTA (AIFA, NICE) verificano sistematicamente la coerenza range–letteratura.</w:t>
      </w:r>
    </w:p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2.3 Casi speciali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Tassi di sconto: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variare tra 0% e 5% secondo le linee guida nazionali. In Italia, le LG AIFA indicano il 3% come base e 0%/5% come estremi.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Orizzonte temporale: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variare tipicamente ±3–5 anni attorno al baseline, o confrontare tra breve termine (≤ 5 anni) e lifetime. Non applicare il ±20% meccanicamente su questo parametro.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Utilità (utility weights):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il ±20% su un peso di utilità di 0.85 produce [0.68, 1.02], il che è problematico (utilità &gt; 1 non ha senso). Usare l'IC 95% della fonte primaria.</w:t>
      </w:r>
    </w:p>
    <w:p>
      <w:pPr>
        <w:pBdr>
          <w:bottom w:val="single" w:color="D4D1CA" w:sz="4"/>
        </w:pBdr>
        <w:spacing w:after="160" w:before="160"/>
      </w:pPr>
    </w:p>
    <w:p>
      <w:pPr>
        <w:pStyle w:val="Heading1"/>
        <w:shd w:fill="1B8A8F" w:val="clear"/>
        <w:spacing w:after="12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3. Calcolo dell'ICER e dei delta di sensibilità</w:t>
      </w:r>
    </w:p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3.1 Struttura della tabella di sensibilità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 ogni parametro i, calcolare: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0F0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ICER_Low(i)   = ICER quando il parametro i è al suo valore Low,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                tutti gli altri al baseline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ICER_High(i)  = ICER quando il parametro i è al suo valore High,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                tutti gli altri al baseline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ΔICER_Low(i)  = ICER_Low(i)  − ICER_Baseline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ΔICER_High(i) = ICER_High(i) − ICER_Baseline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Swing(i) = |ICER_High(i) − ICER_Low(i)|</w:t>
            </w:r>
          </w:p>
        </w:tc>
      </w:tr>
    </w:tbl>
    <w:p>
      <w:pPr>
        <w:spacing w:after="60" w:before="6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8900"/>
      </w:tblGrid>
      <w:tr>
        <w:tc>
          <w:tcPr>
            <w:tcW w:type="dxa" w:w="8900"/>
            <w:tcBorders>
              <w:top w:val="single" w:color="C8C8C4" w:sz="4"/>
              <w:left w:val="single" w:color="1B8A8F" w:sz="18"/>
              <w:bottom w:val="single" w:color="C8C8C4" w:sz="4"/>
              <w:right w:val="none" w:color="FFFFFF" w:sz="0"/>
            </w:tcBorders>
            <w:shd w:fill="E8F4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Il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Swing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(ampiezza del range) è la metrica di ordinamento del Tornado Diagram. Un Swing elevato indica alta sensibilità dell'ICER a quel parametro.</w:t>
            </w:r>
          </w:p>
        </w:tc>
      </w:tr>
    </w:tbl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3.2 Interpretazione del segno dei delta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00"/>
      </w:tblGrid>
      <w:tr>
        <w:trPr>
          <w:tblHeader/>
        </w:trPr>
        <w:tc>
          <w:tcPr>
            <w:tcW w:type="dxa" w:w="3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Segno ΔICER_Low</w:t>
            </w:r>
          </w:p>
        </w:tc>
        <w:tc>
          <w:tcPr>
            <w:tcW w:type="dxa" w:w="5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Interpretazione</w:t>
            </w:r>
          </w:p>
        </w:tc>
      </w:tr>
      <w:tr>
        <w:tc>
          <w:tcPr>
            <w:tcW w:type="dxa" w:w="3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ΔICER_Low &lt; 0</w:t>
            </w:r>
          </w:p>
        </w:tc>
        <w:tc>
          <w:tcPr>
            <w:tcW w:type="dxa" w:w="5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Ridurre il parametro migliora la cost-effectiveness (ICER scende)</w:t>
            </w:r>
          </w:p>
        </w:tc>
      </w:tr>
      <w:tr>
        <w:tc>
          <w:tcPr>
            <w:tcW w:type="dxa" w:w="3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ΔICER_Low &gt; 0</w:t>
            </w:r>
          </w:p>
        </w:tc>
        <w:tc>
          <w:tcPr>
            <w:tcW w:type="dxa" w:w="5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Ridurre il parametro peggiora la cost-effectiveness (ICER sale)</w:t>
            </w:r>
          </w:p>
        </w:tc>
      </w:tr>
    </w:tbl>
    <w:p>
      <w:pPr>
        <w:spacing w:after="60" w:before="60"/>
      </w:pP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Esempio — Efficacia A (QALY):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Low: efficacia A al 68% del baseline → ICER sale a €72.222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High: efficacia A al 102% del baseline → ICER scende a €33.618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Risultato: ΔICER_Low = +26.837 e ΔICER_High = −11.767</w:t>
      </w:r>
    </w:p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3.3 Formula ICER parametrica (consigliata)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 Excel, la formula ICER per ogni scenario dovrebbe essere parametrica, non hardcoded: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0F0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# Foglio sensibilità, riga parametro P1 (Costo trattamento A):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ICER_Low_P1 = (('1_Modello_Base'!D6*0.8 + 'Base'!D10) - ('Base'!D7 + 'Base'!D11))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            / ('Base'!D8 - 'Base'!D9)</w:t>
            </w:r>
          </w:p>
        </w:tc>
      </w:tr>
    </w:tbl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Questo approccio mantiene il modello aggiornato automaticamente quando cambiano i valori baseline.</w:t>
      </w:r>
    </w:p>
    <w:p>
      <w:pPr>
        <w:pBdr>
          <w:bottom w:val="single" w:color="D4D1CA" w:sz="4"/>
        </w:pBdr>
        <w:spacing w:after="160" w:before="160"/>
      </w:pPr>
    </w:p>
    <w:p>
      <w:pPr>
        <w:pStyle w:val="Heading1"/>
        <w:shd w:fill="1B8A8F" w:val="clear"/>
        <w:spacing w:after="12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4. Logica di ordinamento per impatto</w:t>
      </w:r>
    </w:p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4.1 Principio del Tornado Diagram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Il Tornado Diagram prende il nome dalla forma che assume quando le barre sono ordinate per lunghezza decrescente: il parametro più influente è in cima, il meno influente è in fondo.</w:t>
      </w:r>
    </w:p>
    <w:p>
      <w:pPr>
        <w:spacing w:after="60" w:before="60"/>
      </w:pP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Criterio di ordinamento primario: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Swing = |ICER_High − ICER_Low| in ordine decrescente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0F0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# Rank automatico in Excel (colonna M della tabella sensibilità):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=RANK(L6,$L$6:$L$13,0)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# Nota: 0 = ordine decrescente (1 = valore più alto = impatto massimo)</w:t>
            </w:r>
          </w:p>
        </w:tc>
      </w:tr>
    </w:tbl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4.2 Ordinamento manuale vs. automatico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Approccio A – Tabella ordinata manualmente (consigliato):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Calcolare gli Swing in una tabella ausiliaria (Foglio 2)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Copiare i dati nel Foglio 3 (Tornado) già ordinati per Swing decrescente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Aggiornare la tabella del Tornado ogni volta che cambiano i parametri</w:t>
      </w:r>
    </w:p>
    <w:p>
      <w:pPr>
        <w:spacing w:after="60" w:before="60"/>
      </w:pP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Approccio B – Power Query / VBA: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Usare Power Query per importare e riordinare dinamicamente la tabella dei parametri in base alla colonna Swing. Più robusto per modelli con &gt;15 parametri.</w:t>
      </w:r>
    </w:p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4.3 Esempio di ordinamento corretto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300"/>
      </w:tblGrid>
      <w:tr>
        <w:trPr>
          <w:tblHeader/>
        </w:trPr>
        <w:tc>
          <w:tcPr>
            <w:tcW w:type="dxa" w:w="12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54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3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Swing (€/QALY)</w:t>
            </w:r>
          </w:p>
        </w:tc>
      </w:tr>
      <w:tr>
        <w:tc>
          <w:tcPr>
            <w:tcW w:type="dxa" w:w="12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Efficacia A (QALY)</w:t>
            </w:r>
          </w:p>
        </w:tc>
        <w:tc>
          <w:tcPr>
            <w:tcW w:type="dxa" w:w="23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38.604</w:t>
            </w:r>
          </w:p>
        </w:tc>
      </w:tr>
      <w:tr>
        <w:tc>
          <w:tcPr>
            <w:tcW w:type="dxa" w:w="12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Costo trattamento A</w:t>
            </w:r>
          </w:p>
        </w:tc>
        <w:tc>
          <w:tcPr>
            <w:tcW w:type="dxa" w:w="23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35.385</w:t>
            </w:r>
          </w:p>
        </w:tc>
      </w:tr>
      <w:tr>
        <w:tc>
          <w:tcPr>
            <w:tcW w:type="dxa" w:w="12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Efficacia B (QALY)</w:t>
            </w:r>
          </w:p>
        </w:tc>
        <w:tc>
          <w:tcPr>
            <w:tcW w:type="dxa" w:w="23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31.217</w:t>
            </w:r>
          </w:p>
        </w:tc>
      </w:tr>
      <w:tr>
        <w:tc>
          <w:tcPr>
            <w:tcW w:type="dxa" w:w="12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Costo trattamento B</w:t>
            </w:r>
          </w:p>
        </w:tc>
        <w:tc>
          <w:tcPr>
            <w:tcW w:type="dxa" w:w="23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13.692</w:t>
            </w:r>
          </w:p>
        </w:tc>
      </w:tr>
      <w:tr>
        <w:tc>
          <w:tcPr>
            <w:tcW w:type="dxa" w:w="12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Costi ospedalizzazione A</w:t>
            </w:r>
          </w:p>
        </w:tc>
        <w:tc>
          <w:tcPr>
            <w:tcW w:type="dxa" w:w="23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12.615</w:t>
            </w:r>
          </w:p>
        </w:tc>
      </w:tr>
      <w:tr>
        <w:tc>
          <w:tcPr>
            <w:tcW w:type="dxa" w:w="12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Costi ospedalizzazione B</w:t>
            </w:r>
          </w:p>
        </w:tc>
        <w:tc>
          <w:tcPr>
            <w:tcW w:type="dxa" w:w="23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11.693</w:t>
            </w:r>
          </w:p>
        </w:tc>
      </w:tr>
      <w:tr>
        <w:tc>
          <w:tcPr>
            <w:tcW w:type="dxa" w:w="12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Orizzonte temporale</w:t>
            </w:r>
          </w:p>
        </w:tc>
        <w:tc>
          <w:tcPr>
            <w:tcW w:type="dxa" w:w="23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7.231</w:t>
            </w:r>
          </w:p>
        </w:tc>
      </w:tr>
      <w:tr>
        <w:tc>
          <w:tcPr>
            <w:tcW w:type="dxa" w:w="12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Tasso di sconto</w:t>
            </w:r>
          </w:p>
        </w:tc>
        <w:tc>
          <w:tcPr>
            <w:tcW w:type="dxa" w:w="23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6.550</w:t>
            </w:r>
          </w:p>
        </w:tc>
      </w:tr>
    </w:tbl>
    <w:p>
      <w:pPr>
        <w:spacing w:after="60" w:before="6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8900"/>
      </w:tblGrid>
      <w:tr>
        <w:tc>
          <w:tcPr>
            <w:tcW w:type="dxa" w:w="8900"/>
            <w:tcBorders>
              <w:top w:val="single" w:color="C8C8C4" w:sz="4"/>
              <w:left w:val="single" w:color="1B8A8F" w:sz="18"/>
              <w:bottom w:val="single" w:color="C8C8C4" w:sz="4"/>
              <w:right w:val="none" w:color="FFFFFF" w:sz="0"/>
            </w:tcBorders>
            <w:shd w:fill="E8F4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Cutoff di rilevanza pratica: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parametri con Swing &lt; 10% dello Swing massimo sono considerati "non influenti" e possono essere omessi dal grafico finale per maggiore leggibilità.</w:t>
            </w:r>
          </w:p>
        </w:tc>
      </w:tr>
    </w:tbl>
    <w:p>
      <w:pPr>
        <w:pBdr>
          <w:bottom w:val="single" w:color="D4D1CA" w:sz="4"/>
        </w:pBdr>
        <w:spacing w:after="160" w:before="160"/>
      </w:pPr>
    </w:p>
    <w:p>
      <w:pPr>
        <w:pStyle w:val="Heading1"/>
        <w:shd w:fill="1B8A8F" w:val="clear"/>
        <w:spacing w:after="12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5. Best practice per la visualizzazione grafica</w:t>
      </w:r>
    </w:p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5.1 Struttura del grafico in Excel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Il Tornado Diagram è tecnicamente un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grafico a barre orizzontali divergenti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(Stacked Bar, orientamento orizzontale).</w:t>
      </w:r>
    </w:p>
    <w:p>
      <w:pPr>
        <w:spacing w:after="60" w:before="6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00"/>
      </w:tblGrid>
      <w:tr>
        <w:trPr>
          <w:tblHeader/>
        </w:trPr>
        <w:tc>
          <w:tcPr>
            <w:tcW w:type="dxa" w:w="24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Configurazione</w:t>
            </w:r>
          </w:p>
        </w:tc>
      </w:tr>
      <w:tr>
        <w:tc>
          <w:tcPr>
            <w:tcW w:type="dxa" w:w="24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Tipo chart</w:t>
            </w:r>
          </w:p>
        </w:tc>
        <w:tc>
          <w:tcPr>
            <w:tcW w:type="dxa" w:w="65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Barre &gt; In pila (orientamento orizzontale)</w:t>
            </w:r>
          </w:p>
        </w:tc>
      </w:tr>
      <w:tr>
        <w:tc>
          <w:tcPr>
            <w:tcW w:type="dxa" w:w="24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Serie 1</w:t>
            </w:r>
          </w:p>
        </w:tc>
        <w:tc>
          <w:tcPr>
            <w:tcW w:type="dxa" w:w="65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Swing inferiore (ΔICER al Low) → barre a sinistra del baseline</w:t>
            </w:r>
          </w:p>
        </w:tc>
      </w:tr>
      <w:tr>
        <w:tc>
          <w:tcPr>
            <w:tcW w:type="dxa" w:w="24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Serie 2</w:t>
            </w:r>
          </w:p>
        </w:tc>
        <w:tc>
          <w:tcPr>
            <w:tcW w:type="dxa" w:w="65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Swing superiore (ΔICER al High) → barre a destra del baseline</w:t>
            </w:r>
          </w:p>
        </w:tc>
      </w:tr>
      <w:tr>
        <w:tc>
          <w:tcPr>
            <w:tcW w:type="dxa" w:w="24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Asse X</w:t>
            </w:r>
          </w:p>
        </w:tc>
        <w:tc>
          <w:tcPr>
            <w:tcW w:type="dxa" w:w="65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ΔICER rispetto al baseline (non valore assoluto ICER)</w:t>
            </w:r>
          </w:p>
        </w:tc>
      </w:tr>
      <w:tr>
        <w:tc>
          <w:tcPr>
            <w:tcW w:type="dxa" w:w="24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Valore 0 asse X</w:t>
            </w:r>
          </w:p>
        </w:tc>
        <w:tc>
          <w:tcPr>
            <w:tcW w:type="dxa" w:w="65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Corrisponde alla linea di baseline = ICER_Baseline</w:t>
            </w:r>
          </w:p>
        </w:tc>
      </w:tr>
    </w:tbl>
    <w:p>
      <w:pPr>
        <w:spacing w:after="60" w:before="6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8900"/>
      </w:tblGrid>
      <w:tr>
        <w:tc>
          <w:tcPr>
            <w:tcW w:type="dxa" w:w="8900"/>
            <w:tcBorders>
              <w:top w:val="single" w:color="C8C8C4" w:sz="4"/>
              <w:left w:val="single" w:color="1B8A8F" w:sz="18"/>
              <w:bottom w:val="single" w:color="C8C8C4" w:sz="4"/>
              <w:right w:val="none" w:color="FFFFFF" w:sz="0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⚠ Errore comune: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usare i valori assoluti di ICER Low/High invece dei delta. Il Tornado Diagram corretto usa sempre i delta rispetto al baseline per permettere la comparazione visiva diretta tra parametri con ICER di entità diversa.</w:t>
            </w:r>
          </w:p>
        </w:tc>
      </w:tr>
    </w:tbl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5.2 Differenziazione cromatica Low vs. High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Convenzione raccomandata ISPOR: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100"/>
      </w:tblGrid>
      <w:tr>
        <w:trPr>
          <w:tblHeader/>
        </w:trPr>
        <w:tc>
          <w:tcPr>
            <w:tcW w:type="dxa" w:w="26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Colore</w:t>
            </w:r>
          </w:p>
        </w:tc>
        <w:tc>
          <w:tcPr>
            <w:tcW w:type="dxa" w:w="41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26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ICER scende (Low o High)</w:t>
            </w:r>
          </w:p>
        </w:tc>
        <w:tc>
          <w:tcPr>
            <w:tcW w:type="dxa" w:w="22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Blu scuro (#1B474D)</w:t>
            </w:r>
          </w:p>
        </w:tc>
        <w:tc>
          <w:tcPr>
            <w:tcW w:type="dxa" w:w="41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Parametro migliora la cost-effectiveness</w:t>
            </w:r>
          </w:p>
        </w:tc>
      </w:tr>
      <w:tr>
        <w:tc>
          <w:tcPr>
            <w:tcW w:type="dxa" w:w="26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ICER sale (Low o High)</w:t>
            </w:r>
          </w:p>
        </w:tc>
        <w:tc>
          <w:tcPr>
            <w:tcW w:type="dxa" w:w="22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Arancione/Rust (#A84B2F)</w:t>
            </w:r>
          </w:p>
        </w:tc>
        <w:tc>
          <w:tcPr>
            <w:tcW w:type="dxa" w:w="41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Parametro peggiora la cost-effectiveness</w:t>
            </w:r>
          </w:p>
        </w:tc>
      </w:tr>
      <w:tr>
        <w:tc>
          <w:tcPr>
            <w:tcW w:type="dxa" w:w="26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Baseline</w:t>
            </w:r>
          </w:p>
        </w:tc>
        <w:tc>
          <w:tcPr>
            <w:tcW w:type="dxa" w:w="22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Linea verticale grigia</w:t>
            </w:r>
          </w:p>
        </w:tc>
        <w:tc>
          <w:tcPr>
            <w:tcW w:type="dxa" w:w="41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2F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Valore ICER di riferimento</w:t>
            </w:r>
          </w:p>
        </w:tc>
      </w:tr>
    </w:tbl>
    <w:p>
      <w:pPr>
        <w:spacing w:after="60" w:before="6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8900"/>
      </w:tblGrid>
      <w:tr>
        <w:tc>
          <w:tcPr>
            <w:tcW w:type="dxa" w:w="8900"/>
            <w:tcBorders>
              <w:top w:val="single" w:color="C8C8C4" w:sz="4"/>
              <w:left w:val="single" w:color="1B8A8F" w:sz="18"/>
              <w:bottom w:val="single" w:color="C8C8C4" w:sz="4"/>
              <w:right w:val="none" w:color="FFFFFF" w:sz="0"/>
            </w:tcBorders>
            <w:shd w:fill="E8F4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Accessibilità: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evitare la coppia rosso/verde pura (daltonismo). La coppia blu/arancione è colorblind-safe per il 95% degli utenti (8% degli uomini ha deficit rosso-verde).</w:t>
            </w:r>
          </w:p>
        </w:tc>
      </w:tr>
    </w:tbl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5.3 Linea baseline e WTP threshold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Linea ICER baseline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(asse Y = 0 dei delta): in Excel coincide con l'asse X del grafico quando si usano i delta.</w:t>
      </w:r>
    </w:p>
    <w:p>
      <w:pPr>
        <w:spacing w:after="60" w:before="60"/>
      </w:pP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Linea WTP threshold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(es. €30.000/QALY): si aggiunge come linea tratteggiata verticale a ΔICER = WTP − ICER_Baseline.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 ICER_Baseline = €45.385 e WTP = €30.000, la linea WTP è a ΔICER = −15.385.</w:t>
      </w:r>
    </w:p>
    <w:p>
      <w:pPr>
        <w:spacing w:after="60" w:before="60"/>
      </w:pP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Come aggiungere la linea WTP in Excel: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Aggiungere una Serie 3 con valori zero per tutti i parametri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Cambiare il tipo della Serie 3 in "Grafico a dispersione (XY)"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Aggiungere barre di errore orizzontali con valore fisso = |WTP − ICER_Baseline|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Formattare come linea tratteggiata</w:t>
      </w:r>
    </w:p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5.4 Etichette degli assi e titolo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0F0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✗  "Tornado Diagram"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✓  "Impatto sull'ICER di Trattamento A vs. B (variazione ±20% dei parametri)"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Asse X: "ΔICER (€/QALY) rispetto al baseline [€45.385/QALY]"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Asse Y: nomi dei parametri, concisi ma completi</w:t>
            </w:r>
          </w:p>
        </w:tc>
      </w:tr>
    </w:tbl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5.5 Checklist grafica pre-pubblicazione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☐  Le barre sono ordinate per Swing decrescente (barra più lunga in cima)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☐  L'asse X è centrato sul valore 0 (ΔICER = 0 = baseline)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☐  La linea WTP threshold è visibile e annotata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☐  Ogni parametro ha etichette dati con i valori ICER Low e High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☐  Il titolo riporta ICER baseline e threshold WTP numericamente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☐  Risoluzione minima 300 DPI per pubblicazione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☐  Nessuna griglia decorativa che distragga dalla comparazione delle barre</w:t>
      </w:r>
    </w:p>
    <w:p>
      <w:pPr>
        <w:pBdr>
          <w:bottom w:val="single" w:color="D4D1CA" w:sz="4"/>
        </w:pBdr>
        <w:spacing w:after="160" w:before="160"/>
      </w:pPr>
    </w:p>
    <w:p>
      <w:pPr>
        <w:pStyle w:val="Heading1"/>
        <w:shd w:fill="1B8A8F" w:val="clear"/>
        <w:spacing w:after="12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6. Checklist di validazione</w:t>
      </w:r>
    </w:p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6.1 Validazione dei parametri e dei range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P-01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Tutti i parametri chiave del modello sono inclusi nella DSA
(min: costi diretti, efficacia, utilità, parametri strutturali)</w:t>
            </w:r>
          </w:p>
        </w:tc>
      </w:tr>
    </w:tbl>
    <w:p>
      <w:pP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P-02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 range di variazione sono giustificati da fonti bibliografiche documentate
(IC 95% da RCT, LG nazionali, o ±20% con esplicita motivazione)</w:t>
            </w:r>
          </w:p>
        </w:tc>
      </w:tr>
    </w:tbl>
    <w:p>
      <w:pP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P-03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 parametri con valori estremizzati fuori dai limiti clinici sono trattati
(es. probabilità &gt; 1 o &lt; 0, tassi negativi)</w:t>
            </w:r>
          </w:p>
        </w:tc>
      </w:tr>
    </w:tbl>
    <w:p>
      <w:pP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P-04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 correlazioni tra parametri sono documentate
(es. costo e tasso di risposta correlati → considerare analisi a due vie)</w:t>
            </w:r>
          </w:p>
        </w:tc>
      </w:tr>
    </w:tbl>
    <w:p>
      <w:pP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P-05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 prospettiva del modello è applicata coerentemente a tutti i costi
(SSN: solo costi diretti sanitari; sociale: includere produttività)</w:t>
            </w:r>
          </w:p>
        </w:tc>
      </w:tr>
    </w:tbl>
    <w:p>
      <w:pPr>
        <w:spacing w:after="60" w:before="0"/>
      </w:pPr>
    </w:p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6.2 Validazione delle formule ICER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F-01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 formula ICER è verificata manualmente su almeno un caso estremo
(es. parametro al Low → ICER calcolato = valore atteso?)</w:t>
            </w:r>
          </w:p>
        </w:tc>
      </w:tr>
    </w:tbl>
    <w:p>
      <w:pP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F-02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Il segno di ΔEfficacia è sempre positivo (intervento A domina B per efficacia)
(se negativo: A più costoso E meno efficace → 4° quadrante, inaccettabile)</w:t>
            </w:r>
          </w:p>
        </w:tc>
      </w:tr>
    </w:tbl>
    <w:p>
      <w:pP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F-03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Non esistono divisioni per zero (ΔEfficacia ≠ 0)
Aggiungere =SE(C20=0,"N/A",C19/C20) per proteggere la formula</w:t>
            </w:r>
          </w:p>
        </w:tc>
      </w:tr>
    </w:tbl>
    <w:p>
      <w:pP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F-04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 unità di costo sono consistenti (stessa valuta, stesso anno di riferimento)
(deflazionare usando l'indice NIC/ISTAT o HICP-WHO per cross-country)</w:t>
            </w:r>
          </w:p>
        </w:tc>
      </w:tr>
    </w:tbl>
    <w:p>
      <w:pP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F-05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Il tasso di sconto è applicato sia ai costi che ai QALY (coerenza)
(discordanza frequente: sconto ai costi ma non all'efficacia)</w:t>
            </w:r>
          </w:p>
        </w:tc>
      </w:tr>
    </w:tbl>
    <w:p>
      <w:pPr>
        <w:spacing w:after="60" w:before="0"/>
      </w:pPr>
    </w:p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6.3 Validazione del Tornado Diagram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T-01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L'ordinamento delle barre è per Swing decrescente, verificato numericamente</w:t>
            </w:r>
          </w:p>
        </w:tc>
      </w:tr>
    </w:tbl>
    <w:p>
      <w:pP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T-02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 somma dei Swing individuali ≠ range totale del modello
(la DSA non è additiva: verificare PSA per l'incertezza combinata)</w:t>
            </w:r>
          </w:p>
        </w:tc>
      </w:tr>
    </w:tbl>
    <w:p>
      <w:pP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T-03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 parametri con Swing &gt; WTP threshold sono identificati ed evidenziati
(questi parametri da soli possono invertire la decisione di cost-effectiveness)</w:t>
            </w:r>
          </w:p>
        </w:tc>
      </w:tr>
    </w:tbl>
    <w:p>
      <w:pP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T-04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Il grafico include etichette con i valori assoluti ICER Low e High
(non solo i delta, per permettere la lettura senza tabelle di supporto)</w:t>
            </w:r>
          </w:p>
        </w:tc>
      </w:tr>
    </w:tbl>
    <w:p>
      <w:pP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T-05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Il grafico è testato in bianco e nero (stampa/PDF)
(le barre devono essere distinguibili anche senza colore: usare pattern hatch)</w:t>
            </w:r>
          </w:p>
        </w:tc>
      </w:tr>
    </w:tbl>
    <w:p>
      <w:pPr>
        <w:spacing w:after="60" w:before="0"/>
      </w:pPr>
    </w:p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6.4 Validazione della robustezza del modello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R-01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Analisi a due vie eseguita per le due variabili con Swing più elevato
(grid 5×5 o 10×10 con mappa di calore ICER risultante)</w:t>
            </w:r>
          </w:p>
        </w:tc>
      </w:tr>
    </w:tbl>
    <w:p>
      <w:pP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R-02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Threshold analysis: per quale valore del parametro più influente l'ICER attraversa la soglia WTP? (breakeven point)
Formula: Param_breakeven = valore in cui ICER(Param) = WTP</w:t>
            </w:r>
          </w:p>
        </w:tc>
      </w:tr>
    </w:tbl>
    <w:p>
      <w:pP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R-03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PSA eseguita con ≥ 1.000 iterazioni
(distribuzioni: Beta per probabilità/utilità, Gamma per costi, Log-Normal per RR/OR)</w:t>
            </w:r>
          </w:p>
        </w:tc>
      </w:tr>
    </w:tbl>
    <w:p>
      <w:pP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R-04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CEAC (Cost-Effectiveness Acceptability Curve) prodotta come complemento del Tornado
(mostra la probabilità di cost-effectiveness a diverse soglie WTP)</w:t>
            </w:r>
          </w:p>
        </w:tc>
      </w:tr>
    </w:tbl>
    <w:p>
      <w:pP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R-05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 risultati della DSA e della PSA sono concordanti
(se il top-3 della DSA non è tra le variabili con maggiore varianza in PSA → investigare)</w:t>
            </w:r>
          </w:p>
        </w:tc>
      </w:tr>
    </w:tbl>
    <w:p>
      <w:pPr>
        <w:spacing w:after="60" w:before="0"/>
      </w:pPr>
    </w:p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6.5 Validazione per submission HTA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H-01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Metodi conformi alle LG HTA del Paese target
(NICE: Technology Appraisal Guidance; AIFA: Linee Guida Farmaci; EUnetHTA)</w:t>
            </w:r>
          </w:p>
        </w:tc>
      </w:tr>
    </w:tbl>
    <w:p>
      <w:pP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H-02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Tabella completa DSA allegata al dossier (non solo il grafico)
(includere: parametro, baseline, low, high, ICER low, ICER baseline, ICER high)</w:t>
            </w:r>
          </w:p>
        </w:tc>
      </w:tr>
    </w:tbl>
    <w:p>
      <w:pP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H-03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Scenario analysis per assunzioni strutturali chiave
(es. orizzonte lifetime vs. 10 anni, prospettiva SSN vs. società)</w:t>
            </w:r>
          </w:p>
        </w:tc>
      </w:tr>
    </w:tbl>
    <w:p>
      <w:pP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H-04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Tutti i parametri con ICER &gt; WTP threshold a qualsiasi valore del range sono discussi narrativamente nel modulo clinico del dossier</w:t>
            </w:r>
          </w:p>
        </w:tc>
      </w:tr>
    </w:tbl>
    <w:p>
      <w:pP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"/>
        </w:tblCellMar>
      </w:tblPr>
      <w:tblGrid>
        <w:gridCol w:w="900"/>
        <w:gridCol w:w="8000"/>
      </w:tblGrid>
      <w:tr>
        <w:tc>
          <w:tcPr>
            <w:tcW w:type="dxa" w:w="9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1B8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 H-05</w:t>
            </w:r>
          </w:p>
        </w:tc>
        <w:tc>
          <w:tcPr>
            <w:tcW w:type="dxa" w:w="8000"/>
            <w:tcBorders>
              <w:top w:val="single" w:color="C8C8C4" w:sz="4"/>
              <w:left w:val="single" w:color="C8C8C4" w:sz="4"/>
              <w:bottom w:val="single" w:color="C8C8C4" w:sz="4"/>
              <w:right w:val="single" w:color="C8C8C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Il modello Excel (non solo i risultati) è disponibile per i reviewer HTA
(modello deve essere trasparente, auditabile, senza macro nascoste)</w:t>
            </w:r>
          </w:p>
        </w:tc>
      </w:tr>
    </w:tbl>
    <w:p>
      <w:pPr>
        <w:spacing w:after="60" w:before="0"/>
      </w:pPr>
    </w:p>
    <w:p>
      <w:pPr>
        <w:pBdr>
          <w:bottom w:val="single" w:color="D4D1CA" w:sz="4"/>
        </w:pBdr>
        <w:spacing w:after="160" w:before="160"/>
      </w:pPr>
    </w:p>
    <w:p>
      <w:pPr>
        <w:pStyle w:val="Heading1"/>
        <w:shd w:fill="1B8A8F" w:val="clear"/>
        <w:spacing w:after="12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7. Riferimenti</w:t>
      </w:r>
    </w:p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Standard e linee guida metodologiche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ISPOR Good Practices for Outcomes Research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– Briggs AH et al. (2012). Probabilistic Sensitivity Analysis for Decision Trees with Multiple Branches. Medical Decision Making.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NICE Decision Support Unit TSD 6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– Methods for Sensitivity Analysis. </w:t>
      </w:r>
      <w:hyperlink w:history="1" r:id="rIdtzsr3r14vayasv3uodlaz">
        <w:r>
          <w:rPr>
            <w:rStyle w:val="Hyperlink"/>
            <w:rFonts w:ascii="Calibri" w:cs="Calibri" w:eastAsia="Calibri" w:hAnsi="Calibri"/>
            <w:color w:val="1B8A8F"/>
            <w:sz w:val="20"/>
            <w:szCs w:val="20"/>
          </w:rPr>
          <w:t xml:space="preserve">Sheffield DSU</w:t>
        </w:r>
      </w:hyperlink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HTAi/ISPOR Joint Task Force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– O'Mahony JF et al. (2015). A Systematic Review of Cost-Effectiveness Thresholds. Value in Health.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Linee Guida AIFA per Modelli Farmaceconomici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– AIFA, 2017. </w:t>
      </w:r>
      <w:hyperlink w:history="1" r:id="rIdudotmhhwbjg2yu_lyzg1u">
        <w:r>
          <w:rPr>
            <w:rStyle w:val="Hyperlink"/>
            <w:rFonts w:ascii="Calibri" w:cs="Calibri" w:eastAsia="Calibri" w:hAnsi="Calibri"/>
            <w:color w:val="1B8A8F"/>
            <w:sz w:val="20"/>
            <w:szCs w:val="20"/>
          </w:rPr>
          <w:t xml:space="preserve">aifa.gov.it</w:t>
        </w:r>
      </w:hyperlink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EUnetHTA Core Model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– Procedural and Methodological Guidelines, versione 3.0.</w:t>
      </w:r>
    </w:p>
    <w:p>
      <w:pPr>
        <w:pStyle w:val="Heading2"/>
        <w:pBdr>
          <w:bottom w:val="single" w:color="1B8A8F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2666A"/>
          <w:sz w:val="26"/>
          <w:szCs w:val="26"/>
        </w:rPr>
        <w:t xml:space="preserve">Testi di riferimento (farmaceconomia)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Drummond MF et al. </w:t>
      </w:r>
      <w:r>
        <w:rPr>
          <w:rFonts w:ascii="Calibri" w:cs="Calibri" w:eastAsia="Calibri" w:hAnsi="Calibri"/>
          <w:i/>
          <w:iCs/>
          <w:color w:val="5A5957"/>
          <w:sz w:val="20"/>
          <w:szCs w:val="20"/>
        </w:rPr>
        <w:t xml:space="preserve">Methods for the Economic Evaluation of Health Care Programmes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4th ed. Oxford University Press, 2015.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Briggs A, Sculpher M, Claxton K. </w:t>
      </w:r>
      <w:r>
        <w:rPr>
          <w:rFonts w:ascii="Calibri" w:cs="Calibri" w:eastAsia="Calibri" w:hAnsi="Calibri"/>
          <w:i/>
          <w:iCs/>
          <w:color w:val="5A5957"/>
          <w:sz w:val="20"/>
          <w:szCs w:val="20"/>
        </w:rPr>
        <w:t xml:space="preserve">Decision Modelling for Health Economic Evaluation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Oxford University Press, 2006.</w:t>
      </w:r>
    </w:p>
    <w:p>
      <w:pPr>
        <w:spacing w:after="60" w:before="6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8900"/>
      </w:tblGrid>
      <w:tr>
        <w:tc>
          <w:tcPr>
            <w:tcW w:type="dxa" w:w="8900"/>
            <w:tcBorders>
              <w:top w:val="single" w:color="C8C8C4" w:sz="4"/>
              <w:left w:val="single" w:color="1B8A8F" w:sz="18"/>
              <w:bottom w:val="single" w:color="C8C8C4" w:sz="4"/>
              <w:right w:val="none" w:color="FFFFFF" w:sz="0"/>
            </w:tcBorders>
            <w:shd w:fill="F2F2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A5957"/>
                <w:sz w:val="20"/>
                <w:szCs w:val="20"/>
              </w:rPr>
              <w:t xml:space="preserve">Dati numerici a scopo illustrativo — non utilizzare per decisioni cliniche o regolatorie reali. Workbook Excel dimostrativo disponibile come allegato separato.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957"/>
        <w:sz w:val="16"/>
        <w:szCs w:val="16"/>
      </w:rPr>
      <w:t xml:space="preserve">Pagina </w:t>
    </w:r>
    <w:r>
      <w:rPr>
        <w:rFonts w:ascii="Calibri" w:cs="Calibri" w:eastAsia="Calibri" w:hAnsi="Calibri"/>
        <w:color w:val="5A595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957"/>
        <w:sz w:val="16"/>
        <w:szCs w:val="16"/>
      </w:rPr>
      <w:t xml:space="preserve"> di </w:t>
    </w:r>
    <w:r>
      <w:rPr>
        <w:rFonts w:ascii="Calibri" w:cs="Calibri" w:eastAsia="Calibri" w:hAnsi="Calibri"/>
        <w:color w:val="5A595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A5957"/>
        <w:sz w:val="16"/>
        <w:szCs w:val="16"/>
      </w:rPr>
      <w:t xml:space="preserve">Guida Tecnica — Tornado Diagram CEA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12666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zsr3r14vayasv3uodlaz" Type="http://schemas.openxmlformats.org/officeDocument/2006/relationships/hyperlink" Target="https://www.sheffield.ac.uk/nice-dsu/tsds/sensitivity-analysis" TargetMode="External"/><Relationship Id="rIdudotmhhwbjg2yu_lyzg1u" Type="http://schemas.openxmlformats.org/officeDocument/2006/relationships/hyperlink" Target="https://www.aifa.gov.it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2026-06-27T06:42:30.073Z</dcterms:created>
  <dcterms:modified xsi:type="dcterms:W3CDTF">2026-06-27T06:42:30.081Z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